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3A240C">
      <w:pPr>
        <w:spacing w:before="163" w:line="240" w:lineRule="auto"/>
        <w:ind w:firstLine="0" w:firstLineChars="0"/>
        <w:rPr>
          <w:b/>
          <w:szCs w:val="21"/>
        </w:rPr>
      </w:pPr>
      <w:r>
        <w:rPr>
          <w:b/>
          <w:szCs w:val="21"/>
        </w:rPr>
        <w:t>证券</w:t>
      </w:r>
      <w:r>
        <w:rPr>
          <w:rFonts w:hint="eastAsia"/>
          <w:b/>
          <w:szCs w:val="21"/>
        </w:rPr>
        <w:t>代码：</w:t>
      </w:r>
      <w:r>
        <w:rPr>
          <w:b/>
          <w:szCs w:val="21"/>
        </w:rPr>
        <w:t>301</w:t>
      </w:r>
      <w:r>
        <w:rPr>
          <w:rFonts w:hint="eastAsia"/>
          <w:b/>
          <w:szCs w:val="21"/>
        </w:rPr>
        <w:t xml:space="preserve">178       证券简称：天亿马      </w:t>
      </w:r>
      <w:r>
        <w:rPr>
          <w:b/>
          <w:szCs w:val="21"/>
        </w:rPr>
        <w:t>上市地点：</w:t>
      </w:r>
      <w:r>
        <w:rPr>
          <w:rFonts w:hint="eastAsia"/>
          <w:b/>
          <w:szCs w:val="21"/>
        </w:rPr>
        <w:t>深圳</w:t>
      </w:r>
      <w:r>
        <w:rPr>
          <w:b/>
          <w:szCs w:val="21"/>
        </w:rPr>
        <w:t>证券交易所</w:t>
      </w:r>
    </w:p>
    <w:p w14:paraId="32C09D95">
      <w:pPr>
        <w:pStyle w:val="106"/>
        <w:spacing w:before="163"/>
        <w:ind w:firstLine="0" w:firstLineChars="0"/>
      </w:pPr>
    </w:p>
    <w:p w14:paraId="227FFF10">
      <w:pPr>
        <w:pStyle w:val="106"/>
        <w:spacing w:before="163"/>
        <w:ind w:firstLine="0" w:firstLineChars="0"/>
      </w:pPr>
    </w:p>
    <w:p w14:paraId="1677F1A0">
      <w:pPr>
        <w:pStyle w:val="106"/>
        <w:spacing w:before="163"/>
        <w:ind w:firstLine="0" w:firstLineChars="0"/>
      </w:pPr>
    </w:p>
    <w:p w14:paraId="076915FD">
      <w:pPr>
        <w:pStyle w:val="106"/>
        <w:spacing w:before="163"/>
        <w:ind w:firstLine="0" w:firstLineChars="0"/>
      </w:pPr>
      <w:r>
        <w:drawing>
          <wp:inline distT="0" distB="0" distL="114300" distR="114300">
            <wp:extent cx="2674620" cy="807720"/>
            <wp:effectExtent l="0" t="0" r="762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6"/>
                    <a:stretch>
                      <a:fillRect/>
                    </a:stretch>
                  </pic:blipFill>
                  <pic:spPr>
                    <a:xfrm>
                      <a:off x="0" y="0"/>
                      <a:ext cx="2674620" cy="807720"/>
                    </a:xfrm>
                    <a:prstGeom prst="rect">
                      <a:avLst/>
                    </a:prstGeom>
                    <a:noFill/>
                    <a:ln>
                      <a:noFill/>
                    </a:ln>
                  </pic:spPr>
                </pic:pic>
              </a:graphicData>
            </a:graphic>
          </wp:inline>
        </w:drawing>
      </w:r>
    </w:p>
    <w:p w14:paraId="6052E062">
      <w:pPr>
        <w:pStyle w:val="106"/>
        <w:spacing w:beforeLines="0"/>
        <w:ind w:firstLine="0" w:firstLineChars="0"/>
        <w:rPr>
          <w:rFonts w:hint="eastAsia" w:ascii="黑体" w:hAnsi="黑体" w:eastAsia="黑体"/>
          <w:b/>
          <w:sz w:val="36"/>
          <w:szCs w:val="32"/>
        </w:rPr>
      </w:pPr>
      <w:bookmarkStart w:id="0" w:name="_Hlk184029610"/>
      <w:r>
        <w:rPr>
          <w:rFonts w:hint="eastAsia" w:ascii="黑体" w:hAnsi="黑体" w:eastAsia="黑体"/>
          <w:b/>
          <w:sz w:val="36"/>
          <w:szCs w:val="32"/>
        </w:rPr>
        <w:tab/>
      </w:r>
    </w:p>
    <w:p w14:paraId="3B8ED532">
      <w:pPr>
        <w:pStyle w:val="106"/>
        <w:spacing w:beforeLines="0"/>
        <w:ind w:firstLine="0" w:firstLineChars="0"/>
        <w:rPr>
          <w:rFonts w:hint="eastAsia" w:ascii="黑体" w:hAnsi="黑体" w:eastAsia="黑体"/>
          <w:b/>
          <w:sz w:val="36"/>
          <w:szCs w:val="32"/>
        </w:rPr>
      </w:pPr>
      <w:r>
        <w:rPr>
          <w:rFonts w:hint="eastAsia" w:ascii="黑体" w:hAnsi="黑体" w:eastAsia="黑体"/>
          <w:b/>
          <w:sz w:val="36"/>
          <w:szCs w:val="32"/>
        </w:rPr>
        <w:t>广东天亿马信息产业股份有限公司</w:t>
      </w:r>
    </w:p>
    <w:bookmarkEnd w:id="0"/>
    <w:p w14:paraId="4D8CCE94">
      <w:pPr>
        <w:pStyle w:val="106"/>
        <w:spacing w:beforeLines="0"/>
        <w:ind w:firstLine="0" w:firstLineChars="0"/>
        <w:rPr>
          <w:rFonts w:hint="eastAsia" w:ascii="黑体" w:hAnsi="黑体" w:eastAsia="黑体"/>
          <w:b/>
          <w:sz w:val="36"/>
          <w:szCs w:val="32"/>
        </w:rPr>
      </w:pPr>
      <w:bookmarkStart w:id="1" w:name="_Hlk189312018"/>
      <w:r>
        <w:rPr>
          <w:rFonts w:hint="eastAsia" w:ascii="黑体" w:hAnsi="黑体" w:eastAsia="黑体"/>
          <w:b/>
          <w:sz w:val="36"/>
          <w:szCs w:val="32"/>
        </w:rPr>
        <w:t>发行股份及支付现金购买资产并募</w:t>
      </w:r>
      <w:bookmarkStart w:id="193" w:name="_GoBack"/>
      <w:bookmarkEnd w:id="193"/>
      <w:r>
        <w:rPr>
          <w:rFonts w:hint="eastAsia" w:ascii="黑体" w:hAnsi="黑体" w:eastAsia="黑体"/>
          <w:b/>
          <w:sz w:val="36"/>
          <w:szCs w:val="32"/>
        </w:rPr>
        <w:t>集配套资金</w:t>
      </w:r>
      <w:bookmarkEnd w:id="1"/>
    </w:p>
    <w:p w14:paraId="782B3529">
      <w:pPr>
        <w:pStyle w:val="106"/>
        <w:spacing w:beforeLines="0"/>
        <w:ind w:firstLine="0" w:firstLineChars="0"/>
        <w:rPr>
          <w:rFonts w:hint="eastAsia" w:ascii="黑体" w:hAnsi="黑体" w:eastAsia="黑体"/>
          <w:b/>
          <w:sz w:val="36"/>
          <w:szCs w:val="32"/>
        </w:rPr>
      </w:pPr>
      <w:r>
        <w:rPr>
          <w:rFonts w:hint="eastAsia" w:ascii="黑体" w:hAnsi="黑体" w:eastAsia="黑体"/>
          <w:b/>
          <w:sz w:val="36"/>
          <w:szCs w:val="32"/>
        </w:rPr>
        <w:t>暨关联交易预案</w:t>
      </w:r>
    </w:p>
    <w:p w14:paraId="33383339">
      <w:pPr>
        <w:pStyle w:val="106"/>
        <w:spacing w:beforeLines="0"/>
        <w:ind w:firstLine="0" w:firstLineChars="0"/>
        <w:rPr>
          <w:b/>
          <w:sz w:val="40"/>
          <w:szCs w:val="36"/>
        </w:rPr>
      </w:pPr>
    </w:p>
    <w:p w14:paraId="55BF18CA">
      <w:pPr>
        <w:pStyle w:val="106"/>
        <w:spacing w:beforeLines="0"/>
        <w:ind w:firstLine="0" w:firstLineChars="0"/>
        <w:rPr>
          <w:b/>
          <w:sz w:val="40"/>
          <w:szCs w:val="36"/>
        </w:rPr>
      </w:pPr>
    </w:p>
    <w:tbl>
      <w:tblPr>
        <w:tblStyle w:val="76"/>
        <w:tblW w:w="8649" w:type="dxa"/>
        <w:tblInd w:w="-10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28" w:type="dxa"/>
          <w:left w:w="108" w:type="dxa"/>
          <w:bottom w:w="28" w:type="dxa"/>
          <w:right w:w="108" w:type="dxa"/>
        </w:tblCellMar>
      </w:tblPr>
      <w:tblGrid>
        <w:gridCol w:w="4090"/>
        <w:gridCol w:w="4559"/>
      </w:tblGrid>
      <w:tr w14:paraId="0E45B1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trHeight w:val="365" w:hRule="atLeast"/>
        </w:trPr>
        <w:tc>
          <w:tcPr>
            <w:tcW w:w="4090" w:type="dxa"/>
            <w:shd w:val="clear" w:color="auto" w:fill="auto"/>
            <w:vAlign w:val="center"/>
          </w:tcPr>
          <w:p w14:paraId="097EBE8B">
            <w:pPr>
              <w:pStyle w:val="104"/>
              <w:spacing w:line="276" w:lineRule="auto"/>
              <w:jc w:val="center"/>
              <w:rPr>
                <w:b/>
                <w:bCs/>
              </w:rPr>
            </w:pPr>
            <w:r>
              <w:rPr>
                <w:rFonts w:hint="eastAsia"/>
                <w:b/>
                <w:bCs/>
              </w:rPr>
              <w:t>项目</w:t>
            </w:r>
          </w:p>
        </w:tc>
        <w:tc>
          <w:tcPr>
            <w:tcW w:w="4559" w:type="dxa"/>
            <w:shd w:val="clear" w:color="auto" w:fill="auto"/>
            <w:vAlign w:val="center"/>
          </w:tcPr>
          <w:p w14:paraId="527D0E45">
            <w:pPr>
              <w:pStyle w:val="104"/>
              <w:spacing w:line="276" w:lineRule="auto"/>
              <w:jc w:val="center"/>
              <w:rPr>
                <w:b/>
                <w:bCs/>
              </w:rPr>
            </w:pPr>
            <w:r>
              <w:rPr>
                <w:rFonts w:hint="eastAsia"/>
                <w:b/>
                <w:bCs/>
              </w:rPr>
              <w:t>交易对方</w:t>
            </w:r>
          </w:p>
        </w:tc>
      </w:tr>
      <w:tr w14:paraId="4AD539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trHeight w:val="365" w:hRule="atLeast"/>
        </w:trPr>
        <w:tc>
          <w:tcPr>
            <w:tcW w:w="4090" w:type="dxa"/>
            <w:shd w:val="clear" w:color="auto" w:fill="auto"/>
            <w:vAlign w:val="center"/>
          </w:tcPr>
          <w:p w14:paraId="25633CF4">
            <w:pPr>
              <w:pStyle w:val="104"/>
              <w:spacing w:line="276" w:lineRule="auto"/>
              <w:jc w:val="center"/>
            </w:pPr>
            <w:r>
              <w:rPr>
                <w:rFonts w:hint="eastAsia"/>
              </w:rPr>
              <w:t>发行股份及支付现金购买资产</w:t>
            </w:r>
          </w:p>
        </w:tc>
        <w:tc>
          <w:tcPr>
            <w:tcW w:w="4559" w:type="dxa"/>
            <w:shd w:val="clear" w:color="auto" w:fill="auto"/>
            <w:vAlign w:val="center"/>
          </w:tcPr>
          <w:p w14:paraId="6915303C">
            <w:pPr>
              <w:pStyle w:val="104"/>
              <w:spacing w:line="276" w:lineRule="auto"/>
              <w:jc w:val="center"/>
            </w:pPr>
            <w:r>
              <w:rPr>
                <w:rFonts w:hint="eastAsia"/>
              </w:rPr>
              <w:t>陈耿豪等22名星云开物股东</w:t>
            </w:r>
          </w:p>
        </w:tc>
      </w:tr>
      <w:tr w14:paraId="5D5632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28" w:type="dxa"/>
            <w:left w:w="108" w:type="dxa"/>
            <w:bottom w:w="28" w:type="dxa"/>
            <w:right w:w="108" w:type="dxa"/>
          </w:tblCellMar>
        </w:tblPrEx>
        <w:trPr>
          <w:trHeight w:val="365" w:hRule="atLeast"/>
        </w:trPr>
        <w:tc>
          <w:tcPr>
            <w:tcW w:w="4090" w:type="dxa"/>
            <w:shd w:val="clear" w:color="auto" w:fill="auto"/>
            <w:vAlign w:val="center"/>
          </w:tcPr>
          <w:p w14:paraId="48994BF9">
            <w:pPr>
              <w:pStyle w:val="104"/>
              <w:spacing w:line="276" w:lineRule="auto"/>
              <w:jc w:val="center"/>
            </w:pPr>
            <w:r>
              <w:t>募集配套资金</w:t>
            </w:r>
          </w:p>
        </w:tc>
        <w:tc>
          <w:tcPr>
            <w:tcW w:w="4559" w:type="dxa"/>
            <w:shd w:val="clear" w:color="auto" w:fill="auto"/>
            <w:vAlign w:val="center"/>
          </w:tcPr>
          <w:p w14:paraId="015A6714">
            <w:pPr>
              <w:pStyle w:val="104"/>
              <w:spacing w:line="276" w:lineRule="auto"/>
              <w:jc w:val="center"/>
            </w:pPr>
            <w:r>
              <w:rPr>
                <w:rFonts w:hint="eastAsia"/>
              </w:rPr>
              <w:t>马学沛</w:t>
            </w:r>
          </w:p>
        </w:tc>
      </w:tr>
    </w:tbl>
    <w:p w14:paraId="3EF2CDC0">
      <w:pPr>
        <w:snapToGrid w:val="0"/>
        <w:spacing w:before="120" w:beforeLines="0" w:line="240" w:lineRule="auto"/>
        <w:ind w:firstLine="0" w:firstLineChars="0"/>
        <w:jc w:val="center"/>
        <w:rPr>
          <w:b/>
          <w:sz w:val="32"/>
        </w:rPr>
      </w:pPr>
    </w:p>
    <w:p w14:paraId="47AE2357">
      <w:pPr>
        <w:snapToGrid w:val="0"/>
        <w:spacing w:before="120" w:beforeLines="0" w:line="240" w:lineRule="auto"/>
        <w:ind w:firstLine="0" w:firstLineChars="0"/>
        <w:jc w:val="center"/>
        <w:rPr>
          <w:b/>
          <w:sz w:val="32"/>
        </w:rPr>
      </w:pPr>
    </w:p>
    <w:p w14:paraId="56CE7EE4">
      <w:pPr>
        <w:snapToGrid w:val="0"/>
        <w:spacing w:before="120" w:beforeLines="0" w:line="240" w:lineRule="auto"/>
        <w:ind w:firstLine="0" w:firstLineChars="0"/>
        <w:jc w:val="center"/>
        <w:rPr>
          <w:b/>
          <w:sz w:val="32"/>
        </w:rPr>
      </w:pPr>
    </w:p>
    <w:p w14:paraId="127958E6">
      <w:pPr>
        <w:snapToGrid w:val="0"/>
        <w:spacing w:before="120" w:beforeLines="0" w:line="240" w:lineRule="auto"/>
        <w:ind w:firstLine="0" w:firstLineChars="0"/>
        <w:jc w:val="center"/>
        <w:rPr>
          <w:b/>
          <w:sz w:val="32"/>
        </w:rPr>
      </w:pPr>
    </w:p>
    <w:p w14:paraId="659FE82A">
      <w:pPr>
        <w:snapToGrid w:val="0"/>
        <w:spacing w:before="156" w:beforeLines="0"/>
        <w:ind w:firstLine="0" w:firstLineChars="0"/>
        <w:jc w:val="both"/>
        <w:rPr>
          <w:b/>
        </w:rPr>
      </w:pPr>
    </w:p>
    <w:p w14:paraId="725197AB">
      <w:pPr>
        <w:snapToGrid w:val="0"/>
        <w:spacing w:before="156" w:beforeLines="0"/>
        <w:ind w:firstLine="0" w:firstLineChars="0"/>
        <w:jc w:val="center"/>
        <w:rPr>
          <w:rFonts w:hint="eastAsia" w:ascii="黑体" w:hAnsi="黑体" w:eastAsia="黑体" w:cs="黑体"/>
          <w:sz w:val="32"/>
          <w:szCs w:val="32"/>
        </w:rPr>
      </w:pPr>
      <w:r>
        <w:rPr>
          <w:rFonts w:hint="eastAsia" w:ascii="黑体" w:hAnsi="黑体" w:eastAsia="黑体" w:cs="黑体"/>
          <w:b/>
          <w:sz w:val="32"/>
          <w:szCs w:val="32"/>
        </w:rPr>
        <w:t>二〇二五年六月</w:t>
      </w:r>
    </w:p>
    <w:p w14:paraId="7AA2F91B">
      <w:pPr>
        <w:spacing w:before="163"/>
        <w:ind w:firstLine="602"/>
        <w:jc w:val="center"/>
        <w:rPr>
          <w:b/>
          <w:sz w:val="30"/>
          <w:szCs w:val="30"/>
        </w:rPr>
        <w:sectPr>
          <w:headerReference r:id="rId7" w:type="first"/>
          <w:footerReference r:id="rId10" w:type="first"/>
          <w:headerReference r:id="rId5" w:type="default"/>
          <w:footerReference r:id="rId8" w:type="default"/>
          <w:headerReference r:id="rId6" w:type="even"/>
          <w:footerReference r:id="rId9" w:type="even"/>
          <w:pgSz w:w="11906" w:h="16838"/>
          <w:pgMar w:top="1440" w:right="1797" w:bottom="1440" w:left="1797" w:header="851" w:footer="992" w:gutter="0"/>
          <w:cols w:space="425" w:num="1"/>
          <w:titlePg/>
          <w:docGrid w:type="lines" w:linePitch="326" w:charSpace="0"/>
        </w:sectPr>
      </w:pPr>
    </w:p>
    <w:p w14:paraId="5BA79F67">
      <w:pPr>
        <w:adjustRightInd w:val="0"/>
        <w:snapToGrid w:val="0"/>
        <w:spacing w:before="0" w:beforeLines="0"/>
        <w:ind w:firstLine="0" w:firstLineChars="0"/>
        <w:jc w:val="center"/>
        <w:outlineLvl w:val="0"/>
        <w:rPr>
          <w:rFonts w:cs="Times New Roman"/>
          <w:b/>
          <w:bCs/>
          <w:kern w:val="2"/>
          <w:sz w:val="32"/>
          <w:szCs w:val="32"/>
          <w14:ligatures w14:val="standardContextual"/>
        </w:rPr>
      </w:pPr>
      <w:bookmarkStart w:id="2" w:name="_Toc12241"/>
      <w:bookmarkStart w:id="3" w:name="_Toc184373653"/>
      <w:bookmarkStart w:id="4" w:name="_Toc86099286"/>
      <w:r>
        <w:rPr>
          <w:rFonts w:cs="Times New Roman"/>
          <w:b/>
          <w:bCs/>
          <w:kern w:val="2"/>
          <w:sz w:val="32"/>
          <w:szCs w:val="32"/>
          <w14:ligatures w14:val="standardContextual"/>
        </w:rPr>
        <w:t>上市公司声明</w:t>
      </w:r>
      <w:bookmarkEnd w:id="2"/>
    </w:p>
    <w:p w14:paraId="1A209AD0">
      <w:pPr>
        <w:adjustRightInd w:val="0"/>
        <w:snapToGrid w:val="0"/>
        <w:spacing w:before="0" w:beforeLines="0"/>
        <w:ind w:firstLine="480"/>
        <w:jc w:val="both"/>
        <w:rPr>
          <w:rFonts w:cs="Times New Roman"/>
          <w:kern w:val="2"/>
          <w14:ligatures w14:val="standardContextual"/>
        </w:rPr>
      </w:pPr>
      <w:r>
        <w:rPr>
          <w:rFonts w:cs="Times New Roman"/>
          <w:kern w:val="2"/>
          <w14:ligatures w14:val="standardContextual"/>
        </w:rPr>
        <w:t>本公司及全体董事、监事、高级管理人员保证本预案内容及其摘要内容的真实、准确、完整，不存在虚假记载、误导性陈述或重大遗漏。如因提供的信息、出具的说明及确认存在虚假记载、误导性陈述或重大遗漏，给投资者造成损失的，将依法承担相应法律责任。</w:t>
      </w:r>
    </w:p>
    <w:p w14:paraId="1BD0BCF9">
      <w:pPr>
        <w:adjustRightInd w:val="0"/>
        <w:snapToGrid w:val="0"/>
        <w:spacing w:before="0" w:beforeLines="0"/>
        <w:ind w:firstLine="480"/>
        <w:jc w:val="both"/>
        <w:rPr>
          <w:rFonts w:cs="Times New Roman"/>
          <w:kern w:val="2"/>
          <w14:ligatures w14:val="standardContextual"/>
        </w:rPr>
      </w:pPr>
      <w:r>
        <w:rPr>
          <w:rFonts w:cs="Times New Roman"/>
          <w:kern w:val="2"/>
          <w14:ligatures w14:val="standardContextual"/>
        </w:rPr>
        <w:t>本公司控股股东、董事、监事、高级管理人员承诺：</w:t>
      </w:r>
      <w:r>
        <w:rPr>
          <w:rFonts w:hint="eastAsia" w:cs="Times New Roman"/>
        </w:rPr>
        <w:t>如本次交易所披露或提供的信息涉嫌虚假记载、误导性陈述或者重大遗漏，并被司法机关立案侦查或者被中国证监会立案调查的，在形成调查结论以前，不转让在上市公司拥有权益的股份，并于收到立案稽查通知的两个交易日内将暂停转让的书面申请和股票账户提交上市公司董事会，由董事会代本人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2F3CAD8C">
      <w:pPr>
        <w:adjustRightInd w:val="0"/>
        <w:snapToGrid w:val="0"/>
        <w:spacing w:before="0" w:beforeLines="0"/>
        <w:ind w:firstLine="480"/>
        <w:jc w:val="both"/>
        <w:rPr>
          <w:rFonts w:cs="Times New Roman"/>
          <w:kern w:val="2"/>
          <w14:ligatures w14:val="standardContextual"/>
        </w:rPr>
      </w:pPr>
      <w:r>
        <w:rPr>
          <w:rFonts w:cs="Times New Roman"/>
          <w:kern w:val="2"/>
          <w14:ligatures w14:val="standardContextual"/>
        </w:rPr>
        <w:t>截至本预案签署日，本次交易相关的审计、评估工作尚未完成，本预案及其摘要中涉及的标的公司相关数据尚未经过会计师事务所的审计、评估机构的评估。本公司全体董事、监事、高级管理人员保证本预案及其摘要所引用的相关数据的真实性和合理性。相关资产经审计的财务数据、经评估的资产评估结果将在本次交易的重组报告书中予以披露。</w:t>
      </w:r>
    </w:p>
    <w:p w14:paraId="623BC5AF">
      <w:pPr>
        <w:adjustRightInd w:val="0"/>
        <w:snapToGrid w:val="0"/>
        <w:spacing w:before="0" w:beforeLines="0"/>
        <w:ind w:firstLine="480"/>
        <w:jc w:val="both"/>
        <w:rPr>
          <w:rFonts w:cs="Times New Roman"/>
          <w:kern w:val="2"/>
          <w14:ligatures w14:val="standardContextual"/>
        </w:rPr>
      </w:pPr>
      <w:r>
        <w:rPr>
          <w:rFonts w:cs="Times New Roman"/>
          <w:kern w:val="2"/>
          <w14:ligatures w14:val="standardContextual"/>
        </w:rPr>
        <w:t>本预案及其摘要所述事项并不代表中国证监会、深圳证券交易所对该证券的投资价值或者投资者收益作出实质判断或者保证，也不表明中国证监会和证券交易所对重组预案的真实性、准确性、完整性作出保证。本预案及其摘要所述本次交易相关事项的生效和完成尚待本公司董事会再次审议通过、待取得股东会的批准及有权监管机构的批准、注册或同意。审批机关对于本次交易相关事项所做的任何决定或意见，均不表明其对本公司股票的价值或投资者的收益做出实质性判断或保证。</w:t>
      </w:r>
    </w:p>
    <w:p w14:paraId="06283909">
      <w:pPr>
        <w:adjustRightInd w:val="0"/>
        <w:snapToGrid w:val="0"/>
        <w:spacing w:before="0" w:beforeLines="0"/>
        <w:ind w:firstLine="480"/>
        <w:jc w:val="both"/>
        <w:rPr>
          <w:rFonts w:cs="Times New Roman"/>
          <w:kern w:val="2"/>
          <w14:ligatures w14:val="standardContextual"/>
        </w:rPr>
      </w:pPr>
      <w:r>
        <w:rPr>
          <w:rFonts w:cs="Times New Roman"/>
          <w:kern w:val="2"/>
          <w14:ligatures w14:val="standardContextual"/>
        </w:rPr>
        <w:t>请全体股东及其他公众投资者认真阅读有关本次交易的全部信息披露文件，做出谨慎的投资决策。本公司将根据本次交易进展情况，及时披露相关信息，提请股东及其他投资者注意。</w:t>
      </w:r>
    </w:p>
    <w:p w14:paraId="65A8F66E">
      <w:pPr>
        <w:adjustRightInd w:val="0"/>
        <w:snapToGrid w:val="0"/>
        <w:spacing w:before="0" w:beforeLines="0"/>
        <w:ind w:firstLine="480"/>
        <w:jc w:val="both"/>
        <w:rPr>
          <w:rFonts w:cs="Times New Roman"/>
          <w:kern w:val="2"/>
          <w14:ligatures w14:val="standardContextual"/>
        </w:rPr>
      </w:pPr>
      <w:r>
        <w:rPr>
          <w:rFonts w:cs="Times New Roman"/>
          <w:kern w:val="2"/>
          <w14:ligatures w14:val="standardContextual"/>
        </w:rPr>
        <w:t>本次交易完成后，本公司经营与收益变化由本公司自行负责；因本次交易引致的投资风险，由投资者自行负责。</w:t>
      </w:r>
    </w:p>
    <w:p w14:paraId="51A493E4">
      <w:pPr>
        <w:adjustRightInd w:val="0"/>
        <w:snapToGrid w:val="0"/>
        <w:spacing w:before="0" w:beforeLines="0"/>
        <w:ind w:firstLine="480"/>
        <w:jc w:val="both"/>
        <w:rPr>
          <w:rFonts w:cs="Times New Roman"/>
          <w:kern w:val="2"/>
          <w14:ligatures w14:val="standardContextual"/>
        </w:rPr>
      </w:pPr>
      <w:r>
        <w:rPr>
          <w:rFonts w:cs="Times New Roman"/>
          <w:kern w:val="2"/>
          <w14:ligatures w14:val="standardContextual"/>
        </w:rPr>
        <w:t>投资者在评价本次交易事项时，除本预案及其摘要内容以及同时披露的相关文件外，还应认真考虑本预案及其摘要披露的各项风险因素。投资者若对本预案存在任何疑问，应咨询自己的股票经纪人、律师、会计师或其他专业顾问。</w:t>
      </w:r>
    </w:p>
    <w:p w14:paraId="0294DCAF">
      <w:pPr>
        <w:widowControl/>
        <w:spacing w:before="0" w:beforeLines="0" w:line="240" w:lineRule="auto"/>
        <w:ind w:firstLine="0" w:firstLineChars="0"/>
        <w:rPr>
          <w:rFonts w:cs="Times New Roman"/>
          <w:kern w:val="2"/>
          <w14:ligatures w14:val="standardContextual"/>
        </w:rPr>
      </w:pPr>
      <w:r>
        <w:rPr>
          <w:rFonts w:cs="Times New Roman"/>
          <w:kern w:val="2"/>
          <w14:ligatures w14:val="standardContextual"/>
        </w:rPr>
        <w:br w:type="page"/>
      </w:r>
    </w:p>
    <w:p w14:paraId="21BB4D55">
      <w:pPr>
        <w:adjustRightInd w:val="0"/>
        <w:snapToGrid w:val="0"/>
        <w:spacing w:before="0" w:beforeLines="0" w:line="240" w:lineRule="auto"/>
        <w:ind w:firstLine="0" w:firstLineChars="0"/>
        <w:jc w:val="both"/>
        <w:rPr>
          <w:rFonts w:cs="Times New Roman"/>
          <w:kern w:val="2"/>
          <w:sz w:val="28"/>
          <w:szCs w:val="28"/>
          <w14:ligatures w14:val="standardContextual"/>
        </w:rPr>
      </w:pPr>
    </w:p>
    <w:p w14:paraId="710761C0">
      <w:pPr>
        <w:adjustRightInd w:val="0"/>
        <w:snapToGrid w:val="0"/>
        <w:spacing w:before="0" w:beforeLines="0"/>
        <w:ind w:firstLine="0" w:firstLineChars="0"/>
        <w:jc w:val="center"/>
        <w:outlineLvl w:val="0"/>
        <w:rPr>
          <w:rFonts w:cs="Times New Roman"/>
          <w:b/>
          <w:bCs/>
          <w:kern w:val="2"/>
          <w:sz w:val="32"/>
          <w:szCs w:val="32"/>
          <w14:ligatures w14:val="standardContextual"/>
        </w:rPr>
      </w:pPr>
      <w:bookmarkStart w:id="5" w:name="_Toc3240"/>
      <w:r>
        <w:rPr>
          <w:rFonts w:cs="Times New Roman"/>
          <w:b/>
          <w:bCs/>
          <w:kern w:val="2"/>
          <w:sz w:val="32"/>
          <w:szCs w:val="32"/>
          <w14:ligatures w14:val="standardContextual"/>
        </w:rPr>
        <w:t>交易对方声明</w:t>
      </w:r>
      <w:bookmarkEnd w:id="5"/>
    </w:p>
    <w:p w14:paraId="531B1640">
      <w:pPr>
        <w:adjustRightInd w:val="0"/>
        <w:snapToGrid w:val="0"/>
        <w:spacing w:before="0" w:beforeLines="0"/>
        <w:ind w:firstLine="480"/>
        <w:jc w:val="both"/>
        <w:rPr>
          <w:rFonts w:cs="Times New Roman"/>
          <w:kern w:val="2"/>
          <w14:ligatures w14:val="standardContextual"/>
        </w:rPr>
      </w:pPr>
      <w:bookmarkStart w:id="6" w:name="OLE_LINK3"/>
      <w:r>
        <w:rPr>
          <w:rFonts w:cs="Times New Roman"/>
          <w:kern w:val="2"/>
          <w14:ligatures w14:val="standardContextual"/>
        </w:rPr>
        <w:t>本次交易的交易对方已出具承诺函，声明和承诺：</w:t>
      </w:r>
    </w:p>
    <w:p w14:paraId="7F4D1000">
      <w:pPr>
        <w:adjustRightInd w:val="0"/>
        <w:snapToGrid w:val="0"/>
        <w:spacing w:before="0" w:beforeLines="0"/>
        <w:ind w:firstLine="480"/>
        <w:jc w:val="both"/>
        <w:rPr>
          <w:rFonts w:cs="Times New Roman"/>
          <w:kern w:val="2"/>
          <w14:ligatures w14:val="standardContextual"/>
        </w:rPr>
      </w:pPr>
      <w:r>
        <w:rPr>
          <w:rFonts w:ascii="宋体" w:hAnsi="宋体" w:cs="Times New Roman"/>
          <w:kern w:val="2"/>
          <w14:ligatures w14:val="standardContextual"/>
        </w:rPr>
        <w:t>“</w:t>
      </w:r>
      <w:r>
        <w:rPr>
          <w:rFonts w:cs="Times New Roman"/>
          <w:kern w:val="2"/>
          <w14:ligatures w14:val="standardContextual"/>
        </w:rPr>
        <w:t>1、本人/本企业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6EEB9A6E">
      <w:pPr>
        <w:adjustRightInd w:val="0"/>
        <w:snapToGrid w:val="0"/>
        <w:spacing w:before="0" w:beforeLines="0"/>
        <w:ind w:firstLine="480"/>
        <w:jc w:val="both"/>
        <w:rPr>
          <w:rFonts w:cs="Times New Roman"/>
          <w:kern w:val="2"/>
          <w14:ligatures w14:val="standardContextual"/>
        </w:rPr>
      </w:pPr>
      <w:r>
        <w:rPr>
          <w:rFonts w:cs="Times New Roman"/>
          <w:kern w:val="2"/>
          <w14:ligatures w14:val="standardContextual"/>
        </w:rPr>
        <w:t>2、本人/本企业为本次交易所出具的说明、声明、承诺以及所提供或披露的资料及信息均真实、准确、完整，不存在任何虚假记载、误导性陈述或者重大遗漏。</w:t>
      </w:r>
    </w:p>
    <w:p w14:paraId="370B857B">
      <w:pPr>
        <w:adjustRightInd w:val="0"/>
        <w:snapToGrid w:val="0"/>
        <w:spacing w:before="0" w:beforeLines="0"/>
        <w:ind w:firstLine="480"/>
        <w:jc w:val="both"/>
        <w:rPr>
          <w:rFonts w:cs="Times New Roman"/>
          <w:kern w:val="2"/>
          <w14:ligatures w14:val="standardContextual"/>
        </w:rPr>
      </w:pPr>
      <w:r>
        <w:rPr>
          <w:rFonts w:cs="Times New Roman"/>
          <w:kern w:val="2"/>
          <w14:ligatures w14:val="standardContextual"/>
        </w:rPr>
        <w:t>3、在本次交易期间，本人/本企业保证按照相关法律法规、中国证监会和深圳证券交易所的有关规定，及时向上市公司提供、披露有关本次交易的信息，并保证该等信息的真实性、准确性和完整性。</w:t>
      </w:r>
    </w:p>
    <w:p w14:paraId="3A2FEF5F">
      <w:pPr>
        <w:adjustRightInd w:val="0"/>
        <w:snapToGrid w:val="0"/>
        <w:spacing w:before="0" w:beforeLines="0"/>
        <w:ind w:firstLine="480"/>
        <w:jc w:val="both"/>
        <w:rPr>
          <w:rFonts w:ascii="Times New Roman Regular" w:hAnsi="Times New Roman Regular" w:cs="Times New Roman Regular"/>
          <w:kern w:val="2"/>
        </w:rPr>
      </w:pPr>
      <w:r>
        <w:rPr>
          <w:rFonts w:cs="Times New Roman"/>
          <w:kern w:val="2"/>
          <w14:ligatures w14:val="standardContextual"/>
        </w:rPr>
        <w:t>4、</w:t>
      </w:r>
      <w:r>
        <w:rPr>
          <w:rFonts w:hint="eastAsia" w:ascii="宋体" w:hAnsi="宋体" w:cs="Times New Roman"/>
          <w:kern w:val="2"/>
          <w14:ligatures w14:val="standardContextual"/>
        </w:rPr>
        <w:t>如因本人/本企业提供信息存在虚假记载、误导性陈述或重大遗漏，给上市公司或投资者造成损失的，本人/本企业将依法承担赔偿责任。如本次交易所披露或提供的信息涉嫌虚假记载、误导性陈述或者重大遗漏，被司法机关立案侦查或者被中国证监会立案调查的，在形成调查结论以前，不转让在该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本企业的身份信息和账户信息并申请锁定；董事会未向证券交易所和证券登记结算机构报送本人/本企业的身份信息和账户信息的，授权证券交易所和证券登记结算机构直接锁定相关股份。如调查结论发现存在违法违规情节，本人/本企业承诺锁定股份自愿用于相关投资者赔偿安排</w:t>
      </w:r>
      <w:r>
        <w:rPr>
          <w:rFonts w:ascii="Times New Roman Regular" w:hAnsi="Times New Roman Regular" w:cs="Times New Roman Regular"/>
          <w:kern w:val="2"/>
        </w:rPr>
        <w:t>”</w:t>
      </w:r>
      <w:r>
        <w:rPr>
          <w:rFonts w:hint="eastAsia" w:ascii="Times New Roman Regular" w:hAnsi="Times New Roman Regular" w:cs="Times New Roman Regular"/>
          <w:kern w:val="2"/>
        </w:rPr>
        <w:t>。</w:t>
      </w:r>
      <w:bookmarkEnd w:id="6"/>
    </w:p>
    <w:p w14:paraId="3451FB62">
      <w:pPr>
        <w:pStyle w:val="817"/>
        <w:spacing w:before="120" w:after="120"/>
        <w:rPr>
          <w:rFonts w:eastAsia="宋体"/>
        </w:rPr>
      </w:pPr>
      <w:bookmarkStart w:id="7" w:name="_Toc13859"/>
      <w:r>
        <w:rPr>
          <w:rFonts w:eastAsia="宋体"/>
        </w:rPr>
        <w:t>目录</w:t>
      </w:r>
      <w:bookmarkEnd w:id="7"/>
    </w:p>
    <w:p w14:paraId="75E9BF29">
      <w:pPr>
        <w:pStyle w:val="52"/>
        <w:tabs>
          <w:tab w:val="right" w:leader="dot" w:pos="8312"/>
          <w:tab w:val="clear" w:pos="8296"/>
        </w:tabs>
        <w:rPr>
          <w:rFonts w:cs="Times New Roman"/>
        </w:rPr>
      </w:pPr>
      <w:r>
        <w:rPr>
          <w:rFonts w:cs="Times New Roman"/>
          <w:kern w:val="2"/>
          <w14:ligatures w14:val="standardContextual"/>
        </w:rPr>
        <w:fldChar w:fldCharType="begin"/>
      </w:r>
      <w:r>
        <w:rPr>
          <w:rFonts w:cs="Times New Roman"/>
          <w:kern w:val="2"/>
          <w14:ligatures w14:val="standardContextual"/>
        </w:rPr>
        <w:instrText xml:space="preserve"> TOC \o "1-2" \h \z \u </w:instrText>
      </w:r>
      <w:r>
        <w:rPr>
          <w:rFonts w:cs="Times New Roman"/>
          <w:kern w:val="2"/>
          <w14:ligatures w14:val="standardContextual"/>
        </w:rPr>
        <w:fldChar w:fldCharType="separate"/>
      </w:r>
      <w:r>
        <w:fldChar w:fldCharType="begin"/>
      </w:r>
      <w:r>
        <w:instrText xml:space="preserve"> HYPERLINK \l "_Toc12241" </w:instrText>
      </w:r>
      <w:r>
        <w:fldChar w:fldCharType="separate"/>
      </w:r>
      <w:r>
        <w:rPr>
          <w:rFonts w:cs="Times New Roman"/>
          <w:kern w:val="2"/>
          <w:szCs w:val="32"/>
          <w14:ligatures w14:val="standardContextual"/>
        </w:rPr>
        <w:t>上市公司声明</w:t>
      </w:r>
      <w:r>
        <w:rPr>
          <w:rFonts w:cs="Times New Roman"/>
        </w:rPr>
        <w:tab/>
      </w:r>
      <w:r>
        <w:rPr>
          <w:rFonts w:cs="Times New Roman"/>
        </w:rPr>
        <w:fldChar w:fldCharType="begin"/>
      </w:r>
      <w:r>
        <w:rPr>
          <w:rFonts w:cs="Times New Roman"/>
        </w:rPr>
        <w:instrText xml:space="preserve"> PAGEREF _Toc12241 \h </w:instrText>
      </w:r>
      <w:r>
        <w:rPr>
          <w:rFonts w:cs="Times New Roman"/>
        </w:rPr>
        <w:fldChar w:fldCharType="separate"/>
      </w:r>
      <w:r>
        <w:rPr>
          <w:rFonts w:cs="Times New Roman"/>
        </w:rPr>
        <w:t>2</w:t>
      </w:r>
      <w:r>
        <w:rPr>
          <w:rFonts w:cs="Times New Roman"/>
        </w:rPr>
        <w:fldChar w:fldCharType="end"/>
      </w:r>
      <w:r>
        <w:rPr>
          <w:rFonts w:cs="Times New Roman"/>
        </w:rPr>
        <w:fldChar w:fldCharType="end"/>
      </w:r>
    </w:p>
    <w:p w14:paraId="10656BEE">
      <w:pPr>
        <w:pStyle w:val="52"/>
        <w:tabs>
          <w:tab w:val="right" w:leader="dot" w:pos="8312"/>
          <w:tab w:val="clear" w:pos="8296"/>
        </w:tabs>
        <w:rPr>
          <w:rFonts w:cs="Times New Roman"/>
        </w:rPr>
      </w:pPr>
      <w:r>
        <w:fldChar w:fldCharType="begin"/>
      </w:r>
      <w:r>
        <w:instrText xml:space="preserve"> HYPERLINK \l "_Toc3240" </w:instrText>
      </w:r>
      <w:r>
        <w:fldChar w:fldCharType="separate"/>
      </w:r>
      <w:r>
        <w:rPr>
          <w:rFonts w:cs="Times New Roman"/>
          <w:kern w:val="2"/>
          <w:szCs w:val="32"/>
          <w14:ligatures w14:val="standardContextual"/>
        </w:rPr>
        <w:t>交易对方声明</w:t>
      </w:r>
      <w:r>
        <w:rPr>
          <w:rFonts w:cs="Times New Roman"/>
        </w:rPr>
        <w:tab/>
      </w:r>
      <w:r>
        <w:rPr>
          <w:rFonts w:cs="Times New Roman"/>
        </w:rPr>
        <w:fldChar w:fldCharType="begin"/>
      </w:r>
      <w:r>
        <w:rPr>
          <w:rFonts w:cs="Times New Roman"/>
        </w:rPr>
        <w:instrText xml:space="preserve"> PAGEREF _Toc3240 \h </w:instrText>
      </w:r>
      <w:r>
        <w:rPr>
          <w:rFonts w:cs="Times New Roman"/>
        </w:rPr>
        <w:fldChar w:fldCharType="separate"/>
      </w:r>
      <w:r>
        <w:rPr>
          <w:rFonts w:cs="Times New Roman"/>
        </w:rPr>
        <w:t>4</w:t>
      </w:r>
      <w:r>
        <w:rPr>
          <w:rFonts w:cs="Times New Roman"/>
        </w:rPr>
        <w:fldChar w:fldCharType="end"/>
      </w:r>
      <w:r>
        <w:rPr>
          <w:rFonts w:cs="Times New Roman"/>
        </w:rPr>
        <w:fldChar w:fldCharType="end"/>
      </w:r>
    </w:p>
    <w:p w14:paraId="25CE161B">
      <w:pPr>
        <w:pStyle w:val="52"/>
        <w:tabs>
          <w:tab w:val="right" w:leader="dot" w:pos="8312"/>
          <w:tab w:val="clear" w:pos="8296"/>
        </w:tabs>
        <w:rPr>
          <w:rFonts w:cs="Times New Roman"/>
        </w:rPr>
      </w:pPr>
      <w:r>
        <w:fldChar w:fldCharType="begin"/>
      </w:r>
      <w:r>
        <w:instrText xml:space="preserve"> HYPERLINK \l "_Toc13859" </w:instrText>
      </w:r>
      <w:r>
        <w:fldChar w:fldCharType="separate"/>
      </w:r>
      <w:r>
        <w:rPr>
          <w:rFonts w:cs="Times New Roman"/>
        </w:rPr>
        <w:t>目录</w:t>
      </w:r>
      <w:r>
        <w:rPr>
          <w:rFonts w:cs="Times New Roman"/>
        </w:rPr>
        <w:tab/>
      </w:r>
      <w:r>
        <w:rPr>
          <w:rFonts w:cs="Times New Roman"/>
        </w:rPr>
        <w:fldChar w:fldCharType="begin"/>
      </w:r>
      <w:r>
        <w:rPr>
          <w:rFonts w:cs="Times New Roman"/>
        </w:rPr>
        <w:instrText xml:space="preserve"> PAGEREF _Toc13859 \h </w:instrText>
      </w:r>
      <w:r>
        <w:rPr>
          <w:rFonts w:cs="Times New Roman"/>
        </w:rPr>
        <w:fldChar w:fldCharType="separate"/>
      </w:r>
      <w:r>
        <w:rPr>
          <w:rFonts w:cs="Times New Roman"/>
        </w:rPr>
        <w:t>5</w:t>
      </w:r>
      <w:r>
        <w:rPr>
          <w:rFonts w:cs="Times New Roman"/>
        </w:rPr>
        <w:fldChar w:fldCharType="end"/>
      </w:r>
      <w:r>
        <w:rPr>
          <w:rFonts w:cs="Times New Roman"/>
        </w:rPr>
        <w:fldChar w:fldCharType="end"/>
      </w:r>
    </w:p>
    <w:p w14:paraId="04A7CB5C">
      <w:pPr>
        <w:pStyle w:val="52"/>
        <w:tabs>
          <w:tab w:val="right" w:leader="dot" w:pos="8312"/>
          <w:tab w:val="clear" w:pos="8296"/>
        </w:tabs>
        <w:rPr>
          <w:rFonts w:cs="Times New Roman"/>
        </w:rPr>
      </w:pPr>
      <w:r>
        <w:fldChar w:fldCharType="begin"/>
      </w:r>
      <w:r>
        <w:instrText xml:space="preserve"> HYPERLINK \l "_Toc7773" </w:instrText>
      </w:r>
      <w:r>
        <w:fldChar w:fldCharType="separate"/>
      </w:r>
      <w:r>
        <w:rPr>
          <w:rFonts w:cs="Times New Roman"/>
          <w:kern w:val="2"/>
          <w:szCs w:val="28"/>
          <w:lang w:val="zh-CN"/>
        </w:rPr>
        <w:t>释义</w:t>
      </w:r>
      <w:r>
        <w:rPr>
          <w:rFonts w:cs="Times New Roman"/>
        </w:rPr>
        <w:tab/>
      </w:r>
      <w:r>
        <w:rPr>
          <w:rFonts w:cs="Times New Roman"/>
        </w:rPr>
        <w:fldChar w:fldCharType="begin"/>
      </w:r>
      <w:r>
        <w:rPr>
          <w:rFonts w:cs="Times New Roman"/>
        </w:rPr>
        <w:instrText xml:space="preserve"> PAGEREF _Toc7773 \h </w:instrText>
      </w:r>
      <w:r>
        <w:rPr>
          <w:rFonts w:cs="Times New Roman"/>
        </w:rPr>
        <w:fldChar w:fldCharType="separate"/>
      </w:r>
      <w:r>
        <w:rPr>
          <w:rFonts w:cs="Times New Roman"/>
        </w:rPr>
        <w:t>8</w:t>
      </w:r>
      <w:r>
        <w:rPr>
          <w:rFonts w:cs="Times New Roman"/>
        </w:rPr>
        <w:fldChar w:fldCharType="end"/>
      </w:r>
      <w:r>
        <w:rPr>
          <w:rFonts w:cs="Times New Roman"/>
        </w:rPr>
        <w:fldChar w:fldCharType="end"/>
      </w:r>
    </w:p>
    <w:p w14:paraId="6355EEE7">
      <w:pPr>
        <w:pStyle w:val="52"/>
        <w:tabs>
          <w:tab w:val="right" w:leader="dot" w:pos="8312"/>
          <w:tab w:val="clear" w:pos="8296"/>
        </w:tabs>
        <w:rPr>
          <w:rFonts w:cs="Times New Roman"/>
        </w:rPr>
      </w:pPr>
      <w:r>
        <w:fldChar w:fldCharType="begin"/>
      </w:r>
      <w:r>
        <w:instrText xml:space="preserve"> HYPERLINK \l "_Toc2461" </w:instrText>
      </w:r>
      <w:r>
        <w:fldChar w:fldCharType="separate"/>
      </w:r>
      <w:r>
        <w:rPr>
          <w:rFonts w:cs="Times New Roman"/>
        </w:rPr>
        <w:t>重大事项提示</w:t>
      </w:r>
      <w:r>
        <w:rPr>
          <w:rFonts w:cs="Times New Roman"/>
        </w:rPr>
        <w:tab/>
      </w:r>
      <w:r>
        <w:rPr>
          <w:rFonts w:cs="Times New Roman"/>
        </w:rPr>
        <w:fldChar w:fldCharType="begin"/>
      </w:r>
      <w:r>
        <w:rPr>
          <w:rFonts w:cs="Times New Roman"/>
        </w:rPr>
        <w:instrText xml:space="preserve"> PAGEREF _Toc2461 \h </w:instrText>
      </w:r>
      <w:r>
        <w:rPr>
          <w:rFonts w:cs="Times New Roman"/>
        </w:rPr>
        <w:fldChar w:fldCharType="separate"/>
      </w:r>
      <w:r>
        <w:rPr>
          <w:rFonts w:cs="Times New Roman"/>
        </w:rPr>
        <w:t>11</w:t>
      </w:r>
      <w:r>
        <w:rPr>
          <w:rFonts w:cs="Times New Roman"/>
        </w:rPr>
        <w:fldChar w:fldCharType="end"/>
      </w:r>
      <w:r>
        <w:rPr>
          <w:rFonts w:cs="Times New Roman"/>
        </w:rPr>
        <w:fldChar w:fldCharType="end"/>
      </w:r>
    </w:p>
    <w:p w14:paraId="450A8D41">
      <w:pPr>
        <w:pStyle w:val="64"/>
        <w:tabs>
          <w:tab w:val="right" w:leader="dot" w:pos="8312"/>
          <w:tab w:val="clear" w:pos="8296"/>
        </w:tabs>
        <w:rPr>
          <w:rFonts w:cs="Times New Roman"/>
        </w:rPr>
      </w:pPr>
      <w:r>
        <w:fldChar w:fldCharType="begin"/>
      </w:r>
      <w:r>
        <w:instrText xml:space="preserve"> HYPERLINK \l "_Toc9799" </w:instrText>
      </w:r>
      <w:r>
        <w:fldChar w:fldCharType="separate"/>
      </w:r>
      <w:r>
        <w:rPr>
          <w:rFonts w:cs="Times New Roman"/>
        </w:rPr>
        <w:t>一、本次交易方案概述</w:t>
      </w:r>
      <w:r>
        <w:rPr>
          <w:rFonts w:cs="Times New Roman"/>
        </w:rPr>
        <w:tab/>
      </w:r>
      <w:r>
        <w:rPr>
          <w:rFonts w:cs="Times New Roman"/>
        </w:rPr>
        <w:fldChar w:fldCharType="begin"/>
      </w:r>
      <w:r>
        <w:rPr>
          <w:rFonts w:cs="Times New Roman"/>
        </w:rPr>
        <w:instrText xml:space="preserve"> PAGEREF _Toc9799 \h </w:instrText>
      </w:r>
      <w:r>
        <w:rPr>
          <w:rFonts w:cs="Times New Roman"/>
        </w:rPr>
        <w:fldChar w:fldCharType="separate"/>
      </w:r>
      <w:r>
        <w:rPr>
          <w:rFonts w:cs="Times New Roman"/>
        </w:rPr>
        <w:t>11</w:t>
      </w:r>
      <w:r>
        <w:rPr>
          <w:rFonts w:cs="Times New Roman"/>
        </w:rPr>
        <w:fldChar w:fldCharType="end"/>
      </w:r>
      <w:r>
        <w:rPr>
          <w:rFonts w:cs="Times New Roman"/>
        </w:rPr>
        <w:fldChar w:fldCharType="end"/>
      </w:r>
    </w:p>
    <w:p w14:paraId="56E62BAB">
      <w:pPr>
        <w:pStyle w:val="64"/>
        <w:tabs>
          <w:tab w:val="right" w:leader="dot" w:pos="8312"/>
          <w:tab w:val="clear" w:pos="8296"/>
        </w:tabs>
        <w:rPr>
          <w:rFonts w:cs="Times New Roman"/>
        </w:rPr>
      </w:pPr>
      <w:r>
        <w:fldChar w:fldCharType="begin"/>
      </w:r>
      <w:r>
        <w:instrText xml:space="preserve"> HYPERLINK \l "_Toc5757" </w:instrText>
      </w:r>
      <w:r>
        <w:fldChar w:fldCharType="separate"/>
      </w:r>
      <w:r>
        <w:rPr>
          <w:rFonts w:cs="Times New Roman"/>
        </w:rPr>
        <w:t>二、交易标的评估作价情况</w:t>
      </w:r>
      <w:r>
        <w:rPr>
          <w:rFonts w:cs="Times New Roman"/>
        </w:rPr>
        <w:tab/>
      </w:r>
      <w:r>
        <w:rPr>
          <w:rFonts w:cs="Times New Roman"/>
        </w:rPr>
        <w:fldChar w:fldCharType="begin"/>
      </w:r>
      <w:r>
        <w:rPr>
          <w:rFonts w:cs="Times New Roman"/>
        </w:rPr>
        <w:instrText xml:space="preserve"> PAGEREF _Toc5757 \h </w:instrText>
      </w:r>
      <w:r>
        <w:rPr>
          <w:rFonts w:cs="Times New Roman"/>
        </w:rPr>
        <w:fldChar w:fldCharType="separate"/>
      </w:r>
      <w:r>
        <w:rPr>
          <w:rFonts w:cs="Times New Roman"/>
        </w:rPr>
        <w:t>12</w:t>
      </w:r>
      <w:r>
        <w:rPr>
          <w:rFonts w:cs="Times New Roman"/>
        </w:rPr>
        <w:fldChar w:fldCharType="end"/>
      </w:r>
      <w:r>
        <w:rPr>
          <w:rFonts w:cs="Times New Roman"/>
        </w:rPr>
        <w:fldChar w:fldCharType="end"/>
      </w:r>
    </w:p>
    <w:p w14:paraId="78E120A8">
      <w:pPr>
        <w:pStyle w:val="64"/>
        <w:tabs>
          <w:tab w:val="right" w:leader="dot" w:pos="8312"/>
          <w:tab w:val="clear" w:pos="8296"/>
        </w:tabs>
        <w:rPr>
          <w:rFonts w:cs="Times New Roman"/>
        </w:rPr>
      </w:pPr>
      <w:r>
        <w:fldChar w:fldCharType="begin"/>
      </w:r>
      <w:r>
        <w:instrText xml:space="preserve"> HYPERLINK \l "_Toc3825" </w:instrText>
      </w:r>
      <w:r>
        <w:fldChar w:fldCharType="separate"/>
      </w:r>
      <w:r>
        <w:rPr>
          <w:rFonts w:cs="Times New Roman"/>
        </w:rPr>
        <w:t>三、本次交易的性质</w:t>
      </w:r>
      <w:r>
        <w:rPr>
          <w:rFonts w:cs="Times New Roman"/>
        </w:rPr>
        <w:tab/>
      </w:r>
      <w:r>
        <w:rPr>
          <w:rFonts w:cs="Times New Roman"/>
        </w:rPr>
        <w:fldChar w:fldCharType="begin"/>
      </w:r>
      <w:r>
        <w:rPr>
          <w:rFonts w:cs="Times New Roman"/>
        </w:rPr>
        <w:instrText xml:space="preserve"> PAGEREF _Toc3825 \h </w:instrText>
      </w:r>
      <w:r>
        <w:rPr>
          <w:rFonts w:cs="Times New Roman"/>
        </w:rPr>
        <w:fldChar w:fldCharType="separate"/>
      </w:r>
      <w:r>
        <w:rPr>
          <w:rFonts w:cs="Times New Roman"/>
        </w:rPr>
        <w:t>12</w:t>
      </w:r>
      <w:r>
        <w:rPr>
          <w:rFonts w:cs="Times New Roman"/>
        </w:rPr>
        <w:fldChar w:fldCharType="end"/>
      </w:r>
      <w:r>
        <w:rPr>
          <w:rFonts w:cs="Times New Roman"/>
        </w:rPr>
        <w:fldChar w:fldCharType="end"/>
      </w:r>
    </w:p>
    <w:p w14:paraId="5B516D05">
      <w:pPr>
        <w:pStyle w:val="64"/>
        <w:tabs>
          <w:tab w:val="right" w:leader="dot" w:pos="8312"/>
          <w:tab w:val="clear" w:pos="8296"/>
        </w:tabs>
        <w:rPr>
          <w:rFonts w:cs="Times New Roman"/>
        </w:rPr>
      </w:pPr>
      <w:r>
        <w:fldChar w:fldCharType="begin"/>
      </w:r>
      <w:r>
        <w:instrText xml:space="preserve"> HYPERLINK \l "_Toc14144" </w:instrText>
      </w:r>
      <w:r>
        <w:fldChar w:fldCharType="separate"/>
      </w:r>
      <w:r>
        <w:rPr>
          <w:rFonts w:cs="Times New Roman"/>
        </w:rPr>
        <w:t>四、业绩补偿及承诺安排</w:t>
      </w:r>
      <w:r>
        <w:rPr>
          <w:rFonts w:cs="Times New Roman"/>
        </w:rPr>
        <w:tab/>
      </w:r>
      <w:r>
        <w:rPr>
          <w:rFonts w:cs="Times New Roman"/>
        </w:rPr>
        <w:fldChar w:fldCharType="begin"/>
      </w:r>
      <w:r>
        <w:rPr>
          <w:rFonts w:cs="Times New Roman"/>
        </w:rPr>
        <w:instrText xml:space="preserve"> PAGEREF _Toc14144 \h </w:instrText>
      </w:r>
      <w:r>
        <w:rPr>
          <w:rFonts w:cs="Times New Roman"/>
        </w:rPr>
        <w:fldChar w:fldCharType="separate"/>
      </w:r>
      <w:r>
        <w:rPr>
          <w:rFonts w:cs="Times New Roman"/>
        </w:rPr>
        <w:t>13</w:t>
      </w:r>
      <w:r>
        <w:rPr>
          <w:rFonts w:cs="Times New Roman"/>
        </w:rPr>
        <w:fldChar w:fldCharType="end"/>
      </w:r>
      <w:r>
        <w:rPr>
          <w:rFonts w:cs="Times New Roman"/>
        </w:rPr>
        <w:fldChar w:fldCharType="end"/>
      </w:r>
    </w:p>
    <w:p w14:paraId="202ECD46">
      <w:pPr>
        <w:pStyle w:val="64"/>
        <w:tabs>
          <w:tab w:val="right" w:leader="dot" w:pos="8312"/>
          <w:tab w:val="clear" w:pos="8296"/>
        </w:tabs>
        <w:rPr>
          <w:rFonts w:cs="Times New Roman"/>
        </w:rPr>
      </w:pPr>
      <w:r>
        <w:fldChar w:fldCharType="begin"/>
      </w:r>
      <w:r>
        <w:instrText xml:space="preserve"> HYPERLINK \l "_Toc638" </w:instrText>
      </w:r>
      <w:r>
        <w:fldChar w:fldCharType="separate"/>
      </w:r>
      <w:r>
        <w:rPr>
          <w:rFonts w:cs="Times New Roman"/>
        </w:rPr>
        <w:t>五、本次交易对上市公司的影响</w:t>
      </w:r>
      <w:r>
        <w:rPr>
          <w:rFonts w:cs="Times New Roman"/>
        </w:rPr>
        <w:tab/>
      </w:r>
      <w:r>
        <w:rPr>
          <w:rFonts w:cs="Times New Roman"/>
        </w:rPr>
        <w:fldChar w:fldCharType="begin"/>
      </w:r>
      <w:r>
        <w:rPr>
          <w:rFonts w:cs="Times New Roman"/>
        </w:rPr>
        <w:instrText xml:space="preserve"> PAGEREF _Toc638 \h </w:instrText>
      </w:r>
      <w:r>
        <w:rPr>
          <w:rFonts w:cs="Times New Roman"/>
        </w:rPr>
        <w:fldChar w:fldCharType="separate"/>
      </w:r>
      <w:r>
        <w:rPr>
          <w:rFonts w:cs="Times New Roman"/>
        </w:rPr>
        <w:t>13</w:t>
      </w:r>
      <w:r>
        <w:rPr>
          <w:rFonts w:cs="Times New Roman"/>
        </w:rPr>
        <w:fldChar w:fldCharType="end"/>
      </w:r>
      <w:r>
        <w:rPr>
          <w:rFonts w:cs="Times New Roman"/>
        </w:rPr>
        <w:fldChar w:fldCharType="end"/>
      </w:r>
    </w:p>
    <w:p w14:paraId="086C1A13">
      <w:pPr>
        <w:pStyle w:val="64"/>
        <w:tabs>
          <w:tab w:val="right" w:leader="dot" w:pos="8312"/>
          <w:tab w:val="clear" w:pos="8296"/>
        </w:tabs>
        <w:rPr>
          <w:rFonts w:cs="Times New Roman"/>
        </w:rPr>
      </w:pPr>
      <w:r>
        <w:fldChar w:fldCharType="begin"/>
      </w:r>
      <w:r>
        <w:instrText xml:space="preserve"> HYPERLINK \l "_Toc10422" </w:instrText>
      </w:r>
      <w:r>
        <w:fldChar w:fldCharType="separate"/>
      </w:r>
      <w:r>
        <w:rPr>
          <w:rFonts w:cs="Times New Roman"/>
        </w:rPr>
        <w:t>六、本次交易已履行和尚需履行的批准程序</w:t>
      </w:r>
      <w:r>
        <w:rPr>
          <w:rFonts w:cs="Times New Roman"/>
        </w:rPr>
        <w:tab/>
      </w:r>
      <w:r>
        <w:rPr>
          <w:rFonts w:cs="Times New Roman"/>
        </w:rPr>
        <w:fldChar w:fldCharType="begin"/>
      </w:r>
      <w:r>
        <w:rPr>
          <w:rFonts w:cs="Times New Roman"/>
        </w:rPr>
        <w:instrText xml:space="preserve"> PAGEREF _Toc10422 \h </w:instrText>
      </w:r>
      <w:r>
        <w:rPr>
          <w:rFonts w:cs="Times New Roman"/>
        </w:rPr>
        <w:fldChar w:fldCharType="separate"/>
      </w:r>
      <w:r>
        <w:rPr>
          <w:rFonts w:cs="Times New Roman"/>
        </w:rPr>
        <w:t>14</w:t>
      </w:r>
      <w:r>
        <w:rPr>
          <w:rFonts w:cs="Times New Roman"/>
        </w:rPr>
        <w:fldChar w:fldCharType="end"/>
      </w:r>
      <w:r>
        <w:rPr>
          <w:rFonts w:cs="Times New Roman"/>
        </w:rPr>
        <w:fldChar w:fldCharType="end"/>
      </w:r>
    </w:p>
    <w:p w14:paraId="2746FDC7">
      <w:pPr>
        <w:pStyle w:val="64"/>
        <w:tabs>
          <w:tab w:val="right" w:leader="dot" w:pos="8312"/>
          <w:tab w:val="clear" w:pos="8296"/>
        </w:tabs>
        <w:rPr>
          <w:rFonts w:cs="Times New Roman"/>
        </w:rPr>
      </w:pPr>
      <w:r>
        <w:fldChar w:fldCharType="begin"/>
      </w:r>
      <w:r>
        <w:instrText xml:space="preserve"> HYPERLINK \l "_Toc24810" </w:instrText>
      </w:r>
      <w:r>
        <w:fldChar w:fldCharType="separate"/>
      </w:r>
      <w:r>
        <w:rPr>
          <w:rFonts w:cs="Times New Roman"/>
        </w:rPr>
        <w:t>七、上市公司控股股东、实际控制人对本次重组的原则性意见与上市公司控股股东、实际控制人、董事、监事、高级管理人员自本次重组预案公告之日起至实施完毕期间的股份减持计划</w:t>
      </w:r>
      <w:r>
        <w:rPr>
          <w:rFonts w:cs="Times New Roman"/>
        </w:rPr>
        <w:tab/>
      </w:r>
      <w:r>
        <w:rPr>
          <w:rFonts w:cs="Times New Roman"/>
        </w:rPr>
        <w:fldChar w:fldCharType="begin"/>
      </w:r>
      <w:r>
        <w:rPr>
          <w:rFonts w:cs="Times New Roman"/>
        </w:rPr>
        <w:instrText xml:space="preserve"> PAGEREF _Toc24810 \h </w:instrText>
      </w:r>
      <w:r>
        <w:rPr>
          <w:rFonts w:cs="Times New Roman"/>
        </w:rPr>
        <w:fldChar w:fldCharType="separate"/>
      </w:r>
      <w:r>
        <w:rPr>
          <w:rFonts w:cs="Times New Roman"/>
        </w:rPr>
        <w:t>15</w:t>
      </w:r>
      <w:r>
        <w:rPr>
          <w:rFonts w:cs="Times New Roman"/>
        </w:rPr>
        <w:fldChar w:fldCharType="end"/>
      </w:r>
      <w:r>
        <w:rPr>
          <w:rFonts w:cs="Times New Roman"/>
        </w:rPr>
        <w:fldChar w:fldCharType="end"/>
      </w:r>
    </w:p>
    <w:p w14:paraId="05B5799A">
      <w:pPr>
        <w:pStyle w:val="64"/>
        <w:tabs>
          <w:tab w:val="right" w:leader="dot" w:pos="8312"/>
          <w:tab w:val="clear" w:pos="8296"/>
        </w:tabs>
        <w:rPr>
          <w:rFonts w:cs="Times New Roman"/>
        </w:rPr>
      </w:pPr>
      <w:r>
        <w:fldChar w:fldCharType="begin"/>
      </w:r>
      <w:r>
        <w:instrText xml:space="preserve"> HYPERLINK \l "_Toc12197" </w:instrText>
      </w:r>
      <w:r>
        <w:fldChar w:fldCharType="separate"/>
      </w:r>
      <w:r>
        <w:rPr>
          <w:rFonts w:cs="Times New Roman"/>
        </w:rPr>
        <w:t>八、本次重组对中小投资者权益保护的安排</w:t>
      </w:r>
      <w:r>
        <w:rPr>
          <w:rFonts w:cs="Times New Roman"/>
        </w:rPr>
        <w:tab/>
      </w:r>
      <w:r>
        <w:rPr>
          <w:rFonts w:cs="Times New Roman"/>
        </w:rPr>
        <w:fldChar w:fldCharType="begin"/>
      </w:r>
      <w:r>
        <w:rPr>
          <w:rFonts w:cs="Times New Roman"/>
        </w:rPr>
        <w:instrText xml:space="preserve"> PAGEREF _Toc12197 \h </w:instrText>
      </w:r>
      <w:r>
        <w:rPr>
          <w:rFonts w:cs="Times New Roman"/>
        </w:rPr>
        <w:fldChar w:fldCharType="separate"/>
      </w:r>
      <w:r>
        <w:rPr>
          <w:rFonts w:cs="Times New Roman"/>
        </w:rPr>
        <w:t>16</w:t>
      </w:r>
      <w:r>
        <w:rPr>
          <w:rFonts w:cs="Times New Roman"/>
        </w:rPr>
        <w:fldChar w:fldCharType="end"/>
      </w:r>
      <w:r>
        <w:rPr>
          <w:rFonts w:cs="Times New Roman"/>
        </w:rPr>
        <w:fldChar w:fldCharType="end"/>
      </w:r>
    </w:p>
    <w:p w14:paraId="6E575472">
      <w:pPr>
        <w:pStyle w:val="64"/>
        <w:tabs>
          <w:tab w:val="right" w:leader="dot" w:pos="8312"/>
          <w:tab w:val="clear" w:pos="8296"/>
        </w:tabs>
        <w:rPr>
          <w:rFonts w:cs="Times New Roman"/>
        </w:rPr>
      </w:pPr>
      <w:r>
        <w:fldChar w:fldCharType="begin"/>
      </w:r>
      <w:r>
        <w:instrText xml:space="preserve"> HYPERLINK \l "_Toc13724" </w:instrText>
      </w:r>
      <w:r>
        <w:fldChar w:fldCharType="separate"/>
      </w:r>
      <w:r>
        <w:rPr>
          <w:rFonts w:cs="Times New Roman"/>
        </w:rPr>
        <w:t>九、待补充披露的信息提示</w:t>
      </w:r>
      <w:r>
        <w:rPr>
          <w:rFonts w:cs="Times New Roman"/>
        </w:rPr>
        <w:tab/>
      </w:r>
      <w:r>
        <w:rPr>
          <w:rFonts w:cs="Times New Roman"/>
        </w:rPr>
        <w:fldChar w:fldCharType="begin"/>
      </w:r>
      <w:r>
        <w:rPr>
          <w:rFonts w:cs="Times New Roman"/>
        </w:rPr>
        <w:instrText xml:space="preserve"> PAGEREF _Toc13724 \h </w:instrText>
      </w:r>
      <w:r>
        <w:rPr>
          <w:rFonts w:cs="Times New Roman"/>
        </w:rPr>
        <w:fldChar w:fldCharType="separate"/>
      </w:r>
      <w:r>
        <w:rPr>
          <w:rFonts w:cs="Times New Roman"/>
        </w:rPr>
        <w:t>17</w:t>
      </w:r>
      <w:r>
        <w:rPr>
          <w:rFonts w:cs="Times New Roman"/>
        </w:rPr>
        <w:fldChar w:fldCharType="end"/>
      </w:r>
      <w:r>
        <w:rPr>
          <w:rFonts w:cs="Times New Roman"/>
        </w:rPr>
        <w:fldChar w:fldCharType="end"/>
      </w:r>
    </w:p>
    <w:p w14:paraId="7AF423E3">
      <w:pPr>
        <w:pStyle w:val="52"/>
        <w:tabs>
          <w:tab w:val="right" w:leader="dot" w:pos="8312"/>
          <w:tab w:val="clear" w:pos="8296"/>
        </w:tabs>
        <w:rPr>
          <w:rFonts w:cs="Times New Roman"/>
        </w:rPr>
      </w:pPr>
      <w:r>
        <w:fldChar w:fldCharType="begin"/>
      </w:r>
      <w:r>
        <w:instrText xml:space="preserve"> HYPERLINK \l "_Toc1202" </w:instrText>
      </w:r>
      <w:r>
        <w:fldChar w:fldCharType="separate"/>
      </w:r>
      <w:r>
        <w:rPr>
          <w:rFonts w:cs="Times New Roman"/>
          <w:kern w:val="2"/>
          <w:szCs w:val="28"/>
          <w:lang w:val="zh-CN"/>
        </w:rPr>
        <w:t>重大风险提示</w:t>
      </w:r>
      <w:r>
        <w:rPr>
          <w:rFonts w:cs="Times New Roman"/>
        </w:rPr>
        <w:tab/>
      </w:r>
      <w:r>
        <w:rPr>
          <w:rFonts w:cs="Times New Roman"/>
        </w:rPr>
        <w:fldChar w:fldCharType="begin"/>
      </w:r>
      <w:r>
        <w:rPr>
          <w:rFonts w:cs="Times New Roman"/>
        </w:rPr>
        <w:instrText xml:space="preserve"> PAGEREF _Toc1202 \h </w:instrText>
      </w:r>
      <w:r>
        <w:rPr>
          <w:rFonts w:cs="Times New Roman"/>
        </w:rPr>
        <w:fldChar w:fldCharType="separate"/>
      </w:r>
      <w:r>
        <w:rPr>
          <w:rFonts w:cs="Times New Roman"/>
        </w:rPr>
        <w:t>19</w:t>
      </w:r>
      <w:r>
        <w:rPr>
          <w:rFonts w:cs="Times New Roman"/>
        </w:rPr>
        <w:fldChar w:fldCharType="end"/>
      </w:r>
      <w:r>
        <w:rPr>
          <w:rFonts w:cs="Times New Roman"/>
        </w:rPr>
        <w:fldChar w:fldCharType="end"/>
      </w:r>
    </w:p>
    <w:p w14:paraId="582C5F2E">
      <w:pPr>
        <w:pStyle w:val="64"/>
        <w:tabs>
          <w:tab w:val="right" w:leader="dot" w:pos="8312"/>
          <w:tab w:val="clear" w:pos="8296"/>
        </w:tabs>
        <w:rPr>
          <w:rFonts w:cs="Times New Roman"/>
        </w:rPr>
      </w:pPr>
      <w:r>
        <w:fldChar w:fldCharType="begin"/>
      </w:r>
      <w:r>
        <w:instrText xml:space="preserve"> HYPERLINK \l "_Toc3631" </w:instrText>
      </w:r>
      <w:r>
        <w:fldChar w:fldCharType="separate"/>
      </w:r>
      <w:r>
        <w:rPr>
          <w:rFonts w:cs="Times New Roman"/>
        </w:rPr>
        <w:t>一、与本次交易相关的风险</w:t>
      </w:r>
      <w:r>
        <w:rPr>
          <w:rFonts w:cs="Times New Roman"/>
        </w:rPr>
        <w:tab/>
      </w:r>
      <w:r>
        <w:rPr>
          <w:rFonts w:cs="Times New Roman"/>
        </w:rPr>
        <w:fldChar w:fldCharType="begin"/>
      </w:r>
      <w:r>
        <w:rPr>
          <w:rFonts w:cs="Times New Roman"/>
        </w:rPr>
        <w:instrText xml:space="preserve"> PAGEREF _Toc3631 \h </w:instrText>
      </w:r>
      <w:r>
        <w:rPr>
          <w:rFonts w:cs="Times New Roman"/>
        </w:rPr>
        <w:fldChar w:fldCharType="separate"/>
      </w:r>
      <w:r>
        <w:rPr>
          <w:rFonts w:cs="Times New Roman"/>
        </w:rPr>
        <w:t>19</w:t>
      </w:r>
      <w:r>
        <w:rPr>
          <w:rFonts w:cs="Times New Roman"/>
        </w:rPr>
        <w:fldChar w:fldCharType="end"/>
      </w:r>
      <w:r>
        <w:rPr>
          <w:rFonts w:cs="Times New Roman"/>
        </w:rPr>
        <w:fldChar w:fldCharType="end"/>
      </w:r>
    </w:p>
    <w:p w14:paraId="20953D1B">
      <w:pPr>
        <w:pStyle w:val="64"/>
        <w:tabs>
          <w:tab w:val="right" w:leader="dot" w:pos="8312"/>
          <w:tab w:val="clear" w:pos="8296"/>
        </w:tabs>
        <w:rPr>
          <w:rFonts w:cs="Times New Roman"/>
        </w:rPr>
      </w:pPr>
      <w:r>
        <w:fldChar w:fldCharType="begin"/>
      </w:r>
      <w:r>
        <w:instrText xml:space="preserve"> HYPERLINK \l "_Toc104" </w:instrText>
      </w:r>
      <w:r>
        <w:fldChar w:fldCharType="separate"/>
      </w:r>
      <w:r>
        <w:rPr>
          <w:rFonts w:cs="Times New Roman"/>
        </w:rPr>
        <w:t>二、与标的资产相关的风险</w:t>
      </w:r>
      <w:r>
        <w:rPr>
          <w:rFonts w:cs="Times New Roman"/>
        </w:rPr>
        <w:tab/>
      </w:r>
      <w:r>
        <w:rPr>
          <w:rFonts w:cs="Times New Roman"/>
        </w:rPr>
        <w:fldChar w:fldCharType="begin"/>
      </w:r>
      <w:r>
        <w:rPr>
          <w:rFonts w:cs="Times New Roman"/>
        </w:rPr>
        <w:instrText xml:space="preserve"> PAGEREF _Toc104 \h </w:instrText>
      </w:r>
      <w:r>
        <w:rPr>
          <w:rFonts w:cs="Times New Roman"/>
        </w:rPr>
        <w:fldChar w:fldCharType="separate"/>
      </w:r>
      <w:r>
        <w:rPr>
          <w:rFonts w:cs="Times New Roman"/>
        </w:rPr>
        <w:t>22</w:t>
      </w:r>
      <w:r>
        <w:rPr>
          <w:rFonts w:cs="Times New Roman"/>
        </w:rPr>
        <w:fldChar w:fldCharType="end"/>
      </w:r>
      <w:r>
        <w:rPr>
          <w:rFonts w:cs="Times New Roman"/>
        </w:rPr>
        <w:fldChar w:fldCharType="end"/>
      </w:r>
    </w:p>
    <w:p w14:paraId="568E706E">
      <w:pPr>
        <w:pStyle w:val="64"/>
        <w:tabs>
          <w:tab w:val="right" w:leader="dot" w:pos="8312"/>
          <w:tab w:val="clear" w:pos="8296"/>
        </w:tabs>
        <w:rPr>
          <w:rFonts w:cs="Times New Roman"/>
        </w:rPr>
      </w:pPr>
      <w:r>
        <w:fldChar w:fldCharType="begin"/>
      </w:r>
      <w:r>
        <w:instrText xml:space="preserve"> HYPERLINK \l "_Toc25821" </w:instrText>
      </w:r>
      <w:r>
        <w:fldChar w:fldCharType="separate"/>
      </w:r>
      <w:r>
        <w:rPr>
          <w:rFonts w:cs="Times New Roman"/>
        </w:rPr>
        <w:t>三、其他风险</w:t>
      </w:r>
      <w:r>
        <w:rPr>
          <w:rFonts w:cs="Times New Roman"/>
        </w:rPr>
        <w:tab/>
      </w:r>
      <w:r>
        <w:rPr>
          <w:rFonts w:cs="Times New Roman"/>
        </w:rPr>
        <w:fldChar w:fldCharType="begin"/>
      </w:r>
      <w:r>
        <w:rPr>
          <w:rFonts w:cs="Times New Roman"/>
        </w:rPr>
        <w:instrText xml:space="preserve"> PAGEREF _Toc25821 \h </w:instrText>
      </w:r>
      <w:r>
        <w:rPr>
          <w:rFonts w:cs="Times New Roman"/>
        </w:rPr>
        <w:fldChar w:fldCharType="separate"/>
      </w:r>
      <w:r>
        <w:rPr>
          <w:rFonts w:cs="Times New Roman"/>
        </w:rPr>
        <w:t>22</w:t>
      </w:r>
      <w:r>
        <w:rPr>
          <w:rFonts w:cs="Times New Roman"/>
        </w:rPr>
        <w:fldChar w:fldCharType="end"/>
      </w:r>
      <w:r>
        <w:rPr>
          <w:rFonts w:cs="Times New Roman"/>
        </w:rPr>
        <w:fldChar w:fldCharType="end"/>
      </w:r>
    </w:p>
    <w:p w14:paraId="1D0076CF">
      <w:pPr>
        <w:pStyle w:val="52"/>
        <w:tabs>
          <w:tab w:val="right" w:leader="dot" w:pos="8312"/>
          <w:tab w:val="clear" w:pos="8296"/>
        </w:tabs>
        <w:rPr>
          <w:rFonts w:cs="Times New Roman"/>
        </w:rPr>
      </w:pPr>
      <w:r>
        <w:fldChar w:fldCharType="begin"/>
      </w:r>
      <w:r>
        <w:instrText xml:space="preserve"> HYPERLINK \l "_Toc4240" </w:instrText>
      </w:r>
      <w:r>
        <w:fldChar w:fldCharType="separate"/>
      </w:r>
      <w:r>
        <w:rPr>
          <w:rFonts w:cs="Times New Roman"/>
        </w:rPr>
        <w:t>第一节 本次交易概况</w:t>
      </w:r>
      <w:r>
        <w:rPr>
          <w:rFonts w:cs="Times New Roman"/>
        </w:rPr>
        <w:tab/>
      </w:r>
      <w:r>
        <w:rPr>
          <w:rFonts w:cs="Times New Roman"/>
        </w:rPr>
        <w:fldChar w:fldCharType="begin"/>
      </w:r>
      <w:r>
        <w:rPr>
          <w:rFonts w:cs="Times New Roman"/>
        </w:rPr>
        <w:instrText xml:space="preserve"> PAGEREF _Toc4240 \h </w:instrText>
      </w:r>
      <w:r>
        <w:rPr>
          <w:rFonts w:cs="Times New Roman"/>
        </w:rPr>
        <w:fldChar w:fldCharType="separate"/>
      </w:r>
      <w:r>
        <w:rPr>
          <w:rFonts w:cs="Times New Roman"/>
        </w:rPr>
        <w:t>24</w:t>
      </w:r>
      <w:r>
        <w:rPr>
          <w:rFonts w:cs="Times New Roman"/>
        </w:rPr>
        <w:fldChar w:fldCharType="end"/>
      </w:r>
      <w:r>
        <w:rPr>
          <w:rFonts w:cs="Times New Roman"/>
        </w:rPr>
        <w:fldChar w:fldCharType="end"/>
      </w:r>
    </w:p>
    <w:p w14:paraId="58C5EE46">
      <w:pPr>
        <w:pStyle w:val="64"/>
        <w:tabs>
          <w:tab w:val="right" w:leader="dot" w:pos="8312"/>
          <w:tab w:val="clear" w:pos="8296"/>
        </w:tabs>
        <w:rPr>
          <w:rFonts w:cs="Times New Roman"/>
        </w:rPr>
      </w:pPr>
      <w:r>
        <w:fldChar w:fldCharType="begin"/>
      </w:r>
      <w:r>
        <w:instrText xml:space="preserve"> HYPERLINK \l "_Toc8948" </w:instrText>
      </w:r>
      <w:r>
        <w:fldChar w:fldCharType="separate"/>
      </w:r>
      <w:r>
        <w:rPr>
          <w:rFonts w:cs="Times New Roman"/>
        </w:rPr>
        <w:t>一、本次交易的背景和目的</w:t>
      </w:r>
      <w:r>
        <w:rPr>
          <w:rFonts w:cs="Times New Roman"/>
        </w:rPr>
        <w:tab/>
      </w:r>
      <w:r>
        <w:rPr>
          <w:rFonts w:cs="Times New Roman"/>
        </w:rPr>
        <w:fldChar w:fldCharType="begin"/>
      </w:r>
      <w:r>
        <w:rPr>
          <w:rFonts w:cs="Times New Roman"/>
        </w:rPr>
        <w:instrText xml:space="preserve"> PAGEREF _Toc8948 \h </w:instrText>
      </w:r>
      <w:r>
        <w:rPr>
          <w:rFonts w:cs="Times New Roman"/>
        </w:rPr>
        <w:fldChar w:fldCharType="separate"/>
      </w:r>
      <w:r>
        <w:rPr>
          <w:rFonts w:cs="Times New Roman"/>
        </w:rPr>
        <w:t>24</w:t>
      </w:r>
      <w:r>
        <w:rPr>
          <w:rFonts w:cs="Times New Roman"/>
        </w:rPr>
        <w:fldChar w:fldCharType="end"/>
      </w:r>
      <w:r>
        <w:rPr>
          <w:rFonts w:cs="Times New Roman"/>
        </w:rPr>
        <w:fldChar w:fldCharType="end"/>
      </w:r>
    </w:p>
    <w:p w14:paraId="6766269C">
      <w:pPr>
        <w:pStyle w:val="64"/>
        <w:tabs>
          <w:tab w:val="right" w:leader="dot" w:pos="8312"/>
          <w:tab w:val="clear" w:pos="8296"/>
        </w:tabs>
        <w:rPr>
          <w:rFonts w:cs="Times New Roman"/>
        </w:rPr>
      </w:pPr>
      <w:r>
        <w:fldChar w:fldCharType="begin"/>
      </w:r>
      <w:r>
        <w:instrText xml:space="preserve"> HYPERLINK \l "_Toc2363" </w:instrText>
      </w:r>
      <w:r>
        <w:fldChar w:fldCharType="separate"/>
      </w:r>
      <w:r>
        <w:rPr>
          <w:rFonts w:cs="Times New Roman"/>
        </w:rPr>
        <w:t>二、本次交易具体方案</w:t>
      </w:r>
      <w:r>
        <w:rPr>
          <w:rFonts w:cs="Times New Roman"/>
        </w:rPr>
        <w:tab/>
      </w:r>
      <w:r>
        <w:rPr>
          <w:rFonts w:cs="Times New Roman"/>
        </w:rPr>
        <w:fldChar w:fldCharType="begin"/>
      </w:r>
      <w:r>
        <w:rPr>
          <w:rFonts w:cs="Times New Roman"/>
        </w:rPr>
        <w:instrText xml:space="preserve"> PAGEREF _Toc2363 \h </w:instrText>
      </w:r>
      <w:r>
        <w:rPr>
          <w:rFonts w:cs="Times New Roman"/>
        </w:rPr>
        <w:fldChar w:fldCharType="separate"/>
      </w:r>
      <w:r>
        <w:rPr>
          <w:rFonts w:cs="Times New Roman"/>
        </w:rPr>
        <w:t>26</w:t>
      </w:r>
      <w:r>
        <w:rPr>
          <w:rFonts w:cs="Times New Roman"/>
        </w:rPr>
        <w:fldChar w:fldCharType="end"/>
      </w:r>
      <w:r>
        <w:rPr>
          <w:rFonts w:cs="Times New Roman"/>
        </w:rPr>
        <w:fldChar w:fldCharType="end"/>
      </w:r>
    </w:p>
    <w:p w14:paraId="745A7266">
      <w:pPr>
        <w:pStyle w:val="64"/>
        <w:tabs>
          <w:tab w:val="right" w:leader="dot" w:pos="8312"/>
          <w:tab w:val="clear" w:pos="8296"/>
        </w:tabs>
        <w:rPr>
          <w:rFonts w:cs="Times New Roman"/>
        </w:rPr>
      </w:pPr>
      <w:r>
        <w:fldChar w:fldCharType="begin"/>
      </w:r>
      <w:r>
        <w:instrText xml:space="preserve"> HYPERLINK \l "_Toc9275" </w:instrText>
      </w:r>
      <w:r>
        <w:fldChar w:fldCharType="separate"/>
      </w:r>
      <w:r>
        <w:rPr>
          <w:rFonts w:cs="Times New Roman"/>
        </w:rPr>
        <w:t>三、标的资产评估及作价情况</w:t>
      </w:r>
      <w:r>
        <w:rPr>
          <w:rFonts w:cs="Times New Roman"/>
        </w:rPr>
        <w:tab/>
      </w:r>
      <w:r>
        <w:rPr>
          <w:rFonts w:cs="Times New Roman"/>
        </w:rPr>
        <w:fldChar w:fldCharType="begin"/>
      </w:r>
      <w:r>
        <w:rPr>
          <w:rFonts w:cs="Times New Roman"/>
        </w:rPr>
        <w:instrText xml:space="preserve"> PAGEREF _Toc9275 \h </w:instrText>
      </w:r>
      <w:r>
        <w:rPr>
          <w:rFonts w:cs="Times New Roman"/>
        </w:rPr>
        <w:fldChar w:fldCharType="separate"/>
      </w:r>
      <w:r>
        <w:rPr>
          <w:rFonts w:cs="Times New Roman"/>
        </w:rPr>
        <w:t>31</w:t>
      </w:r>
      <w:r>
        <w:rPr>
          <w:rFonts w:cs="Times New Roman"/>
        </w:rPr>
        <w:fldChar w:fldCharType="end"/>
      </w:r>
      <w:r>
        <w:rPr>
          <w:rFonts w:cs="Times New Roman"/>
        </w:rPr>
        <w:fldChar w:fldCharType="end"/>
      </w:r>
    </w:p>
    <w:p w14:paraId="548D176D">
      <w:pPr>
        <w:pStyle w:val="64"/>
        <w:tabs>
          <w:tab w:val="right" w:leader="dot" w:pos="8312"/>
          <w:tab w:val="clear" w:pos="8296"/>
        </w:tabs>
        <w:rPr>
          <w:rFonts w:cs="Times New Roman"/>
        </w:rPr>
      </w:pPr>
      <w:r>
        <w:fldChar w:fldCharType="begin"/>
      </w:r>
      <w:r>
        <w:instrText xml:space="preserve"> HYPERLINK \l "_Toc14125" </w:instrText>
      </w:r>
      <w:r>
        <w:fldChar w:fldCharType="separate"/>
      </w:r>
      <w:r>
        <w:rPr>
          <w:rFonts w:cs="Times New Roman"/>
        </w:rPr>
        <w:t>四、本次交易性质</w:t>
      </w:r>
      <w:r>
        <w:rPr>
          <w:rFonts w:cs="Times New Roman"/>
        </w:rPr>
        <w:tab/>
      </w:r>
      <w:r>
        <w:rPr>
          <w:rFonts w:cs="Times New Roman"/>
        </w:rPr>
        <w:fldChar w:fldCharType="begin"/>
      </w:r>
      <w:r>
        <w:rPr>
          <w:rFonts w:cs="Times New Roman"/>
        </w:rPr>
        <w:instrText xml:space="preserve"> PAGEREF _Toc14125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14:paraId="2621E3A8">
      <w:pPr>
        <w:pStyle w:val="64"/>
        <w:tabs>
          <w:tab w:val="right" w:leader="dot" w:pos="8312"/>
          <w:tab w:val="clear" w:pos="8296"/>
        </w:tabs>
        <w:rPr>
          <w:rFonts w:cs="Times New Roman"/>
        </w:rPr>
      </w:pPr>
      <w:r>
        <w:fldChar w:fldCharType="begin"/>
      </w:r>
      <w:r>
        <w:instrText xml:space="preserve"> HYPERLINK \l "_Toc10801" </w:instrText>
      </w:r>
      <w:r>
        <w:fldChar w:fldCharType="separate"/>
      </w:r>
      <w:r>
        <w:rPr>
          <w:rFonts w:cs="Times New Roman"/>
        </w:rPr>
        <w:t>五、业绩补偿及承诺安排</w:t>
      </w:r>
      <w:r>
        <w:rPr>
          <w:rFonts w:cs="Times New Roman"/>
        </w:rPr>
        <w:tab/>
      </w:r>
      <w:r>
        <w:rPr>
          <w:rFonts w:cs="Times New Roman"/>
        </w:rPr>
        <w:fldChar w:fldCharType="begin"/>
      </w:r>
      <w:r>
        <w:rPr>
          <w:rFonts w:cs="Times New Roman"/>
        </w:rPr>
        <w:instrText xml:space="preserve"> PAGEREF _Toc10801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14:paraId="15CFC1DB">
      <w:pPr>
        <w:pStyle w:val="64"/>
        <w:tabs>
          <w:tab w:val="right" w:leader="dot" w:pos="8312"/>
          <w:tab w:val="clear" w:pos="8296"/>
        </w:tabs>
        <w:rPr>
          <w:rFonts w:cs="Times New Roman"/>
        </w:rPr>
      </w:pPr>
      <w:r>
        <w:fldChar w:fldCharType="begin"/>
      </w:r>
      <w:r>
        <w:instrText xml:space="preserve"> HYPERLINK \l "_Toc1673" </w:instrText>
      </w:r>
      <w:r>
        <w:fldChar w:fldCharType="separate"/>
      </w:r>
      <w:r>
        <w:rPr>
          <w:rFonts w:cs="Times New Roman"/>
        </w:rPr>
        <w:t>六、本次交易对上市公司影响</w:t>
      </w:r>
      <w:r>
        <w:rPr>
          <w:rFonts w:cs="Times New Roman"/>
        </w:rPr>
        <w:tab/>
      </w:r>
      <w:r>
        <w:rPr>
          <w:rFonts w:cs="Times New Roman"/>
        </w:rPr>
        <w:fldChar w:fldCharType="begin"/>
      </w:r>
      <w:r>
        <w:rPr>
          <w:rFonts w:cs="Times New Roman"/>
        </w:rPr>
        <w:instrText xml:space="preserve"> PAGEREF _Toc1673 \h </w:instrText>
      </w:r>
      <w:r>
        <w:rPr>
          <w:rFonts w:cs="Times New Roman"/>
        </w:rPr>
        <w:fldChar w:fldCharType="separate"/>
      </w:r>
      <w:r>
        <w:rPr>
          <w:rFonts w:cs="Times New Roman"/>
        </w:rPr>
        <w:t>33</w:t>
      </w:r>
      <w:r>
        <w:rPr>
          <w:rFonts w:cs="Times New Roman"/>
        </w:rPr>
        <w:fldChar w:fldCharType="end"/>
      </w:r>
      <w:r>
        <w:rPr>
          <w:rFonts w:cs="Times New Roman"/>
        </w:rPr>
        <w:fldChar w:fldCharType="end"/>
      </w:r>
    </w:p>
    <w:p w14:paraId="33261622">
      <w:pPr>
        <w:pStyle w:val="64"/>
        <w:tabs>
          <w:tab w:val="right" w:leader="dot" w:pos="8312"/>
          <w:tab w:val="clear" w:pos="8296"/>
        </w:tabs>
        <w:rPr>
          <w:rFonts w:cs="Times New Roman"/>
        </w:rPr>
      </w:pPr>
      <w:r>
        <w:fldChar w:fldCharType="begin"/>
      </w:r>
      <w:r>
        <w:instrText xml:space="preserve"> HYPERLINK \l "_Toc26248" </w:instrText>
      </w:r>
      <w:r>
        <w:fldChar w:fldCharType="separate"/>
      </w:r>
      <w:r>
        <w:rPr>
          <w:rFonts w:cs="Times New Roman"/>
        </w:rPr>
        <w:t>七、本次交易已履行和尚需履行的审批程序</w:t>
      </w:r>
      <w:r>
        <w:rPr>
          <w:rFonts w:cs="Times New Roman"/>
        </w:rPr>
        <w:tab/>
      </w:r>
      <w:r>
        <w:rPr>
          <w:rFonts w:cs="Times New Roman"/>
        </w:rPr>
        <w:fldChar w:fldCharType="begin"/>
      </w:r>
      <w:r>
        <w:rPr>
          <w:rFonts w:cs="Times New Roman"/>
        </w:rPr>
        <w:instrText xml:space="preserve"> PAGEREF _Toc26248 \h </w:instrText>
      </w:r>
      <w:r>
        <w:rPr>
          <w:rFonts w:cs="Times New Roman"/>
        </w:rPr>
        <w:fldChar w:fldCharType="separate"/>
      </w:r>
      <w:r>
        <w:rPr>
          <w:rFonts w:cs="Times New Roman"/>
        </w:rPr>
        <w:t>34</w:t>
      </w:r>
      <w:r>
        <w:rPr>
          <w:rFonts w:cs="Times New Roman"/>
        </w:rPr>
        <w:fldChar w:fldCharType="end"/>
      </w:r>
      <w:r>
        <w:rPr>
          <w:rFonts w:cs="Times New Roman"/>
        </w:rPr>
        <w:fldChar w:fldCharType="end"/>
      </w:r>
    </w:p>
    <w:p w14:paraId="4B5B2038">
      <w:pPr>
        <w:pStyle w:val="64"/>
        <w:tabs>
          <w:tab w:val="right" w:leader="dot" w:pos="8312"/>
          <w:tab w:val="clear" w:pos="8296"/>
        </w:tabs>
        <w:rPr>
          <w:rFonts w:cs="Times New Roman"/>
        </w:rPr>
      </w:pPr>
      <w:r>
        <w:fldChar w:fldCharType="begin"/>
      </w:r>
      <w:r>
        <w:instrText xml:space="preserve"> HYPERLINK \l "_Toc26602" </w:instrText>
      </w:r>
      <w:r>
        <w:fldChar w:fldCharType="separate"/>
      </w:r>
      <w:r>
        <w:rPr>
          <w:rFonts w:cs="Times New Roman"/>
        </w:rPr>
        <w:t>八、本次交易相关方作出的重要承诺</w:t>
      </w:r>
      <w:r>
        <w:rPr>
          <w:rFonts w:cs="Times New Roman"/>
        </w:rPr>
        <w:tab/>
      </w:r>
      <w:r>
        <w:rPr>
          <w:rFonts w:cs="Times New Roman"/>
        </w:rPr>
        <w:fldChar w:fldCharType="begin"/>
      </w:r>
      <w:r>
        <w:rPr>
          <w:rFonts w:cs="Times New Roman"/>
        </w:rPr>
        <w:instrText xml:space="preserve"> PAGEREF _Toc26602 \h </w:instrText>
      </w:r>
      <w:r>
        <w:rPr>
          <w:rFonts w:cs="Times New Roman"/>
        </w:rPr>
        <w:fldChar w:fldCharType="separate"/>
      </w:r>
      <w:r>
        <w:rPr>
          <w:rFonts w:cs="Times New Roman"/>
        </w:rPr>
        <w:t>34</w:t>
      </w:r>
      <w:r>
        <w:rPr>
          <w:rFonts w:cs="Times New Roman"/>
        </w:rPr>
        <w:fldChar w:fldCharType="end"/>
      </w:r>
      <w:r>
        <w:rPr>
          <w:rFonts w:cs="Times New Roman"/>
        </w:rPr>
        <w:fldChar w:fldCharType="end"/>
      </w:r>
    </w:p>
    <w:p w14:paraId="2A1FC2F4">
      <w:pPr>
        <w:pStyle w:val="52"/>
        <w:tabs>
          <w:tab w:val="right" w:leader="dot" w:pos="8312"/>
          <w:tab w:val="clear" w:pos="8296"/>
        </w:tabs>
        <w:rPr>
          <w:rFonts w:cs="Times New Roman"/>
        </w:rPr>
      </w:pPr>
      <w:r>
        <w:fldChar w:fldCharType="begin"/>
      </w:r>
      <w:r>
        <w:instrText xml:space="preserve"> HYPERLINK \l "_Toc15955" </w:instrText>
      </w:r>
      <w:r>
        <w:fldChar w:fldCharType="separate"/>
      </w:r>
      <w:r>
        <w:rPr>
          <w:rFonts w:cs="Times New Roman"/>
        </w:rPr>
        <w:t>第二节 上市公司基本情况</w:t>
      </w:r>
      <w:r>
        <w:rPr>
          <w:rFonts w:cs="Times New Roman"/>
        </w:rPr>
        <w:tab/>
      </w:r>
      <w:r>
        <w:rPr>
          <w:rFonts w:cs="Times New Roman"/>
        </w:rPr>
        <w:fldChar w:fldCharType="begin"/>
      </w:r>
      <w:r>
        <w:rPr>
          <w:rFonts w:cs="Times New Roman"/>
        </w:rPr>
        <w:instrText xml:space="preserve"> PAGEREF _Toc15955 \h </w:instrText>
      </w:r>
      <w:r>
        <w:rPr>
          <w:rFonts w:cs="Times New Roman"/>
        </w:rPr>
        <w:fldChar w:fldCharType="separate"/>
      </w:r>
      <w:r>
        <w:rPr>
          <w:rFonts w:cs="Times New Roman"/>
        </w:rPr>
        <w:t>49</w:t>
      </w:r>
      <w:r>
        <w:rPr>
          <w:rFonts w:cs="Times New Roman"/>
        </w:rPr>
        <w:fldChar w:fldCharType="end"/>
      </w:r>
      <w:r>
        <w:rPr>
          <w:rFonts w:cs="Times New Roman"/>
        </w:rPr>
        <w:fldChar w:fldCharType="end"/>
      </w:r>
    </w:p>
    <w:p w14:paraId="55B36BF5">
      <w:pPr>
        <w:pStyle w:val="64"/>
        <w:tabs>
          <w:tab w:val="right" w:leader="dot" w:pos="8312"/>
          <w:tab w:val="clear" w:pos="8296"/>
        </w:tabs>
        <w:rPr>
          <w:rFonts w:cs="Times New Roman"/>
        </w:rPr>
      </w:pPr>
      <w:r>
        <w:fldChar w:fldCharType="begin"/>
      </w:r>
      <w:r>
        <w:instrText xml:space="preserve"> HYPERLINK \l "_Toc12121" </w:instrText>
      </w:r>
      <w:r>
        <w:fldChar w:fldCharType="separate"/>
      </w:r>
      <w:r>
        <w:rPr>
          <w:rFonts w:cs="Times New Roman"/>
        </w:rPr>
        <w:t>一、公司基本情况简介</w:t>
      </w:r>
      <w:r>
        <w:rPr>
          <w:rFonts w:cs="Times New Roman"/>
        </w:rPr>
        <w:tab/>
      </w:r>
      <w:r>
        <w:rPr>
          <w:rFonts w:cs="Times New Roman"/>
        </w:rPr>
        <w:fldChar w:fldCharType="begin"/>
      </w:r>
      <w:r>
        <w:rPr>
          <w:rFonts w:cs="Times New Roman"/>
        </w:rPr>
        <w:instrText xml:space="preserve"> PAGEREF _Toc12121 \h </w:instrText>
      </w:r>
      <w:r>
        <w:rPr>
          <w:rFonts w:cs="Times New Roman"/>
        </w:rPr>
        <w:fldChar w:fldCharType="separate"/>
      </w:r>
      <w:r>
        <w:rPr>
          <w:rFonts w:cs="Times New Roman"/>
        </w:rPr>
        <w:t>49</w:t>
      </w:r>
      <w:r>
        <w:rPr>
          <w:rFonts w:cs="Times New Roman"/>
        </w:rPr>
        <w:fldChar w:fldCharType="end"/>
      </w:r>
      <w:r>
        <w:rPr>
          <w:rFonts w:cs="Times New Roman"/>
        </w:rPr>
        <w:fldChar w:fldCharType="end"/>
      </w:r>
    </w:p>
    <w:p w14:paraId="50B484DF">
      <w:pPr>
        <w:pStyle w:val="64"/>
        <w:tabs>
          <w:tab w:val="right" w:leader="dot" w:pos="8312"/>
          <w:tab w:val="clear" w:pos="8296"/>
        </w:tabs>
        <w:rPr>
          <w:rFonts w:cs="Times New Roman"/>
        </w:rPr>
      </w:pPr>
      <w:r>
        <w:fldChar w:fldCharType="begin"/>
      </w:r>
      <w:r>
        <w:instrText xml:space="preserve"> HYPERLINK \l "_Toc13242" </w:instrText>
      </w:r>
      <w:r>
        <w:fldChar w:fldCharType="separate"/>
      </w:r>
      <w:r>
        <w:rPr>
          <w:rFonts w:cs="Times New Roman"/>
        </w:rPr>
        <w:t>二、前十大股东情况</w:t>
      </w:r>
      <w:r>
        <w:rPr>
          <w:rFonts w:cs="Times New Roman"/>
        </w:rPr>
        <w:tab/>
      </w:r>
      <w:r>
        <w:rPr>
          <w:rFonts w:cs="Times New Roman"/>
        </w:rPr>
        <w:fldChar w:fldCharType="begin"/>
      </w:r>
      <w:r>
        <w:rPr>
          <w:rFonts w:cs="Times New Roman"/>
        </w:rPr>
        <w:instrText xml:space="preserve"> PAGEREF _Toc13242 \h </w:instrText>
      </w:r>
      <w:r>
        <w:rPr>
          <w:rFonts w:cs="Times New Roman"/>
        </w:rPr>
        <w:fldChar w:fldCharType="separate"/>
      </w:r>
      <w:r>
        <w:rPr>
          <w:rFonts w:cs="Times New Roman"/>
        </w:rPr>
        <w:t>49</w:t>
      </w:r>
      <w:r>
        <w:rPr>
          <w:rFonts w:cs="Times New Roman"/>
        </w:rPr>
        <w:fldChar w:fldCharType="end"/>
      </w:r>
      <w:r>
        <w:rPr>
          <w:rFonts w:cs="Times New Roman"/>
        </w:rPr>
        <w:fldChar w:fldCharType="end"/>
      </w:r>
    </w:p>
    <w:p w14:paraId="4D96BE9A">
      <w:pPr>
        <w:pStyle w:val="64"/>
        <w:tabs>
          <w:tab w:val="right" w:leader="dot" w:pos="8312"/>
          <w:tab w:val="clear" w:pos="8296"/>
        </w:tabs>
        <w:rPr>
          <w:rFonts w:cs="Times New Roman"/>
        </w:rPr>
      </w:pPr>
      <w:r>
        <w:fldChar w:fldCharType="begin"/>
      </w:r>
      <w:r>
        <w:instrText xml:space="preserve"> HYPERLINK \l "_Toc17328" </w:instrText>
      </w:r>
      <w:r>
        <w:fldChar w:fldCharType="separate"/>
      </w:r>
      <w:r>
        <w:rPr>
          <w:rFonts w:cs="Times New Roman"/>
        </w:rPr>
        <w:t>三、控股股东及实际控制人</w:t>
      </w:r>
      <w:r>
        <w:rPr>
          <w:rFonts w:cs="Times New Roman"/>
        </w:rPr>
        <w:tab/>
      </w:r>
      <w:r>
        <w:rPr>
          <w:rFonts w:cs="Times New Roman"/>
        </w:rPr>
        <w:fldChar w:fldCharType="begin"/>
      </w:r>
      <w:r>
        <w:rPr>
          <w:rFonts w:cs="Times New Roman"/>
        </w:rPr>
        <w:instrText xml:space="preserve"> PAGEREF _Toc17328 \h </w:instrText>
      </w:r>
      <w:r>
        <w:rPr>
          <w:rFonts w:cs="Times New Roman"/>
        </w:rPr>
        <w:fldChar w:fldCharType="separate"/>
      </w:r>
      <w:r>
        <w:rPr>
          <w:rFonts w:cs="Times New Roman"/>
        </w:rPr>
        <w:t>50</w:t>
      </w:r>
      <w:r>
        <w:rPr>
          <w:rFonts w:cs="Times New Roman"/>
        </w:rPr>
        <w:fldChar w:fldCharType="end"/>
      </w:r>
      <w:r>
        <w:rPr>
          <w:rFonts w:cs="Times New Roman"/>
        </w:rPr>
        <w:fldChar w:fldCharType="end"/>
      </w:r>
    </w:p>
    <w:p w14:paraId="547B3556">
      <w:pPr>
        <w:pStyle w:val="64"/>
        <w:tabs>
          <w:tab w:val="right" w:leader="dot" w:pos="8312"/>
          <w:tab w:val="clear" w:pos="8296"/>
        </w:tabs>
        <w:rPr>
          <w:rFonts w:cs="Times New Roman"/>
        </w:rPr>
      </w:pPr>
      <w:r>
        <w:fldChar w:fldCharType="begin"/>
      </w:r>
      <w:r>
        <w:instrText xml:space="preserve"> HYPERLINK \l "_Toc4657" </w:instrText>
      </w:r>
      <w:r>
        <w:fldChar w:fldCharType="separate"/>
      </w:r>
      <w:r>
        <w:rPr>
          <w:rFonts w:cs="Times New Roman"/>
        </w:rPr>
        <w:t>四、上市公司最近三十六个月控制权变动情况</w:t>
      </w:r>
      <w:r>
        <w:rPr>
          <w:rFonts w:cs="Times New Roman"/>
        </w:rPr>
        <w:tab/>
      </w:r>
      <w:r>
        <w:rPr>
          <w:rFonts w:cs="Times New Roman"/>
        </w:rPr>
        <w:fldChar w:fldCharType="begin"/>
      </w:r>
      <w:r>
        <w:rPr>
          <w:rFonts w:cs="Times New Roman"/>
        </w:rPr>
        <w:instrText xml:space="preserve"> PAGEREF _Toc4657 \h </w:instrText>
      </w:r>
      <w:r>
        <w:rPr>
          <w:rFonts w:cs="Times New Roman"/>
        </w:rPr>
        <w:fldChar w:fldCharType="separate"/>
      </w:r>
      <w:r>
        <w:rPr>
          <w:rFonts w:cs="Times New Roman"/>
        </w:rPr>
        <w:t>51</w:t>
      </w:r>
      <w:r>
        <w:rPr>
          <w:rFonts w:cs="Times New Roman"/>
        </w:rPr>
        <w:fldChar w:fldCharType="end"/>
      </w:r>
      <w:r>
        <w:rPr>
          <w:rFonts w:cs="Times New Roman"/>
        </w:rPr>
        <w:fldChar w:fldCharType="end"/>
      </w:r>
    </w:p>
    <w:p w14:paraId="59E66021">
      <w:pPr>
        <w:pStyle w:val="64"/>
        <w:tabs>
          <w:tab w:val="right" w:leader="dot" w:pos="8312"/>
          <w:tab w:val="clear" w:pos="8296"/>
        </w:tabs>
        <w:rPr>
          <w:rFonts w:cs="Times New Roman"/>
        </w:rPr>
      </w:pPr>
      <w:r>
        <w:fldChar w:fldCharType="begin"/>
      </w:r>
      <w:r>
        <w:instrText xml:space="preserve"> HYPERLINK \l "_Toc27252" </w:instrText>
      </w:r>
      <w:r>
        <w:fldChar w:fldCharType="separate"/>
      </w:r>
      <w:r>
        <w:rPr>
          <w:rFonts w:cs="Times New Roman"/>
        </w:rPr>
        <w:t>五、最近三年主营业务发展情况</w:t>
      </w:r>
      <w:r>
        <w:rPr>
          <w:rFonts w:cs="Times New Roman"/>
        </w:rPr>
        <w:tab/>
      </w:r>
      <w:r>
        <w:rPr>
          <w:rFonts w:cs="Times New Roman"/>
        </w:rPr>
        <w:fldChar w:fldCharType="begin"/>
      </w:r>
      <w:r>
        <w:rPr>
          <w:rFonts w:cs="Times New Roman"/>
        </w:rPr>
        <w:instrText xml:space="preserve"> PAGEREF _Toc27252 \h </w:instrText>
      </w:r>
      <w:r>
        <w:rPr>
          <w:rFonts w:cs="Times New Roman"/>
        </w:rPr>
        <w:fldChar w:fldCharType="separate"/>
      </w:r>
      <w:r>
        <w:rPr>
          <w:rFonts w:cs="Times New Roman"/>
        </w:rPr>
        <w:t>51</w:t>
      </w:r>
      <w:r>
        <w:rPr>
          <w:rFonts w:cs="Times New Roman"/>
        </w:rPr>
        <w:fldChar w:fldCharType="end"/>
      </w:r>
      <w:r>
        <w:rPr>
          <w:rFonts w:cs="Times New Roman"/>
        </w:rPr>
        <w:fldChar w:fldCharType="end"/>
      </w:r>
    </w:p>
    <w:p w14:paraId="34E41EA8">
      <w:pPr>
        <w:pStyle w:val="64"/>
        <w:tabs>
          <w:tab w:val="right" w:leader="dot" w:pos="8312"/>
          <w:tab w:val="clear" w:pos="8296"/>
        </w:tabs>
        <w:rPr>
          <w:rFonts w:cs="Times New Roman"/>
        </w:rPr>
      </w:pPr>
      <w:r>
        <w:fldChar w:fldCharType="begin"/>
      </w:r>
      <w:r>
        <w:instrText xml:space="preserve"> HYPERLINK \l "_Toc6534" </w:instrText>
      </w:r>
      <w:r>
        <w:fldChar w:fldCharType="separate"/>
      </w:r>
      <w:r>
        <w:rPr>
          <w:rFonts w:cs="Times New Roman"/>
        </w:rPr>
        <w:t>六、主要财务数据及指标</w:t>
      </w:r>
      <w:r>
        <w:rPr>
          <w:rFonts w:cs="Times New Roman"/>
        </w:rPr>
        <w:tab/>
      </w:r>
      <w:r>
        <w:rPr>
          <w:rFonts w:cs="Times New Roman"/>
        </w:rPr>
        <w:fldChar w:fldCharType="begin"/>
      </w:r>
      <w:r>
        <w:rPr>
          <w:rFonts w:cs="Times New Roman"/>
        </w:rPr>
        <w:instrText xml:space="preserve"> PAGEREF _Toc6534 \h </w:instrText>
      </w:r>
      <w:r>
        <w:rPr>
          <w:rFonts w:cs="Times New Roman"/>
        </w:rPr>
        <w:fldChar w:fldCharType="separate"/>
      </w:r>
      <w:r>
        <w:rPr>
          <w:rFonts w:cs="Times New Roman"/>
        </w:rPr>
        <w:t>51</w:t>
      </w:r>
      <w:r>
        <w:rPr>
          <w:rFonts w:cs="Times New Roman"/>
        </w:rPr>
        <w:fldChar w:fldCharType="end"/>
      </w:r>
      <w:r>
        <w:rPr>
          <w:rFonts w:cs="Times New Roman"/>
        </w:rPr>
        <w:fldChar w:fldCharType="end"/>
      </w:r>
    </w:p>
    <w:p w14:paraId="01413D35">
      <w:pPr>
        <w:pStyle w:val="64"/>
        <w:tabs>
          <w:tab w:val="right" w:leader="dot" w:pos="8312"/>
          <w:tab w:val="clear" w:pos="8296"/>
        </w:tabs>
        <w:rPr>
          <w:rFonts w:cs="Times New Roman"/>
        </w:rPr>
      </w:pPr>
      <w:r>
        <w:fldChar w:fldCharType="begin"/>
      </w:r>
      <w:r>
        <w:instrText xml:space="preserve"> HYPERLINK \l "_Toc6961" </w:instrText>
      </w:r>
      <w:r>
        <w:fldChar w:fldCharType="separate"/>
      </w:r>
      <w:r>
        <w:rPr>
          <w:rFonts w:cs="Times New Roman"/>
        </w:rPr>
        <w:t>七、最近三年重大资产重组情况</w:t>
      </w:r>
      <w:r>
        <w:rPr>
          <w:rFonts w:cs="Times New Roman"/>
        </w:rPr>
        <w:tab/>
      </w:r>
      <w:r>
        <w:rPr>
          <w:rFonts w:cs="Times New Roman"/>
        </w:rPr>
        <w:fldChar w:fldCharType="begin"/>
      </w:r>
      <w:r>
        <w:rPr>
          <w:rFonts w:cs="Times New Roman"/>
        </w:rPr>
        <w:instrText xml:space="preserve"> PAGEREF _Toc6961 \h </w:instrText>
      </w:r>
      <w:r>
        <w:rPr>
          <w:rFonts w:cs="Times New Roman"/>
        </w:rPr>
        <w:fldChar w:fldCharType="separate"/>
      </w:r>
      <w:r>
        <w:rPr>
          <w:rFonts w:cs="Times New Roman"/>
        </w:rPr>
        <w:t>53</w:t>
      </w:r>
      <w:r>
        <w:rPr>
          <w:rFonts w:cs="Times New Roman"/>
        </w:rPr>
        <w:fldChar w:fldCharType="end"/>
      </w:r>
      <w:r>
        <w:rPr>
          <w:rFonts w:cs="Times New Roman"/>
        </w:rPr>
        <w:fldChar w:fldCharType="end"/>
      </w:r>
    </w:p>
    <w:p w14:paraId="5E6FEFEC">
      <w:pPr>
        <w:pStyle w:val="64"/>
        <w:tabs>
          <w:tab w:val="right" w:leader="dot" w:pos="8312"/>
          <w:tab w:val="clear" w:pos="8296"/>
        </w:tabs>
        <w:rPr>
          <w:rFonts w:cs="Times New Roman"/>
        </w:rPr>
      </w:pPr>
      <w:r>
        <w:fldChar w:fldCharType="begin"/>
      </w:r>
      <w:r>
        <w:instrText xml:space="preserve"> HYPERLINK \l "_Toc1601" </w:instrText>
      </w:r>
      <w:r>
        <w:fldChar w:fldCharType="separate"/>
      </w:r>
      <w:r>
        <w:rPr>
          <w:rFonts w:cs="Times New Roman"/>
        </w:rPr>
        <w:t>八、上市公司因本次交易导致的股权控制结构的预计变化情况</w:t>
      </w:r>
      <w:r>
        <w:rPr>
          <w:rFonts w:cs="Times New Roman"/>
        </w:rPr>
        <w:tab/>
      </w:r>
      <w:r>
        <w:rPr>
          <w:rFonts w:cs="Times New Roman"/>
        </w:rPr>
        <w:fldChar w:fldCharType="begin"/>
      </w:r>
      <w:r>
        <w:rPr>
          <w:rFonts w:cs="Times New Roman"/>
        </w:rPr>
        <w:instrText xml:space="preserve"> PAGEREF _Toc1601 \h </w:instrText>
      </w:r>
      <w:r>
        <w:rPr>
          <w:rFonts w:cs="Times New Roman"/>
        </w:rPr>
        <w:fldChar w:fldCharType="separate"/>
      </w:r>
      <w:r>
        <w:rPr>
          <w:rFonts w:cs="Times New Roman"/>
        </w:rPr>
        <w:t>53</w:t>
      </w:r>
      <w:r>
        <w:rPr>
          <w:rFonts w:cs="Times New Roman"/>
        </w:rPr>
        <w:fldChar w:fldCharType="end"/>
      </w:r>
      <w:r>
        <w:rPr>
          <w:rFonts w:cs="Times New Roman"/>
        </w:rPr>
        <w:fldChar w:fldCharType="end"/>
      </w:r>
    </w:p>
    <w:p w14:paraId="7F210A73">
      <w:pPr>
        <w:pStyle w:val="64"/>
        <w:tabs>
          <w:tab w:val="right" w:leader="dot" w:pos="8312"/>
          <w:tab w:val="clear" w:pos="8296"/>
        </w:tabs>
        <w:rPr>
          <w:rFonts w:cs="Times New Roman"/>
        </w:rPr>
      </w:pPr>
      <w:r>
        <w:fldChar w:fldCharType="begin"/>
      </w:r>
      <w:r>
        <w:instrText xml:space="preserve"> HYPERLINK \l "_Toc24266" </w:instrText>
      </w:r>
      <w:r>
        <w:fldChar w:fldCharType="separate"/>
      </w:r>
      <w:r>
        <w:rPr>
          <w:rFonts w:cs="Times New Roman"/>
        </w:rPr>
        <w:t>九、上市公司合规经营情况</w:t>
      </w:r>
      <w:r>
        <w:rPr>
          <w:rFonts w:cs="Times New Roman"/>
        </w:rPr>
        <w:tab/>
      </w:r>
      <w:r>
        <w:rPr>
          <w:rFonts w:cs="Times New Roman"/>
        </w:rPr>
        <w:fldChar w:fldCharType="begin"/>
      </w:r>
      <w:r>
        <w:rPr>
          <w:rFonts w:cs="Times New Roman"/>
        </w:rPr>
        <w:instrText xml:space="preserve"> PAGEREF _Toc24266 \h </w:instrText>
      </w:r>
      <w:r>
        <w:rPr>
          <w:rFonts w:cs="Times New Roman"/>
        </w:rPr>
        <w:fldChar w:fldCharType="separate"/>
      </w:r>
      <w:r>
        <w:rPr>
          <w:rFonts w:cs="Times New Roman"/>
        </w:rPr>
        <w:t>53</w:t>
      </w:r>
      <w:r>
        <w:rPr>
          <w:rFonts w:cs="Times New Roman"/>
        </w:rPr>
        <w:fldChar w:fldCharType="end"/>
      </w:r>
      <w:r>
        <w:rPr>
          <w:rFonts w:cs="Times New Roman"/>
        </w:rPr>
        <w:fldChar w:fldCharType="end"/>
      </w:r>
    </w:p>
    <w:p w14:paraId="2BFBF521">
      <w:pPr>
        <w:pStyle w:val="52"/>
        <w:tabs>
          <w:tab w:val="right" w:leader="dot" w:pos="8312"/>
          <w:tab w:val="clear" w:pos="8296"/>
        </w:tabs>
        <w:rPr>
          <w:rFonts w:cs="Times New Roman"/>
        </w:rPr>
      </w:pPr>
      <w:r>
        <w:fldChar w:fldCharType="begin"/>
      </w:r>
      <w:r>
        <w:instrText xml:space="preserve"> HYPERLINK \l "_Toc2608" </w:instrText>
      </w:r>
      <w:r>
        <w:fldChar w:fldCharType="separate"/>
      </w:r>
      <w:r>
        <w:rPr>
          <w:rFonts w:cs="Times New Roman"/>
        </w:rPr>
        <w:t>第三节 交易对方基本情况</w:t>
      </w:r>
      <w:r>
        <w:rPr>
          <w:rFonts w:cs="Times New Roman"/>
        </w:rPr>
        <w:tab/>
      </w:r>
      <w:r>
        <w:rPr>
          <w:rFonts w:cs="Times New Roman"/>
        </w:rPr>
        <w:fldChar w:fldCharType="begin"/>
      </w:r>
      <w:r>
        <w:rPr>
          <w:rFonts w:cs="Times New Roman"/>
        </w:rPr>
        <w:instrText xml:space="preserve"> PAGEREF _Toc2608 \h </w:instrText>
      </w:r>
      <w:r>
        <w:rPr>
          <w:rFonts w:cs="Times New Roman"/>
        </w:rPr>
        <w:fldChar w:fldCharType="separate"/>
      </w:r>
      <w:r>
        <w:rPr>
          <w:rFonts w:cs="Times New Roman"/>
        </w:rPr>
        <w:t>54</w:t>
      </w:r>
      <w:r>
        <w:rPr>
          <w:rFonts w:cs="Times New Roman"/>
        </w:rPr>
        <w:fldChar w:fldCharType="end"/>
      </w:r>
      <w:r>
        <w:rPr>
          <w:rFonts w:cs="Times New Roman"/>
        </w:rPr>
        <w:fldChar w:fldCharType="end"/>
      </w:r>
    </w:p>
    <w:p w14:paraId="3DCD51EE">
      <w:pPr>
        <w:pStyle w:val="64"/>
        <w:tabs>
          <w:tab w:val="right" w:leader="dot" w:pos="8312"/>
          <w:tab w:val="clear" w:pos="8296"/>
        </w:tabs>
        <w:rPr>
          <w:rFonts w:cs="Times New Roman"/>
        </w:rPr>
      </w:pPr>
      <w:r>
        <w:fldChar w:fldCharType="begin"/>
      </w:r>
      <w:r>
        <w:instrText xml:space="preserve"> HYPERLINK \l "_Toc8816" </w:instrText>
      </w:r>
      <w:r>
        <w:fldChar w:fldCharType="separate"/>
      </w:r>
      <w:r>
        <w:rPr>
          <w:rFonts w:cs="Times New Roman"/>
        </w:rPr>
        <w:t>一、发行股份及支付现金购买资产的自然人交易对方</w:t>
      </w:r>
      <w:r>
        <w:rPr>
          <w:rFonts w:cs="Times New Roman"/>
        </w:rPr>
        <w:tab/>
      </w:r>
      <w:r>
        <w:rPr>
          <w:rFonts w:cs="Times New Roman"/>
        </w:rPr>
        <w:fldChar w:fldCharType="begin"/>
      </w:r>
      <w:r>
        <w:rPr>
          <w:rFonts w:cs="Times New Roman"/>
        </w:rPr>
        <w:instrText xml:space="preserve"> PAGEREF _Toc8816 \h </w:instrText>
      </w:r>
      <w:r>
        <w:rPr>
          <w:rFonts w:cs="Times New Roman"/>
        </w:rPr>
        <w:fldChar w:fldCharType="separate"/>
      </w:r>
      <w:r>
        <w:rPr>
          <w:rFonts w:cs="Times New Roman"/>
        </w:rPr>
        <w:t>54</w:t>
      </w:r>
      <w:r>
        <w:rPr>
          <w:rFonts w:cs="Times New Roman"/>
        </w:rPr>
        <w:fldChar w:fldCharType="end"/>
      </w:r>
      <w:r>
        <w:rPr>
          <w:rFonts w:cs="Times New Roman"/>
        </w:rPr>
        <w:fldChar w:fldCharType="end"/>
      </w:r>
    </w:p>
    <w:p w14:paraId="04389E13">
      <w:pPr>
        <w:pStyle w:val="64"/>
        <w:tabs>
          <w:tab w:val="right" w:leader="dot" w:pos="8312"/>
          <w:tab w:val="clear" w:pos="8296"/>
        </w:tabs>
        <w:rPr>
          <w:rFonts w:cs="Times New Roman"/>
        </w:rPr>
      </w:pPr>
      <w:r>
        <w:fldChar w:fldCharType="begin"/>
      </w:r>
      <w:r>
        <w:instrText xml:space="preserve"> HYPERLINK \l "_Toc7692" </w:instrText>
      </w:r>
      <w:r>
        <w:fldChar w:fldCharType="separate"/>
      </w:r>
      <w:r>
        <w:rPr>
          <w:rFonts w:cs="Times New Roman"/>
        </w:rPr>
        <w:t>二、发行股份及支付现金购买资产的非自然人交易对方</w:t>
      </w:r>
      <w:r>
        <w:rPr>
          <w:rFonts w:cs="Times New Roman"/>
        </w:rPr>
        <w:tab/>
      </w:r>
      <w:r>
        <w:rPr>
          <w:rFonts w:cs="Times New Roman"/>
        </w:rPr>
        <w:fldChar w:fldCharType="begin"/>
      </w:r>
      <w:r>
        <w:rPr>
          <w:rFonts w:cs="Times New Roman"/>
        </w:rPr>
        <w:instrText xml:space="preserve"> PAGEREF _Toc7692 \h </w:instrText>
      </w:r>
      <w:r>
        <w:rPr>
          <w:rFonts w:cs="Times New Roman"/>
        </w:rPr>
        <w:fldChar w:fldCharType="separate"/>
      </w:r>
      <w:r>
        <w:rPr>
          <w:rFonts w:cs="Times New Roman"/>
        </w:rPr>
        <w:t>54</w:t>
      </w:r>
      <w:r>
        <w:rPr>
          <w:rFonts w:cs="Times New Roman"/>
        </w:rPr>
        <w:fldChar w:fldCharType="end"/>
      </w:r>
      <w:r>
        <w:rPr>
          <w:rFonts w:cs="Times New Roman"/>
        </w:rPr>
        <w:fldChar w:fldCharType="end"/>
      </w:r>
    </w:p>
    <w:p w14:paraId="3DF5CAC8">
      <w:pPr>
        <w:pStyle w:val="64"/>
        <w:tabs>
          <w:tab w:val="right" w:leader="dot" w:pos="8312"/>
          <w:tab w:val="clear" w:pos="8296"/>
        </w:tabs>
        <w:rPr>
          <w:rFonts w:cs="Times New Roman"/>
        </w:rPr>
      </w:pPr>
      <w:r>
        <w:fldChar w:fldCharType="begin"/>
      </w:r>
      <w:r>
        <w:instrText xml:space="preserve"> HYPERLINK \l "_Toc25362" </w:instrText>
      </w:r>
      <w:r>
        <w:fldChar w:fldCharType="separate"/>
      </w:r>
      <w:r>
        <w:rPr>
          <w:rFonts w:cs="Times New Roman"/>
        </w:rPr>
        <w:t>三、 发行股份募集配套资金的交易对方</w:t>
      </w:r>
      <w:r>
        <w:rPr>
          <w:rFonts w:cs="Times New Roman"/>
        </w:rPr>
        <w:tab/>
      </w:r>
      <w:r>
        <w:rPr>
          <w:rFonts w:cs="Times New Roman"/>
        </w:rPr>
        <w:fldChar w:fldCharType="begin"/>
      </w:r>
      <w:r>
        <w:rPr>
          <w:rFonts w:cs="Times New Roman"/>
        </w:rPr>
        <w:instrText xml:space="preserve"> PAGEREF _Toc25362 \h </w:instrText>
      </w:r>
      <w:r>
        <w:rPr>
          <w:rFonts w:cs="Times New Roman"/>
        </w:rPr>
        <w:fldChar w:fldCharType="separate"/>
      </w:r>
      <w:r>
        <w:rPr>
          <w:rFonts w:cs="Times New Roman"/>
        </w:rPr>
        <w:t>80</w:t>
      </w:r>
      <w:r>
        <w:rPr>
          <w:rFonts w:cs="Times New Roman"/>
        </w:rPr>
        <w:fldChar w:fldCharType="end"/>
      </w:r>
      <w:r>
        <w:rPr>
          <w:rFonts w:cs="Times New Roman"/>
        </w:rPr>
        <w:fldChar w:fldCharType="end"/>
      </w:r>
    </w:p>
    <w:p w14:paraId="29B72963">
      <w:pPr>
        <w:pStyle w:val="52"/>
        <w:tabs>
          <w:tab w:val="right" w:leader="dot" w:pos="8312"/>
          <w:tab w:val="clear" w:pos="8296"/>
        </w:tabs>
        <w:rPr>
          <w:rFonts w:cs="Times New Roman"/>
        </w:rPr>
      </w:pPr>
      <w:r>
        <w:fldChar w:fldCharType="begin"/>
      </w:r>
      <w:r>
        <w:instrText xml:space="preserve"> HYPERLINK \l "_Toc7585" </w:instrText>
      </w:r>
      <w:r>
        <w:fldChar w:fldCharType="separate"/>
      </w:r>
      <w:r>
        <w:rPr>
          <w:rFonts w:cs="Times New Roman"/>
        </w:rPr>
        <w:t>第四节 标的公司基本情况</w:t>
      </w:r>
      <w:r>
        <w:rPr>
          <w:rFonts w:cs="Times New Roman"/>
        </w:rPr>
        <w:tab/>
      </w:r>
      <w:r>
        <w:rPr>
          <w:rFonts w:cs="Times New Roman"/>
        </w:rPr>
        <w:fldChar w:fldCharType="begin"/>
      </w:r>
      <w:r>
        <w:rPr>
          <w:rFonts w:cs="Times New Roman"/>
        </w:rPr>
        <w:instrText xml:space="preserve"> PAGEREF _Toc7585 \h </w:instrText>
      </w:r>
      <w:r>
        <w:rPr>
          <w:rFonts w:cs="Times New Roman"/>
        </w:rPr>
        <w:fldChar w:fldCharType="separate"/>
      </w:r>
      <w:r>
        <w:rPr>
          <w:rFonts w:cs="Times New Roman"/>
        </w:rPr>
        <w:t>81</w:t>
      </w:r>
      <w:r>
        <w:rPr>
          <w:rFonts w:cs="Times New Roman"/>
        </w:rPr>
        <w:fldChar w:fldCharType="end"/>
      </w:r>
      <w:r>
        <w:rPr>
          <w:rFonts w:cs="Times New Roman"/>
        </w:rPr>
        <w:fldChar w:fldCharType="end"/>
      </w:r>
    </w:p>
    <w:p w14:paraId="5D66461E">
      <w:pPr>
        <w:pStyle w:val="64"/>
        <w:tabs>
          <w:tab w:val="right" w:leader="dot" w:pos="8312"/>
          <w:tab w:val="clear" w:pos="8296"/>
        </w:tabs>
        <w:rPr>
          <w:rFonts w:cs="Times New Roman"/>
        </w:rPr>
      </w:pPr>
      <w:r>
        <w:fldChar w:fldCharType="begin"/>
      </w:r>
      <w:r>
        <w:instrText xml:space="preserve"> HYPERLINK \l "_Toc32131" </w:instrText>
      </w:r>
      <w:r>
        <w:fldChar w:fldCharType="separate"/>
      </w:r>
      <w:r>
        <w:rPr>
          <w:rFonts w:cs="Times New Roman"/>
        </w:rPr>
        <w:t>一、 基本情况</w:t>
      </w:r>
      <w:r>
        <w:rPr>
          <w:rFonts w:cs="Times New Roman"/>
        </w:rPr>
        <w:tab/>
      </w:r>
      <w:r>
        <w:rPr>
          <w:rFonts w:cs="Times New Roman"/>
        </w:rPr>
        <w:fldChar w:fldCharType="begin"/>
      </w:r>
      <w:r>
        <w:rPr>
          <w:rFonts w:cs="Times New Roman"/>
        </w:rPr>
        <w:instrText xml:space="preserve"> PAGEREF _Toc32131 \h </w:instrText>
      </w:r>
      <w:r>
        <w:rPr>
          <w:rFonts w:cs="Times New Roman"/>
        </w:rPr>
        <w:fldChar w:fldCharType="separate"/>
      </w:r>
      <w:r>
        <w:rPr>
          <w:rFonts w:cs="Times New Roman"/>
        </w:rPr>
        <w:t>81</w:t>
      </w:r>
      <w:r>
        <w:rPr>
          <w:rFonts w:cs="Times New Roman"/>
        </w:rPr>
        <w:fldChar w:fldCharType="end"/>
      </w:r>
      <w:r>
        <w:rPr>
          <w:rFonts w:cs="Times New Roman"/>
        </w:rPr>
        <w:fldChar w:fldCharType="end"/>
      </w:r>
    </w:p>
    <w:p w14:paraId="443C0596">
      <w:pPr>
        <w:pStyle w:val="64"/>
        <w:tabs>
          <w:tab w:val="right" w:leader="dot" w:pos="8312"/>
          <w:tab w:val="clear" w:pos="8296"/>
        </w:tabs>
        <w:rPr>
          <w:rFonts w:cs="Times New Roman"/>
        </w:rPr>
      </w:pPr>
      <w:r>
        <w:fldChar w:fldCharType="begin"/>
      </w:r>
      <w:r>
        <w:instrText xml:space="preserve"> HYPERLINK \l "_Toc27103" </w:instrText>
      </w:r>
      <w:r>
        <w:fldChar w:fldCharType="separate"/>
      </w:r>
      <w:r>
        <w:rPr>
          <w:rFonts w:cs="Times New Roman"/>
        </w:rPr>
        <w:t>二、 股权及控制关系</w:t>
      </w:r>
      <w:r>
        <w:rPr>
          <w:rFonts w:cs="Times New Roman"/>
        </w:rPr>
        <w:tab/>
      </w:r>
      <w:r>
        <w:rPr>
          <w:rFonts w:cs="Times New Roman"/>
        </w:rPr>
        <w:fldChar w:fldCharType="begin"/>
      </w:r>
      <w:r>
        <w:rPr>
          <w:rFonts w:cs="Times New Roman"/>
        </w:rPr>
        <w:instrText xml:space="preserve"> PAGEREF _Toc27103 \h </w:instrText>
      </w:r>
      <w:r>
        <w:rPr>
          <w:rFonts w:cs="Times New Roman"/>
        </w:rPr>
        <w:fldChar w:fldCharType="separate"/>
      </w:r>
      <w:r>
        <w:rPr>
          <w:rFonts w:cs="Times New Roman"/>
        </w:rPr>
        <w:t>81</w:t>
      </w:r>
      <w:r>
        <w:rPr>
          <w:rFonts w:cs="Times New Roman"/>
        </w:rPr>
        <w:fldChar w:fldCharType="end"/>
      </w:r>
      <w:r>
        <w:rPr>
          <w:rFonts w:cs="Times New Roman"/>
        </w:rPr>
        <w:fldChar w:fldCharType="end"/>
      </w:r>
    </w:p>
    <w:p w14:paraId="5529303E">
      <w:pPr>
        <w:pStyle w:val="64"/>
        <w:tabs>
          <w:tab w:val="right" w:leader="dot" w:pos="8312"/>
          <w:tab w:val="clear" w:pos="8296"/>
        </w:tabs>
        <w:rPr>
          <w:rFonts w:cs="Times New Roman"/>
        </w:rPr>
      </w:pPr>
      <w:r>
        <w:fldChar w:fldCharType="begin"/>
      </w:r>
      <w:r>
        <w:instrText xml:space="preserve"> HYPERLINK \l "_Toc4273" </w:instrText>
      </w:r>
      <w:r>
        <w:fldChar w:fldCharType="separate"/>
      </w:r>
      <w:r>
        <w:rPr>
          <w:rFonts w:cs="Times New Roman"/>
        </w:rPr>
        <w:t>三、 主营业务发展情况</w:t>
      </w:r>
      <w:r>
        <w:rPr>
          <w:rFonts w:cs="Times New Roman"/>
        </w:rPr>
        <w:tab/>
      </w:r>
      <w:r>
        <w:rPr>
          <w:rFonts w:cs="Times New Roman"/>
        </w:rPr>
        <w:fldChar w:fldCharType="begin"/>
      </w:r>
      <w:r>
        <w:rPr>
          <w:rFonts w:cs="Times New Roman"/>
        </w:rPr>
        <w:instrText xml:space="preserve"> PAGEREF _Toc4273 \h </w:instrText>
      </w:r>
      <w:r>
        <w:rPr>
          <w:rFonts w:cs="Times New Roman"/>
        </w:rPr>
        <w:fldChar w:fldCharType="separate"/>
      </w:r>
      <w:r>
        <w:rPr>
          <w:rFonts w:cs="Times New Roman"/>
        </w:rPr>
        <w:t>82</w:t>
      </w:r>
      <w:r>
        <w:rPr>
          <w:rFonts w:cs="Times New Roman"/>
        </w:rPr>
        <w:fldChar w:fldCharType="end"/>
      </w:r>
      <w:r>
        <w:rPr>
          <w:rFonts w:cs="Times New Roman"/>
        </w:rPr>
        <w:fldChar w:fldCharType="end"/>
      </w:r>
    </w:p>
    <w:p w14:paraId="4EEE2B2A">
      <w:pPr>
        <w:pStyle w:val="64"/>
        <w:tabs>
          <w:tab w:val="right" w:leader="dot" w:pos="8312"/>
          <w:tab w:val="clear" w:pos="8296"/>
        </w:tabs>
        <w:rPr>
          <w:rFonts w:cs="Times New Roman"/>
        </w:rPr>
      </w:pPr>
      <w:r>
        <w:fldChar w:fldCharType="begin"/>
      </w:r>
      <w:r>
        <w:instrText xml:space="preserve"> HYPERLINK \l "_Toc26810" </w:instrText>
      </w:r>
      <w:r>
        <w:fldChar w:fldCharType="separate"/>
      </w:r>
      <w:r>
        <w:rPr>
          <w:rFonts w:cs="Times New Roman"/>
        </w:rPr>
        <w:t>四、 最近两年主要财务数据</w:t>
      </w:r>
      <w:r>
        <w:rPr>
          <w:rFonts w:cs="Times New Roman"/>
        </w:rPr>
        <w:tab/>
      </w:r>
      <w:r>
        <w:rPr>
          <w:rFonts w:cs="Times New Roman"/>
        </w:rPr>
        <w:fldChar w:fldCharType="begin"/>
      </w:r>
      <w:r>
        <w:rPr>
          <w:rFonts w:cs="Times New Roman"/>
        </w:rPr>
        <w:instrText xml:space="preserve"> PAGEREF _Toc26810 \h </w:instrText>
      </w:r>
      <w:r>
        <w:rPr>
          <w:rFonts w:cs="Times New Roman"/>
        </w:rPr>
        <w:fldChar w:fldCharType="separate"/>
      </w:r>
      <w:r>
        <w:rPr>
          <w:rFonts w:cs="Times New Roman"/>
        </w:rPr>
        <w:t>86</w:t>
      </w:r>
      <w:r>
        <w:rPr>
          <w:rFonts w:cs="Times New Roman"/>
        </w:rPr>
        <w:fldChar w:fldCharType="end"/>
      </w:r>
      <w:r>
        <w:rPr>
          <w:rFonts w:cs="Times New Roman"/>
        </w:rPr>
        <w:fldChar w:fldCharType="end"/>
      </w:r>
    </w:p>
    <w:p w14:paraId="28E1C506">
      <w:pPr>
        <w:pStyle w:val="52"/>
        <w:tabs>
          <w:tab w:val="right" w:leader="dot" w:pos="8312"/>
          <w:tab w:val="clear" w:pos="8296"/>
        </w:tabs>
        <w:rPr>
          <w:rFonts w:cs="Times New Roman"/>
        </w:rPr>
      </w:pPr>
      <w:r>
        <w:fldChar w:fldCharType="begin"/>
      </w:r>
      <w:r>
        <w:instrText xml:space="preserve"> HYPERLINK \l "_Toc2711" </w:instrText>
      </w:r>
      <w:r>
        <w:fldChar w:fldCharType="separate"/>
      </w:r>
      <w:r>
        <w:rPr>
          <w:rFonts w:cs="Times New Roman"/>
        </w:rPr>
        <w:t>第五节 标的资产预估作价情况</w:t>
      </w:r>
      <w:r>
        <w:rPr>
          <w:rFonts w:cs="Times New Roman"/>
        </w:rPr>
        <w:tab/>
      </w:r>
      <w:r>
        <w:rPr>
          <w:rFonts w:cs="Times New Roman"/>
        </w:rPr>
        <w:fldChar w:fldCharType="begin"/>
      </w:r>
      <w:r>
        <w:rPr>
          <w:rFonts w:cs="Times New Roman"/>
        </w:rPr>
        <w:instrText xml:space="preserve"> PAGEREF _Toc2711 \h </w:instrText>
      </w:r>
      <w:r>
        <w:rPr>
          <w:rFonts w:cs="Times New Roman"/>
        </w:rPr>
        <w:fldChar w:fldCharType="separate"/>
      </w:r>
      <w:r>
        <w:rPr>
          <w:rFonts w:cs="Times New Roman"/>
        </w:rPr>
        <w:t>87</w:t>
      </w:r>
      <w:r>
        <w:rPr>
          <w:rFonts w:cs="Times New Roman"/>
        </w:rPr>
        <w:fldChar w:fldCharType="end"/>
      </w:r>
      <w:r>
        <w:rPr>
          <w:rFonts w:cs="Times New Roman"/>
        </w:rPr>
        <w:fldChar w:fldCharType="end"/>
      </w:r>
    </w:p>
    <w:p w14:paraId="48D2B5AE">
      <w:pPr>
        <w:pStyle w:val="52"/>
        <w:tabs>
          <w:tab w:val="right" w:leader="dot" w:pos="8312"/>
          <w:tab w:val="clear" w:pos="8296"/>
        </w:tabs>
        <w:rPr>
          <w:rFonts w:cs="Times New Roman"/>
        </w:rPr>
      </w:pPr>
      <w:r>
        <w:fldChar w:fldCharType="begin"/>
      </w:r>
      <w:r>
        <w:instrText xml:space="preserve"> HYPERLINK \l "_Toc14532" </w:instrText>
      </w:r>
      <w:r>
        <w:fldChar w:fldCharType="separate"/>
      </w:r>
      <w:r>
        <w:rPr>
          <w:rFonts w:cs="Times New Roman"/>
        </w:rPr>
        <w:t>第六节 发行股份情况</w:t>
      </w:r>
      <w:r>
        <w:rPr>
          <w:rFonts w:cs="Times New Roman"/>
        </w:rPr>
        <w:tab/>
      </w:r>
      <w:r>
        <w:rPr>
          <w:rFonts w:cs="Times New Roman"/>
        </w:rPr>
        <w:fldChar w:fldCharType="begin"/>
      </w:r>
      <w:r>
        <w:rPr>
          <w:rFonts w:cs="Times New Roman"/>
        </w:rPr>
        <w:instrText xml:space="preserve"> PAGEREF _Toc14532 \h </w:instrText>
      </w:r>
      <w:r>
        <w:rPr>
          <w:rFonts w:cs="Times New Roman"/>
        </w:rPr>
        <w:fldChar w:fldCharType="separate"/>
      </w:r>
      <w:r>
        <w:rPr>
          <w:rFonts w:cs="Times New Roman"/>
        </w:rPr>
        <w:t>88</w:t>
      </w:r>
      <w:r>
        <w:rPr>
          <w:rFonts w:cs="Times New Roman"/>
        </w:rPr>
        <w:fldChar w:fldCharType="end"/>
      </w:r>
      <w:r>
        <w:rPr>
          <w:rFonts w:cs="Times New Roman"/>
        </w:rPr>
        <w:fldChar w:fldCharType="end"/>
      </w:r>
    </w:p>
    <w:p w14:paraId="558DED86">
      <w:pPr>
        <w:pStyle w:val="52"/>
        <w:tabs>
          <w:tab w:val="right" w:leader="dot" w:pos="8312"/>
          <w:tab w:val="clear" w:pos="8296"/>
        </w:tabs>
        <w:rPr>
          <w:rFonts w:cs="Times New Roman"/>
        </w:rPr>
      </w:pPr>
      <w:r>
        <w:fldChar w:fldCharType="begin"/>
      </w:r>
      <w:r>
        <w:instrText xml:space="preserve"> HYPERLINK \l "_Toc32221" </w:instrText>
      </w:r>
      <w:r>
        <w:fldChar w:fldCharType="separate"/>
      </w:r>
      <w:r>
        <w:rPr>
          <w:rFonts w:cs="Times New Roman"/>
          <w:kern w:val="2"/>
          <w:szCs w:val="28"/>
          <w:lang w:val="zh-CN"/>
        </w:rPr>
        <w:t>第</w:t>
      </w:r>
      <w:r>
        <w:rPr>
          <w:rFonts w:cs="Times New Roman"/>
          <w:kern w:val="2"/>
          <w:szCs w:val="28"/>
        </w:rPr>
        <w:t>七</w:t>
      </w:r>
      <w:r>
        <w:rPr>
          <w:rFonts w:cs="Times New Roman"/>
          <w:kern w:val="2"/>
          <w:szCs w:val="28"/>
          <w:lang w:val="zh-CN"/>
        </w:rPr>
        <w:t>节</w:t>
      </w:r>
      <w:r>
        <w:rPr>
          <w:rFonts w:cs="Times New Roman"/>
          <w:kern w:val="2"/>
          <w:szCs w:val="28"/>
        </w:rPr>
        <w:t xml:space="preserve"> </w:t>
      </w:r>
      <w:r>
        <w:rPr>
          <w:rFonts w:cs="Times New Roman"/>
          <w:kern w:val="2"/>
          <w:szCs w:val="28"/>
          <w:lang w:val="zh-CN"/>
        </w:rPr>
        <w:t>风险因素</w:t>
      </w:r>
      <w:r>
        <w:rPr>
          <w:rFonts w:cs="Times New Roman"/>
        </w:rPr>
        <w:tab/>
      </w:r>
      <w:r>
        <w:rPr>
          <w:rFonts w:cs="Times New Roman"/>
        </w:rPr>
        <w:fldChar w:fldCharType="begin"/>
      </w:r>
      <w:r>
        <w:rPr>
          <w:rFonts w:cs="Times New Roman"/>
        </w:rPr>
        <w:instrText xml:space="preserve"> PAGEREF _Toc32221 \h </w:instrText>
      </w:r>
      <w:r>
        <w:rPr>
          <w:rFonts w:cs="Times New Roman"/>
        </w:rPr>
        <w:fldChar w:fldCharType="separate"/>
      </w:r>
      <w:r>
        <w:rPr>
          <w:rFonts w:cs="Times New Roman"/>
        </w:rPr>
        <w:t>89</w:t>
      </w:r>
      <w:r>
        <w:rPr>
          <w:rFonts w:cs="Times New Roman"/>
        </w:rPr>
        <w:fldChar w:fldCharType="end"/>
      </w:r>
      <w:r>
        <w:rPr>
          <w:rFonts w:cs="Times New Roman"/>
        </w:rPr>
        <w:fldChar w:fldCharType="end"/>
      </w:r>
    </w:p>
    <w:p w14:paraId="29CD71B7">
      <w:pPr>
        <w:pStyle w:val="64"/>
        <w:tabs>
          <w:tab w:val="right" w:leader="dot" w:pos="8312"/>
          <w:tab w:val="clear" w:pos="8296"/>
        </w:tabs>
        <w:rPr>
          <w:rFonts w:cs="Times New Roman"/>
        </w:rPr>
      </w:pPr>
      <w:r>
        <w:fldChar w:fldCharType="begin"/>
      </w:r>
      <w:r>
        <w:instrText xml:space="preserve"> HYPERLINK \l "_Toc24296" </w:instrText>
      </w:r>
      <w:r>
        <w:fldChar w:fldCharType="separate"/>
      </w:r>
      <w:r>
        <w:rPr>
          <w:rFonts w:cs="Times New Roman"/>
        </w:rPr>
        <w:t>一、与本次交易相关的风险</w:t>
      </w:r>
      <w:r>
        <w:rPr>
          <w:rFonts w:cs="Times New Roman"/>
        </w:rPr>
        <w:tab/>
      </w:r>
      <w:r>
        <w:rPr>
          <w:rFonts w:cs="Times New Roman"/>
        </w:rPr>
        <w:fldChar w:fldCharType="begin"/>
      </w:r>
      <w:r>
        <w:rPr>
          <w:rFonts w:cs="Times New Roman"/>
        </w:rPr>
        <w:instrText xml:space="preserve"> PAGEREF _Toc24296 \h </w:instrText>
      </w:r>
      <w:r>
        <w:rPr>
          <w:rFonts w:cs="Times New Roman"/>
        </w:rPr>
        <w:fldChar w:fldCharType="separate"/>
      </w:r>
      <w:r>
        <w:rPr>
          <w:rFonts w:cs="Times New Roman"/>
        </w:rPr>
        <w:t>89</w:t>
      </w:r>
      <w:r>
        <w:rPr>
          <w:rFonts w:cs="Times New Roman"/>
        </w:rPr>
        <w:fldChar w:fldCharType="end"/>
      </w:r>
      <w:r>
        <w:rPr>
          <w:rFonts w:cs="Times New Roman"/>
        </w:rPr>
        <w:fldChar w:fldCharType="end"/>
      </w:r>
    </w:p>
    <w:p w14:paraId="073D9355">
      <w:pPr>
        <w:pStyle w:val="64"/>
        <w:tabs>
          <w:tab w:val="right" w:leader="dot" w:pos="8312"/>
          <w:tab w:val="clear" w:pos="8296"/>
        </w:tabs>
        <w:rPr>
          <w:rFonts w:cs="Times New Roman"/>
        </w:rPr>
      </w:pPr>
      <w:r>
        <w:fldChar w:fldCharType="begin"/>
      </w:r>
      <w:r>
        <w:instrText xml:space="preserve"> HYPERLINK \l "_Toc3382" </w:instrText>
      </w:r>
      <w:r>
        <w:fldChar w:fldCharType="separate"/>
      </w:r>
      <w:r>
        <w:rPr>
          <w:rFonts w:cs="Times New Roman"/>
        </w:rPr>
        <w:t>二、与标的资产相关的风险</w:t>
      </w:r>
      <w:r>
        <w:rPr>
          <w:rFonts w:cs="Times New Roman"/>
        </w:rPr>
        <w:tab/>
      </w:r>
      <w:r>
        <w:rPr>
          <w:rFonts w:cs="Times New Roman"/>
        </w:rPr>
        <w:fldChar w:fldCharType="begin"/>
      </w:r>
      <w:r>
        <w:rPr>
          <w:rFonts w:cs="Times New Roman"/>
        </w:rPr>
        <w:instrText xml:space="preserve"> PAGEREF _Toc3382 \h </w:instrText>
      </w:r>
      <w:r>
        <w:rPr>
          <w:rFonts w:cs="Times New Roman"/>
        </w:rPr>
        <w:fldChar w:fldCharType="separate"/>
      </w:r>
      <w:r>
        <w:rPr>
          <w:rFonts w:cs="Times New Roman"/>
        </w:rPr>
        <w:t>92</w:t>
      </w:r>
      <w:r>
        <w:rPr>
          <w:rFonts w:cs="Times New Roman"/>
        </w:rPr>
        <w:fldChar w:fldCharType="end"/>
      </w:r>
      <w:r>
        <w:rPr>
          <w:rFonts w:cs="Times New Roman"/>
        </w:rPr>
        <w:fldChar w:fldCharType="end"/>
      </w:r>
    </w:p>
    <w:p w14:paraId="27291330">
      <w:pPr>
        <w:pStyle w:val="64"/>
        <w:tabs>
          <w:tab w:val="right" w:leader="dot" w:pos="8312"/>
          <w:tab w:val="clear" w:pos="8296"/>
        </w:tabs>
        <w:rPr>
          <w:rFonts w:cs="Times New Roman"/>
        </w:rPr>
      </w:pPr>
      <w:r>
        <w:fldChar w:fldCharType="begin"/>
      </w:r>
      <w:r>
        <w:instrText xml:space="preserve"> HYPERLINK \l "_Toc9904" </w:instrText>
      </w:r>
      <w:r>
        <w:fldChar w:fldCharType="separate"/>
      </w:r>
      <w:r>
        <w:rPr>
          <w:rFonts w:cs="Times New Roman"/>
        </w:rPr>
        <w:t>三、其他风险</w:t>
      </w:r>
      <w:r>
        <w:rPr>
          <w:rFonts w:cs="Times New Roman"/>
        </w:rPr>
        <w:tab/>
      </w:r>
      <w:r>
        <w:rPr>
          <w:rFonts w:cs="Times New Roman"/>
        </w:rPr>
        <w:fldChar w:fldCharType="begin"/>
      </w:r>
      <w:r>
        <w:rPr>
          <w:rFonts w:cs="Times New Roman"/>
        </w:rPr>
        <w:instrText xml:space="preserve"> PAGEREF _Toc9904 \h </w:instrText>
      </w:r>
      <w:r>
        <w:rPr>
          <w:rFonts w:cs="Times New Roman"/>
        </w:rPr>
        <w:fldChar w:fldCharType="separate"/>
      </w:r>
      <w:r>
        <w:rPr>
          <w:rFonts w:cs="Times New Roman"/>
        </w:rPr>
        <w:t>92</w:t>
      </w:r>
      <w:r>
        <w:rPr>
          <w:rFonts w:cs="Times New Roman"/>
        </w:rPr>
        <w:fldChar w:fldCharType="end"/>
      </w:r>
      <w:r>
        <w:rPr>
          <w:rFonts w:cs="Times New Roman"/>
        </w:rPr>
        <w:fldChar w:fldCharType="end"/>
      </w:r>
    </w:p>
    <w:p w14:paraId="48196446">
      <w:pPr>
        <w:pStyle w:val="52"/>
        <w:tabs>
          <w:tab w:val="right" w:leader="dot" w:pos="8312"/>
          <w:tab w:val="clear" w:pos="8296"/>
        </w:tabs>
        <w:rPr>
          <w:rFonts w:cs="Times New Roman"/>
        </w:rPr>
      </w:pPr>
      <w:r>
        <w:fldChar w:fldCharType="begin"/>
      </w:r>
      <w:r>
        <w:instrText xml:space="preserve"> HYPERLINK \l "_Toc25346" </w:instrText>
      </w:r>
      <w:r>
        <w:fldChar w:fldCharType="separate"/>
      </w:r>
      <w:r>
        <w:rPr>
          <w:rFonts w:cs="Times New Roman"/>
          <w:kern w:val="2"/>
          <w:szCs w:val="28"/>
          <w:lang w:val="zh-CN"/>
        </w:rPr>
        <w:t>第八节</w:t>
      </w:r>
      <w:r>
        <w:rPr>
          <w:rFonts w:cs="Times New Roman"/>
          <w:kern w:val="2"/>
          <w:szCs w:val="28"/>
        </w:rPr>
        <w:t xml:space="preserve"> </w:t>
      </w:r>
      <w:r>
        <w:rPr>
          <w:rFonts w:cs="Times New Roman"/>
          <w:kern w:val="2"/>
          <w:szCs w:val="28"/>
          <w:lang w:val="zh-CN"/>
        </w:rPr>
        <w:t>其他重要事项</w:t>
      </w:r>
      <w:r>
        <w:rPr>
          <w:rFonts w:cs="Times New Roman"/>
        </w:rPr>
        <w:tab/>
      </w:r>
      <w:r>
        <w:rPr>
          <w:rFonts w:cs="Times New Roman"/>
        </w:rPr>
        <w:fldChar w:fldCharType="begin"/>
      </w:r>
      <w:r>
        <w:rPr>
          <w:rFonts w:cs="Times New Roman"/>
        </w:rPr>
        <w:instrText xml:space="preserve"> PAGEREF _Toc25346 \h </w:instrText>
      </w:r>
      <w:r>
        <w:rPr>
          <w:rFonts w:cs="Times New Roman"/>
        </w:rPr>
        <w:fldChar w:fldCharType="separate"/>
      </w:r>
      <w:r>
        <w:rPr>
          <w:rFonts w:cs="Times New Roman"/>
        </w:rPr>
        <w:t>94</w:t>
      </w:r>
      <w:r>
        <w:rPr>
          <w:rFonts w:cs="Times New Roman"/>
        </w:rPr>
        <w:fldChar w:fldCharType="end"/>
      </w:r>
      <w:r>
        <w:rPr>
          <w:rFonts w:cs="Times New Roman"/>
        </w:rPr>
        <w:fldChar w:fldCharType="end"/>
      </w:r>
    </w:p>
    <w:p w14:paraId="3918C4FD">
      <w:pPr>
        <w:pStyle w:val="64"/>
        <w:tabs>
          <w:tab w:val="right" w:leader="dot" w:pos="8312"/>
          <w:tab w:val="clear" w:pos="8296"/>
        </w:tabs>
        <w:rPr>
          <w:rFonts w:cs="Times New Roman"/>
        </w:rPr>
      </w:pPr>
      <w:r>
        <w:fldChar w:fldCharType="begin"/>
      </w:r>
      <w:r>
        <w:instrText xml:space="preserve"> HYPERLINK \l "_Toc29176" </w:instrText>
      </w:r>
      <w:r>
        <w:fldChar w:fldCharType="separate"/>
      </w:r>
      <w:r>
        <w:rPr>
          <w:rFonts w:cs="Times New Roman"/>
          <w:bCs/>
          <w:kern w:val="2"/>
          <w:szCs w:val="28"/>
        </w:rPr>
        <w:t>一、上市公司控股股东、实际控制人对本次交易的原则性意见</w:t>
      </w:r>
      <w:r>
        <w:rPr>
          <w:rFonts w:cs="Times New Roman"/>
        </w:rPr>
        <w:tab/>
      </w:r>
      <w:r>
        <w:rPr>
          <w:rFonts w:cs="Times New Roman"/>
        </w:rPr>
        <w:fldChar w:fldCharType="begin"/>
      </w:r>
      <w:r>
        <w:rPr>
          <w:rFonts w:cs="Times New Roman"/>
        </w:rPr>
        <w:instrText xml:space="preserve"> PAGEREF _Toc29176 \h </w:instrText>
      </w:r>
      <w:r>
        <w:rPr>
          <w:rFonts w:cs="Times New Roman"/>
        </w:rPr>
        <w:fldChar w:fldCharType="separate"/>
      </w:r>
      <w:r>
        <w:rPr>
          <w:rFonts w:cs="Times New Roman"/>
        </w:rPr>
        <w:t>94</w:t>
      </w:r>
      <w:r>
        <w:rPr>
          <w:rFonts w:cs="Times New Roman"/>
        </w:rPr>
        <w:fldChar w:fldCharType="end"/>
      </w:r>
      <w:r>
        <w:rPr>
          <w:rFonts w:cs="Times New Roman"/>
        </w:rPr>
        <w:fldChar w:fldCharType="end"/>
      </w:r>
    </w:p>
    <w:p w14:paraId="3BBBECD4">
      <w:pPr>
        <w:pStyle w:val="64"/>
        <w:tabs>
          <w:tab w:val="right" w:leader="dot" w:pos="8312"/>
          <w:tab w:val="clear" w:pos="8296"/>
        </w:tabs>
        <w:rPr>
          <w:rFonts w:cs="Times New Roman"/>
        </w:rPr>
      </w:pPr>
      <w:r>
        <w:fldChar w:fldCharType="begin"/>
      </w:r>
      <w:r>
        <w:instrText xml:space="preserve"> HYPERLINK \l "_Toc7877" </w:instrText>
      </w:r>
      <w:r>
        <w:fldChar w:fldCharType="separate"/>
      </w:r>
      <w:r>
        <w:rPr>
          <w:rFonts w:cs="Times New Roman"/>
          <w:bCs/>
          <w:kern w:val="2"/>
          <w:szCs w:val="28"/>
        </w:rPr>
        <w:t>二、上市公司控股股东、实际控制人及公司董事、监事、高级管理人员本次重组预案公告之日起至实施完毕期间的股份减持计划</w:t>
      </w:r>
      <w:r>
        <w:rPr>
          <w:rFonts w:cs="Times New Roman"/>
        </w:rPr>
        <w:tab/>
      </w:r>
      <w:r>
        <w:rPr>
          <w:rFonts w:cs="Times New Roman"/>
        </w:rPr>
        <w:fldChar w:fldCharType="begin"/>
      </w:r>
      <w:r>
        <w:rPr>
          <w:rFonts w:cs="Times New Roman"/>
        </w:rPr>
        <w:instrText xml:space="preserve"> PAGEREF _Toc7877 \h </w:instrText>
      </w:r>
      <w:r>
        <w:rPr>
          <w:rFonts w:cs="Times New Roman"/>
        </w:rPr>
        <w:fldChar w:fldCharType="separate"/>
      </w:r>
      <w:r>
        <w:rPr>
          <w:rFonts w:cs="Times New Roman"/>
        </w:rPr>
        <w:t>94</w:t>
      </w:r>
      <w:r>
        <w:rPr>
          <w:rFonts w:cs="Times New Roman"/>
        </w:rPr>
        <w:fldChar w:fldCharType="end"/>
      </w:r>
      <w:r>
        <w:rPr>
          <w:rFonts w:cs="Times New Roman"/>
        </w:rPr>
        <w:fldChar w:fldCharType="end"/>
      </w:r>
    </w:p>
    <w:p w14:paraId="69967CC5">
      <w:pPr>
        <w:pStyle w:val="64"/>
        <w:tabs>
          <w:tab w:val="right" w:leader="dot" w:pos="8312"/>
          <w:tab w:val="clear" w:pos="8296"/>
        </w:tabs>
        <w:rPr>
          <w:rFonts w:cs="Times New Roman"/>
        </w:rPr>
      </w:pPr>
      <w:r>
        <w:fldChar w:fldCharType="begin"/>
      </w:r>
      <w:r>
        <w:instrText xml:space="preserve"> HYPERLINK \l "_Toc23294" </w:instrText>
      </w:r>
      <w:r>
        <w:fldChar w:fldCharType="separate"/>
      </w:r>
      <w:r>
        <w:rPr>
          <w:rFonts w:cs="Times New Roman"/>
          <w:bCs/>
          <w:kern w:val="2"/>
          <w:szCs w:val="28"/>
        </w:rPr>
        <w:t>三、本次重组对中小投资者权益保护的安排</w:t>
      </w:r>
      <w:r>
        <w:rPr>
          <w:rFonts w:cs="Times New Roman"/>
        </w:rPr>
        <w:tab/>
      </w:r>
      <w:r>
        <w:rPr>
          <w:rFonts w:cs="Times New Roman"/>
        </w:rPr>
        <w:fldChar w:fldCharType="begin"/>
      </w:r>
      <w:r>
        <w:rPr>
          <w:rFonts w:cs="Times New Roman"/>
        </w:rPr>
        <w:instrText xml:space="preserve"> PAGEREF _Toc23294 \h </w:instrText>
      </w:r>
      <w:r>
        <w:rPr>
          <w:rFonts w:cs="Times New Roman"/>
        </w:rPr>
        <w:fldChar w:fldCharType="separate"/>
      </w:r>
      <w:r>
        <w:rPr>
          <w:rFonts w:cs="Times New Roman"/>
        </w:rPr>
        <w:t>95</w:t>
      </w:r>
      <w:r>
        <w:rPr>
          <w:rFonts w:cs="Times New Roman"/>
        </w:rPr>
        <w:fldChar w:fldCharType="end"/>
      </w:r>
      <w:r>
        <w:rPr>
          <w:rFonts w:cs="Times New Roman"/>
        </w:rPr>
        <w:fldChar w:fldCharType="end"/>
      </w:r>
    </w:p>
    <w:p w14:paraId="3E2A1B8E">
      <w:pPr>
        <w:pStyle w:val="64"/>
        <w:tabs>
          <w:tab w:val="right" w:leader="dot" w:pos="8312"/>
          <w:tab w:val="clear" w:pos="8296"/>
        </w:tabs>
        <w:rPr>
          <w:rFonts w:cs="Times New Roman"/>
        </w:rPr>
      </w:pPr>
      <w:r>
        <w:fldChar w:fldCharType="begin"/>
      </w:r>
      <w:r>
        <w:instrText xml:space="preserve"> HYPERLINK \l "_Toc12132" </w:instrText>
      </w:r>
      <w:r>
        <w:fldChar w:fldCharType="separate"/>
      </w:r>
      <w:r>
        <w:rPr>
          <w:rFonts w:cs="Times New Roman"/>
          <w:bCs/>
          <w:kern w:val="2"/>
          <w:szCs w:val="28"/>
        </w:rPr>
        <w:t>四、本次交易的相关主体不存在依据《上市公司监管指引第7号——上市公司重大资产重组相关股票异常交易监管》第十二条不得参与任何上市公司重大资产重组的情形</w:t>
      </w:r>
      <w:r>
        <w:rPr>
          <w:rFonts w:cs="Times New Roman"/>
        </w:rPr>
        <w:tab/>
      </w:r>
      <w:r>
        <w:rPr>
          <w:rFonts w:cs="Times New Roman"/>
        </w:rPr>
        <w:fldChar w:fldCharType="begin"/>
      </w:r>
      <w:r>
        <w:rPr>
          <w:rFonts w:cs="Times New Roman"/>
        </w:rPr>
        <w:instrText xml:space="preserve"> PAGEREF _Toc12132 \h </w:instrText>
      </w:r>
      <w:r>
        <w:rPr>
          <w:rFonts w:cs="Times New Roman"/>
        </w:rPr>
        <w:fldChar w:fldCharType="separate"/>
      </w:r>
      <w:r>
        <w:rPr>
          <w:rFonts w:cs="Times New Roman"/>
        </w:rPr>
        <w:t>97</w:t>
      </w:r>
      <w:r>
        <w:rPr>
          <w:rFonts w:cs="Times New Roman"/>
        </w:rPr>
        <w:fldChar w:fldCharType="end"/>
      </w:r>
      <w:r>
        <w:rPr>
          <w:rFonts w:cs="Times New Roman"/>
        </w:rPr>
        <w:fldChar w:fldCharType="end"/>
      </w:r>
    </w:p>
    <w:p w14:paraId="266CCF99">
      <w:pPr>
        <w:pStyle w:val="64"/>
        <w:tabs>
          <w:tab w:val="right" w:leader="dot" w:pos="8312"/>
          <w:tab w:val="clear" w:pos="8296"/>
        </w:tabs>
        <w:rPr>
          <w:rFonts w:cs="Times New Roman"/>
        </w:rPr>
      </w:pPr>
      <w:r>
        <w:fldChar w:fldCharType="begin"/>
      </w:r>
      <w:r>
        <w:instrText xml:space="preserve"> HYPERLINK \l "_Toc25645" </w:instrText>
      </w:r>
      <w:r>
        <w:fldChar w:fldCharType="separate"/>
      </w:r>
      <w:r>
        <w:rPr>
          <w:rFonts w:cs="Times New Roman"/>
          <w:bCs/>
          <w:kern w:val="2"/>
          <w:szCs w:val="28"/>
        </w:rPr>
        <w:t>五、本公司最近十二个月内重大资产购买或出售情况</w:t>
      </w:r>
      <w:r>
        <w:rPr>
          <w:rFonts w:cs="Times New Roman"/>
        </w:rPr>
        <w:tab/>
      </w:r>
      <w:r>
        <w:rPr>
          <w:rFonts w:cs="Times New Roman"/>
        </w:rPr>
        <w:fldChar w:fldCharType="begin"/>
      </w:r>
      <w:r>
        <w:rPr>
          <w:rFonts w:cs="Times New Roman"/>
        </w:rPr>
        <w:instrText xml:space="preserve"> PAGEREF _Toc25645 \h </w:instrText>
      </w:r>
      <w:r>
        <w:rPr>
          <w:rFonts w:cs="Times New Roman"/>
        </w:rPr>
        <w:fldChar w:fldCharType="separate"/>
      </w:r>
      <w:r>
        <w:rPr>
          <w:rFonts w:cs="Times New Roman"/>
        </w:rPr>
        <w:t>97</w:t>
      </w:r>
      <w:r>
        <w:rPr>
          <w:rFonts w:cs="Times New Roman"/>
        </w:rPr>
        <w:fldChar w:fldCharType="end"/>
      </w:r>
      <w:r>
        <w:rPr>
          <w:rFonts w:cs="Times New Roman"/>
        </w:rPr>
        <w:fldChar w:fldCharType="end"/>
      </w:r>
    </w:p>
    <w:p w14:paraId="3EC7BE4E">
      <w:pPr>
        <w:pStyle w:val="64"/>
        <w:tabs>
          <w:tab w:val="right" w:leader="dot" w:pos="8312"/>
          <w:tab w:val="clear" w:pos="8296"/>
        </w:tabs>
        <w:rPr>
          <w:rFonts w:cs="Times New Roman"/>
        </w:rPr>
      </w:pPr>
      <w:r>
        <w:fldChar w:fldCharType="begin"/>
      </w:r>
      <w:r>
        <w:instrText xml:space="preserve"> HYPERLINK \l "_Toc2129" </w:instrText>
      </w:r>
      <w:r>
        <w:fldChar w:fldCharType="separate"/>
      </w:r>
      <w:r>
        <w:rPr>
          <w:rFonts w:cs="Times New Roman"/>
          <w:bCs/>
          <w:kern w:val="2"/>
          <w:szCs w:val="28"/>
        </w:rPr>
        <w:t>六、本次交易披露前上市公司股票价格波动情况</w:t>
      </w:r>
      <w:r>
        <w:rPr>
          <w:rFonts w:cs="Times New Roman"/>
        </w:rPr>
        <w:tab/>
      </w:r>
      <w:r>
        <w:rPr>
          <w:rFonts w:cs="Times New Roman"/>
        </w:rPr>
        <w:fldChar w:fldCharType="begin"/>
      </w:r>
      <w:r>
        <w:rPr>
          <w:rFonts w:cs="Times New Roman"/>
        </w:rPr>
        <w:instrText xml:space="preserve"> PAGEREF _Toc2129 \h </w:instrText>
      </w:r>
      <w:r>
        <w:rPr>
          <w:rFonts w:cs="Times New Roman"/>
        </w:rPr>
        <w:fldChar w:fldCharType="separate"/>
      </w:r>
      <w:r>
        <w:rPr>
          <w:rFonts w:cs="Times New Roman"/>
        </w:rPr>
        <w:t>97</w:t>
      </w:r>
      <w:r>
        <w:rPr>
          <w:rFonts w:cs="Times New Roman"/>
        </w:rPr>
        <w:fldChar w:fldCharType="end"/>
      </w:r>
      <w:r>
        <w:rPr>
          <w:rFonts w:cs="Times New Roman"/>
        </w:rPr>
        <w:fldChar w:fldCharType="end"/>
      </w:r>
    </w:p>
    <w:p w14:paraId="2242AF43">
      <w:pPr>
        <w:pStyle w:val="64"/>
        <w:tabs>
          <w:tab w:val="right" w:leader="dot" w:pos="8312"/>
          <w:tab w:val="clear" w:pos="8296"/>
        </w:tabs>
        <w:rPr>
          <w:rFonts w:cs="Times New Roman"/>
        </w:rPr>
      </w:pPr>
      <w:r>
        <w:fldChar w:fldCharType="begin"/>
      </w:r>
      <w:r>
        <w:instrText xml:space="preserve"> HYPERLINK \l "_Toc2844" </w:instrText>
      </w:r>
      <w:r>
        <w:fldChar w:fldCharType="separate"/>
      </w:r>
      <w:r>
        <w:rPr>
          <w:rFonts w:cs="Times New Roman"/>
          <w:bCs/>
          <w:kern w:val="2"/>
          <w:szCs w:val="28"/>
        </w:rPr>
        <w:t>七、本次交易对上市公司治理机制的影响</w:t>
      </w:r>
      <w:r>
        <w:rPr>
          <w:rFonts w:cs="Times New Roman"/>
        </w:rPr>
        <w:tab/>
      </w:r>
      <w:r>
        <w:rPr>
          <w:rFonts w:cs="Times New Roman"/>
        </w:rPr>
        <w:fldChar w:fldCharType="begin"/>
      </w:r>
      <w:r>
        <w:rPr>
          <w:rFonts w:cs="Times New Roman"/>
        </w:rPr>
        <w:instrText xml:space="preserve"> PAGEREF _Toc2844 \h </w:instrText>
      </w:r>
      <w:r>
        <w:rPr>
          <w:rFonts w:cs="Times New Roman"/>
        </w:rPr>
        <w:fldChar w:fldCharType="separate"/>
      </w:r>
      <w:r>
        <w:rPr>
          <w:rFonts w:cs="Times New Roman"/>
        </w:rPr>
        <w:t>98</w:t>
      </w:r>
      <w:r>
        <w:rPr>
          <w:rFonts w:cs="Times New Roman"/>
        </w:rPr>
        <w:fldChar w:fldCharType="end"/>
      </w:r>
      <w:r>
        <w:rPr>
          <w:rFonts w:cs="Times New Roman"/>
        </w:rPr>
        <w:fldChar w:fldCharType="end"/>
      </w:r>
    </w:p>
    <w:p w14:paraId="3ECF7FCD">
      <w:pPr>
        <w:pStyle w:val="52"/>
        <w:tabs>
          <w:tab w:val="right" w:leader="dot" w:pos="8312"/>
          <w:tab w:val="clear" w:pos="8296"/>
        </w:tabs>
        <w:rPr>
          <w:rFonts w:cs="Times New Roman"/>
        </w:rPr>
      </w:pPr>
      <w:r>
        <w:fldChar w:fldCharType="begin"/>
      </w:r>
      <w:r>
        <w:instrText xml:space="preserve"> HYPERLINK \l "_Toc20743" </w:instrText>
      </w:r>
      <w:r>
        <w:fldChar w:fldCharType="separate"/>
      </w:r>
      <w:r>
        <w:rPr>
          <w:rFonts w:cs="Times New Roman"/>
          <w:kern w:val="2"/>
          <w:szCs w:val="28"/>
          <w:lang w:val="zh-CN"/>
        </w:rPr>
        <w:t>第</w:t>
      </w:r>
      <w:r>
        <w:rPr>
          <w:rFonts w:cs="Times New Roman"/>
          <w:kern w:val="2"/>
          <w:szCs w:val="28"/>
        </w:rPr>
        <w:t>九</w:t>
      </w:r>
      <w:r>
        <w:rPr>
          <w:rFonts w:cs="Times New Roman"/>
          <w:kern w:val="2"/>
          <w:szCs w:val="28"/>
          <w:lang w:val="zh-CN"/>
        </w:rPr>
        <w:t>节</w:t>
      </w:r>
      <w:r>
        <w:rPr>
          <w:rFonts w:cs="Times New Roman"/>
          <w:kern w:val="2"/>
          <w:szCs w:val="28"/>
        </w:rPr>
        <w:t xml:space="preserve"> 独立董事专门会议审核意见</w:t>
      </w:r>
      <w:r>
        <w:rPr>
          <w:rFonts w:cs="Times New Roman"/>
        </w:rPr>
        <w:tab/>
      </w:r>
      <w:r>
        <w:rPr>
          <w:rFonts w:cs="Times New Roman"/>
        </w:rPr>
        <w:fldChar w:fldCharType="begin"/>
      </w:r>
      <w:r>
        <w:rPr>
          <w:rFonts w:cs="Times New Roman"/>
        </w:rPr>
        <w:instrText xml:space="preserve"> PAGEREF _Toc20743 \h </w:instrText>
      </w:r>
      <w:r>
        <w:rPr>
          <w:rFonts w:cs="Times New Roman"/>
        </w:rPr>
        <w:fldChar w:fldCharType="separate"/>
      </w:r>
      <w:r>
        <w:rPr>
          <w:rFonts w:cs="Times New Roman"/>
        </w:rPr>
        <w:t>99</w:t>
      </w:r>
      <w:r>
        <w:rPr>
          <w:rFonts w:cs="Times New Roman"/>
        </w:rPr>
        <w:fldChar w:fldCharType="end"/>
      </w:r>
      <w:r>
        <w:rPr>
          <w:rFonts w:cs="Times New Roman"/>
        </w:rPr>
        <w:fldChar w:fldCharType="end"/>
      </w:r>
    </w:p>
    <w:p w14:paraId="1EAA9EA9">
      <w:pPr>
        <w:pStyle w:val="52"/>
        <w:tabs>
          <w:tab w:val="right" w:leader="dot" w:pos="8312"/>
          <w:tab w:val="clear" w:pos="8296"/>
        </w:tabs>
        <w:rPr>
          <w:rFonts w:cs="Times New Roman"/>
        </w:rPr>
      </w:pPr>
      <w:r>
        <w:fldChar w:fldCharType="begin"/>
      </w:r>
      <w:r>
        <w:instrText xml:space="preserve"> HYPERLINK \l "_Toc144" </w:instrText>
      </w:r>
      <w:r>
        <w:fldChar w:fldCharType="separate"/>
      </w:r>
      <w:r>
        <w:rPr>
          <w:rFonts w:cs="Times New Roman"/>
          <w:kern w:val="2"/>
          <w:szCs w:val="28"/>
          <w:lang w:val="zh-CN"/>
        </w:rPr>
        <w:t>第</w:t>
      </w:r>
      <w:r>
        <w:rPr>
          <w:rFonts w:cs="Times New Roman"/>
          <w:kern w:val="2"/>
          <w:szCs w:val="28"/>
        </w:rPr>
        <w:t>十</w:t>
      </w:r>
      <w:r>
        <w:rPr>
          <w:rFonts w:cs="Times New Roman"/>
          <w:kern w:val="2"/>
          <w:szCs w:val="28"/>
          <w:lang w:val="zh-CN"/>
        </w:rPr>
        <w:t>节</w:t>
      </w:r>
      <w:r>
        <w:rPr>
          <w:rFonts w:cs="Times New Roman"/>
          <w:kern w:val="2"/>
          <w:szCs w:val="28"/>
        </w:rPr>
        <w:t xml:space="preserve"> 声明与承诺</w:t>
      </w:r>
      <w:r>
        <w:rPr>
          <w:rFonts w:cs="Times New Roman"/>
        </w:rPr>
        <w:tab/>
      </w:r>
      <w:r>
        <w:rPr>
          <w:rFonts w:cs="Times New Roman"/>
        </w:rPr>
        <w:fldChar w:fldCharType="begin"/>
      </w:r>
      <w:r>
        <w:rPr>
          <w:rFonts w:cs="Times New Roman"/>
        </w:rPr>
        <w:instrText xml:space="preserve"> PAGEREF _Toc144 \h </w:instrText>
      </w:r>
      <w:r>
        <w:rPr>
          <w:rFonts w:cs="Times New Roman"/>
        </w:rPr>
        <w:fldChar w:fldCharType="separate"/>
      </w:r>
      <w:r>
        <w:rPr>
          <w:rFonts w:cs="Times New Roman"/>
        </w:rPr>
        <w:t>101</w:t>
      </w:r>
      <w:r>
        <w:rPr>
          <w:rFonts w:cs="Times New Roman"/>
        </w:rPr>
        <w:fldChar w:fldCharType="end"/>
      </w:r>
      <w:r>
        <w:rPr>
          <w:rFonts w:cs="Times New Roman"/>
        </w:rPr>
        <w:fldChar w:fldCharType="end"/>
      </w:r>
    </w:p>
    <w:p w14:paraId="0CBF13E9">
      <w:pPr>
        <w:pStyle w:val="64"/>
        <w:tabs>
          <w:tab w:val="right" w:leader="dot" w:pos="8312"/>
          <w:tab w:val="clear" w:pos="8296"/>
        </w:tabs>
        <w:rPr>
          <w:rFonts w:cs="Times New Roman"/>
        </w:rPr>
      </w:pPr>
      <w:r>
        <w:fldChar w:fldCharType="begin"/>
      </w:r>
      <w:r>
        <w:instrText xml:space="preserve"> HYPERLINK \l "_Toc27019" </w:instrText>
      </w:r>
      <w:r>
        <w:fldChar w:fldCharType="separate"/>
      </w:r>
      <w:r>
        <w:rPr>
          <w:rFonts w:cs="Times New Roman"/>
          <w:bCs/>
          <w:kern w:val="2"/>
          <w:szCs w:val="28"/>
        </w:rPr>
        <w:t>一、上市公司全体董事声明</w:t>
      </w:r>
      <w:r>
        <w:rPr>
          <w:rFonts w:cs="Times New Roman"/>
        </w:rPr>
        <w:tab/>
      </w:r>
      <w:r>
        <w:rPr>
          <w:rFonts w:cs="Times New Roman"/>
        </w:rPr>
        <w:fldChar w:fldCharType="begin"/>
      </w:r>
      <w:r>
        <w:rPr>
          <w:rFonts w:cs="Times New Roman"/>
        </w:rPr>
        <w:instrText xml:space="preserve"> PAGEREF _Toc27019 \h </w:instrText>
      </w:r>
      <w:r>
        <w:rPr>
          <w:rFonts w:cs="Times New Roman"/>
        </w:rPr>
        <w:fldChar w:fldCharType="separate"/>
      </w:r>
      <w:r>
        <w:rPr>
          <w:rFonts w:cs="Times New Roman"/>
        </w:rPr>
        <w:t>101</w:t>
      </w:r>
      <w:r>
        <w:rPr>
          <w:rFonts w:cs="Times New Roman"/>
        </w:rPr>
        <w:fldChar w:fldCharType="end"/>
      </w:r>
      <w:r>
        <w:rPr>
          <w:rFonts w:cs="Times New Roman"/>
        </w:rPr>
        <w:fldChar w:fldCharType="end"/>
      </w:r>
    </w:p>
    <w:p w14:paraId="1A508D96">
      <w:pPr>
        <w:pStyle w:val="64"/>
        <w:tabs>
          <w:tab w:val="right" w:leader="dot" w:pos="8312"/>
          <w:tab w:val="clear" w:pos="8296"/>
        </w:tabs>
        <w:rPr>
          <w:rFonts w:cs="Times New Roman"/>
        </w:rPr>
      </w:pPr>
      <w:r>
        <w:fldChar w:fldCharType="begin"/>
      </w:r>
      <w:r>
        <w:instrText xml:space="preserve"> HYPERLINK \l "_Toc5509" </w:instrText>
      </w:r>
      <w:r>
        <w:fldChar w:fldCharType="separate"/>
      </w:r>
      <w:r>
        <w:rPr>
          <w:rFonts w:cs="Times New Roman"/>
          <w:bCs/>
          <w:kern w:val="2"/>
          <w:szCs w:val="28"/>
        </w:rPr>
        <w:t>二、上市公司全体监事声明</w:t>
      </w:r>
      <w:r>
        <w:rPr>
          <w:rFonts w:cs="Times New Roman"/>
        </w:rPr>
        <w:tab/>
      </w:r>
      <w:r>
        <w:rPr>
          <w:rFonts w:cs="Times New Roman"/>
        </w:rPr>
        <w:fldChar w:fldCharType="begin"/>
      </w:r>
      <w:r>
        <w:rPr>
          <w:rFonts w:cs="Times New Roman"/>
        </w:rPr>
        <w:instrText xml:space="preserve"> PAGEREF _Toc5509 \h </w:instrText>
      </w:r>
      <w:r>
        <w:rPr>
          <w:rFonts w:cs="Times New Roman"/>
        </w:rPr>
        <w:fldChar w:fldCharType="separate"/>
      </w:r>
      <w:r>
        <w:rPr>
          <w:rFonts w:cs="Times New Roman"/>
        </w:rPr>
        <w:t>102</w:t>
      </w:r>
      <w:r>
        <w:rPr>
          <w:rFonts w:cs="Times New Roman"/>
        </w:rPr>
        <w:fldChar w:fldCharType="end"/>
      </w:r>
      <w:r>
        <w:rPr>
          <w:rFonts w:cs="Times New Roman"/>
        </w:rPr>
        <w:fldChar w:fldCharType="end"/>
      </w:r>
    </w:p>
    <w:p w14:paraId="187B1D30">
      <w:pPr>
        <w:pStyle w:val="64"/>
        <w:tabs>
          <w:tab w:val="right" w:leader="dot" w:pos="8312"/>
          <w:tab w:val="clear" w:pos="8296"/>
        </w:tabs>
        <w:rPr>
          <w:rFonts w:cs="Times New Roman"/>
        </w:rPr>
      </w:pPr>
      <w:r>
        <w:fldChar w:fldCharType="begin"/>
      </w:r>
      <w:r>
        <w:instrText xml:space="preserve"> HYPERLINK \l "_Toc13260" </w:instrText>
      </w:r>
      <w:r>
        <w:fldChar w:fldCharType="separate"/>
      </w:r>
      <w:r>
        <w:rPr>
          <w:rFonts w:cs="Times New Roman"/>
          <w:bCs/>
          <w:kern w:val="2"/>
          <w:szCs w:val="28"/>
        </w:rPr>
        <w:t>三、上市公司全体高级管理人员声明</w:t>
      </w:r>
      <w:r>
        <w:rPr>
          <w:rFonts w:cs="Times New Roman"/>
        </w:rPr>
        <w:tab/>
      </w:r>
      <w:r>
        <w:rPr>
          <w:rFonts w:cs="Times New Roman"/>
        </w:rPr>
        <w:fldChar w:fldCharType="begin"/>
      </w:r>
      <w:r>
        <w:rPr>
          <w:rFonts w:cs="Times New Roman"/>
        </w:rPr>
        <w:instrText xml:space="preserve"> PAGEREF _Toc13260 \h </w:instrText>
      </w:r>
      <w:r>
        <w:rPr>
          <w:rFonts w:cs="Times New Roman"/>
        </w:rPr>
        <w:fldChar w:fldCharType="separate"/>
      </w:r>
      <w:r>
        <w:rPr>
          <w:rFonts w:cs="Times New Roman"/>
        </w:rPr>
        <w:t>103</w:t>
      </w:r>
      <w:r>
        <w:rPr>
          <w:rFonts w:cs="Times New Roman"/>
        </w:rPr>
        <w:fldChar w:fldCharType="end"/>
      </w:r>
      <w:r>
        <w:rPr>
          <w:rFonts w:cs="Times New Roman"/>
        </w:rPr>
        <w:fldChar w:fldCharType="end"/>
      </w:r>
    </w:p>
    <w:p w14:paraId="57E94B29">
      <w:pPr>
        <w:adjustRightInd w:val="0"/>
        <w:snapToGrid w:val="0"/>
        <w:spacing w:before="0" w:beforeLines="0"/>
        <w:ind w:firstLine="480"/>
        <w:jc w:val="both"/>
        <w:rPr>
          <w:rFonts w:hint="eastAsia" w:ascii="宋体" w:hAnsi="宋体" w:cs="Times New Roman"/>
          <w:kern w:val="2"/>
          <w14:ligatures w14:val="standardContextual"/>
        </w:rPr>
      </w:pPr>
      <w:r>
        <w:rPr>
          <w:rFonts w:cs="Times New Roman"/>
          <w:kern w:val="2"/>
          <w14:ligatures w14:val="standardContextual"/>
        </w:rPr>
        <w:fldChar w:fldCharType="end"/>
      </w:r>
    </w:p>
    <w:p w14:paraId="45D28CCF">
      <w:pPr>
        <w:adjustRightInd w:val="0"/>
        <w:snapToGrid w:val="0"/>
        <w:spacing w:before="0" w:beforeLines="0"/>
        <w:ind w:firstLine="480"/>
        <w:jc w:val="both"/>
        <w:rPr>
          <w:rFonts w:hint="eastAsia" w:ascii="宋体" w:hAnsi="宋体" w:cs="Times New Roman"/>
          <w:kern w:val="2"/>
          <w14:ligatures w14:val="standardContextual"/>
        </w:rPr>
        <w:sectPr>
          <w:headerReference r:id="rId12" w:type="first"/>
          <w:footerReference r:id="rId14" w:type="first"/>
          <w:headerReference r:id="rId11" w:type="even"/>
          <w:footerReference r:id="rId13" w:type="even"/>
          <w:pgSz w:w="11906" w:h="16838"/>
          <w:pgMar w:top="1440" w:right="1797" w:bottom="1440" w:left="1797" w:header="851" w:footer="992" w:gutter="0"/>
          <w:cols w:space="425" w:num="1"/>
          <w:docGrid w:linePitch="312" w:charSpace="0"/>
        </w:sectPr>
      </w:pPr>
    </w:p>
    <w:p w14:paraId="5C17D0DC">
      <w:pPr>
        <w:spacing w:before="120" w:after="120" w:afterLines="50"/>
        <w:ind w:firstLine="0" w:firstLineChars="0"/>
        <w:jc w:val="center"/>
        <w:outlineLvl w:val="0"/>
        <w:rPr>
          <w:rFonts w:eastAsia="黑体" w:cs="Times New Roman"/>
          <w:b/>
          <w:bCs/>
          <w:kern w:val="2"/>
          <w:sz w:val="32"/>
          <w:szCs w:val="28"/>
          <w:lang w:val="zh-CN"/>
        </w:rPr>
      </w:pPr>
      <w:bookmarkStart w:id="8" w:name="_Toc7773"/>
      <w:r>
        <w:rPr>
          <w:rFonts w:hint="eastAsia" w:eastAsia="黑体" w:cs="Times New Roman"/>
          <w:b/>
          <w:bCs/>
          <w:kern w:val="2"/>
          <w:sz w:val="32"/>
          <w:szCs w:val="28"/>
          <w:lang w:val="zh-CN"/>
        </w:rPr>
        <w:t>释义</w:t>
      </w:r>
      <w:bookmarkEnd w:id="8"/>
    </w:p>
    <w:p w14:paraId="44D88A1A">
      <w:pPr>
        <w:adjustRightInd w:val="0"/>
        <w:spacing w:before="120" w:after="120" w:afterLines="50"/>
        <w:ind w:firstLine="480"/>
        <w:rPr>
          <w:rFonts w:hint="eastAsia" w:ascii="Helvetica Neue" w:hAnsi="Helvetica Neue"/>
          <w:color w:val="303133"/>
          <w:shd w:val="clear" w:color="auto" w:fill="FFFFFF"/>
        </w:rPr>
      </w:pPr>
      <w:r>
        <w:rPr>
          <w:rFonts w:ascii="Helvetica Neue" w:hAnsi="Helvetica Neue"/>
          <w:color w:val="303133"/>
          <w:shd w:val="clear" w:color="auto" w:fill="FFFFFF"/>
        </w:rPr>
        <w:t>在本预案中，除非文义载明，以下简称具有如下含义：</w:t>
      </w:r>
    </w:p>
    <w:tbl>
      <w:tblPr>
        <w:tblStyle w:val="76"/>
        <w:tblW w:w="508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136"/>
        <w:gridCol w:w="526"/>
        <w:gridCol w:w="6016"/>
      </w:tblGrid>
      <w:tr w14:paraId="62897A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27D9CCDF">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预案</w:t>
            </w:r>
            <w:r>
              <w:rPr>
                <w:rFonts w:cs="Times New Roman"/>
                <w:sz w:val="21"/>
                <w:szCs w:val="21"/>
              </w:rPr>
              <w:t>/</w:t>
            </w:r>
            <w:r>
              <w:rPr>
                <w:rFonts w:hint="eastAsia" w:cs="Times New Roman"/>
                <w:sz w:val="21"/>
                <w:szCs w:val="21"/>
              </w:rPr>
              <w:t>本预案</w:t>
            </w:r>
          </w:p>
        </w:tc>
        <w:tc>
          <w:tcPr>
            <w:tcW w:w="303" w:type="pct"/>
            <w:tcMar>
              <w:top w:w="0" w:type="dxa"/>
              <w:left w:w="108" w:type="dxa"/>
              <w:bottom w:w="0" w:type="dxa"/>
              <w:right w:w="108" w:type="dxa"/>
            </w:tcMar>
            <w:vAlign w:val="center"/>
          </w:tcPr>
          <w:p w14:paraId="7BF72301">
            <w:pPr>
              <w:pStyle w:val="104"/>
              <w:topLinePunct/>
              <w:jc w:val="center"/>
              <w:rPr>
                <w:szCs w:val="21"/>
              </w:rPr>
            </w:pPr>
            <w:r>
              <w:rPr>
                <w:rFonts w:hint="eastAsia"/>
                <w:szCs w:val="21"/>
              </w:rPr>
              <w:t>指</w:t>
            </w:r>
          </w:p>
        </w:tc>
        <w:tc>
          <w:tcPr>
            <w:tcW w:w="3466" w:type="pct"/>
            <w:tcMar>
              <w:top w:w="0" w:type="dxa"/>
              <w:left w:w="108" w:type="dxa"/>
              <w:bottom w:w="0" w:type="dxa"/>
              <w:right w:w="108" w:type="dxa"/>
            </w:tcMar>
            <w:vAlign w:val="center"/>
          </w:tcPr>
          <w:p w14:paraId="7B25BF1D">
            <w:pPr>
              <w:pStyle w:val="104"/>
              <w:topLinePunct/>
              <w:rPr>
                <w:szCs w:val="21"/>
              </w:rPr>
            </w:pPr>
            <w:r>
              <w:rPr>
                <w:rFonts w:hint="eastAsia" w:ascii="Helvetica Neue" w:hAnsi="Helvetica Neue"/>
                <w:szCs w:val="21"/>
                <w:shd w:val="clear" w:color="auto" w:fill="FFFFFF"/>
              </w:rPr>
              <w:t>广东天亿马信息产业股份有限公司发行股份及支付现金购买资产并募集配套资金暨关联交易预案</w:t>
            </w:r>
          </w:p>
        </w:tc>
      </w:tr>
      <w:tr w14:paraId="1E24C8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487A2DBE">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重组报告书</w:t>
            </w:r>
          </w:p>
        </w:tc>
        <w:tc>
          <w:tcPr>
            <w:tcW w:w="303" w:type="pct"/>
            <w:tcMar>
              <w:top w:w="0" w:type="dxa"/>
              <w:left w:w="108" w:type="dxa"/>
              <w:bottom w:w="0" w:type="dxa"/>
              <w:right w:w="108" w:type="dxa"/>
            </w:tcMar>
            <w:vAlign w:val="center"/>
          </w:tcPr>
          <w:p w14:paraId="2E3666FB">
            <w:pPr>
              <w:pStyle w:val="104"/>
              <w:topLinePunct/>
              <w:jc w:val="center"/>
              <w:rPr>
                <w:szCs w:val="21"/>
              </w:rPr>
            </w:pPr>
            <w:r>
              <w:rPr>
                <w:rFonts w:hint="eastAsia"/>
                <w:szCs w:val="21"/>
              </w:rPr>
              <w:t>指</w:t>
            </w:r>
          </w:p>
        </w:tc>
        <w:tc>
          <w:tcPr>
            <w:tcW w:w="3466" w:type="pct"/>
            <w:tcMar>
              <w:top w:w="0" w:type="dxa"/>
              <w:left w:w="108" w:type="dxa"/>
              <w:bottom w:w="0" w:type="dxa"/>
              <w:right w:w="108" w:type="dxa"/>
            </w:tcMar>
            <w:vAlign w:val="center"/>
          </w:tcPr>
          <w:p w14:paraId="0D054992">
            <w:pPr>
              <w:pStyle w:val="104"/>
              <w:topLinePunct/>
              <w:rPr>
                <w:szCs w:val="21"/>
              </w:rPr>
            </w:pPr>
            <w:r>
              <w:rPr>
                <w:rFonts w:hint="eastAsia" w:ascii="Helvetica Neue" w:hAnsi="Helvetica Neue"/>
                <w:szCs w:val="21"/>
                <w:shd w:val="clear" w:color="auto" w:fill="FFFFFF"/>
              </w:rPr>
              <w:t>广东天亿马信息产业股份有限公司发行股份及支付现金购买资产并募集配套资金暨关联交易</w:t>
            </w:r>
            <w:r>
              <w:rPr>
                <w:rFonts w:hint="eastAsia"/>
                <w:szCs w:val="21"/>
              </w:rPr>
              <w:t>报告书（草案）</w:t>
            </w:r>
          </w:p>
        </w:tc>
      </w:tr>
      <w:tr w14:paraId="053E59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65F004D6">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本次交易</w:t>
            </w:r>
            <w:r>
              <w:rPr>
                <w:rFonts w:cs="Times New Roman"/>
                <w:sz w:val="21"/>
                <w:szCs w:val="21"/>
              </w:rPr>
              <w:t>/</w:t>
            </w:r>
            <w:r>
              <w:rPr>
                <w:rFonts w:hint="eastAsia" w:cs="Times New Roman"/>
                <w:sz w:val="21"/>
                <w:szCs w:val="21"/>
              </w:rPr>
              <w:t>本次重组</w:t>
            </w:r>
          </w:p>
        </w:tc>
        <w:tc>
          <w:tcPr>
            <w:tcW w:w="303" w:type="pct"/>
            <w:tcMar>
              <w:top w:w="0" w:type="dxa"/>
              <w:left w:w="108" w:type="dxa"/>
              <w:bottom w:w="0" w:type="dxa"/>
              <w:right w:w="108" w:type="dxa"/>
            </w:tcMar>
            <w:vAlign w:val="center"/>
          </w:tcPr>
          <w:p w14:paraId="1202448B">
            <w:pPr>
              <w:pStyle w:val="104"/>
              <w:topLinePunct/>
              <w:jc w:val="center"/>
              <w:rPr>
                <w:szCs w:val="21"/>
              </w:rPr>
            </w:pPr>
            <w:r>
              <w:rPr>
                <w:rFonts w:hint="eastAsia"/>
                <w:szCs w:val="21"/>
              </w:rPr>
              <w:t>指</w:t>
            </w:r>
          </w:p>
        </w:tc>
        <w:tc>
          <w:tcPr>
            <w:tcW w:w="3466" w:type="pct"/>
            <w:tcMar>
              <w:top w:w="0" w:type="dxa"/>
              <w:left w:w="108" w:type="dxa"/>
              <w:bottom w:w="0" w:type="dxa"/>
              <w:right w:w="108" w:type="dxa"/>
            </w:tcMar>
            <w:vAlign w:val="center"/>
          </w:tcPr>
          <w:p w14:paraId="4A3A03F4">
            <w:pPr>
              <w:pStyle w:val="104"/>
              <w:topLinePunct/>
              <w:rPr>
                <w:szCs w:val="21"/>
              </w:rPr>
            </w:pPr>
            <w:r>
              <w:rPr>
                <w:rFonts w:hint="eastAsia"/>
                <w:szCs w:val="21"/>
              </w:rPr>
              <w:t>上市公司拟向交易对方发行股份及支付现金购买广东星云开物科技股份有限公司100.00</w:t>
            </w:r>
            <w:r>
              <w:rPr>
                <w:szCs w:val="21"/>
              </w:rPr>
              <w:t>%</w:t>
            </w:r>
            <w:r>
              <w:rPr>
                <w:rFonts w:hint="eastAsia"/>
                <w:szCs w:val="21"/>
              </w:rPr>
              <w:t>股权，并向马学沛先生发行股份募集配套资金</w:t>
            </w:r>
          </w:p>
        </w:tc>
      </w:tr>
      <w:tr w14:paraId="6A98E6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2BE06C9D">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本公司</w:t>
            </w:r>
            <w:r>
              <w:rPr>
                <w:rFonts w:cs="Times New Roman"/>
                <w:sz w:val="21"/>
                <w:szCs w:val="21"/>
              </w:rPr>
              <w:t>/</w:t>
            </w:r>
            <w:r>
              <w:rPr>
                <w:rFonts w:hint="eastAsia" w:cs="Times New Roman"/>
                <w:sz w:val="21"/>
                <w:szCs w:val="21"/>
              </w:rPr>
              <w:t>公司</w:t>
            </w:r>
            <w:r>
              <w:rPr>
                <w:rFonts w:cs="Times New Roman"/>
                <w:sz w:val="21"/>
                <w:szCs w:val="21"/>
              </w:rPr>
              <w:t>/</w:t>
            </w:r>
            <w:r>
              <w:rPr>
                <w:rFonts w:hint="eastAsia" w:cs="Times New Roman"/>
                <w:sz w:val="21"/>
                <w:szCs w:val="21"/>
              </w:rPr>
              <w:t>上市公司</w:t>
            </w:r>
            <w:r>
              <w:rPr>
                <w:rFonts w:cs="Times New Roman"/>
                <w:sz w:val="21"/>
                <w:szCs w:val="21"/>
              </w:rPr>
              <w:t>/</w:t>
            </w:r>
            <w:r>
              <w:rPr>
                <w:rFonts w:hint="eastAsia" w:cs="Times New Roman"/>
                <w:sz w:val="21"/>
                <w:szCs w:val="21"/>
              </w:rPr>
              <w:t>天亿马</w:t>
            </w:r>
          </w:p>
        </w:tc>
        <w:tc>
          <w:tcPr>
            <w:tcW w:w="303" w:type="pct"/>
            <w:tcMar>
              <w:top w:w="0" w:type="dxa"/>
              <w:left w:w="108" w:type="dxa"/>
              <w:bottom w:w="0" w:type="dxa"/>
              <w:right w:w="108" w:type="dxa"/>
            </w:tcMar>
            <w:vAlign w:val="center"/>
          </w:tcPr>
          <w:p w14:paraId="116EE386">
            <w:pPr>
              <w:pStyle w:val="104"/>
              <w:topLinePunct/>
              <w:jc w:val="center"/>
              <w:rPr>
                <w:szCs w:val="21"/>
              </w:rPr>
            </w:pPr>
            <w:r>
              <w:rPr>
                <w:rFonts w:hint="eastAsia"/>
                <w:szCs w:val="21"/>
              </w:rPr>
              <w:t>指</w:t>
            </w:r>
          </w:p>
        </w:tc>
        <w:tc>
          <w:tcPr>
            <w:tcW w:w="3466" w:type="pct"/>
            <w:tcMar>
              <w:top w:w="0" w:type="dxa"/>
              <w:left w:w="108" w:type="dxa"/>
              <w:bottom w:w="0" w:type="dxa"/>
              <w:right w:w="108" w:type="dxa"/>
            </w:tcMar>
            <w:vAlign w:val="center"/>
          </w:tcPr>
          <w:p w14:paraId="50E1F0A8">
            <w:pPr>
              <w:pStyle w:val="104"/>
              <w:topLinePunct/>
              <w:rPr>
                <w:szCs w:val="21"/>
              </w:rPr>
            </w:pPr>
            <w:r>
              <w:rPr>
                <w:rFonts w:hint="eastAsia"/>
                <w:szCs w:val="21"/>
              </w:rPr>
              <w:t>广东天亿马信息产业股份有限公司</w:t>
            </w:r>
          </w:p>
        </w:tc>
      </w:tr>
      <w:tr w14:paraId="5421EC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6059E2EF">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控股股东</w:t>
            </w:r>
            <w:r>
              <w:rPr>
                <w:rFonts w:cs="Times New Roman"/>
                <w:sz w:val="21"/>
                <w:szCs w:val="21"/>
              </w:rPr>
              <w:t>/</w:t>
            </w:r>
            <w:r>
              <w:rPr>
                <w:rFonts w:hint="eastAsia" w:cs="Times New Roman"/>
                <w:sz w:val="21"/>
                <w:szCs w:val="21"/>
              </w:rPr>
              <w:t>上市公司控股股东</w:t>
            </w:r>
          </w:p>
        </w:tc>
        <w:tc>
          <w:tcPr>
            <w:tcW w:w="303" w:type="pct"/>
            <w:tcMar>
              <w:top w:w="0" w:type="dxa"/>
              <w:left w:w="108" w:type="dxa"/>
              <w:bottom w:w="0" w:type="dxa"/>
              <w:right w:w="108" w:type="dxa"/>
            </w:tcMar>
            <w:vAlign w:val="center"/>
          </w:tcPr>
          <w:p w14:paraId="00ABB1DB">
            <w:pPr>
              <w:pStyle w:val="104"/>
              <w:topLinePunct/>
              <w:jc w:val="center"/>
              <w:rPr>
                <w:szCs w:val="21"/>
              </w:rPr>
            </w:pPr>
            <w:r>
              <w:rPr>
                <w:rFonts w:hint="eastAsia"/>
                <w:szCs w:val="21"/>
              </w:rPr>
              <w:t>指</w:t>
            </w:r>
          </w:p>
        </w:tc>
        <w:tc>
          <w:tcPr>
            <w:tcW w:w="3466" w:type="pct"/>
            <w:tcMar>
              <w:top w:w="0" w:type="dxa"/>
              <w:left w:w="108" w:type="dxa"/>
              <w:bottom w:w="0" w:type="dxa"/>
              <w:right w:w="108" w:type="dxa"/>
            </w:tcMar>
            <w:vAlign w:val="center"/>
          </w:tcPr>
          <w:p w14:paraId="32EF2763">
            <w:pPr>
              <w:pStyle w:val="104"/>
              <w:topLinePunct/>
              <w:rPr>
                <w:szCs w:val="21"/>
              </w:rPr>
            </w:pPr>
            <w:r>
              <w:rPr>
                <w:rFonts w:hint="eastAsia"/>
                <w:szCs w:val="21"/>
              </w:rPr>
              <w:t>林明玲</w:t>
            </w:r>
          </w:p>
        </w:tc>
      </w:tr>
      <w:tr w14:paraId="4C0C61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31DDDA9D">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控股股东、实际控制人</w:t>
            </w:r>
            <w:r>
              <w:rPr>
                <w:rFonts w:cs="Times New Roman"/>
                <w:sz w:val="21"/>
                <w:szCs w:val="21"/>
              </w:rPr>
              <w:t>/</w:t>
            </w:r>
            <w:r>
              <w:rPr>
                <w:rFonts w:hint="eastAsia" w:cs="Times New Roman"/>
                <w:sz w:val="21"/>
                <w:szCs w:val="21"/>
              </w:rPr>
              <w:t>上市公司控股股东及实际控制人</w:t>
            </w:r>
            <w:r>
              <w:rPr>
                <w:rFonts w:cs="Times New Roman"/>
                <w:sz w:val="21"/>
                <w:szCs w:val="21"/>
              </w:rPr>
              <w:t>/</w:t>
            </w:r>
            <w:r>
              <w:rPr>
                <w:rFonts w:hint="eastAsia" w:cs="Times New Roman"/>
                <w:sz w:val="21"/>
                <w:szCs w:val="21"/>
              </w:rPr>
              <w:t>实际控制人</w:t>
            </w:r>
            <w:r>
              <w:rPr>
                <w:rFonts w:cs="Times New Roman"/>
                <w:sz w:val="21"/>
                <w:szCs w:val="21"/>
              </w:rPr>
              <w:t>/</w:t>
            </w:r>
            <w:r>
              <w:rPr>
                <w:rFonts w:hint="eastAsia" w:cs="Times New Roman"/>
                <w:sz w:val="21"/>
                <w:szCs w:val="21"/>
              </w:rPr>
              <w:t>上市公司实际控制人</w:t>
            </w:r>
          </w:p>
        </w:tc>
        <w:tc>
          <w:tcPr>
            <w:tcW w:w="303" w:type="pct"/>
            <w:tcMar>
              <w:top w:w="0" w:type="dxa"/>
              <w:left w:w="108" w:type="dxa"/>
              <w:bottom w:w="0" w:type="dxa"/>
              <w:right w:w="108" w:type="dxa"/>
            </w:tcMar>
            <w:vAlign w:val="center"/>
          </w:tcPr>
          <w:p w14:paraId="3A070828">
            <w:pPr>
              <w:pStyle w:val="104"/>
              <w:topLinePunct/>
              <w:jc w:val="center"/>
              <w:rPr>
                <w:szCs w:val="21"/>
              </w:rPr>
            </w:pPr>
            <w:r>
              <w:rPr>
                <w:rFonts w:hint="eastAsia"/>
                <w:szCs w:val="21"/>
              </w:rPr>
              <w:t>指</w:t>
            </w:r>
          </w:p>
        </w:tc>
        <w:tc>
          <w:tcPr>
            <w:tcW w:w="3466" w:type="pct"/>
            <w:tcMar>
              <w:top w:w="0" w:type="dxa"/>
              <w:left w:w="108" w:type="dxa"/>
              <w:bottom w:w="0" w:type="dxa"/>
              <w:right w:w="108" w:type="dxa"/>
            </w:tcMar>
            <w:vAlign w:val="center"/>
          </w:tcPr>
          <w:p w14:paraId="2C7870EF">
            <w:pPr>
              <w:pStyle w:val="104"/>
              <w:topLinePunct/>
              <w:rPr>
                <w:szCs w:val="21"/>
              </w:rPr>
            </w:pPr>
            <w:r>
              <w:rPr>
                <w:rFonts w:hint="eastAsia"/>
                <w:szCs w:val="21"/>
              </w:rPr>
              <w:t>林明玲、马学沛</w:t>
            </w:r>
          </w:p>
        </w:tc>
      </w:tr>
      <w:tr w14:paraId="33BD81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0A3A8A85">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交易对方</w:t>
            </w:r>
          </w:p>
        </w:tc>
        <w:tc>
          <w:tcPr>
            <w:tcW w:w="303" w:type="pct"/>
            <w:tcMar>
              <w:top w:w="0" w:type="dxa"/>
              <w:left w:w="108" w:type="dxa"/>
              <w:bottom w:w="0" w:type="dxa"/>
              <w:right w:w="108" w:type="dxa"/>
            </w:tcMar>
            <w:vAlign w:val="center"/>
          </w:tcPr>
          <w:p w14:paraId="228C1B6E">
            <w:pPr>
              <w:pStyle w:val="104"/>
              <w:topLinePunct/>
              <w:jc w:val="center"/>
              <w:rPr>
                <w:szCs w:val="21"/>
              </w:rPr>
            </w:pPr>
            <w:r>
              <w:rPr>
                <w:rFonts w:hint="eastAsia"/>
                <w:szCs w:val="21"/>
              </w:rPr>
              <w:t>指</w:t>
            </w:r>
          </w:p>
        </w:tc>
        <w:tc>
          <w:tcPr>
            <w:tcW w:w="3466" w:type="pct"/>
            <w:tcMar>
              <w:top w:w="0" w:type="dxa"/>
              <w:left w:w="108" w:type="dxa"/>
              <w:bottom w:w="0" w:type="dxa"/>
              <w:right w:w="108" w:type="dxa"/>
            </w:tcMar>
            <w:vAlign w:val="center"/>
          </w:tcPr>
          <w:p w14:paraId="339D8FE3">
            <w:pPr>
              <w:pStyle w:val="104"/>
              <w:topLinePunct/>
              <w:rPr>
                <w:szCs w:val="21"/>
              </w:rPr>
            </w:pPr>
            <w:r>
              <w:rPr>
                <w:rFonts w:hint="eastAsia"/>
                <w:szCs w:val="21"/>
              </w:rPr>
              <w:t>陈耿豪、南通成为常青股权投资合伙企业（有限合伙）、珠海广发信德科文创业投资基金（有限合伙）、苏州市德同合心创业投资合伙企业（有限合伙）、珠海乐陶陶投资合伙企业（有限合伙）、林芝利新信息技术有限公司、杨凯然、张杰波、璀璨远见（深圳）企业管理合伙企业（有限合伙）、珠海乐熙熙投资合伙企业（有限合伙）、珠海乐腾腾投资合伙企业（有限合伙）、深圳市前海千意智合三期投资合伙企业（有限合伙）、胡俊、王佳、杨裕雄、珠海乐哈哈投资合伙企业（有限合伙）、广州广发信德二期创业投资合伙企业（有限合伙）、璀璨德商（深圳）创业投资中心（有限合伙）、广州信德创业营股权投资合伙企业（有限合伙）、珠海乐摇投资合伙企业（有限合伙）、珠海康远投资企业（有限合伙）、上海德盾企业管理合伙企业（有限合伙）22名星云开物股东</w:t>
            </w:r>
          </w:p>
        </w:tc>
      </w:tr>
      <w:tr w14:paraId="08BE80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792E3F35">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标的公司</w:t>
            </w:r>
            <w:r>
              <w:rPr>
                <w:rFonts w:cs="Times New Roman"/>
                <w:sz w:val="21"/>
                <w:szCs w:val="21"/>
              </w:rPr>
              <w:t>/</w:t>
            </w:r>
            <w:r>
              <w:rPr>
                <w:rFonts w:hint="eastAsia" w:cs="Times New Roman"/>
                <w:sz w:val="21"/>
                <w:szCs w:val="21"/>
              </w:rPr>
              <w:t>交易标的</w:t>
            </w:r>
            <w:r>
              <w:rPr>
                <w:rFonts w:cs="Times New Roman"/>
                <w:sz w:val="21"/>
                <w:szCs w:val="21"/>
              </w:rPr>
              <w:t>/</w:t>
            </w:r>
            <w:r>
              <w:rPr>
                <w:rFonts w:hint="eastAsia" w:cs="Times New Roman"/>
                <w:sz w:val="21"/>
                <w:szCs w:val="21"/>
              </w:rPr>
              <w:t>星云开物</w:t>
            </w:r>
          </w:p>
        </w:tc>
        <w:tc>
          <w:tcPr>
            <w:tcW w:w="303" w:type="pct"/>
            <w:tcMar>
              <w:top w:w="0" w:type="dxa"/>
              <w:left w:w="108" w:type="dxa"/>
              <w:bottom w:w="0" w:type="dxa"/>
              <w:right w:w="108" w:type="dxa"/>
            </w:tcMar>
            <w:vAlign w:val="center"/>
          </w:tcPr>
          <w:p w14:paraId="585C9AD2">
            <w:pPr>
              <w:pStyle w:val="104"/>
              <w:topLinePunct/>
              <w:jc w:val="center"/>
              <w:rPr>
                <w:szCs w:val="21"/>
              </w:rPr>
            </w:pPr>
            <w:r>
              <w:rPr>
                <w:rFonts w:hint="eastAsia"/>
                <w:szCs w:val="21"/>
              </w:rPr>
              <w:t>指</w:t>
            </w:r>
          </w:p>
        </w:tc>
        <w:tc>
          <w:tcPr>
            <w:tcW w:w="3466" w:type="pct"/>
            <w:tcMar>
              <w:top w:w="0" w:type="dxa"/>
              <w:left w:w="108" w:type="dxa"/>
              <w:bottom w:w="0" w:type="dxa"/>
              <w:right w:w="108" w:type="dxa"/>
            </w:tcMar>
            <w:vAlign w:val="center"/>
          </w:tcPr>
          <w:p w14:paraId="64B1F895">
            <w:pPr>
              <w:pStyle w:val="104"/>
              <w:topLinePunct/>
              <w:rPr>
                <w:szCs w:val="21"/>
              </w:rPr>
            </w:pPr>
            <w:r>
              <w:rPr>
                <w:rFonts w:hint="eastAsia"/>
                <w:szCs w:val="21"/>
              </w:rPr>
              <w:t>广东星云开物科技股份有限公司</w:t>
            </w:r>
          </w:p>
        </w:tc>
      </w:tr>
      <w:tr w14:paraId="0D0C89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02A2E436">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标的资产</w:t>
            </w:r>
            <w:r>
              <w:rPr>
                <w:rFonts w:cs="Times New Roman"/>
                <w:sz w:val="21"/>
                <w:szCs w:val="21"/>
              </w:rPr>
              <w:t>/</w:t>
            </w:r>
            <w:r>
              <w:rPr>
                <w:rFonts w:hint="eastAsia" w:cs="Times New Roman"/>
                <w:sz w:val="21"/>
                <w:szCs w:val="21"/>
              </w:rPr>
              <w:t>拟购买资产</w:t>
            </w:r>
          </w:p>
        </w:tc>
        <w:tc>
          <w:tcPr>
            <w:tcW w:w="303" w:type="pct"/>
            <w:tcMar>
              <w:top w:w="0" w:type="dxa"/>
              <w:left w:w="108" w:type="dxa"/>
              <w:bottom w:w="0" w:type="dxa"/>
              <w:right w:w="108" w:type="dxa"/>
            </w:tcMar>
            <w:vAlign w:val="center"/>
          </w:tcPr>
          <w:p w14:paraId="7E264447">
            <w:pPr>
              <w:pStyle w:val="104"/>
              <w:topLinePunct/>
              <w:jc w:val="center"/>
              <w:rPr>
                <w:szCs w:val="21"/>
              </w:rPr>
            </w:pPr>
            <w:r>
              <w:rPr>
                <w:rFonts w:hint="eastAsia"/>
                <w:szCs w:val="21"/>
              </w:rPr>
              <w:t>指</w:t>
            </w:r>
          </w:p>
        </w:tc>
        <w:tc>
          <w:tcPr>
            <w:tcW w:w="3466" w:type="pct"/>
            <w:tcMar>
              <w:top w:w="0" w:type="dxa"/>
              <w:left w:w="108" w:type="dxa"/>
              <w:bottom w:w="0" w:type="dxa"/>
              <w:right w:w="108" w:type="dxa"/>
            </w:tcMar>
            <w:vAlign w:val="center"/>
          </w:tcPr>
          <w:p w14:paraId="42674254">
            <w:pPr>
              <w:pStyle w:val="104"/>
              <w:topLinePunct/>
              <w:rPr>
                <w:szCs w:val="21"/>
              </w:rPr>
            </w:pPr>
            <w:r>
              <w:rPr>
                <w:rFonts w:hint="eastAsia"/>
                <w:szCs w:val="21"/>
              </w:rPr>
              <w:t>广东星云开物科技股份有限公司100.00%股权</w:t>
            </w:r>
          </w:p>
        </w:tc>
      </w:tr>
      <w:tr w14:paraId="7154E1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3D8186F9">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发行股份及支付现金购买资产定价基准日</w:t>
            </w:r>
            <w:r>
              <w:rPr>
                <w:rFonts w:cs="Times New Roman"/>
                <w:sz w:val="21"/>
                <w:szCs w:val="21"/>
              </w:rPr>
              <w:t>/</w:t>
            </w:r>
            <w:r>
              <w:rPr>
                <w:rFonts w:hint="eastAsia" w:cs="Times New Roman"/>
                <w:sz w:val="21"/>
                <w:szCs w:val="21"/>
              </w:rPr>
              <w:t>定价基准日</w:t>
            </w:r>
          </w:p>
        </w:tc>
        <w:tc>
          <w:tcPr>
            <w:tcW w:w="303" w:type="pct"/>
            <w:tcMar>
              <w:top w:w="0" w:type="dxa"/>
              <w:left w:w="108" w:type="dxa"/>
              <w:bottom w:w="0" w:type="dxa"/>
              <w:right w:w="108" w:type="dxa"/>
            </w:tcMar>
            <w:vAlign w:val="center"/>
          </w:tcPr>
          <w:p w14:paraId="01114886">
            <w:pPr>
              <w:pStyle w:val="104"/>
              <w:topLinePunct/>
              <w:jc w:val="center"/>
              <w:rPr>
                <w:szCs w:val="21"/>
              </w:rPr>
            </w:pPr>
            <w:r>
              <w:rPr>
                <w:rFonts w:hint="eastAsia"/>
                <w:szCs w:val="21"/>
              </w:rPr>
              <w:t>指</w:t>
            </w:r>
          </w:p>
        </w:tc>
        <w:tc>
          <w:tcPr>
            <w:tcW w:w="3466" w:type="pct"/>
            <w:tcMar>
              <w:top w:w="0" w:type="dxa"/>
              <w:left w:w="108" w:type="dxa"/>
              <w:bottom w:w="0" w:type="dxa"/>
              <w:right w:w="108" w:type="dxa"/>
            </w:tcMar>
            <w:vAlign w:val="center"/>
          </w:tcPr>
          <w:p w14:paraId="79BC3C80">
            <w:pPr>
              <w:pStyle w:val="104"/>
              <w:topLinePunct/>
              <w:rPr>
                <w:szCs w:val="21"/>
              </w:rPr>
            </w:pPr>
            <w:r>
              <w:rPr>
                <w:rFonts w:hint="eastAsia"/>
                <w:szCs w:val="21"/>
              </w:rPr>
              <w:t>上市公司第三届董事会第三十二次会议决议公告日</w:t>
            </w:r>
          </w:p>
        </w:tc>
      </w:tr>
      <w:tr w14:paraId="3CCC5A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29686755">
            <w:pPr>
              <w:pStyle w:val="104"/>
              <w:topLinePunct/>
              <w:rPr>
                <w:szCs w:val="21"/>
              </w:rPr>
            </w:pPr>
            <w:r>
              <w:rPr>
                <w:rFonts w:hint="eastAsia"/>
                <w:szCs w:val="21"/>
              </w:rPr>
              <w:t>珠海乐摇</w:t>
            </w:r>
          </w:p>
        </w:tc>
        <w:tc>
          <w:tcPr>
            <w:tcW w:w="303" w:type="pct"/>
            <w:tcMar>
              <w:top w:w="0" w:type="dxa"/>
              <w:left w:w="108" w:type="dxa"/>
              <w:bottom w:w="0" w:type="dxa"/>
              <w:right w:w="108" w:type="dxa"/>
            </w:tcMar>
            <w:vAlign w:val="center"/>
          </w:tcPr>
          <w:p w14:paraId="119B5EB0">
            <w:pPr>
              <w:pStyle w:val="104"/>
              <w:topLinePunct/>
              <w:jc w:val="center"/>
              <w:rPr>
                <w:szCs w:val="21"/>
              </w:rPr>
            </w:pPr>
            <w:r>
              <w:rPr>
                <w:rFonts w:hint="eastAsia"/>
                <w:szCs w:val="21"/>
              </w:rPr>
              <w:t>指</w:t>
            </w:r>
          </w:p>
        </w:tc>
        <w:tc>
          <w:tcPr>
            <w:tcW w:w="3466" w:type="pct"/>
            <w:tcMar>
              <w:top w:w="0" w:type="dxa"/>
              <w:left w:w="108" w:type="dxa"/>
              <w:bottom w:w="0" w:type="dxa"/>
              <w:right w:w="108" w:type="dxa"/>
            </w:tcMar>
            <w:vAlign w:val="center"/>
          </w:tcPr>
          <w:p w14:paraId="321C80CB">
            <w:pPr>
              <w:pStyle w:val="104"/>
              <w:topLinePunct/>
              <w:rPr>
                <w:szCs w:val="21"/>
              </w:rPr>
            </w:pPr>
            <w:r>
              <w:rPr>
                <w:rFonts w:hint="eastAsia"/>
                <w:szCs w:val="21"/>
              </w:rPr>
              <w:t>珠海乐摇投资合伙企业（有限合伙）</w:t>
            </w:r>
          </w:p>
        </w:tc>
      </w:tr>
      <w:tr w14:paraId="748066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tcMar>
              <w:top w:w="0" w:type="dxa"/>
              <w:left w:w="108" w:type="dxa"/>
              <w:bottom w:w="0" w:type="dxa"/>
              <w:right w:w="108" w:type="dxa"/>
            </w:tcMar>
            <w:vAlign w:val="center"/>
          </w:tcPr>
          <w:p w14:paraId="24582999">
            <w:pPr>
              <w:pStyle w:val="104"/>
              <w:topLinePunct/>
              <w:rPr>
                <w:szCs w:val="21"/>
              </w:rPr>
            </w:pPr>
            <w:r>
              <w:rPr>
                <w:rFonts w:hint="eastAsia"/>
                <w:szCs w:val="21"/>
              </w:rPr>
              <w:t>珠海乐熙熙</w:t>
            </w:r>
          </w:p>
        </w:tc>
        <w:tc>
          <w:tcPr>
            <w:tcW w:w="303" w:type="pct"/>
            <w:tcMar>
              <w:top w:w="0" w:type="dxa"/>
              <w:left w:w="108" w:type="dxa"/>
              <w:bottom w:w="0" w:type="dxa"/>
              <w:right w:w="108" w:type="dxa"/>
            </w:tcMar>
            <w:vAlign w:val="center"/>
          </w:tcPr>
          <w:p w14:paraId="3F57DFAC">
            <w:pPr>
              <w:pStyle w:val="104"/>
              <w:topLinePunct/>
              <w:jc w:val="center"/>
              <w:rPr>
                <w:szCs w:val="21"/>
              </w:rPr>
            </w:pPr>
            <w:r>
              <w:rPr>
                <w:rFonts w:hint="eastAsia"/>
                <w:szCs w:val="21"/>
              </w:rPr>
              <w:t>指</w:t>
            </w:r>
          </w:p>
        </w:tc>
        <w:tc>
          <w:tcPr>
            <w:tcW w:w="3466" w:type="pct"/>
            <w:tcMar>
              <w:top w:w="0" w:type="dxa"/>
              <w:left w:w="108" w:type="dxa"/>
              <w:bottom w:w="0" w:type="dxa"/>
              <w:right w:w="108" w:type="dxa"/>
            </w:tcMar>
            <w:vAlign w:val="center"/>
          </w:tcPr>
          <w:p w14:paraId="072B9812">
            <w:pPr>
              <w:pStyle w:val="104"/>
              <w:topLinePunct/>
              <w:rPr>
                <w:szCs w:val="21"/>
              </w:rPr>
            </w:pPr>
            <w:r>
              <w:rPr>
                <w:rFonts w:hint="eastAsia"/>
                <w:szCs w:val="21"/>
              </w:rPr>
              <w:t>珠海乐熙熙投资合伙企业（有限合伙）</w:t>
            </w:r>
          </w:p>
        </w:tc>
      </w:tr>
      <w:tr w14:paraId="2F89B5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17CAA01A">
            <w:pPr>
              <w:pStyle w:val="104"/>
              <w:topLinePunct/>
              <w:rPr>
                <w:szCs w:val="21"/>
              </w:rPr>
            </w:pPr>
            <w:r>
              <w:rPr>
                <w:rFonts w:hint="eastAsia"/>
                <w:szCs w:val="21"/>
              </w:rPr>
              <w:t>珠海乐哈哈</w:t>
            </w:r>
          </w:p>
        </w:tc>
        <w:tc>
          <w:tcPr>
            <w:tcW w:w="303" w:type="pct"/>
            <w:vAlign w:val="center"/>
          </w:tcPr>
          <w:p w14:paraId="3D741296">
            <w:pPr>
              <w:pStyle w:val="104"/>
              <w:topLinePunct/>
              <w:jc w:val="center"/>
              <w:rPr>
                <w:szCs w:val="21"/>
              </w:rPr>
            </w:pPr>
            <w:r>
              <w:rPr>
                <w:rFonts w:hint="eastAsia"/>
                <w:szCs w:val="21"/>
              </w:rPr>
              <w:t>指</w:t>
            </w:r>
          </w:p>
        </w:tc>
        <w:tc>
          <w:tcPr>
            <w:tcW w:w="3466" w:type="pct"/>
            <w:vAlign w:val="center"/>
          </w:tcPr>
          <w:p w14:paraId="53DC15F7">
            <w:pPr>
              <w:pStyle w:val="104"/>
              <w:topLinePunct/>
              <w:rPr>
                <w:szCs w:val="21"/>
              </w:rPr>
            </w:pPr>
            <w:r>
              <w:rPr>
                <w:rFonts w:hint="eastAsia"/>
                <w:szCs w:val="21"/>
              </w:rPr>
              <w:t>珠海乐哈哈投资合伙企业（有限合伙）</w:t>
            </w:r>
          </w:p>
        </w:tc>
      </w:tr>
      <w:tr w14:paraId="43E93B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1DFBEFBA">
            <w:pPr>
              <w:pStyle w:val="104"/>
              <w:topLinePunct/>
              <w:rPr>
                <w:szCs w:val="21"/>
              </w:rPr>
            </w:pPr>
            <w:r>
              <w:rPr>
                <w:rFonts w:hint="eastAsia"/>
                <w:szCs w:val="21"/>
              </w:rPr>
              <w:t>珠海乐陶陶</w:t>
            </w:r>
          </w:p>
        </w:tc>
        <w:tc>
          <w:tcPr>
            <w:tcW w:w="303" w:type="pct"/>
            <w:vAlign w:val="center"/>
          </w:tcPr>
          <w:p w14:paraId="1CA637BD">
            <w:pPr>
              <w:pStyle w:val="104"/>
              <w:topLinePunct/>
              <w:jc w:val="center"/>
              <w:rPr>
                <w:szCs w:val="21"/>
              </w:rPr>
            </w:pPr>
            <w:r>
              <w:rPr>
                <w:rFonts w:hint="eastAsia"/>
                <w:szCs w:val="21"/>
              </w:rPr>
              <w:t>指</w:t>
            </w:r>
          </w:p>
        </w:tc>
        <w:tc>
          <w:tcPr>
            <w:tcW w:w="3466" w:type="pct"/>
            <w:vAlign w:val="center"/>
          </w:tcPr>
          <w:p w14:paraId="7C2C3B20">
            <w:pPr>
              <w:pStyle w:val="104"/>
              <w:topLinePunct/>
              <w:rPr>
                <w:szCs w:val="21"/>
              </w:rPr>
            </w:pPr>
            <w:r>
              <w:rPr>
                <w:rFonts w:hint="eastAsia"/>
                <w:szCs w:val="21"/>
              </w:rPr>
              <w:t>珠海乐陶陶投资合伙企业（有限合伙）</w:t>
            </w:r>
          </w:p>
        </w:tc>
      </w:tr>
      <w:tr w14:paraId="74A57B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28DAD5DE">
            <w:pPr>
              <w:pStyle w:val="104"/>
              <w:topLinePunct/>
              <w:rPr>
                <w:szCs w:val="21"/>
              </w:rPr>
            </w:pPr>
            <w:r>
              <w:rPr>
                <w:rFonts w:hint="eastAsia"/>
                <w:szCs w:val="21"/>
              </w:rPr>
              <w:t>珠海乐腾腾</w:t>
            </w:r>
          </w:p>
        </w:tc>
        <w:tc>
          <w:tcPr>
            <w:tcW w:w="303" w:type="pct"/>
            <w:vAlign w:val="center"/>
          </w:tcPr>
          <w:p w14:paraId="39798A7B">
            <w:pPr>
              <w:pStyle w:val="104"/>
              <w:topLinePunct/>
              <w:jc w:val="center"/>
              <w:rPr>
                <w:szCs w:val="21"/>
              </w:rPr>
            </w:pPr>
            <w:r>
              <w:rPr>
                <w:rFonts w:hint="eastAsia"/>
                <w:szCs w:val="21"/>
              </w:rPr>
              <w:t>指</w:t>
            </w:r>
          </w:p>
        </w:tc>
        <w:tc>
          <w:tcPr>
            <w:tcW w:w="3466" w:type="pct"/>
            <w:vAlign w:val="center"/>
          </w:tcPr>
          <w:p w14:paraId="4D1C7E67">
            <w:pPr>
              <w:pStyle w:val="104"/>
              <w:topLinePunct/>
              <w:rPr>
                <w:szCs w:val="21"/>
              </w:rPr>
            </w:pPr>
            <w:r>
              <w:rPr>
                <w:rFonts w:hint="eastAsia"/>
                <w:szCs w:val="21"/>
              </w:rPr>
              <w:t>珠海乐腾腾投资合伙企业（有限合伙）</w:t>
            </w:r>
          </w:p>
        </w:tc>
      </w:tr>
      <w:tr w14:paraId="146FF4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12A0F8DE">
            <w:pPr>
              <w:pStyle w:val="104"/>
              <w:topLinePunct/>
              <w:rPr>
                <w:szCs w:val="21"/>
              </w:rPr>
            </w:pPr>
            <w:r>
              <w:rPr>
                <w:rFonts w:hint="eastAsia"/>
                <w:szCs w:val="21"/>
              </w:rPr>
              <w:t>广发信德科文</w:t>
            </w:r>
          </w:p>
        </w:tc>
        <w:tc>
          <w:tcPr>
            <w:tcW w:w="303" w:type="pct"/>
            <w:vAlign w:val="center"/>
          </w:tcPr>
          <w:p w14:paraId="6D658C39">
            <w:pPr>
              <w:pStyle w:val="104"/>
              <w:topLinePunct/>
              <w:jc w:val="center"/>
              <w:rPr>
                <w:szCs w:val="21"/>
              </w:rPr>
            </w:pPr>
            <w:r>
              <w:rPr>
                <w:rFonts w:hint="eastAsia"/>
                <w:szCs w:val="21"/>
              </w:rPr>
              <w:t>指</w:t>
            </w:r>
          </w:p>
        </w:tc>
        <w:tc>
          <w:tcPr>
            <w:tcW w:w="3466" w:type="pct"/>
            <w:vAlign w:val="center"/>
          </w:tcPr>
          <w:p w14:paraId="0804A1EA">
            <w:pPr>
              <w:pStyle w:val="104"/>
              <w:topLinePunct/>
              <w:rPr>
                <w:szCs w:val="21"/>
              </w:rPr>
            </w:pPr>
            <w:r>
              <w:rPr>
                <w:rFonts w:hint="eastAsia"/>
                <w:szCs w:val="21"/>
              </w:rPr>
              <w:t>珠海广发信德科文创业投资基金（有限合伙）</w:t>
            </w:r>
          </w:p>
        </w:tc>
      </w:tr>
      <w:tr w14:paraId="3A2493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79FACD09">
            <w:pPr>
              <w:pStyle w:val="104"/>
              <w:topLinePunct/>
              <w:rPr>
                <w:szCs w:val="21"/>
              </w:rPr>
            </w:pPr>
            <w:r>
              <w:rPr>
                <w:rFonts w:hint="eastAsia"/>
                <w:szCs w:val="21"/>
              </w:rPr>
              <w:t>珠海康远</w:t>
            </w:r>
          </w:p>
        </w:tc>
        <w:tc>
          <w:tcPr>
            <w:tcW w:w="303" w:type="pct"/>
            <w:vAlign w:val="center"/>
          </w:tcPr>
          <w:p w14:paraId="4401F105">
            <w:pPr>
              <w:pStyle w:val="104"/>
              <w:topLinePunct/>
              <w:jc w:val="center"/>
              <w:rPr>
                <w:szCs w:val="21"/>
              </w:rPr>
            </w:pPr>
            <w:r>
              <w:rPr>
                <w:rFonts w:hint="eastAsia"/>
                <w:szCs w:val="21"/>
              </w:rPr>
              <w:t>指</w:t>
            </w:r>
          </w:p>
        </w:tc>
        <w:tc>
          <w:tcPr>
            <w:tcW w:w="3466" w:type="pct"/>
            <w:vAlign w:val="center"/>
          </w:tcPr>
          <w:p w14:paraId="7BD693DC">
            <w:pPr>
              <w:pStyle w:val="104"/>
              <w:topLinePunct/>
              <w:rPr>
                <w:szCs w:val="21"/>
              </w:rPr>
            </w:pPr>
            <w:r>
              <w:rPr>
                <w:rFonts w:hint="eastAsia"/>
                <w:szCs w:val="21"/>
              </w:rPr>
              <w:t>珠海康远投资企业（有限合伙）</w:t>
            </w:r>
          </w:p>
        </w:tc>
      </w:tr>
      <w:tr w14:paraId="217E2B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5F5B3ED1">
            <w:pPr>
              <w:pStyle w:val="104"/>
              <w:topLinePunct/>
              <w:rPr>
                <w:szCs w:val="21"/>
              </w:rPr>
            </w:pPr>
            <w:r>
              <w:rPr>
                <w:rFonts w:hint="eastAsia"/>
                <w:szCs w:val="21"/>
              </w:rPr>
              <w:t>广州信德创业营</w:t>
            </w:r>
          </w:p>
        </w:tc>
        <w:tc>
          <w:tcPr>
            <w:tcW w:w="303" w:type="pct"/>
            <w:vAlign w:val="center"/>
          </w:tcPr>
          <w:p w14:paraId="5DBED748">
            <w:pPr>
              <w:pStyle w:val="104"/>
              <w:topLinePunct/>
              <w:jc w:val="center"/>
              <w:rPr>
                <w:szCs w:val="21"/>
              </w:rPr>
            </w:pPr>
            <w:r>
              <w:rPr>
                <w:rFonts w:hint="eastAsia"/>
                <w:szCs w:val="21"/>
              </w:rPr>
              <w:t>指</w:t>
            </w:r>
          </w:p>
        </w:tc>
        <w:tc>
          <w:tcPr>
            <w:tcW w:w="3466" w:type="pct"/>
            <w:vAlign w:val="center"/>
          </w:tcPr>
          <w:p w14:paraId="4BC9E001">
            <w:pPr>
              <w:pStyle w:val="104"/>
              <w:topLinePunct/>
              <w:rPr>
                <w:szCs w:val="21"/>
              </w:rPr>
            </w:pPr>
            <w:r>
              <w:rPr>
                <w:rFonts w:hint="eastAsia"/>
                <w:szCs w:val="21"/>
              </w:rPr>
              <w:t>广州信德创业营股权投资合伙企业（有限合伙）</w:t>
            </w:r>
          </w:p>
        </w:tc>
      </w:tr>
      <w:tr w14:paraId="5B1209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75283F51">
            <w:pPr>
              <w:pStyle w:val="104"/>
              <w:topLinePunct/>
              <w:rPr>
                <w:szCs w:val="21"/>
              </w:rPr>
            </w:pPr>
            <w:r>
              <w:rPr>
                <w:rFonts w:hint="eastAsia"/>
                <w:szCs w:val="21"/>
              </w:rPr>
              <w:t>广发信德二期</w:t>
            </w:r>
          </w:p>
        </w:tc>
        <w:tc>
          <w:tcPr>
            <w:tcW w:w="303" w:type="pct"/>
            <w:vAlign w:val="center"/>
          </w:tcPr>
          <w:p w14:paraId="5C26CDBC">
            <w:pPr>
              <w:pStyle w:val="104"/>
              <w:topLinePunct/>
              <w:jc w:val="center"/>
              <w:rPr>
                <w:szCs w:val="21"/>
              </w:rPr>
            </w:pPr>
            <w:r>
              <w:rPr>
                <w:rFonts w:hint="eastAsia"/>
                <w:szCs w:val="21"/>
              </w:rPr>
              <w:t>指</w:t>
            </w:r>
          </w:p>
        </w:tc>
        <w:tc>
          <w:tcPr>
            <w:tcW w:w="3466" w:type="pct"/>
            <w:vAlign w:val="center"/>
          </w:tcPr>
          <w:p w14:paraId="1041ABDC">
            <w:pPr>
              <w:pStyle w:val="104"/>
              <w:topLinePunct/>
              <w:rPr>
                <w:szCs w:val="21"/>
              </w:rPr>
            </w:pPr>
            <w:r>
              <w:rPr>
                <w:rFonts w:hint="eastAsia"/>
                <w:szCs w:val="21"/>
              </w:rPr>
              <w:t>广州广发信德二期创业投资合伙企业（有限合伙）</w:t>
            </w:r>
          </w:p>
        </w:tc>
      </w:tr>
      <w:tr w14:paraId="484508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6072B5D6">
            <w:pPr>
              <w:pStyle w:val="104"/>
              <w:topLinePunct/>
              <w:rPr>
                <w:szCs w:val="21"/>
              </w:rPr>
            </w:pPr>
            <w:r>
              <w:rPr>
                <w:rFonts w:hint="eastAsia"/>
                <w:szCs w:val="21"/>
              </w:rPr>
              <w:t>南通成为常青</w:t>
            </w:r>
          </w:p>
        </w:tc>
        <w:tc>
          <w:tcPr>
            <w:tcW w:w="303" w:type="pct"/>
            <w:vAlign w:val="center"/>
          </w:tcPr>
          <w:p w14:paraId="737654A9">
            <w:pPr>
              <w:pStyle w:val="104"/>
              <w:topLinePunct/>
              <w:jc w:val="center"/>
              <w:rPr>
                <w:szCs w:val="21"/>
              </w:rPr>
            </w:pPr>
            <w:r>
              <w:rPr>
                <w:rFonts w:hint="eastAsia"/>
                <w:szCs w:val="21"/>
              </w:rPr>
              <w:t>指</w:t>
            </w:r>
          </w:p>
        </w:tc>
        <w:tc>
          <w:tcPr>
            <w:tcW w:w="3466" w:type="pct"/>
            <w:vAlign w:val="center"/>
          </w:tcPr>
          <w:p w14:paraId="78809D4B">
            <w:pPr>
              <w:pStyle w:val="104"/>
              <w:topLinePunct/>
              <w:rPr>
                <w:szCs w:val="21"/>
              </w:rPr>
            </w:pPr>
            <w:r>
              <w:rPr>
                <w:rFonts w:hint="eastAsia"/>
                <w:szCs w:val="21"/>
              </w:rPr>
              <w:t>南通成为常青股权投资合伙企业（有限合伙）</w:t>
            </w:r>
          </w:p>
        </w:tc>
      </w:tr>
      <w:tr w14:paraId="66D5EE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70B64B79">
            <w:pPr>
              <w:pStyle w:val="104"/>
              <w:topLinePunct/>
              <w:rPr>
                <w:szCs w:val="21"/>
              </w:rPr>
            </w:pPr>
            <w:r>
              <w:rPr>
                <w:rFonts w:hint="eastAsia"/>
                <w:szCs w:val="21"/>
              </w:rPr>
              <w:t>苏州德同合心</w:t>
            </w:r>
          </w:p>
        </w:tc>
        <w:tc>
          <w:tcPr>
            <w:tcW w:w="303" w:type="pct"/>
            <w:vAlign w:val="center"/>
          </w:tcPr>
          <w:p w14:paraId="51D176BC">
            <w:pPr>
              <w:pStyle w:val="104"/>
              <w:topLinePunct/>
              <w:jc w:val="center"/>
              <w:rPr>
                <w:szCs w:val="21"/>
              </w:rPr>
            </w:pPr>
            <w:r>
              <w:rPr>
                <w:rFonts w:hint="eastAsia"/>
                <w:szCs w:val="21"/>
              </w:rPr>
              <w:t>指</w:t>
            </w:r>
          </w:p>
        </w:tc>
        <w:tc>
          <w:tcPr>
            <w:tcW w:w="3466" w:type="pct"/>
            <w:vAlign w:val="center"/>
          </w:tcPr>
          <w:p w14:paraId="209034A4">
            <w:pPr>
              <w:pStyle w:val="104"/>
              <w:topLinePunct/>
              <w:rPr>
                <w:szCs w:val="21"/>
              </w:rPr>
            </w:pPr>
            <w:r>
              <w:rPr>
                <w:rFonts w:hint="eastAsia"/>
                <w:szCs w:val="21"/>
              </w:rPr>
              <w:t>苏州市德同合心创业投资合伙企业（有限合伙）</w:t>
            </w:r>
          </w:p>
        </w:tc>
      </w:tr>
      <w:tr w14:paraId="441BA4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75F8A32F">
            <w:pPr>
              <w:pStyle w:val="104"/>
              <w:topLinePunct/>
              <w:rPr>
                <w:szCs w:val="21"/>
              </w:rPr>
            </w:pPr>
            <w:r>
              <w:rPr>
                <w:rFonts w:hint="eastAsia"/>
                <w:szCs w:val="21"/>
              </w:rPr>
              <w:t>上海德盾</w:t>
            </w:r>
          </w:p>
        </w:tc>
        <w:tc>
          <w:tcPr>
            <w:tcW w:w="303" w:type="pct"/>
            <w:vAlign w:val="center"/>
          </w:tcPr>
          <w:p w14:paraId="0A089ECF">
            <w:pPr>
              <w:pStyle w:val="104"/>
              <w:topLinePunct/>
              <w:jc w:val="center"/>
              <w:rPr>
                <w:szCs w:val="21"/>
              </w:rPr>
            </w:pPr>
            <w:r>
              <w:rPr>
                <w:rFonts w:hint="eastAsia"/>
                <w:szCs w:val="21"/>
              </w:rPr>
              <w:t>指</w:t>
            </w:r>
          </w:p>
        </w:tc>
        <w:tc>
          <w:tcPr>
            <w:tcW w:w="3466" w:type="pct"/>
            <w:vAlign w:val="center"/>
          </w:tcPr>
          <w:p w14:paraId="7217E14E">
            <w:pPr>
              <w:pStyle w:val="104"/>
              <w:topLinePunct/>
              <w:rPr>
                <w:szCs w:val="21"/>
              </w:rPr>
            </w:pPr>
            <w:r>
              <w:rPr>
                <w:rFonts w:hint="eastAsia"/>
                <w:szCs w:val="21"/>
              </w:rPr>
              <w:t>上海德盾企业管理合伙企业（有限合伙）</w:t>
            </w:r>
          </w:p>
        </w:tc>
      </w:tr>
      <w:tr w14:paraId="07113F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3412700B">
            <w:pPr>
              <w:pStyle w:val="104"/>
              <w:topLinePunct/>
              <w:rPr>
                <w:szCs w:val="21"/>
              </w:rPr>
            </w:pPr>
            <w:r>
              <w:rPr>
                <w:rFonts w:hint="eastAsia"/>
                <w:szCs w:val="21"/>
              </w:rPr>
              <w:t>深圳前海千意智合三期</w:t>
            </w:r>
          </w:p>
        </w:tc>
        <w:tc>
          <w:tcPr>
            <w:tcW w:w="303" w:type="pct"/>
            <w:vAlign w:val="center"/>
          </w:tcPr>
          <w:p w14:paraId="1B3E6F56">
            <w:pPr>
              <w:pStyle w:val="104"/>
              <w:topLinePunct/>
              <w:jc w:val="center"/>
              <w:rPr>
                <w:szCs w:val="21"/>
              </w:rPr>
            </w:pPr>
            <w:r>
              <w:rPr>
                <w:rFonts w:hint="eastAsia"/>
                <w:szCs w:val="21"/>
              </w:rPr>
              <w:t>指</w:t>
            </w:r>
          </w:p>
        </w:tc>
        <w:tc>
          <w:tcPr>
            <w:tcW w:w="3466" w:type="pct"/>
            <w:vAlign w:val="center"/>
          </w:tcPr>
          <w:p w14:paraId="27E3371A">
            <w:pPr>
              <w:pStyle w:val="104"/>
              <w:topLinePunct/>
              <w:rPr>
                <w:szCs w:val="21"/>
              </w:rPr>
            </w:pPr>
            <w:r>
              <w:rPr>
                <w:rFonts w:hint="eastAsia"/>
                <w:szCs w:val="21"/>
              </w:rPr>
              <w:t>深圳市前海千意智合三期投资合伙企业（有限合伙）</w:t>
            </w:r>
          </w:p>
        </w:tc>
      </w:tr>
      <w:tr w14:paraId="5CAF49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792B89F5">
            <w:pPr>
              <w:pStyle w:val="104"/>
              <w:topLinePunct/>
              <w:rPr>
                <w:szCs w:val="21"/>
              </w:rPr>
            </w:pPr>
            <w:r>
              <w:rPr>
                <w:rFonts w:hint="eastAsia"/>
                <w:szCs w:val="21"/>
              </w:rPr>
              <w:t>林芝利新</w:t>
            </w:r>
          </w:p>
        </w:tc>
        <w:tc>
          <w:tcPr>
            <w:tcW w:w="303" w:type="pct"/>
            <w:vAlign w:val="center"/>
          </w:tcPr>
          <w:p w14:paraId="50362898">
            <w:pPr>
              <w:pStyle w:val="104"/>
              <w:topLinePunct/>
              <w:jc w:val="center"/>
              <w:rPr>
                <w:szCs w:val="21"/>
              </w:rPr>
            </w:pPr>
            <w:r>
              <w:rPr>
                <w:rFonts w:hint="eastAsia"/>
                <w:szCs w:val="21"/>
              </w:rPr>
              <w:t>指</w:t>
            </w:r>
          </w:p>
        </w:tc>
        <w:tc>
          <w:tcPr>
            <w:tcW w:w="3466" w:type="pct"/>
            <w:vAlign w:val="center"/>
          </w:tcPr>
          <w:p w14:paraId="35EA8350">
            <w:pPr>
              <w:pStyle w:val="104"/>
              <w:topLinePunct/>
              <w:rPr>
                <w:szCs w:val="21"/>
              </w:rPr>
            </w:pPr>
            <w:r>
              <w:rPr>
                <w:rFonts w:hint="eastAsia"/>
                <w:szCs w:val="21"/>
              </w:rPr>
              <w:t>林芝利新信息技术有限公司</w:t>
            </w:r>
          </w:p>
        </w:tc>
      </w:tr>
      <w:tr w14:paraId="37ED70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6AE8B078">
            <w:pPr>
              <w:pStyle w:val="104"/>
              <w:topLinePunct/>
              <w:rPr>
                <w:szCs w:val="21"/>
              </w:rPr>
            </w:pPr>
            <w:r>
              <w:rPr>
                <w:rFonts w:hint="eastAsia"/>
                <w:szCs w:val="21"/>
              </w:rPr>
              <w:t>璀璨远见</w:t>
            </w:r>
          </w:p>
        </w:tc>
        <w:tc>
          <w:tcPr>
            <w:tcW w:w="303" w:type="pct"/>
            <w:vAlign w:val="center"/>
          </w:tcPr>
          <w:p w14:paraId="48BB815E">
            <w:pPr>
              <w:pStyle w:val="104"/>
              <w:topLinePunct/>
              <w:jc w:val="center"/>
              <w:rPr>
                <w:szCs w:val="21"/>
              </w:rPr>
            </w:pPr>
            <w:r>
              <w:rPr>
                <w:rFonts w:hint="eastAsia"/>
                <w:szCs w:val="21"/>
              </w:rPr>
              <w:t>指</w:t>
            </w:r>
          </w:p>
        </w:tc>
        <w:tc>
          <w:tcPr>
            <w:tcW w:w="3466" w:type="pct"/>
            <w:vAlign w:val="center"/>
          </w:tcPr>
          <w:p w14:paraId="289CDA28">
            <w:pPr>
              <w:pStyle w:val="104"/>
              <w:topLinePunct/>
              <w:rPr>
                <w:szCs w:val="21"/>
              </w:rPr>
            </w:pPr>
            <w:r>
              <w:rPr>
                <w:rFonts w:hint="eastAsia"/>
                <w:szCs w:val="21"/>
              </w:rPr>
              <w:t>璀璨远见（深圳）企业管理合伙企业（有限合伙）</w:t>
            </w:r>
          </w:p>
        </w:tc>
      </w:tr>
      <w:tr w14:paraId="1CD557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20BDCD54">
            <w:pPr>
              <w:pStyle w:val="104"/>
              <w:topLinePunct/>
              <w:rPr>
                <w:szCs w:val="21"/>
              </w:rPr>
            </w:pPr>
            <w:r>
              <w:rPr>
                <w:rFonts w:hint="eastAsia"/>
                <w:szCs w:val="21"/>
              </w:rPr>
              <w:t>璀璨德商</w:t>
            </w:r>
          </w:p>
        </w:tc>
        <w:tc>
          <w:tcPr>
            <w:tcW w:w="303" w:type="pct"/>
            <w:vAlign w:val="center"/>
          </w:tcPr>
          <w:p w14:paraId="309B5596">
            <w:pPr>
              <w:pStyle w:val="104"/>
              <w:topLinePunct/>
              <w:jc w:val="center"/>
              <w:rPr>
                <w:szCs w:val="21"/>
              </w:rPr>
            </w:pPr>
            <w:r>
              <w:rPr>
                <w:rFonts w:hint="eastAsia"/>
                <w:szCs w:val="21"/>
              </w:rPr>
              <w:t>指</w:t>
            </w:r>
          </w:p>
        </w:tc>
        <w:tc>
          <w:tcPr>
            <w:tcW w:w="3466" w:type="pct"/>
            <w:vAlign w:val="center"/>
          </w:tcPr>
          <w:p w14:paraId="0D5F7AE5">
            <w:pPr>
              <w:pStyle w:val="104"/>
              <w:topLinePunct/>
              <w:rPr>
                <w:szCs w:val="21"/>
              </w:rPr>
            </w:pPr>
            <w:r>
              <w:rPr>
                <w:rFonts w:hint="eastAsia"/>
                <w:szCs w:val="21"/>
              </w:rPr>
              <w:t>璀璨德商（深圳）创业投资中心（有限合伙）</w:t>
            </w:r>
          </w:p>
        </w:tc>
      </w:tr>
      <w:tr w14:paraId="666B13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69EC9F78">
            <w:pPr>
              <w:adjustRightInd w:val="0"/>
              <w:snapToGrid w:val="0"/>
              <w:spacing w:before="0" w:beforeLines="0" w:line="240" w:lineRule="auto"/>
              <w:ind w:firstLine="0" w:firstLineChars="0"/>
              <w:jc w:val="both"/>
              <w:rPr>
                <w:rFonts w:cs="Times New Roman"/>
                <w:sz w:val="21"/>
                <w:szCs w:val="21"/>
              </w:rPr>
            </w:pPr>
            <w:r>
              <w:rPr>
                <w:rFonts w:hint="eastAsia"/>
                <w:sz w:val="21"/>
                <w:szCs w:val="21"/>
              </w:rPr>
              <w:t>IoT</w:t>
            </w:r>
          </w:p>
        </w:tc>
        <w:tc>
          <w:tcPr>
            <w:tcW w:w="303" w:type="pct"/>
            <w:vAlign w:val="center"/>
          </w:tcPr>
          <w:p w14:paraId="498762AE">
            <w:pPr>
              <w:pStyle w:val="104"/>
              <w:topLinePunct/>
              <w:jc w:val="center"/>
              <w:rPr>
                <w:szCs w:val="21"/>
              </w:rPr>
            </w:pPr>
            <w:r>
              <w:rPr>
                <w:rFonts w:hint="eastAsia"/>
                <w:szCs w:val="21"/>
              </w:rPr>
              <w:t>指</w:t>
            </w:r>
          </w:p>
        </w:tc>
        <w:tc>
          <w:tcPr>
            <w:tcW w:w="3466" w:type="pct"/>
            <w:vAlign w:val="center"/>
          </w:tcPr>
          <w:p w14:paraId="4EF865C5">
            <w:pPr>
              <w:pStyle w:val="104"/>
              <w:topLinePunct/>
              <w:rPr>
                <w:szCs w:val="21"/>
              </w:rPr>
            </w:pPr>
            <w:r>
              <w:rPr>
                <w:rFonts w:hint="eastAsia"/>
                <w:szCs w:val="21"/>
              </w:rPr>
              <w:t>物联网（</w:t>
            </w:r>
            <w:r>
              <w:rPr>
                <w:szCs w:val="21"/>
              </w:rPr>
              <w:t>Internet</w:t>
            </w:r>
            <w:r>
              <w:rPr>
                <w:rFonts w:hint="eastAsia"/>
                <w:szCs w:val="21"/>
              </w:rPr>
              <w:t xml:space="preserve"> </w:t>
            </w:r>
            <w:r>
              <w:rPr>
                <w:szCs w:val="21"/>
              </w:rPr>
              <w:t>of</w:t>
            </w:r>
            <w:r>
              <w:rPr>
                <w:rFonts w:hint="eastAsia"/>
                <w:szCs w:val="21"/>
              </w:rPr>
              <w:t xml:space="preserve"> </w:t>
            </w:r>
            <w:r>
              <w:rPr>
                <w:szCs w:val="21"/>
              </w:rPr>
              <w:t>Things</w:t>
            </w:r>
            <w:r>
              <w:rPr>
                <w:rFonts w:hint="eastAsia"/>
                <w:szCs w:val="21"/>
              </w:rPr>
              <w:t>），即物物相连的互联网，是通过射频识别（RFID）、红外感应器、全球定位系统、激光扫描等信息传感设备，按约定的协议，把任何物品与互联网连接起来，进行信息交换和通讯，以实现智能化识别、定位、跟踪、监控和管理的一种网络</w:t>
            </w:r>
          </w:p>
        </w:tc>
      </w:tr>
      <w:tr w14:paraId="3BFE06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43FDA787">
            <w:pPr>
              <w:adjustRightInd w:val="0"/>
              <w:snapToGrid w:val="0"/>
              <w:spacing w:before="0" w:beforeLines="0" w:line="240" w:lineRule="auto"/>
              <w:ind w:firstLine="0" w:firstLineChars="0"/>
              <w:jc w:val="both"/>
              <w:rPr>
                <w:rFonts w:cs="Times New Roman"/>
                <w:sz w:val="21"/>
                <w:szCs w:val="21"/>
              </w:rPr>
            </w:pPr>
            <w:r>
              <w:rPr>
                <w:rFonts w:hint="eastAsia"/>
                <w:szCs w:val="28"/>
              </w:rPr>
              <w:t>SaaS</w:t>
            </w:r>
          </w:p>
        </w:tc>
        <w:tc>
          <w:tcPr>
            <w:tcW w:w="303" w:type="pct"/>
            <w:vAlign w:val="center"/>
          </w:tcPr>
          <w:p w14:paraId="049D2386">
            <w:pPr>
              <w:pStyle w:val="104"/>
              <w:topLinePunct/>
              <w:jc w:val="center"/>
              <w:rPr>
                <w:szCs w:val="21"/>
              </w:rPr>
            </w:pPr>
            <w:r>
              <w:rPr>
                <w:rFonts w:hint="eastAsia"/>
                <w:szCs w:val="21"/>
              </w:rPr>
              <w:t>指</w:t>
            </w:r>
          </w:p>
        </w:tc>
        <w:tc>
          <w:tcPr>
            <w:tcW w:w="3466" w:type="pct"/>
            <w:vAlign w:val="center"/>
          </w:tcPr>
          <w:p w14:paraId="7FAD8B63">
            <w:pPr>
              <w:pStyle w:val="104"/>
              <w:topLinePunct/>
              <w:rPr>
                <w:szCs w:val="21"/>
              </w:rPr>
            </w:pPr>
            <w:r>
              <w:rPr>
                <w:rFonts w:hint="eastAsia"/>
                <w:szCs w:val="21"/>
              </w:rPr>
              <w:t>软件即服务（Software-as-a-Service），指SaaS提供商为企业搭建信息化所需要的所有网络基础设施及软件、硬件运作平台，并负责所有前期的实施、后期的维护等一系列服务，企业无需购买软硬件、建设机房、招聘IT人员，即可通过互联网使用信息系统</w:t>
            </w:r>
          </w:p>
        </w:tc>
      </w:tr>
      <w:tr w14:paraId="6568BD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0CF76F1B">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SDK</w:t>
            </w:r>
          </w:p>
        </w:tc>
        <w:tc>
          <w:tcPr>
            <w:tcW w:w="303" w:type="pct"/>
            <w:vAlign w:val="center"/>
          </w:tcPr>
          <w:p w14:paraId="0F7478DD">
            <w:pPr>
              <w:pStyle w:val="104"/>
              <w:topLinePunct/>
              <w:jc w:val="center"/>
              <w:rPr>
                <w:szCs w:val="21"/>
              </w:rPr>
            </w:pPr>
            <w:r>
              <w:rPr>
                <w:rFonts w:hint="eastAsia"/>
                <w:szCs w:val="21"/>
              </w:rPr>
              <w:t>指</w:t>
            </w:r>
          </w:p>
        </w:tc>
        <w:tc>
          <w:tcPr>
            <w:tcW w:w="3466" w:type="pct"/>
            <w:vAlign w:val="center"/>
          </w:tcPr>
          <w:p w14:paraId="47644206">
            <w:pPr>
              <w:pStyle w:val="104"/>
              <w:topLinePunct/>
              <w:rPr>
                <w:szCs w:val="21"/>
              </w:rPr>
            </w:pPr>
            <w:r>
              <w:rPr>
                <w:rFonts w:hint="eastAsia"/>
                <w:szCs w:val="21"/>
              </w:rPr>
              <w:t>软件开发工具包（Software Development Kit），指软件工程师为特定的软件包、软件框架、硬件平台、操作系统等建立应用软件时的开发工具的集合</w:t>
            </w:r>
          </w:p>
        </w:tc>
      </w:tr>
      <w:tr w14:paraId="5991FE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1C291610">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云计算</w:t>
            </w:r>
          </w:p>
        </w:tc>
        <w:tc>
          <w:tcPr>
            <w:tcW w:w="303" w:type="pct"/>
            <w:vAlign w:val="center"/>
          </w:tcPr>
          <w:p w14:paraId="1B5D4BB9">
            <w:pPr>
              <w:pStyle w:val="104"/>
              <w:topLinePunct/>
              <w:jc w:val="center"/>
              <w:rPr>
                <w:szCs w:val="21"/>
              </w:rPr>
            </w:pPr>
            <w:r>
              <w:rPr>
                <w:rFonts w:hint="eastAsia"/>
                <w:szCs w:val="21"/>
              </w:rPr>
              <w:t>指</w:t>
            </w:r>
          </w:p>
        </w:tc>
        <w:tc>
          <w:tcPr>
            <w:tcW w:w="3466" w:type="pct"/>
            <w:vAlign w:val="center"/>
          </w:tcPr>
          <w:p w14:paraId="5ECB0129">
            <w:pPr>
              <w:pStyle w:val="104"/>
              <w:topLinePunct/>
              <w:rPr>
                <w:szCs w:val="21"/>
              </w:rPr>
            </w:pPr>
            <w:r>
              <w:rPr>
                <w:rFonts w:hint="eastAsia"/>
                <w:szCs w:val="21"/>
              </w:rPr>
              <w:t>是一种按使用量付费的模式，这种模式提供可用的、便捷的、按需的网络访问，进入可配置的计算资源共享池（资源包括网络，服务器，存储，应用软件，服务），这些资源能够被快速提供，只需投入很少的管理工作，或与服务供应商进行很少的交互</w:t>
            </w:r>
          </w:p>
        </w:tc>
      </w:tr>
      <w:tr w14:paraId="3CCE30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616C998C">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大数据</w:t>
            </w:r>
          </w:p>
        </w:tc>
        <w:tc>
          <w:tcPr>
            <w:tcW w:w="303" w:type="pct"/>
            <w:vAlign w:val="center"/>
          </w:tcPr>
          <w:p w14:paraId="04A6AA35">
            <w:pPr>
              <w:pStyle w:val="104"/>
              <w:topLinePunct/>
              <w:jc w:val="center"/>
              <w:rPr>
                <w:szCs w:val="21"/>
              </w:rPr>
            </w:pPr>
            <w:r>
              <w:rPr>
                <w:rFonts w:hint="eastAsia"/>
                <w:szCs w:val="21"/>
              </w:rPr>
              <w:t>指</w:t>
            </w:r>
          </w:p>
        </w:tc>
        <w:tc>
          <w:tcPr>
            <w:tcW w:w="3466" w:type="pct"/>
            <w:vAlign w:val="center"/>
          </w:tcPr>
          <w:p w14:paraId="5684A87B">
            <w:pPr>
              <w:pStyle w:val="104"/>
              <w:topLinePunct/>
              <w:rPr>
                <w:szCs w:val="21"/>
              </w:rPr>
            </w:pPr>
            <w:r>
              <w:rPr>
                <w:rFonts w:hint="eastAsia"/>
                <w:szCs w:val="21"/>
              </w:rPr>
              <w:t>一种规模大到在获取、存储、管理、分析方面大大超出了传统数据库软件工具能力范围的数据集合，具有海量的数据规模、快速的数据流转、多样的数据类型和价值密度低四大特征</w:t>
            </w:r>
          </w:p>
        </w:tc>
      </w:tr>
      <w:tr w14:paraId="4A4093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13DB0A80">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GIS</w:t>
            </w:r>
          </w:p>
        </w:tc>
        <w:tc>
          <w:tcPr>
            <w:tcW w:w="303" w:type="pct"/>
            <w:vAlign w:val="center"/>
          </w:tcPr>
          <w:p w14:paraId="2B0FD6B0">
            <w:pPr>
              <w:pStyle w:val="104"/>
              <w:topLinePunct/>
              <w:jc w:val="center"/>
              <w:rPr>
                <w:szCs w:val="21"/>
              </w:rPr>
            </w:pPr>
            <w:r>
              <w:rPr>
                <w:rFonts w:hint="eastAsia"/>
                <w:szCs w:val="21"/>
              </w:rPr>
              <w:t>指</w:t>
            </w:r>
          </w:p>
        </w:tc>
        <w:tc>
          <w:tcPr>
            <w:tcW w:w="3466" w:type="pct"/>
            <w:vAlign w:val="center"/>
          </w:tcPr>
          <w:p w14:paraId="2BA84761">
            <w:pPr>
              <w:pStyle w:val="104"/>
              <w:topLinePunct/>
              <w:rPr>
                <w:szCs w:val="21"/>
              </w:rPr>
            </w:pPr>
            <w:r>
              <w:rPr>
                <w:rFonts w:hint="eastAsia"/>
                <w:szCs w:val="21"/>
              </w:rPr>
              <w:t>地理信息系统（Geographic Information System），是以地理空间数据库为基础，在计算机软硬件的支持下，对地理空间信息进行采集、存储、检索、显示和分析的综合性技术系统</w:t>
            </w:r>
          </w:p>
        </w:tc>
      </w:tr>
      <w:tr w14:paraId="0334DF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7EF80106">
            <w:pPr>
              <w:widowControl/>
              <w:spacing w:before="0" w:beforeLines="0" w:line="240" w:lineRule="auto"/>
              <w:ind w:firstLine="0" w:firstLineChars="0"/>
              <w:jc w:val="both"/>
              <w:textAlignment w:val="center"/>
              <w:rPr>
                <w:rFonts w:cs="Times New Roman"/>
                <w:sz w:val="21"/>
                <w:szCs w:val="21"/>
              </w:rPr>
            </w:pPr>
            <w:r>
              <w:rPr>
                <w:rFonts w:hint="eastAsia" w:cs="Times New Roman"/>
                <w:sz w:val="21"/>
                <w:szCs w:val="21"/>
              </w:rPr>
              <w:t>AI</w:t>
            </w:r>
          </w:p>
        </w:tc>
        <w:tc>
          <w:tcPr>
            <w:tcW w:w="303" w:type="pct"/>
            <w:vAlign w:val="center"/>
          </w:tcPr>
          <w:p w14:paraId="51C839CB">
            <w:pPr>
              <w:widowControl/>
              <w:spacing w:before="0" w:beforeLines="0" w:line="240" w:lineRule="auto"/>
              <w:ind w:firstLine="0" w:firstLineChars="0"/>
              <w:jc w:val="center"/>
              <w:textAlignment w:val="center"/>
              <w:rPr>
                <w:rFonts w:cs="Times New Roman"/>
                <w:sz w:val="21"/>
                <w:szCs w:val="21"/>
              </w:rPr>
            </w:pPr>
            <w:r>
              <w:rPr>
                <w:rFonts w:hint="eastAsia"/>
                <w:sz w:val="21"/>
                <w:szCs w:val="21"/>
              </w:rPr>
              <w:t>指</w:t>
            </w:r>
          </w:p>
        </w:tc>
        <w:tc>
          <w:tcPr>
            <w:tcW w:w="3466" w:type="pct"/>
            <w:vAlign w:val="center"/>
          </w:tcPr>
          <w:p w14:paraId="42486A72">
            <w:pPr>
              <w:pStyle w:val="104"/>
              <w:topLinePunct/>
              <w:rPr>
                <w:szCs w:val="21"/>
              </w:rPr>
            </w:pPr>
            <w:r>
              <w:rPr>
                <w:rFonts w:hint="eastAsia"/>
                <w:szCs w:val="21"/>
              </w:rPr>
              <w:t>人工智能（</w:t>
            </w:r>
            <w:r>
              <w:rPr>
                <w:szCs w:val="21"/>
              </w:rPr>
              <w:t>Artificial</w:t>
            </w:r>
            <w:r>
              <w:rPr>
                <w:rFonts w:hint="eastAsia"/>
                <w:szCs w:val="21"/>
              </w:rPr>
              <w:t xml:space="preserve"> </w:t>
            </w:r>
            <w:r>
              <w:rPr>
                <w:szCs w:val="21"/>
              </w:rPr>
              <w:t>Intelligence</w:t>
            </w:r>
            <w:r>
              <w:rPr>
                <w:rFonts w:hint="eastAsia"/>
                <w:szCs w:val="21"/>
              </w:rPr>
              <w:t>），系研究、开发用于模拟、延伸和扩展人的智能的理论、方法、技术及应用系统的一门新的技术学科</w:t>
            </w:r>
          </w:p>
        </w:tc>
      </w:tr>
      <w:tr w14:paraId="58A4B9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7BE558DE">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《公司法》</w:t>
            </w:r>
          </w:p>
        </w:tc>
        <w:tc>
          <w:tcPr>
            <w:tcW w:w="303" w:type="pct"/>
            <w:vAlign w:val="center"/>
          </w:tcPr>
          <w:p w14:paraId="3FEEE1D5">
            <w:pPr>
              <w:pStyle w:val="104"/>
              <w:topLinePunct/>
              <w:jc w:val="center"/>
              <w:rPr>
                <w:szCs w:val="21"/>
              </w:rPr>
            </w:pPr>
            <w:r>
              <w:rPr>
                <w:rFonts w:hint="eastAsia"/>
                <w:szCs w:val="21"/>
              </w:rPr>
              <w:t>指</w:t>
            </w:r>
          </w:p>
        </w:tc>
        <w:tc>
          <w:tcPr>
            <w:tcW w:w="3466" w:type="pct"/>
            <w:vAlign w:val="center"/>
          </w:tcPr>
          <w:p w14:paraId="372E634D">
            <w:pPr>
              <w:pStyle w:val="104"/>
              <w:topLinePunct/>
              <w:rPr>
                <w:szCs w:val="21"/>
              </w:rPr>
            </w:pPr>
            <w:r>
              <w:rPr>
                <w:rFonts w:hint="eastAsia"/>
                <w:szCs w:val="21"/>
              </w:rPr>
              <w:t>《中华人民共和国公司法》</w:t>
            </w:r>
          </w:p>
        </w:tc>
      </w:tr>
      <w:tr w14:paraId="00D7CF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6C6A04AA">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《证券法》</w:t>
            </w:r>
          </w:p>
        </w:tc>
        <w:tc>
          <w:tcPr>
            <w:tcW w:w="303" w:type="pct"/>
            <w:vAlign w:val="center"/>
          </w:tcPr>
          <w:p w14:paraId="6C17B3F2">
            <w:pPr>
              <w:pStyle w:val="104"/>
              <w:topLinePunct/>
              <w:jc w:val="center"/>
              <w:rPr>
                <w:szCs w:val="21"/>
              </w:rPr>
            </w:pPr>
            <w:r>
              <w:rPr>
                <w:rFonts w:hint="eastAsia"/>
                <w:szCs w:val="21"/>
              </w:rPr>
              <w:t>指</w:t>
            </w:r>
          </w:p>
        </w:tc>
        <w:tc>
          <w:tcPr>
            <w:tcW w:w="3466" w:type="pct"/>
            <w:vAlign w:val="center"/>
          </w:tcPr>
          <w:p w14:paraId="1205B458">
            <w:pPr>
              <w:pStyle w:val="104"/>
              <w:topLinePunct/>
              <w:rPr>
                <w:szCs w:val="21"/>
              </w:rPr>
            </w:pPr>
            <w:r>
              <w:rPr>
                <w:rFonts w:hint="eastAsia"/>
                <w:szCs w:val="21"/>
              </w:rPr>
              <w:t>《中华人民共和国证券法》</w:t>
            </w:r>
          </w:p>
        </w:tc>
      </w:tr>
      <w:tr w14:paraId="63AC3B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03EEDB89">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《发行注册管理办法》</w:t>
            </w:r>
          </w:p>
        </w:tc>
        <w:tc>
          <w:tcPr>
            <w:tcW w:w="303" w:type="pct"/>
            <w:vAlign w:val="center"/>
          </w:tcPr>
          <w:p w14:paraId="54553F6A">
            <w:pPr>
              <w:pStyle w:val="104"/>
              <w:topLinePunct/>
              <w:jc w:val="center"/>
              <w:rPr>
                <w:szCs w:val="21"/>
              </w:rPr>
            </w:pPr>
            <w:r>
              <w:rPr>
                <w:rFonts w:hint="eastAsia"/>
                <w:szCs w:val="21"/>
              </w:rPr>
              <w:t>指</w:t>
            </w:r>
          </w:p>
        </w:tc>
        <w:tc>
          <w:tcPr>
            <w:tcW w:w="3466" w:type="pct"/>
            <w:vAlign w:val="center"/>
          </w:tcPr>
          <w:p w14:paraId="56B7F759">
            <w:pPr>
              <w:pStyle w:val="104"/>
              <w:topLinePunct/>
              <w:rPr>
                <w:szCs w:val="21"/>
              </w:rPr>
            </w:pPr>
            <w:r>
              <w:rPr>
                <w:rFonts w:hint="eastAsia"/>
                <w:szCs w:val="21"/>
              </w:rPr>
              <w:t>《上市公司证券发行注册管理办法》</w:t>
            </w:r>
          </w:p>
        </w:tc>
      </w:tr>
      <w:tr w14:paraId="11C3A6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101A2C25">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《重组管理办法》</w:t>
            </w:r>
          </w:p>
        </w:tc>
        <w:tc>
          <w:tcPr>
            <w:tcW w:w="303" w:type="pct"/>
            <w:vAlign w:val="center"/>
          </w:tcPr>
          <w:p w14:paraId="31BAA32D">
            <w:pPr>
              <w:pStyle w:val="104"/>
              <w:topLinePunct/>
              <w:jc w:val="center"/>
              <w:rPr>
                <w:szCs w:val="21"/>
              </w:rPr>
            </w:pPr>
            <w:r>
              <w:rPr>
                <w:rFonts w:hint="eastAsia"/>
                <w:szCs w:val="21"/>
              </w:rPr>
              <w:t>指</w:t>
            </w:r>
          </w:p>
        </w:tc>
        <w:tc>
          <w:tcPr>
            <w:tcW w:w="3466" w:type="pct"/>
            <w:vAlign w:val="center"/>
          </w:tcPr>
          <w:p w14:paraId="3E04D12B">
            <w:pPr>
              <w:pStyle w:val="104"/>
              <w:topLinePunct/>
              <w:rPr>
                <w:szCs w:val="21"/>
              </w:rPr>
            </w:pPr>
            <w:r>
              <w:rPr>
                <w:rFonts w:hint="eastAsia"/>
                <w:szCs w:val="21"/>
              </w:rPr>
              <w:t>《上市公司重大资产重组管理办法》</w:t>
            </w:r>
          </w:p>
        </w:tc>
      </w:tr>
      <w:tr w14:paraId="68BC9D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2929C44B">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《股票上市规则》</w:t>
            </w:r>
          </w:p>
        </w:tc>
        <w:tc>
          <w:tcPr>
            <w:tcW w:w="303" w:type="pct"/>
            <w:vAlign w:val="center"/>
          </w:tcPr>
          <w:p w14:paraId="7328EEC1">
            <w:pPr>
              <w:pStyle w:val="104"/>
              <w:topLinePunct/>
              <w:jc w:val="center"/>
              <w:rPr>
                <w:szCs w:val="21"/>
              </w:rPr>
            </w:pPr>
            <w:r>
              <w:rPr>
                <w:rFonts w:hint="eastAsia"/>
                <w:szCs w:val="21"/>
              </w:rPr>
              <w:t>指</w:t>
            </w:r>
          </w:p>
        </w:tc>
        <w:tc>
          <w:tcPr>
            <w:tcW w:w="3466" w:type="pct"/>
            <w:vAlign w:val="center"/>
          </w:tcPr>
          <w:p w14:paraId="331DA17E">
            <w:pPr>
              <w:pStyle w:val="104"/>
              <w:topLinePunct/>
              <w:rPr>
                <w:szCs w:val="21"/>
              </w:rPr>
            </w:pPr>
            <w:r>
              <w:rPr>
                <w:rFonts w:hint="eastAsia"/>
                <w:szCs w:val="21"/>
              </w:rPr>
              <w:t>《深圳证券交易所创业板股票上市规则》</w:t>
            </w:r>
          </w:p>
        </w:tc>
      </w:tr>
      <w:tr w14:paraId="6E935B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490DFDBA">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《持续监管办法》</w:t>
            </w:r>
          </w:p>
        </w:tc>
        <w:tc>
          <w:tcPr>
            <w:tcW w:w="303" w:type="pct"/>
            <w:vAlign w:val="center"/>
          </w:tcPr>
          <w:p w14:paraId="51707B21">
            <w:pPr>
              <w:pStyle w:val="104"/>
              <w:topLinePunct/>
              <w:jc w:val="center"/>
              <w:rPr>
                <w:szCs w:val="21"/>
              </w:rPr>
            </w:pPr>
            <w:r>
              <w:rPr>
                <w:rFonts w:hint="eastAsia"/>
                <w:szCs w:val="21"/>
              </w:rPr>
              <w:t>指</w:t>
            </w:r>
          </w:p>
        </w:tc>
        <w:tc>
          <w:tcPr>
            <w:tcW w:w="3466" w:type="pct"/>
            <w:vAlign w:val="center"/>
          </w:tcPr>
          <w:p w14:paraId="1CE1A2FC">
            <w:pPr>
              <w:pStyle w:val="104"/>
              <w:topLinePunct/>
              <w:rPr>
                <w:szCs w:val="21"/>
              </w:rPr>
            </w:pPr>
            <w:r>
              <w:rPr>
                <w:rFonts w:hint="eastAsia"/>
                <w:szCs w:val="21"/>
              </w:rPr>
              <w:t>《创业板上市公司持续监管办法（试行）》</w:t>
            </w:r>
          </w:p>
        </w:tc>
      </w:tr>
      <w:tr w14:paraId="7F10C2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59020B17">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《公司章程》</w:t>
            </w:r>
          </w:p>
        </w:tc>
        <w:tc>
          <w:tcPr>
            <w:tcW w:w="303" w:type="pct"/>
            <w:vAlign w:val="center"/>
          </w:tcPr>
          <w:p w14:paraId="6AB063BB">
            <w:pPr>
              <w:pStyle w:val="104"/>
              <w:topLinePunct/>
              <w:jc w:val="center"/>
              <w:rPr>
                <w:szCs w:val="21"/>
              </w:rPr>
            </w:pPr>
            <w:r>
              <w:rPr>
                <w:rFonts w:hint="eastAsia"/>
                <w:szCs w:val="21"/>
              </w:rPr>
              <w:t>指</w:t>
            </w:r>
          </w:p>
        </w:tc>
        <w:tc>
          <w:tcPr>
            <w:tcW w:w="3466" w:type="pct"/>
            <w:vAlign w:val="center"/>
          </w:tcPr>
          <w:p w14:paraId="5CC7E210">
            <w:pPr>
              <w:pStyle w:val="104"/>
              <w:topLinePunct/>
              <w:rPr>
                <w:szCs w:val="21"/>
              </w:rPr>
            </w:pPr>
            <w:r>
              <w:rPr>
                <w:rFonts w:hint="eastAsia"/>
                <w:szCs w:val="21"/>
              </w:rPr>
              <w:t>《广东天亿马信息产业股份有限公司章程》</w:t>
            </w:r>
          </w:p>
        </w:tc>
      </w:tr>
      <w:tr w14:paraId="0F7DFD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41B8B1C6">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中国证监会</w:t>
            </w:r>
            <w:r>
              <w:rPr>
                <w:rFonts w:cs="Times New Roman"/>
                <w:sz w:val="21"/>
                <w:szCs w:val="21"/>
              </w:rPr>
              <w:t>/</w:t>
            </w:r>
            <w:r>
              <w:rPr>
                <w:rFonts w:hint="eastAsia" w:cs="Times New Roman"/>
                <w:sz w:val="21"/>
                <w:szCs w:val="21"/>
              </w:rPr>
              <w:t>证监会</w:t>
            </w:r>
          </w:p>
        </w:tc>
        <w:tc>
          <w:tcPr>
            <w:tcW w:w="303" w:type="pct"/>
            <w:vAlign w:val="center"/>
          </w:tcPr>
          <w:p w14:paraId="38F9C50F">
            <w:pPr>
              <w:pStyle w:val="104"/>
              <w:topLinePunct/>
              <w:jc w:val="center"/>
              <w:rPr>
                <w:szCs w:val="21"/>
              </w:rPr>
            </w:pPr>
            <w:r>
              <w:rPr>
                <w:rFonts w:hint="eastAsia"/>
                <w:szCs w:val="21"/>
              </w:rPr>
              <w:t>指</w:t>
            </w:r>
          </w:p>
        </w:tc>
        <w:tc>
          <w:tcPr>
            <w:tcW w:w="3466" w:type="pct"/>
            <w:vAlign w:val="center"/>
          </w:tcPr>
          <w:p w14:paraId="468B62C3">
            <w:pPr>
              <w:pStyle w:val="104"/>
              <w:topLinePunct/>
              <w:rPr>
                <w:szCs w:val="21"/>
              </w:rPr>
            </w:pPr>
            <w:r>
              <w:rPr>
                <w:rFonts w:hint="eastAsia"/>
                <w:szCs w:val="21"/>
              </w:rPr>
              <w:t>中国证券监督管理委员会</w:t>
            </w:r>
          </w:p>
        </w:tc>
      </w:tr>
      <w:tr w14:paraId="16100D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07761843">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深交所</w:t>
            </w:r>
          </w:p>
        </w:tc>
        <w:tc>
          <w:tcPr>
            <w:tcW w:w="303" w:type="pct"/>
            <w:vAlign w:val="center"/>
          </w:tcPr>
          <w:p w14:paraId="0F6EF521">
            <w:pPr>
              <w:pStyle w:val="104"/>
              <w:topLinePunct/>
              <w:jc w:val="center"/>
              <w:rPr>
                <w:szCs w:val="21"/>
              </w:rPr>
            </w:pPr>
            <w:r>
              <w:rPr>
                <w:rFonts w:hint="eastAsia"/>
                <w:szCs w:val="21"/>
              </w:rPr>
              <w:t>指</w:t>
            </w:r>
          </w:p>
        </w:tc>
        <w:tc>
          <w:tcPr>
            <w:tcW w:w="3466" w:type="pct"/>
            <w:vAlign w:val="center"/>
          </w:tcPr>
          <w:p w14:paraId="397C1D33">
            <w:pPr>
              <w:pStyle w:val="104"/>
              <w:topLinePunct/>
              <w:rPr>
                <w:szCs w:val="21"/>
              </w:rPr>
            </w:pPr>
            <w:r>
              <w:rPr>
                <w:rFonts w:hint="eastAsia"/>
                <w:szCs w:val="21"/>
              </w:rPr>
              <w:t>深圳证券交易所</w:t>
            </w:r>
          </w:p>
        </w:tc>
      </w:tr>
      <w:tr w14:paraId="1C2D99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2A91D028">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证券登记结算机构</w:t>
            </w:r>
          </w:p>
        </w:tc>
        <w:tc>
          <w:tcPr>
            <w:tcW w:w="303" w:type="pct"/>
            <w:vAlign w:val="center"/>
          </w:tcPr>
          <w:p w14:paraId="2674B935">
            <w:pPr>
              <w:pStyle w:val="104"/>
              <w:topLinePunct/>
              <w:jc w:val="center"/>
              <w:rPr>
                <w:szCs w:val="21"/>
              </w:rPr>
            </w:pPr>
            <w:r>
              <w:rPr>
                <w:rFonts w:hint="eastAsia"/>
                <w:szCs w:val="21"/>
              </w:rPr>
              <w:t>指</w:t>
            </w:r>
          </w:p>
        </w:tc>
        <w:tc>
          <w:tcPr>
            <w:tcW w:w="3466" w:type="pct"/>
            <w:vAlign w:val="center"/>
          </w:tcPr>
          <w:p w14:paraId="5409FB8B">
            <w:pPr>
              <w:pStyle w:val="104"/>
              <w:topLinePunct/>
              <w:rPr>
                <w:szCs w:val="21"/>
              </w:rPr>
            </w:pPr>
            <w:r>
              <w:rPr>
                <w:rFonts w:hint="eastAsia"/>
                <w:szCs w:val="21"/>
              </w:rPr>
              <w:t>中国证券登记结算有限责任公司深圳分公司</w:t>
            </w:r>
          </w:p>
        </w:tc>
      </w:tr>
      <w:tr w14:paraId="207D16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31" w:type="pct"/>
            <w:vAlign w:val="center"/>
          </w:tcPr>
          <w:p w14:paraId="1E040298">
            <w:pPr>
              <w:adjustRightInd w:val="0"/>
              <w:snapToGrid w:val="0"/>
              <w:spacing w:before="0" w:beforeLines="0" w:line="240" w:lineRule="auto"/>
              <w:ind w:firstLine="0" w:firstLineChars="0"/>
              <w:jc w:val="both"/>
              <w:rPr>
                <w:rFonts w:cs="Times New Roman"/>
                <w:sz w:val="21"/>
                <w:szCs w:val="21"/>
              </w:rPr>
            </w:pPr>
            <w:r>
              <w:rPr>
                <w:rFonts w:hint="eastAsia" w:cs="Times New Roman"/>
                <w:sz w:val="21"/>
                <w:szCs w:val="21"/>
              </w:rPr>
              <w:t>元、万元、亿元</w:t>
            </w:r>
          </w:p>
        </w:tc>
        <w:tc>
          <w:tcPr>
            <w:tcW w:w="303" w:type="pct"/>
            <w:vAlign w:val="center"/>
          </w:tcPr>
          <w:p w14:paraId="586A3126">
            <w:pPr>
              <w:pStyle w:val="104"/>
              <w:topLinePunct/>
              <w:jc w:val="center"/>
              <w:rPr>
                <w:szCs w:val="21"/>
              </w:rPr>
            </w:pPr>
            <w:r>
              <w:rPr>
                <w:rFonts w:hint="eastAsia"/>
                <w:szCs w:val="21"/>
              </w:rPr>
              <w:t>指</w:t>
            </w:r>
          </w:p>
        </w:tc>
        <w:tc>
          <w:tcPr>
            <w:tcW w:w="3466" w:type="pct"/>
            <w:vAlign w:val="center"/>
          </w:tcPr>
          <w:p w14:paraId="2BEBC36B">
            <w:pPr>
              <w:pStyle w:val="104"/>
              <w:topLinePunct/>
              <w:rPr>
                <w:szCs w:val="21"/>
              </w:rPr>
            </w:pPr>
            <w:r>
              <w:rPr>
                <w:rFonts w:hint="eastAsia"/>
                <w:szCs w:val="21"/>
              </w:rPr>
              <w:t>如无特别说明，指人民币元、人民币万元、人民币亿元</w:t>
            </w:r>
          </w:p>
        </w:tc>
      </w:tr>
    </w:tbl>
    <w:p w14:paraId="2B9CE083">
      <w:pPr>
        <w:spacing w:before="120" w:line="240" w:lineRule="auto"/>
        <w:ind w:firstLine="420"/>
        <w:jc w:val="both"/>
        <w:rPr>
          <w:rFonts w:cs="Arial"/>
          <w:bCs/>
          <w:kern w:val="2"/>
          <w:sz w:val="21"/>
          <w:szCs w:val="22"/>
        </w:rPr>
      </w:pPr>
      <w:r>
        <w:rPr>
          <w:rFonts w:cs="Arial"/>
          <w:bCs/>
          <w:kern w:val="2"/>
          <w:sz w:val="21"/>
          <w:szCs w:val="22"/>
        </w:rPr>
        <w:t>注：本</w:t>
      </w:r>
      <w:r>
        <w:rPr>
          <w:rFonts w:hint="eastAsia" w:cs="Arial"/>
          <w:bCs/>
          <w:kern w:val="2"/>
          <w:sz w:val="21"/>
          <w:szCs w:val="22"/>
        </w:rPr>
        <w:t>预案</w:t>
      </w:r>
      <w:r>
        <w:rPr>
          <w:rFonts w:cs="Arial"/>
          <w:bCs/>
          <w:kern w:val="2"/>
          <w:sz w:val="21"/>
          <w:szCs w:val="22"/>
        </w:rPr>
        <w:t>除特别说明外，所有数值保留2位小数，若出现总数的尾数与各分项数值总和的尾数不相等的情况，均为四舍五入原因造成的。</w:t>
      </w:r>
    </w:p>
    <w:p w14:paraId="780890B1">
      <w:pPr>
        <w:pStyle w:val="817"/>
        <w:spacing w:before="120" w:after="120"/>
      </w:pPr>
      <w:bookmarkStart w:id="9" w:name="_Toc184373622"/>
      <w:bookmarkStart w:id="10" w:name="_Toc2461"/>
      <w:bookmarkStart w:id="11" w:name="_Toc481026464"/>
      <w:bookmarkStart w:id="12" w:name="_Hlk82365752"/>
      <w:bookmarkStart w:id="13" w:name="_Toc86099259"/>
      <w:r>
        <w:rPr>
          <w:rFonts w:hint="eastAsia"/>
        </w:rPr>
        <w:t>重大事项提示</w:t>
      </w:r>
      <w:bookmarkEnd w:id="9"/>
      <w:bookmarkEnd w:id="10"/>
    </w:p>
    <w:p w14:paraId="3BCD95F9">
      <w:pPr>
        <w:spacing w:before="120" w:after="120" w:afterLines="50"/>
        <w:ind w:firstLine="480"/>
        <w:jc w:val="both"/>
        <w:rPr>
          <w:rFonts w:cs="Times New Roman"/>
          <w:kern w:val="2"/>
          <w:szCs w:val="22"/>
        </w:rPr>
      </w:pPr>
      <w:r>
        <w:rPr>
          <w:rFonts w:hint="eastAsia" w:cs="Times New Roman"/>
          <w:kern w:val="2"/>
          <w:szCs w:val="22"/>
        </w:rPr>
        <w:t>截至本预案签署日，本次重组涉及标的公司的审计、评估工作尚未完成，经符合《证券法》规定的会计师事务所、评估机构进行审计和评估之后，标的公司经审计的财务数据、评估结果及最终交易作价等将在重组报告书中予以披露，相关资产经审计的财务数据可能与预案披露情况存在差异，特提请投资者注意。</w:t>
      </w:r>
    </w:p>
    <w:p w14:paraId="640AF7F1">
      <w:pPr>
        <w:spacing w:before="120" w:after="120" w:afterLines="50"/>
        <w:ind w:firstLine="480"/>
        <w:jc w:val="both"/>
        <w:rPr>
          <w:rFonts w:cs="Times New Roman"/>
          <w:kern w:val="2"/>
          <w:szCs w:val="22"/>
        </w:rPr>
      </w:pPr>
      <w:r>
        <w:rPr>
          <w:rFonts w:hint="eastAsia" w:cs="Times New Roman"/>
          <w:kern w:val="2"/>
          <w:szCs w:val="22"/>
        </w:rPr>
        <w:t>提醒投资者认真阅读本预案全文，并特别注意以下事项：</w:t>
      </w:r>
    </w:p>
    <w:p w14:paraId="438C7D5C">
      <w:pPr>
        <w:pStyle w:val="860"/>
        <w:spacing w:before="120" w:after="120"/>
        <w:rPr>
          <w:color w:val="000000" w:themeColor="text1"/>
          <w14:textFill>
            <w14:solidFill>
              <w14:schemeClr w14:val="tx1"/>
            </w14:solidFill>
          </w14:textFill>
        </w:rPr>
      </w:pPr>
      <w:bookmarkStart w:id="14" w:name="_Toc478717713"/>
      <w:bookmarkStart w:id="15" w:name="_Toc184373623"/>
      <w:bookmarkStart w:id="16" w:name="_Toc467336044"/>
      <w:bookmarkStart w:id="17" w:name="_Toc468340088"/>
      <w:bookmarkStart w:id="18" w:name="_Toc9799"/>
      <w:bookmarkStart w:id="19" w:name="_Toc86099248"/>
      <w:bookmarkStart w:id="20" w:name="_Toc481026454"/>
      <w:bookmarkStart w:id="21" w:name="_Toc471512587"/>
      <w:bookmarkStart w:id="22" w:name="_Toc467336660"/>
      <w:bookmarkStart w:id="23" w:name="OLE_LINK26"/>
      <w:r>
        <w:rPr>
          <w:rFonts w:hint="eastAsia"/>
          <w:color w:val="000000" w:themeColor="text1"/>
          <w14:textFill>
            <w14:solidFill>
              <w14:schemeClr w14:val="tx1"/>
            </w14:solidFill>
          </w14:textFill>
        </w:rPr>
        <w:t>一、本次交易方案概述</w:t>
      </w:r>
      <w:bookmarkEnd w:id="14"/>
      <w:bookmarkEnd w:id="15"/>
      <w:bookmarkEnd w:id="16"/>
      <w:bookmarkEnd w:id="17"/>
      <w:bookmarkEnd w:id="18"/>
      <w:bookmarkEnd w:id="19"/>
      <w:bookmarkEnd w:id="20"/>
      <w:bookmarkEnd w:id="21"/>
      <w:bookmarkEnd w:id="22"/>
    </w:p>
    <w:p w14:paraId="66745BC5">
      <w:pPr>
        <w:spacing w:before="120"/>
        <w:ind w:firstLine="480" w:firstLineChars="0"/>
        <w:jc w:val="both"/>
      </w:pPr>
      <w:bookmarkStart w:id="24" w:name="_Hlk189427510"/>
      <w:r>
        <w:rPr>
          <w:rFonts w:hint="eastAsia"/>
          <w:color w:val="000000" w:themeColor="text1"/>
          <w:lang w:bidi="ar"/>
          <w14:textFill>
            <w14:solidFill>
              <w14:schemeClr w14:val="tx1"/>
            </w14:solidFill>
          </w14:textFill>
        </w:rPr>
        <w:t>本次交易的整体方案由发行股份及支付现金购买资产和募集配套资金两部分组成。</w:t>
      </w:r>
      <w:r>
        <w:rPr>
          <w:rFonts w:hint="eastAsia"/>
        </w:rPr>
        <w:t>本次募集配套资金的生效和实施以本次发行股份及支付现金购买资产的生效为前提条件。本次发行股份及支付现金购买资产不以募集配套资金的成功实施为前提，最终募集配套资金成功与否不影响本次发行股份及支付现金购买资产的实施。具体情况如下：</w:t>
      </w:r>
    </w:p>
    <w:p w14:paraId="4CFFAAC9">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（一）发行股份及支付现金购买资产</w:t>
      </w:r>
    </w:p>
    <w:p w14:paraId="4A66BEA3">
      <w:pPr>
        <w:spacing w:before="120"/>
        <w:ind w:firstLine="480"/>
        <w:jc w:val="both"/>
      </w:pPr>
      <w:r>
        <w:rPr>
          <w:rFonts w:hint="eastAsia"/>
        </w:rPr>
        <w:t>天亿马拟以发行股份及支付现金的方式向陈耿豪、南通成为常青股权投资合伙企业（有限合伙）、珠海广发信德科文创业投资基金（有限合伙）、苏州市德同合心创业投资合伙企业（有限合伙）、珠海乐陶陶投资合伙企业（有限合伙）、林芝利新信息技术有限公司、杨凯然、张杰波、璀璨远见（深圳）企业管理合伙企业（有限合伙）、珠海乐熙熙投资合伙企业（有限合伙）、珠海乐腾腾投资合伙企业（有限合伙）、深圳市前海千意智合三期投资合伙企业（有限合伙）、胡俊、王佳、杨裕雄、珠海乐哈哈投资合伙企业（有限合伙）、广州广发信德二期创业投资合伙企业（有限合伙）、璀璨德商（深圳）创业投资中心（有限合伙）、广州信德创业营股权投资合伙企业（有限合伙）、珠海乐摇投资合伙企业（有限合伙）、珠海康远投资企业（有限合伙）、上海德盾企业管理合伙企业（有限合伙）共22名交易对方购买其合计持有的星云开物100%的股权。</w:t>
      </w:r>
    </w:p>
    <w:p w14:paraId="0AF30BB8">
      <w:pPr>
        <w:spacing w:before="120"/>
        <w:ind w:firstLine="480" w:firstLineChars="0"/>
        <w:jc w:val="both"/>
      </w:pPr>
      <w:r>
        <w:rPr>
          <w:rFonts w:hint="eastAsia"/>
          <w:lang w:bidi="ar"/>
        </w:rPr>
        <w:t>其中，天亿马以支付现金方式购买交易对方合法持有的星云开物51%股权；以发行股份方式购买交易对方合法持有的星云开物49%股权。</w:t>
      </w:r>
      <w:r>
        <w:rPr>
          <w:rFonts w:hint="eastAsia"/>
        </w:rPr>
        <w:t>本次交易前，天亿马未持有星云开物股权；本次交易完成后，星云开物将成为天亿马的全资子公司，纳入天亿马合并财务报表范围。</w:t>
      </w:r>
    </w:p>
    <w:p w14:paraId="347388A7">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（二）发行股份募集配套资金</w:t>
      </w:r>
    </w:p>
    <w:p w14:paraId="3973B03A">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本次交易中，上市公司拟向上市公司实际控制人之一</w:t>
      </w:r>
      <w:r>
        <w:rPr>
          <w:rFonts w:hint="eastAsia"/>
        </w:rPr>
        <w:t>马学沛先生</w:t>
      </w:r>
      <w:r>
        <w:rPr>
          <w:rFonts w:hint="eastAsia" w:ascii="宋体" w:hAnsi="宋体"/>
          <w:color w:val="000000" w:themeColor="text1"/>
          <w14:textFill>
            <w14:solidFill>
              <w14:schemeClr w14:val="tx1"/>
            </w14:solidFill>
          </w14:textFill>
        </w:rPr>
        <w:t>发行股份募集配套资金，募集配套资金总额不超过</w:t>
      </w:r>
      <w:r>
        <w:rPr>
          <w:rFonts w:cs="Times New Roman"/>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亿元且不超过本次发行股份购买资产交易价格的</w:t>
      </w:r>
      <w:r>
        <w:rPr>
          <w:rFonts w:cs="Times New Roman"/>
          <w:color w:val="000000" w:themeColor="text1"/>
          <w14:textFill>
            <w14:solidFill>
              <w14:schemeClr w14:val="tx1"/>
            </w14:solidFill>
          </w14:textFill>
        </w:rPr>
        <w:t>100%</w:t>
      </w:r>
      <w:r>
        <w:rPr>
          <w:rFonts w:hint="eastAsia" w:ascii="宋体" w:hAnsi="宋体"/>
          <w:color w:val="000000" w:themeColor="text1"/>
          <w14:textFill>
            <w14:solidFill>
              <w14:schemeClr w14:val="tx1"/>
            </w14:solidFill>
          </w14:textFill>
        </w:rPr>
        <w:t>，且发行股份数量不超过本次募集配套资金股份发行前上市公司总股本的</w:t>
      </w:r>
      <w:r>
        <w:rPr>
          <w:rFonts w:cs="Times New Roman"/>
          <w:color w:val="000000" w:themeColor="text1"/>
          <w14:textFill>
            <w14:solidFill>
              <w14:schemeClr w14:val="tx1"/>
            </w14:solidFill>
          </w14:textFill>
        </w:rPr>
        <w:t>30%</w:t>
      </w:r>
      <w:r>
        <w:rPr>
          <w:rFonts w:hint="eastAsia" w:ascii="宋体" w:hAnsi="宋体"/>
          <w:color w:val="000000" w:themeColor="text1"/>
          <w14:textFill>
            <w14:solidFill>
              <w14:schemeClr w14:val="tx1"/>
            </w14:solidFill>
          </w14:textFill>
        </w:rPr>
        <w:t>，最终发行数量以经深交所审核通过并经中国证监会予以注册的数量为上限。</w:t>
      </w:r>
    </w:p>
    <w:p w14:paraId="7FE66CB3">
      <w:pPr>
        <w:spacing w:before="120"/>
        <w:ind w:firstLine="480" w:firstLineChars="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本次募集配套资金拟用于支付本次交易现金对价、支付本次交易的中介机构费用、相关税费，募集配套资金具体用途及金额将在重组报告书中予以披露。</w:t>
      </w:r>
    </w:p>
    <w:p w14:paraId="60F56487">
      <w:pPr>
        <w:pStyle w:val="860"/>
        <w:spacing w:before="120" w:after="120"/>
        <w:rPr>
          <w:b w:val="0"/>
          <w:bCs w:val="0"/>
          <w:color w:val="000000" w:themeColor="text1"/>
          <w14:textFill>
            <w14:solidFill>
              <w14:schemeClr w14:val="tx1"/>
            </w14:solidFill>
          </w14:textFill>
        </w:rPr>
      </w:pPr>
      <w:bookmarkStart w:id="25" w:name="_Toc5757"/>
      <w:r>
        <w:rPr>
          <w:rFonts w:hint="eastAsia"/>
          <w:color w:val="000000" w:themeColor="text1"/>
          <w14:textFill>
            <w14:solidFill>
              <w14:schemeClr w14:val="tx1"/>
            </w14:solidFill>
          </w14:textFill>
        </w:rPr>
        <w:t>二、交易标的评估作价情况</w:t>
      </w:r>
      <w:bookmarkEnd w:id="25"/>
    </w:p>
    <w:p w14:paraId="72233807">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截至本预案签署日，标的公司的审计和评估工作尚未完成，本次交易的具体交易价格尚未确定。标的资产的交易价格将以符合《证券法》规定的评估机构出具的资产评估报告确定的评估结果为基础，由交易双方协商确定。</w:t>
      </w:r>
      <w:bookmarkStart w:id="26" w:name="OLE_LINK18"/>
      <w:r>
        <w:rPr>
          <w:rFonts w:hint="eastAsia"/>
          <w:color w:val="000000" w:themeColor="text1"/>
          <w:lang w:bidi="ar"/>
          <w14:textFill>
            <w14:solidFill>
              <w14:schemeClr w14:val="tx1"/>
            </w14:solidFill>
          </w14:textFill>
        </w:rPr>
        <w:t>评估基准日后，若标的公司根据因发生利润分配等事项导致净资产减少，减少部分应从各交易对方的交易对价中按照其各自转让的股份比例扣除。</w:t>
      </w:r>
    </w:p>
    <w:bookmarkEnd w:id="26"/>
    <w:p w14:paraId="635090C7">
      <w:pPr>
        <w:pStyle w:val="860"/>
        <w:spacing w:before="120" w:after="120"/>
        <w:rPr>
          <w:color w:val="000000" w:themeColor="text1"/>
          <w14:textFill>
            <w14:solidFill>
              <w14:schemeClr w14:val="tx1"/>
            </w14:solidFill>
          </w14:textFill>
        </w:rPr>
      </w:pPr>
      <w:bookmarkStart w:id="27" w:name="_Toc3825"/>
      <w:r>
        <w:rPr>
          <w:rFonts w:hint="eastAsia"/>
          <w:color w:val="000000" w:themeColor="text1"/>
          <w14:textFill>
            <w14:solidFill>
              <w14:schemeClr w14:val="tx1"/>
            </w14:solidFill>
          </w14:textFill>
        </w:rPr>
        <w:t>三、本次交易的性质</w:t>
      </w:r>
      <w:bookmarkEnd w:id="27"/>
    </w:p>
    <w:p w14:paraId="5064F856">
      <w:pPr>
        <w:keepNext/>
        <w:keepLines/>
        <w:spacing w:before="120" w:after="120" w:afterLines="50"/>
        <w:ind w:firstLine="0" w:firstLineChars="0"/>
        <w:jc w:val="both"/>
        <w:outlineLvl w:val="2"/>
        <w:rPr>
          <w:color w:val="000000" w:themeColor="text1"/>
          <w:lang w:bidi="ar"/>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（一）本次交易预计构成重大资产重组</w:t>
      </w:r>
    </w:p>
    <w:p w14:paraId="3821156E">
      <w:pPr>
        <w:spacing w:before="120"/>
        <w:ind w:firstLine="480"/>
        <w:jc w:val="both"/>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本次交易的审计及评估工作尚未完成，标的资产的交易价格尚未最终确定。根</w:t>
      </w:r>
      <w:r>
        <w:rPr>
          <w:rFonts w:hint="eastAsia"/>
          <w:color w:val="000000" w:themeColor="text1"/>
          <w14:textFill>
            <w14:solidFill>
              <w14:schemeClr w14:val="tx1"/>
            </w14:solidFill>
          </w14:textFill>
        </w:rPr>
        <w:t>据相关数据初步测算，本次交易预计达到《重组管理办法》规定的重大资产重组标准。</w:t>
      </w:r>
      <w:r>
        <w:rPr>
          <w:color w:val="000000" w:themeColor="text1"/>
          <w14:textFill>
            <w14:solidFill>
              <w14:schemeClr w14:val="tx1"/>
            </w14:solidFill>
          </w14:textFill>
        </w:rPr>
        <w:t>对于本次交易是否构成重大资产重组的具体认定，公司将在重组报告书中予以详细分析和披露。</w:t>
      </w:r>
    </w:p>
    <w:p w14:paraId="6B92B48D">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（二）本次交易预计构成关联交易</w:t>
      </w:r>
    </w:p>
    <w:p w14:paraId="0F52D372">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本次发行股份</w:t>
      </w:r>
      <w:r>
        <w:rPr>
          <w:rFonts w:hint="eastAsia" w:ascii="宋体" w:hAnsi="宋体"/>
          <w:color w:val="000000" w:themeColor="text1"/>
          <w14:textFill>
            <w14:solidFill>
              <w14:schemeClr w14:val="tx1"/>
            </w14:solidFill>
          </w14:textFill>
        </w:rPr>
        <w:t>及支付现金</w:t>
      </w:r>
      <w:r>
        <w:rPr>
          <w:rFonts w:hint="eastAsia"/>
          <w:color w:val="000000" w:themeColor="text1"/>
          <w14:textFill>
            <w14:solidFill>
              <w14:schemeClr w14:val="tx1"/>
            </w14:solidFill>
          </w14:textFill>
        </w:rPr>
        <w:t>购买资产的交易对方在交易前与上市公司及其关联方之间不存在关联关系，</w:t>
      </w:r>
      <w:bookmarkStart w:id="28" w:name="_Hlk192095943"/>
      <w:r>
        <w:rPr>
          <w:rFonts w:hint="eastAsia"/>
          <w:color w:val="000000" w:themeColor="text1"/>
          <w14:textFill>
            <w14:solidFill>
              <w14:schemeClr w14:val="tx1"/>
            </w14:solidFill>
          </w14:textFill>
        </w:rPr>
        <w:t>发行股份</w:t>
      </w:r>
      <w:r>
        <w:rPr>
          <w:rFonts w:hint="eastAsia" w:ascii="宋体" w:hAnsi="宋体"/>
          <w:color w:val="000000" w:themeColor="text1"/>
          <w14:textFill>
            <w14:solidFill>
              <w14:schemeClr w14:val="tx1"/>
            </w14:solidFill>
          </w14:textFill>
        </w:rPr>
        <w:t>及支付现金</w:t>
      </w:r>
      <w:r>
        <w:rPr>
          <w:rFonts w:hint="eastAsia"/>
          <w:color w:val="000000" w:themeColor="text1"/>
          <w14:textFill>
            <w14:solidFill>
              <w14:schemeClr w14:val="tx1"/>
            </w14:solidFill>
          </w14:textFill>
        </w:rPr>
        <w:t>购买资产完成后，交易对方之陈耿豪及南通成为常青股权投资合伙企业（有限合伙）分别持有的上市公司股份比例预计将超过5%。根据《股票上市规则》相关规定，陈耿豪及南通成为常青股权投资合伙企业（有限合伙）为上市公司潜在关联方，因此本次交易预计将构成关联交易。</w:t>
      </w:r>
    </w:p>
    <w:p w14:paraId="0DDCAE51">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本次发行股份募集配套资金的发行对象马学沛先生为公司实际控制人，因此，根据《深圳证券交易所创业板股票上市规则》相关规定，本次募集配套资金构成关联交易。</w:t>
      </w:r>
    </w:p>
    <w:bookmarkEnd w:id="28"/>
    <w:p w14:paraId="4FB7ABB6">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（三）本次交易不构成重组上市</w:t>
      </w:r>
    </w:p>
    <w:p w14:paraId="3EAA94AF">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本次交易前后，公司的实际控制人均为马学沛先生及林明玲女士，本次交易不会导致公司控制权变更；且本次交易前36个月内，公司的实际控制权未发生变化。因此，本次交易不构成《上市公司重大资产重组管理办法》第十三条规定的重组上市。</w:t>
      </w:r>
    </w:p>
    <w:p w14:paraId="44B16B3A">
      <w:pPr>
        <w:pStyle w:val="860"/>
        <w:spacing w:before="120" w:after="120"/>
        <w:rPr>
          <w:color w:val="000000" w:themeColor="text1"/>
          <w14:textFill>
            <w14:solidFill>
              <w14:schemeClr w14:val="tx1"/>
            </w14:solidFill>
          </w14:textFill>
        </w:rPr>
      </w:pPr>
      <w:bookmarkStart w:id="29" w:name="_Toc14144"/>
      <w:r>
        <w:rPr>
          <w:rFonts w:hint="eastAsia"/>
          <w:color w:val="000000" w:themeColor="text1"/>
          <w14:textFill>
            <w14:solidFill>
              <w14:schemeClr w14:val="tx1"/>
            </w14:solidFill>
          </w14:textFill>
        </w:rPr>
        <w:t>四、业绩补偿及承诺安排</w:t>
      </w:r>
      <w:bookmarkEnd w:id="29"/>
    </w:p>
    <w:p w14:paraId="3D8230B0">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截至本预案签署日，标的资产的审计、评估工作尚未完成，本次交易暂未签订明确的业绩补偿协议。业绩承诺和补偿具体方案将由上市公司与交易对方在审计、评估工作完成后参照中国证监会等监管机构关于业绩承诺和补偿的相关规定和有关惯例另行协商确定，最终以签署的业绩承诺及补偿协议或条款为准。</w:t>
      </w:r>
    </w:p>
    <w:p w14:paraId="0B211A7A">
      <w:pPr>
        <w:pStyle w:val="860"/>
        <w:spacing w:before="120" w:after="120"/>
        <w:rPr>
          <w:color w:val="000000" w:themeColor="text1"/>
          <w14:textFill>
            <w14:solidFill>
              <w14:schemeClr w14:val="tx1"/>
            </w14:solidFill>
          </w14:textFill>
        </w:rPr>
      </w:pPr>
      <w:bookmarkStart w:id="30" w:name="_Toc471512588"/>
      <w:bookmarkStart w:id="31" w:name="_Toc478717714"/>
      <w:bookmarkStart w:id="32" w:name="_Toc481026455"/>
      <w:bookmarkStart w:id="33" w:name="_Toc86099249"/>
      <w:bookmarkStart w:id="34" w:name="_Toc467336045"/>
      <w:bookmarkStart w:id="35" w:name="_Toc467336661"/>
      <w:bookmarkStart w:id="36" w:name="_Toc468340089"/>
      <w:bookmarkStart w:id="37" w:name="_Toc184373625"/>
      <w:bookmarkStart w:id="38" w:name="_Toc638"/>
      <w:r>
        <w:rPr>
          <w:rFonts w:hint="eastAsia"/>
          <w:color w:val="000000" w:themeColor="text1"/>
          <w14:textFill>
            <w14:solidFill>
              <w14:schemeClr w14:val="tx1"/>
            </w14:solidFill>
          </w14:textFill>
        </w:rPr>
        <w:t>五、</w:t>
      </w:r>
      <w:bookmarkEnd w:id="30"/>
      <w:bookmarkEnd w:id="31"/>
      <w:bookmarkEnd w:id="32"/>
      <w:bookmarkEnd w:id="33"/>
      <w:bookmarkEnd w:id="34"/>
      <w:bookmarkEnd w:id="35"/>
      <w:bookmarkEnd w:id="36"/>
      <w:r>
        <w:rPr>
          <w:rFonts w:hint="eastAsia"/>
          <w:color w:val="000000" w:themeColor="text1"/>
          <w14:textFill>
            <w14:solidFill>
              <w14:schemeClr w14:val="tx1"/>
            </w14:solidFill>
          </w14:textFill>
        </w:rPr>
        <w:t>本次交易对上市公司的影响</w:t>
      </w:r>
      <w:bookmarkEnd w:id="37"/>
      <w:bookmarkEnd w:id="38"/>
    </w:p>
    <w:p w14:paraId="55B6D283">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w:t>
      </w:r>
      <w:bookmarkStart w:id="39" w:name="OLE_LINK11"/>
      <w:r>
        <w:rPr>
          <w:rFonts w:hint="eastAsia" w:eastAsia="黑体" w:cs="Times New Roman"/>
          <w:b/>
          <w:bCs/>
          <w:color w:val="000000" w:themeColor="text1"/>
          <w:kern w:val="2"/>
          <w:szCs w:val="28"/>
          <w14:textFill>
            <w14:solidFill>
              <w14:schemeClr w14:val="tx1"/>
            </w14:solidFill>
          </w14:textFill>
        </w:rPr>
        <w:t>对上市公司主营业务</w:t>
      </w:r>
      <w:bookmarkEnd w:id="39"/>
      <w:r>
        <w:rPr>
          <w:rFonts w:hint="eastAsia" w:eastAsia="黑体" w:cs="Times New Roman"/>
          <w:b/>
          <w:bCs/>
          <w:color w:val="000000" w:themeColor="text1"/>
          <w:kern w:val="2"/>
          <w:szCs w:val="28"/>
          <w14:textFill>
            <w14:solidFill>
              <w14:schemeClr w14:val="tx1"/>
            </w14:solidFill>
          </w14:textFill>
        </w:rPr>
        <w:t>的影响</w:t>
      </w:r>
    </w:p>
    <w:p w14:paraId="4202BAB7">
      <w:pPr>
        <w:tabs>
          <w:tab w:val="left" w:pos="868"/>
        </w:tabs>
        <w:spacing w:before="120" w:after="120" w:afterLines="5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本次交易前，上市公司致力于融合物联网、大数据、云计算、人工智能等新一代信息技术，持续创新并成功落地了市域社会治理、数字乡村、社会治安综合治理、智慧社区、智慧党建、行政便民服务、轨道交通无人值守等一系列应用产品和解决方案，广泛服务于各级党政部门、企事业单位。</w:t>
      </w:r>
    </w:p>
    <w:p w14:paraId="3CF3B11E">
      <w:pPr>
        <w:spacing w:before="120" w:after="120" w:afterLines="50"/>
        <w:ind w:firstLine="480"/>
        <w:rPr>
          <w:color w:val="000000" w:themeColor="text1"/>
          <w:lang w:bidi="ar"/>
          <w14:textFill>
            <w14:solidFill>
              <w14:schemeClr w14:val="tx1"/>
            </w14:solidFill>
          </w14:textFill>
        </w:rPr>
      </w:pPr>
      <w:r>
        <w:rPr>
          <w:rFonts w:hint="eastAsia"/>
          <w:szCs w:val="28"/>
        </w:rPr>
        <w:t>标的公司是一家智能自助设备数字化服务提供商，专注于提供“IoT智能硬件+SaaS云平台”一体化解决方案，致力于实现智能自助设备的物联通讯和数字化升级。</w:t>
      </w:r>
    </w:p>
    <w:p w14:paraId="09D47BF8">
      <w:pPr>
        <w:tabs>
          <w:tab w:val="left" w:pos="868"/>
        </w:tabs>
        <w:spacing w:before="120" w:after="120" w:afterLines="5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通过本次交易，上市公司与标的公司在产业链布局、技术研发、市场拓展、产品迭代等方面将产生互补和协同效应。一方面，上市公司将进一步拓展智能自助设备数字化服务领域业务，实现围绕信息技术服务的深度布局，形成双轮驱动的发展模式，进一步提升公司业绩成长性；另一方面，上市公司能够拓展智能自助设备数字化服务的研发能力，持续完善公司产业链布局，满足更多的应用场景及客户多元化需求，扩大公司整体销售规模，进一步提升持续盈利能力和核心竞争力，维护全体股东利益。</w:t>
      </w:r>
    </w:p>
    <w:p w14:paraId="54E083B5">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（二）本次重组对上市公司股权结构的影响</w:t>
      </w:r>
    </w:p>
    <w:p w14:paraId="2126437B">
      <w:pPr>
        <w:spacing w:before="120" w:after="120" w:afterLines="50"/>
        <w:ind w:firstLine="480"/>
        <w:jc w:val="both"/>
        <w:rPr>
          <w:rFonts w:cs="Times New Roman"/>
          <w:color w:val="000000" w:themeColor="text1"/>
          <w:kern w:val="2"/>
          <w:szCs w:val="22"/>
          <w14:textFill>
            <w14:solidFill>
              <w14:schemeClr w14:val="tx1"/>
            </w14:solidFill>
          </w14:textFill>
        </w:rPr>
      </w:pPr>
      <w:r>
        <w:rPr>
          <w:rFonts w:hint="eastAsia" w:cs="Times New Roman"/>
          <w:color w:val="000000" w:themeColor="text1"/>
          <w:kern w:val="2"/>
          <w:szCs w:val="22"/>
          <w14:textFill>
            <w14:solidFill>
              <w14:schemeClr w14:val="tx1"/>
            </w14:solidFill>
          </w14:textFill>
        </w:rPr>
        <w:t>本次交易前后，公司的控股股东、实际控制人均未发生变化，本次交易不会导致公司控制权变更。</w:t>
      </w:r>
    </w:p>
    <w:p w14:paraId="2BD6FF56">
      <w:pPr>
        <w:spacing w:before="120" w:after="120" w:afterLines="50"/>
        <w:ind w:firstLine="480"/>
        <w:jc w:val="both"/>
        <w:rPr>
          <w:rFonts w:cs="Times New Roman"/>
          <w:color w:val="000000" w:themeColor="text1"/>
          <w:kern w:val="2"/>
          <w:szCs w:val="22"/>
          <w14:textFill>
            <w14:solidFill>
              <w14:schemeClr w14:val="tx1"/>
            </w14:solidFill>
          </w14:textFill>
        </w:rPr>
      </w:pPr>
      <w:r>
        <w:rPr>
          <w:rFonts w:hint="eastAsia"/>
          <w:color w:val="000000" w:themeColor="text1"/>
          <w14:textFill>
            <w14:solidFill>
              <w14:schemeClr w14:val="tx1"/>
            </w14:solidFill>
          </w14:textFill>
        </w:rPr>
        <w:t>截至本预案签署日，由于本次交易的审计、评估工作尚未完成，标的资产交易对价及支付方式尚未确定，</w:t>
      </w:r>
      <w:r>
        <w:rPr>
          <w:color w:val="000000" w:themeColor="text1"/>
          <w14:textFill>
            <w14:solidFill>
              <w14:schemeClr w14:val="tx1"/>
            </w14:solidFill>
          </w14:textFill>
        </w:rPr>
        <w:t>公司将在前述因素确定后测算本次重组对上市公司股权结构的影响</w:t>
      </w:r>
      <w:r>
        <w:rPr>
          <w:rFonts w:hint="eastAsia"/>
          <w:color w:val="000000" w:themeColor="text1"/>
          <w14:textFill>
            <w14:solidFill>
              <w14:schemeClr w14:val="tx1"/>
            </w14:solidFill>
          </w14:textFill>
        </w:rPr>
        <w:t>，具体影响将在重组报告书中予以披露。</w:t>
      </w:r>
    </w:p>
    <w:p w14:paraId="736CB7DF">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（三）本次重组对上市公司盈利能力的影响</w:t>
      </w:r>
    </w:p>
    <w:p w14:paraId="0893A79C">
      <w:pPr>
        <w:spacing w:before="120" w:after="120" w:afterLines="50"/>
        <w:ind w:firstLine="480"/>
        <w:jc w:val="both"/>
        <w:rPr>
          <w:rFonts w:cs="Times New Roman"/>
          <w:color w:val="000000" w:themeColor="text1"/>
          <w:kern w:val="2"/>
          <w:szCs w:val="22"/>
          <w14:textFill>
            <w14:solidFill>
              <w14:schemeClr w14:val="tx1"/>
            </w14:solidFill>
          </w14:textFill>
        </w:rPr>
      </w:pPr>
      <w:r>
        <w:rPr>
          <w:rFonts w:hint="eastAsia" w:cs="Times New Roman"/>
          <w:color w:val="000000" w:themeColor="text1"/>
          <w:kern w:val="2"/>
          <w:szCs w:val="22"/>
          <w14:textFill>
            <w14:solidFill>
              <w14:schemeClr w14:val="tx1"/>
            </w14:solidFill>
          </w14:textFill>
        </w:rPr>
        <w:t>本次交易完成后，上市公司的总资产、营业收入等将进一步增长，持续经营能力进一步增强。鉴于与本次交易相关的审计、评估等工作尚未最终完成，尚无法对本次交易完成后上市公司财务状况和盈利能力进行准确定量分析，上市公司将在相关审计、评估等工作完成后，在重组报告书中就本次交易对上市公司盈利能力的影响进行详细测算分析并披露。</w:t>
      </w:r>
    </w:p>
    <w:p w14:paraId="5B71049A">
      <w:pPr>
        <w:pStyle w:val="860"/>
        <w:spacing w:before="120" w:after="120"/>
        <w:rPr>
          <w:color w:val="000000" w:themeColor="text1"/>
          <w14:textFill>
            <w14:solidFill>
              <w14:schemeClr w14:val="tx1"/>
            </w14:solidFill>
          </w14:textFill>
        </w:rPr>
      </w:pPr>
      <w:bookmarkStart w:id="40" w:name="_Toc10422"/>
      <w:bookmarkStart w:id="41" w:name="_Toc184373626"/>
      <w:r>
        <w:rPr>
          <w:rFonts w:hint="eastAsia"/>
          <w:color w:val="000000" w:themeColor="text1"/>
          <w14:textFill>
            <w14:solidFill>
              <w14:schemeClr w14:val="tx1"/>
            </w14:solidFill>
          </w14:textFill>
        </w:rPr>
        <w:t>六、本次交易已履行和尚需履行的批准程序</w:t>
      </w:r>
      <w:bookmarkEnd w:id="40"/>
      <w:bookmarkEnd w:id="41"/>
    </w:p>
    <w:p w14:paraId="188E8CE0">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（一）本次交易已履行的决策及审批程序</w:t>
      </w:r>
    </w:p>
    <w:p w14:paraId="08DABEC2">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截至本预案签署日，本次交易已履行的决策程序及批准包括：</w:t>
      </w:r>
    </w:p>
    <w:p w14:paraId="60D5A083">
      <w:pPr>
        <w:adjustRightInd w:val="0"/>
        <w:snapToGrid w:val="0"/>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1、本次交易已取得上市公司控股股东、实际控制人的原则性同意；</w:t>
      </w:r>
    </w:p>
    <w:p w14:paraId="06AC50AC">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olor w:val="000000" w:themeColor="text1"/>
          <w:lang w:bidi="ar"/>
          <w14:textFill>
            <w14:solidFill>
              <w14:schemeClr w14:val="tx1"/>
            </w14:solidFill>
          </w14:textFill>
        </w:rPr>
        <w:t>2、</w:t>
      </w:r>
      <w:r>
        <w:rPr>
          <w:rFonts w:hint="eastAsia" w:ascii="宋体" w:hAnsi="宋体"/>
          <w:color w:val="000000" w:themeColor="text1"/>
          <w14:textFill>
            <w14:solidFill>
              <w14:schemeClr w14:val="tx1"/>
            </w14:solidFill>
          </w14:textFill>
        </w:rPr>
        <w:t>本次交易已经上市公司第三届董事会</w:t>
      </w:r>
      <w:r>
        <w:rPr>
          <w:rFonts w:cs="Times New Roman"/>
          <w:color w:val="000000" w:themeColor="text1"/>
          <w14:textFill>
            <w14:solidFill>
              <w14:schemeClr w14:val="tx1"/>
            </w14:solidFill>
          </w14:textFill>
        </w:rPr>
        <w:t>第</w:t>
      </w:r>
      <w:r>
        <w:rPr>
          <w:rFonts w:hint="eastAsia" w:cs="Times New Roman"/>
          <w:color w:val="000000" w:themeColor="text1"/>
          <w14:textFill>
            <w14:solidFill>
              <w14:schemeClr w14:val="tx1"/>
            </w14:solidFill>
          </w14:textFill>
        </w:rPr>
        <w:t>三十二</w:t>
      </w:r>
      <w:r>
        <w:rPr>
          <w:rFonts w:cs="Times New Roman"/>
          <w:color w:val="000000" w:themeColor="text1"/>
          <w14:textFill>
            <w14:solidFill>
              <w14:schemeClr w14:val="tx1"/>
            </w14:solidFill>
          </w14:textFill>
        </w:rPr>
        <w:t>次会议、第</w:t>
      </w:r>
      <w:r>
        <w:rPr>
          <w:rFonts w:hint="eastAsia" w:cs="Times New Roman"/>
          <w:color w:val="000000" w:themeColor="text1"/>
          <w14:textFill>
            <w14:solidFill>
              <w14:schemeClr w14:val="tx1"/>
            </w14:solidFill>
          </w14:textFill>
        </w:rPr>
        <w:t>三</w:t>
      </w:r>
      <w:r>
        <w:rPr>
          <w:rFonts w:cs="Times New Roman"/>
          <w:color w:val="000000" w:themeColor="text1"/>
          <w14:textFill>
            <w14:solidFill>
              <w14:schemeClr w14:val="tx1"/>
            </w14:solidFill>
          </w14:textFill>
        </w:rPr>
        <w:t>届监事会第</w:t>
      </w:r>
      <w:r>
        <w:rPr>
          <w:rFonts w:hint="eastAsia" w:cs="Times New Roman"/>
          <w:color w:val="000000" w:themeColor="text1"/>
          <w14:textFill>
            <w14:solidFill>
              <w14:schemeClr w14:val="tx1"/>
            </w14:solidFill>
          </w14:textFill>
        </w:rPr>
        <w:t>二十八</w:t>
      </w:r>
      <w:r>
        <w:rPr>
          <w:rFonts w:cs="Times New Roman"/>
          <w:color w:val="000000" w:themeColor="text1"/>
          <w14:textFill>
            <w14:solidFill>
              <w14:schemeClr w14:val="tx1"/>
            </w14:solidFill>
          </w14:textFill>
        </w:rPr>
        <w:t>次会议审议通过</w:t>
      </w:r>
      <w:r>
        <w:rPr>
          <w:rFonts w:hint="eastAsia" w:cs="Times New Roman"/>
          <w:color w:val="000000" w:themeColor="text1"/>
          <w14:textFill>
            <w14:solidFill>
              <w14:schemeClr w14:val="tx1"/>
            </w14:solidFill>
          </w14:textFill>
        </w:rPr>
        <w:t>；</w:t>
      </w:r>
    </w:p>
    <w:p w14:paraId="3BA6736B">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3、上市公司与交易对方已签署了本次交易的《广东天亿马信息产业股份有限公司与陈耿豪等交易对方及马学沛关于广东星云开物科技股份有限公司之发行股份及支付现金购买资产协议》（以下简称“《发行股份购买资产协议》”）。</w:t>
      </w:r>
    </w:p>
    <w:p w14:paraId="3AC3189A">
      <w:pPr>
        <w:adjustRightInd w:val="0"/>
        <w:snapToGrid w:val="0"/>
        <w:spacing w:before="120"/>
        <w:ind w:firstLine="480"/>
        <w:jc w:val="both"/>
        <w:rPr>
          <w:rFonts w:cs="Times New Roman"/>
          <w:color w:val="000000" w:themeColor="text1"/>
          <w:lang w:bidi="ar"/>
          <w14:textFill>
            <w14:solidFill>
              <w14:schemeClr w14:val="tx1"/>
            </w14:solidFill>
          </w14:textFill>
        </w:rPr>
      </w:pPr>
      <w:r>
        <w:rPr>
          <w:rFonts w:hint="eastAsia" w:cs="Times New Roman"/>
          <w:color w:val="000000" w:themeColor="text1"/>
          <w:lang w:bidi="ar"/>
          <w14:textFill>
            <w14:solidFill>
              <w14:schemeClr w14:val="tx1"/>
            </w14:solidFill>
          </w14:textFill>
        </w:rPr>
        <w:t>4、</w:t>
      </w:r>
      <w:r>
        <w:rPr>
          <w:rFonts w:cs="Times New Roman"/>
          <w:color w:val="000000" w:themeColor="text1"/>
          <w:lang w:bidi="ar"/>
          <w14:textFill>
            <w14:solidFill>
              <w14:schemeClr w14:val="tx1"/>
            </w14:solidFill>
          </w14:textFill>
        </w:rPr>
        <w:t>本次交易已履行交易对方现阶段所必需的内部授权或批准。</w:t>
      </w:r>
    </w:p>
    <w:p w14:paraId="694134D1">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（二）本次交易尚需履行的审批程序</w:t>
      </w:r>
    </w:p>
    <w:p w14:paraId="145BBF87">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截至本预案签署日，本次交易尚需履行的程序事项包括但不限于：</w:t>
      </w:r>
    </w:p>
    <w:p w14:paraId="596D1665">
      <w:pPr>
        <w:adjustRightInd w:val="0"/>
        <w:snapToGrid w:val="0"/>
        <w:spacing w:before="120"/>
        <w:ind w:firstLine="480" w:firstLineChars="0"/>
        <w:jc w:val="both"/>
        <w:rPr>
          <w:rFonts w:hint="eastAsia" w:ascii="宋体" w:hAnsi="宋体"/>
          <w:color w:val="000000" w:themeColor="text1"/>
          <w14:textFill>
            <w14:solidFill>
              <w14:schemeClr w14:val="tx1"/>
            </w14:solidFill>
          </w14:textFill>
        </w:rPr>
      </w:pPr>
      <w:r>
        <w:rPr>
          <w:rFonts w:cs="Times New Roman"/>
          <w:color w:val="000000" w:themeColor="text1"/>
          <w14:textFill>
            <w14:solidFill>
              <w14:schemeClr w14:val="tx1"/>
            </w14:solidFill>
          </w14:textFill>
        </w:rPr>
        <w:t>1</w:t>
      </w:r>
      <w:r>
        <w:rPr>
          <w:rFonts w:hint="eastAsia" w:ascii="宋体" w:hAnsi="宋体" w:cs="Times New Roman"/>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本次交易涉及的标的资产审计、评估工作完成后，上市公司将再次召开董事会审议通过本次交易的相关议案；</w:t>
      </w:r>
    </w:p>
    <w:p w14:paraId="40BC3E2C">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、本次交易正式方案经交易对方内部有权机构审议通过；</w:t>
      </w:r>
    </w:p>
    <w:p w14:paraId="015494B2">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、本次交易正式方案经上市公司股东会审议通过；</w:t>
      </w:r>
    </w:p>
    <w:p w14:paraId="01E81FB7">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cs="Times New Roman"/>
          <w:color w:val="000000" w:themeColor="text1"/>
          <w14:textFill>
            <w14:solidFill>
              <w14:schemeClr w14:val="tx1"/>
            </w14:solidFill>
          </w14:textFill>
        </w:rPr>
        <w:t>4</w:t>
      </w:r>
      <w:r>
        <w:rPr>
          <w:rFonts w:hint="eastAsia" w:ascii="宋体" w:hAnsi="宋体"/>
          <w:color w:val="000000" w:themeColor="text1"/>
          <w14:textFill>
            <w14:solidFill>
              <w14:schemeClr w14:val="tx1"/>
            </w14:solidFill>
          </w14:textFill>
        </w:rPr>
        <w:t>、本次交易正式方案经标的公司股东大会审议通过；</w:t>
      </w:r>
    </w:p>
    <w:p w14:paraId="36BE5E22">
      <w:pPr>
        <w:adjustRightInd w:val="0"/>
        <w:snapToGrid w:val="0"/>
        <w:spacing w:before="120"/>
        <w:ind w:firstLine="480" w:firstLineChars="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5、本次交易</w:t>
      </w:r>
      <w:r>
        <w:rPr>
          <w:rFonts w:hint="eastAsia" w:ascii="宋体" w:hAnsi="宋体"/>
          <w:color w:val="000000" w:themeColor="text1"/>
          <w14:textFill>
            <w14:solidFill>
              <w14:schemeClr w14:val="tx1"/>
            </w14:solidFill>
          </w14:textFill>
        </w:rPr>
        <w:t>经深交所审核通过并经中国证监会同意注册；</w:t>
      </w:r>
    </w:p>
    <w:p w14:paraId="11D4A23B">
      <w:pPr>
        <w:adjustRightInd w:val="0"/>
        <w:snapToGrid w:val="0"/>
        <w:spacing w:before="120"/>
        <w:ind w:firstLine="480" w:firstLineChars="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6、标的公司完成</w:t>
      </w:r>
      <w:bookmarkStart w:id="42" w:name="OLE_LINK19"/>
      <w:r>
        <w:rPr>
          <w:rFonts w:hint="eastAsia" w:cs="Times New Roman"/>
          <w:color w:val="000000" w:themeColor="text1"/>
          <w14:textFill>
            <w14:solidFill>
              <w14:schemeClr w14:val="tx1"/>
            </w14:solidFill>
          </w14:textFill>
        </w:rPr>
        <w:t>公司形式由股份有限公司变更为有限责任公司</w:t>
      </w:r>
      <w:bookmarkEnd w:id="42"/>
      <w:r>
        <w:rPr>
          <w:rFonts w:hint="eastAsia" w:cs="Times New Roman"/>
          <w:color w:val="000000" w:themeColor="text1"/>
          <w14:textFill>
            <w14:solidFill>
              <w14:schemeClr w14:val="tx1"/>
            </w14:solidFill>
          </w14:textFill>
        </w:rPr>
        <w:t>的相关工商变更手续；</w:t>
      </w:r>
    </w:p>
    <w:p w14:paraId="59EF1CF3">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7</w:t>
      </w:r>
      <w:r>
        <w:rPr>
          <w:rFonts w:hint="eastAsia" w:ascii="宋体" w:hAnsi="宋体"/>
          <w:color w:val="000000" w:themeColor="text1"/>
          <w14:textFill>
            <w14:solidFill>
              <w14:schemeClr w14:val="tx1"/>
            </w14:solidFill>
          </w14:textFill>
        </w:rPr>
        <w:t>、相关法律法规所要求的其他可能涉及必要的批准、核准、备案或许可（如适用）。</w:t>
      </w:r>
    </w:p>
    <w:p w14:paraId="24D4876A">
      <w:pPr>
        <w:adjustRightInd w:val="0"/>
        <w:snapToGrid w:val="0"/>
        <w:spacing w:before="120"/>
        <w:ind w:firstLine="480"/>
        <w:jc w:val="both"/>
        <w:rPr>
          <w:rFonts w:eastAsia="黑体" w:cs="Times New Roman"/>
          <w:b/>
          <w:bCs/>
          <w:color w:val="000000" w:themeColor="text1"/>
          <w:kern w:val="2"/>
          <w:szCs w:val="28"/>
          <w14:textFill>
            <w14:solidFill>
              <w14:schemeClr w14:val="tx1"/>
            </w14:solidFill>
          </w14:textFill>
        </w:rPr>
      </w:pPr>
      <w:r>
        <w:rPr>
          <w:rFonts w:hint="eastAsia" w:ascii="宋体" w:hAnsi="宋体"/>
          <w:color w:val="000000" w:themeColor="text1"/>
          <w14:textFill>
            <w14:solidFill>
              <w14:schemeClr w14:val="tx1"/>
            </w14:solidFill>
          </w14:textFill>
        </w:rPr>
        <w:t>本次交易能否取得上述批准、审核通过或同意注册，以及最终取得批准、审核通过或同意注册的时间均存在不确定性，提请广大投资者注意投资风险。</w:t>
      </w:r>
    </w:p>
    <w:p w14:paraId="65A60C0C">
      <w:pPr>
        <w:pStyle w:val="860"/>
        <w:spacing w:before="120" w:after="120"/>
        <w:rPr>
          <w:color w:val="000000" w:themeColor="text1"/>
          <w14:textFill>
            <w14:solidFill>
              <w14:schemeClr w14:val="tx1"/>
            </w14:solidFill>
          </w14:textFill>
        </w:rPr>
      </w:pPr>
      <w:bookmarkStart w:id="43" w:name="_Toc86099251"/>
      <w:bookmarkStart w:id="44" w:name="_Toc467336663"/>
      <w:bookmarkStart w:id="45" w:name="_Toc467336047"/>
      <w:bookmarkStart w:id="46" w:name="_Toc478717716"/>
      <w:bookmarkStart w:id="47" w:name="_Toc468340091"/>
      <w:bookmarkStart w:id="48" w:name="_Toc471512590"/>
      <w:bookmarkStart w:id="49" w:name="_Toc481026457"/>
      <w:bookmarkStart w:id="50" w:name="_Toc24810"/>
      <w:bookmarkStart w:id="51" w:name="_Toc184373627"/>
      <w:r>
        <w:rPr>
          <w:rFonts w:hint="eastAsia"/>
          <w:color w:val="000000" w:themeColor="text1"/>
          <w14:textFill>
            <w14:solidFill>
              <w14:schemeClr w14:val="tx1"/>
            </w14:solidFill>
          </w14:textFill>
        </w:rPr>
        <w:t>七、</w:t>
      </w:r>
      <w:bookmarkEnd w:id="43"/>
      <w:bookmarkEnd w:id="44"/>
      <w:bookmarkEnd w:id="45"/>
      <w:bookmarkEnd w:id="46"/>
      <w:bookmarkEnd w:id="47"/>
      <w:bookmarkEnd w:id="48"/>
      <w:bookmarkEnd w:id="49"/>
      <w:r>
        <w:rPr>
          <w:rFonts w:hint="eastAsia"/>
          <w:color w:val="000000" w:themeColor="text1"/>
          <w14:textFill>
            <w14:solidFill>
              <w14:schemeClr w14:val="tx1"/>
            </w14:solidFill>
          </w14:textFill>
        </w:rPr>
        <w:t>上市公司控股股东、实际控制人对本次重组的原则性意见与上市公司控股股东、实际控制人、董事、监事、高级管理人员自本次重组预案公告之日起至实施完毕期间的股份减持计划</w:t>
      </w:r>
      <w:bookmarkEnd w:id="50"/>
      <w:bookmarkEnd w:id="51"/>
    </w:p>
    <w:p w14:paraId="65338981">
      <w:pPr>
        <w:snapToGrid w:val="0"/>
        <w:spacing w:before="120" w:after="50"/>
        <w:ind w:firstLine="480"/>
        <w:rPr>
          <w:rFonts w:cs="Times New Roman"/>
          <w:kern w:val="2"/>
        </w:rPr>
      </w:pPr>
      <w:r>
        <w:rPr>
          <w:rFonts w:hint="eastAsia"/>
          <w:color w:val="000000" w:themeColor="text1"/>
          <w14:textFill>
            <w14:solidFill>
              <w14:schemeClr w14:val="tx1"/>
            </w14:solidFill>
          </w14:textFill>
        </w:rPr>
        <w:t>上市公司控股股东、实际控制人已出具关于上市公司本次重大资产重组的原则性意见：“1、本人已知悉上市公司本次交易的相关信息和方案，本人认为，本次交易符合相关法律、法规及监管规则的要求，有利于增强上市公司持续经营能力、抗风险能力和综合竞争实力，有利于维护上市公司及全体股东的利益，本人原则上同意本次交易。2、本人将坚持在有利于上市公司的前提下，积极促成本次交易顺利进行。</w:t>
      </w:r>
      <w:r>
        <w:rPr>
          <w:rFonts w:hint="eastAsia" w:cs="Times New Roman"/>
          <w:kern w:val="2"/>
        </w:rPr>
        <w:t>”</w:t>
      </w:r>
    </w:p>
    <w:p w14:paraId="1A43D101">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上市公司控股股东、实际控制人以及上市公司全体董事、监事、高级管理人员已承诺：</w:t>
      </w:r>
    </w:p>
    <w:p w14:paraId="00F7CBA6">
      <w:pPr>
        <w:snapToGrid w:val="0"/>
        <w:spacing w:before="120" w:after="120" w:afterLines="50"/>
        <w:ind w:firstLine="480"/>
        <w:rPr>
          <w:rFonts w:hAnsi="Arial" w:cs="Times New Roman"/>
          <w:kern w:val="2"/>
        </w:rPr>
      </w:pPr>
      <w:r>
        <w:rPr>
          <w:rFonts w:hint="eastAsia"/>
          <w:color w:val="000000" w:themeColor="text1"/>
          <w14:textFill>
            <w14:solidFill>
              <w14:schemeClr w14:val="tx1"/>
            </w14:solidFill>
          </w14:textFill>
        </w:rPr>
        <w:t>“</w:t>
      </w:r>
      <w:r>
        <w:rPr>
          <w:rFonts w:hint="eastAsia" w:hAnsi="Arial" w:cs="Times New Roman"/>
          <w:kern w:val="2"/>
        </w:rPr>
        <w:t>1、截至本承诺函出具之日，本人不存在减持上市公司股份的计划。</w:t>
      </w:r>
    </w:p>
    <w:p w14:paraId="45AF960C">
      <w:pPr>
        <w:snapToGrid w:val="0"/>
        <w:spacing w:before="120" w:after="120" w:afterLines="50"/>
        <w:ind w:firstLine="480"/>
        <w:rPr>
          <w:rFonts w:hAnsi="Arial" w:cs="Times New Roman"/>
          <w:kern w:val="2"/>
        </w:rPr>
      </w:pPr>
      <w:r>
        <w:rPr>
          <w:rFonts w:hint="eastAsia" w:hAnsi="Arial" w:cs="Times New Roman"/>
          <w:kern w:val="2"/>
        </w:rPr>
        <w:t>2、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3245C00F">
      <w:pPr>
        <w:snapToGrid w:val="0"/>
        <w:spacing w:before="120" w:after="120" w:afterLines="50"/>
        <w:ind w:firstLine="480"/>
        <w:rPr>
          <w:rFonts w:hAnsi="Arial" w:cs="Times New Roman"/>
          <w:kern w:val="2"/>
        </w:rPr>
      </w:pPr>
      <w:r>
        <w:rPr>
          <w:rFonts w:hint="eastAsia" w:hAnsi="Arial" w:cs="Times New Roman"/>
          <w:kern w:val="2"/>
        </w:rPr>
        <w:t>3、如本人后续根据自身实际情况需要或市场变化拟减持上市公司股份的，本人将依据相关法律法规的规定及时履行信息披露义务。</w:t>
      </w:r>
    </w:p>
    <w:p w14:paraId="12BF1279">
      <w:pPr>
        <w:snapToGrid w:val="0"/>
        <w:spacing w:before="120" w:after="120" w:afterLines="50"/>
        <w:ind w:firstLine="480"/>
        <w:rPr>
          <w:rFonts w:hAnsi="Arial" w:cs="Times New Roman"/>
          <w:kern w:val="2"/>
        </w:rPr>
      </w:pPr>
      <w:r>
        <w:rPr>
          <w:rFonts w:hint="eastAsia" w:hAnsi="Arial" w:cs="Times New Roman"/>
          <w:kern w:val="2"/>
        </w:rPr>
        <w:t>4、若本人的减持承诺与证券监管机构的最新监管意见不相符，本人将根据相关证券监管机构的监管意见进行调整。</w:t>
      </w:r>
    </w:p>
    <w:p w14:paraId="75AB5D6F">
      <w:pPr>
        <w:snapToGrid w:val="0"/>
        <w:spacing w:before="120" w:after="120" w:afterLines="50"/>
        <w:ind w:firstLine="480"/>
        <w:jc w:val="both"/>
        <w:rPr>
          <w:rFonts w:hAnsi="Arial" w:cs="Times New Roman"/>
          <w:kern w:val="2"/>
        </w:rPr>
      </w:pPr>
      <w:r>
        <w:rPr>
          <w:rFonts w:hint="eastAsia" w:hAnsi="Arial" w:cs="Times New Roman"/>
          <w:kern w:val="2"/>
        </w:rPr>
        <w:t>5、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r>
        <w:rPr>
          <w:rFonts w:hint="eastAsia"/>
          <w:color w:val="000000" w:themeColor="text1"/>
          <w14:textFill>
            <w14:solidFill>
              <w14:schemeClr w14:val="tx1"/>
            </w14:solidFill>
          </w14:textFill>
        </w:rPr>
        <w:t>”</w:t>
      </w:r>
    </w:p>
    <w:p w14:paraId="0906ED84">
      <w:pPr>
        <w:pStyle w:val="860"/>
        <w:spacing w:before="120" w:after="120"/>
        <w:rPr>
          <w:color w:val="000000" w:themeColor="text1"/>
          <w14:textFill>
            <w14:solidFill>
              <w14:schemeClr w14:val="tx1"/>
            </w14:solidFill>
          </w14:textFill>
        </w:rPr>
      </w:pPr>
      <w:bookmarkStart w:id="52" w:name="_Toc12197"/>
      <w:bookmarkStart w:id="53" w:name="_Toc467336049"/>
      <w:bookmarkStart w:id="54" w:name="_Toc86099253"/>
      <w:bookmarkStart w:id="55" w:name="_Toc468340093"/>
      <w:bookmarkStart w:id="56" w:name="_Toc467336665"/>
      <w:bookmarkStart w:id="57" w:name="_Toc184373628"/>
      <w:bookmarkStart w:id="58" w:name="_Toc471512592"/>
      <w:bookmarkStart w:id="59" w:name="_Toc481026459"/>
      <w:bookmarkStart w:id="60" w:name="_Toc478717718"/>
      <w:r>
        <w:rPr>
          <w:rFonts w:hint="eastAsia"/>
          <w:color w:val="000000" w:themeColor="text1"/>
          <w14:textFill>
            <w14:solidFill>
              <w14:schemeClr w14:val="tx1"/>
            </w14:solidFill>
          </w14:textFill>
        </w:rPr>
        <w:t>八、本次重组对中小投资者权益保护的安排</w:t>
      </w:r>
      <w:bookmarkEnd w:id="52"/>
      <w:bookmarkEnd w:id="53"/>
      <w:bookmarkEnd w:id="54"/>
      <w:bookmarkEnd w:id="55"/>
      <w:bookmarkEnd w:id="56"/>
      <w:bookmarkEnd w:id="57"/>
      <w:bookmarkEnd w:id="58"/>
      <w:bookmarkEnd w:id="59"/>
      <w:bookmarkEnd w:id="60"/>
    </w:p>
    <w:p w14:paraId="67F4DEFA">
      <w:pPr>
        <w:spacing w:before="120" w:after="120" w:afterLines="50"/>
        <w:ind w:firstLine="480"/>
        <w:jc w:val="both"/>
        <w:rPr>
          <w:rFonts w:hint="eastAsia" w:ascii="宋体" w:hAnsi="宋体"/>
          <w:color w:val="000000" w:themeColor="text1"/>
          <w:kern w:val="2"/>
          <w14:textFill>
            <w14:solidFill>
              <w14:schemeClr w14:val="tx1"/>
            </w14:solidFill>
          </w14:textFill>
        </w:rPr>
      </w:pPr>
      <w:r>
        <w:rPr>
          <w:rFonts w:hint="eastAsia" w:ascii="宋体" w:hAnsi="宋体"/>
          <w:color w:val="000000" w:themeColor="text1"/>
          <w:kern w:val="2"/>
          <w14:textFill>
            <w14:solidFill>
              <w14:schemeClr w14:val="tx1"/>
            </w14:solidFill>
          </w14:textFill>
        </w:rPr>
        <w:t>本次交易中，上市公司主要采取如下安排和措施，以保护投资者尤其是中小投资者的合法权益。</w:t>
      </w:r>
    </w:p>
    <w:p w14:paraId="3435A425">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（一）严格履行上市公司信息披露义务</w:t>
      </w:r>
    </w:p>
    <w:p w14:paraId="722D7E6B">
      <w:pPr>
        <w:spacing w:before="120" w:after="120" w:afterLines="50"/>
        <w:ind w:firstLine="480"/>
        <w:jc w:val="both"/>
        <w:rPr>
          <w:rFonts w:hint="eastAsia" w:ascii="宋体" w:hAnsi="宋体"/>
          <w:color w:val="000000" w:themeColor="text1"/>
          <w:kern w:val="2"/>
          <w14:textFill>
            <w14:solidFill>
              <w14:schemeClr w14:val="tx1"/>
            </w14:solidFill>
          </w14:textFill>
        </w:rPr>
      </w:pPr>
      <w:r>
        <w:rPr>
          <w:rFonts w:hint="eastAsia" w:ascii="宋体" w:hAnsi="宋体"/>
          <w:color w:val="000000" w:themeColor="text1"/>
          <w:kern w:val="2"/>
          <w14:textFill>
            <w14:solidFill>
              <w14:schemeClr w14:val="tx1"/>
            </w14:solidFill>
          </w14:textFill>
        </w:rPr>
        <w:t>在本次交易过程中，公司及相关信息披露义务人将严格按照《证券法》《重组管理办法》等相关法律、法规的要求，切实履行信息披露义务，公平地向所有投资者披露可能对上市公司股票交易价格产生较大影响的重大事件。本预案披露后，公司将继续按照相关法规的要求，及时、准确地披露公司重组的进展情况。</w:t>
      </w:r>
    </w:p>
    <w:p w14:paraId="3170DB25">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（二）严格履行上市公司审议及表决程序</w:t>
      </w:r>
    </w:p>
    <w:p w14:paraId="79E71D30">
      <w:pPr>
        <w:spacing w:before="120" w:after="120" w:afterLines="50"/>
        <w:ind w:firstLine="480"/>
        <w:jc w:val="both"/>
        <w:rPr>
          <w:rFonts w:hint="eastAsia" w:ascii="宋体" w:hAnsi="宋体"/>
          <w:color w:val="000000" w:themeColor="text1"/>
          <w:kern w:val="2"/>
          <w14:textFill>
            <w14:solidFill>
              <w14:schemeClr w14:val="tx1"/>
            </w14:solidFill>
          </w14:textFill>
        </w:rPr>
      </w:pPr>
      <w:r>
        <w:rPr>
          <w:rFonts w:hint="eastAsia" w:ascii="宋体" w:hAnsi="宋体"/>
          <w:color w:val="000000" w:themeColor="text1"/>
          <w:kern w:val="2"/>
          <w14:textFill>
            <w14:solidFill>
              <w14:schemeClr w14:val="tx1"/>
            </w14:solidFill>
          </w14:textFill>
        </w:rPr>
        <w:t>上市公司在本次交易过程中严格按照相关规定履行法定程序进行表决和披露。公司召开董事会、监事会审议通过本次交易的相关议案，有关决议符合《公司法》等相关法律、行政法规、部门规章等规范性文件及《公司章程》的相关规定，本次重组事项已经公司独立董事专门会议审议通过。</w:t>
      </w:r>
    </w:p>
    <w:p w14:paraId="4AFFEE9C">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（三）确保本次交易的定价公平、公允</w:t>
      </w:r>
    </w:p>
    <w:p w14:paraId="2A99FA6B">
      <w:pPr>
        <w:spacing w:before="120" w:after="120" w:afterLines="50"/>
        <w:ind w:firstLine="480"/>
        <w:jc w:val="both"/>
        <w:rPr>
          <w:rFonts w:hint="eastAsia" w:ascii="宋体" w:hAnsi="宋体"/>
          <w:color w:val="000000" w:themeColor="text1"/>
          <w:kern w:val="2"/>
          <w14:textFill>
            <w14:solidFill>
              <w14:schemeClr w14:val="tx1"/>
            </w14:solidFill>
          </w14:textFill>
        </w:rPr>
      </w:pPr>
      <w:r>
        <w:rPr>
          <w:rFonts w:hint="eastAsia" w:ascii="宋体" w:hAnsi="宋体"/>
          <w:color w:val="000000" w:themeColor="text1"/>
          <w:kern w:val="2"/>
          <w14:textFill>
            <w14:solidFill>
              <w14:schemeClr w14:val="tx1"/>
            </w14:solidFill>
          </w14:textFill>
        </w:rPr>
        <w:t>上市公司拟聘请符合《证券法》规定的审计机构、评估机构对标的公司进行审计和评估；并聘请独立财务顾问和法律顾问对本次交易所涉及的资产定价、标的资产的权属状况等情况进行核查，对实施过程、相关协议及承诺的履行情况和相关后续事项的合规性及风险进行核查，发表明确意见，以确保本次交易标的资产定价公平、公允，定价过程合法合规，不损害上市公司股东利益。</w:t>
      </w:r>
    </w:p>
    <w:p w14:paraId="6D0A1A94">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（四）股东会的网络投票安排</w:t>
      </w:r>
    </w:p>
    <w:p w14:paraId="30F0CBD4">
      <w:pPr>
        <w:spacing w:before="120" w:after="120" w:afterLines="50"/>
        <w:ind w:firstLine="480"/>
        <w:jc w:val="both"/>
        <w:rPr>
          <w:rFonts w:hint="eastAsia" w:ascii="宋体" w:hAnsi="宋体"/>
          <w:color w:val="000000" w:themeColor="text1"/>
          <w:kern w:val="2"/>
          <w14:textFill>
            <w14:solidFill>
              <w14:schemeClr w14:val="tx1"/>
            </w14:solidFill>
          </w14:textFill>
        </w:rPr>
      </w:pPr>
      <w:r>
        <w:rPr>
          <w:rFonts w:hint="eastAsia" w:ascii="宋体" w:hAnsi="宋体"/>
          <w:color w:val="000000" w:themeColor="text1"/>
          <w:kern w:val="2"/>
          <w14:textFill>
            <w14:solidFill>
              <w14:schemeClr w14:val="tx1"/>
            </w14:solidFill>
          </w14:textFill>
        </w:rPr>
        <w:t>公司将根据中国证监会《关于加强社会公众股股东权益保护的若干规定》等有关规定，为参加股东会的股东提供便利。上市公司将通过交易所交易系统和互联网投票系统向全体股东提供网络形式的投票平台，股东可以通过交易系统或互联网投票系统参加网络投票，以切实保护股东的合法权益。</w:t>
      </w:r>
    </w:p>
    <w:p w14:paraId="2BAB479D">
      <w:pPr>
        <w:spacing w:before="120" w:after="120" w:afterLines="50"/>
        <w:ind w:firstLine="480"/>
        <w:jc w:val="both"/>
        <w:rPr>
          <w:rFonts w:hint="eastAsia" w:ascii="宋体" w:hAnsi="宋体"/>
          <w:color w:val="000000" w:themeColor="text1"/>
          <w:kern w:val="2"/>
          <w14:textFill>
            <w14:solidFill>
              <w14:schemeClr w14:val="tx1"/>
            </w14:solidFill>
          </w14:textFill>
        </w:rPr>
      </w:pPr>
      <w:r>
        <w:rPr>
          <w:rFonts w:hint="eastAsia" w:ascii="宋体" w:hAnsi="宋体"/>
          <w:color w:val="000000" w:themeColor="text1"/>
          <w:kern w:val="2"/>
          <w14:textFill>
            <w14:solidFill>
              <w14:schemeClr w14:val="tx1"/>
            </w14:solidFill>
          </w14:textFill>
        </w:rPr>
        <w:t>针对审议本次交易的股东会投票情况，上市公司将单独统计并予以披露除公司的董事、监事、高级管理人员、单独或者合计持有上市公司</w:t>
      </w:r>
      <w:r>
        <w:rPr>
          <w:rFonts w:cs="Times New Roman"/>
          <w:color w:val="000000" w:themeColor="text1"/>
          <w:kern w:val="2"/>
          <w14:textFill>
            <w14:solidFill>
              <w14:schemeClr w14:val="tx1"/>
            </w14:solidFill>
          </w14:textFill>
        </w:rPr>
        <w:t>5%</w:t>
      </w:r>
      <w:r>
        <w:rPr>
          <w:rFonts w:hint="eastAsia" w:ascii="宋体" w:hAnsi="宋体"/>
          <w:color w:val="000000" w:themeColor="text1"/>
          <w:kern w:val="2"/>
          <w14:textFill>
            <w14:solidFill>
              <w14:schemeClr w14:val="tx1"/>
            </w14:solidFill>
          </w14:textFill>
        </w:rPr>
        <w:t>以上股份的股东以外的其他股东的投票情况。</w:t>
      </w:r>
    </w:p>
    <w:p w14:paraId="48DA3711">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（五）其他保护投资者权益的措施</w:t>
      </w:r>
    </w:p>
    <w:p w14:paraId="74A6EE97">
      <w:pPr>
        <w:spacing w:before="120" w:after="120" w:afterLines="50"/>
        <w:ind w:firstLine="480"/>
        <w:jc w:val="both"/>
        <w:rPr>
          <w:rFonts w:hint="eastAsia" w:ascii="宋体" w:hAnsi="宋体"/>
          <w:color w:val="000000" w:themeColor="text1"/>
          <w:kern w:val="2"/>
          <w14:textFill>
            <w14:solidFill>
              <w14:schemeClr w14:val="tx1"/>
            </w14:solidFill>
          </w14:textFill>
        </w:rPr>
      </w:pPr>
      <w:r>
        <w:rPr>
          <w:rFonts w:hint="eastAsia" w:ascii="宋体" w:hAnsi="宋体"/>
          <w:color w:val="000000" w:themeColor="text1"/>
          <w:kern w:val="2"/>
          <w14:textFill>
            <w14:solidFill>
              <w14:schemeClr w14:val="tx1"/>
            </w14:solidFill>
          </w14:textFill>
        </w:rPr>
        <w:t>根据《公司法》《证券法》《重组管理办法》《股票上市规则》等法律、法规及规范性文件的要求，上市公司将及时提供本次交易相关信息，并保证所提供的信息真实、准确、完整，并对所提供信息的真实性、准确性和完整性承担相应的法律责任。</w:t>
      </w:r>
    </w:p>
    <w:p w14:paraId="411DA3E1">
      <w:pPr>
        <w:pStyle w:val="860"/>
        <w:spacing w:before="120" w:after="120"/>
        <w:rPr>
          <w:color w:val="000000" w:themeColor="text1"/>
          <w14:textFill>
            <w14:solidFill>
              <w14:schemeClr w14:val="tx1"/>
            </w14:solidFill>
          </w14:textFill>
        </w:rPr>
      </w:pPr>
      <w:bookmarkStart w:id="61" w:name="_Toc13724"/>
      <w:bookmarkStart w:id="62" w:name="_Toc184373629"/>
      <w:r>
        <w:rPr>
          <w:rFonts w:hint="eastAsia"/>
          <w:color w:val="000000" w:themeColor="text1"/>
          <w14:textFill>
            <w14:solidFill>
              <w14:schemeClr w14:val="tx1"/>
            </w14:solidFill>
          </w14:textFill>
        </w:rPr>
        <w:t>九、待补充披露的信息提示</w:t>
      </w:r>
      <w:bookmarkEnd w:id="61"/>
      <w:bookmarkEnd w:id="62"/>
    </w:p>
    <w:p w14:paraId="7AB15BB4">
      <w:pPr>
        <w:spacing w:before="120" w:after="120" w:afterLines="50"/>
        <w:ind w:firstLine="480"/>
        <w:jc w:val="both"/>
        <w:rPr>
          <w:rFonts w:cs="Times New Roman"/>
          <w:color w:val="000000" w:themeColor="text1"/>
          <w:kern w:val="2"/>
          <w:szCs w:val="22"/>
          <w14:textFill>
            <w14:solidFill>
              <w14:schemeClr w14:val="tx1"/>
            </w14:solidFill>
          </w14:textFill>
        </w:rPr>
      </w:pPr>
      <w:r>
        <w:rPr>
          <w:rFonts w:hint="eastAsia" w:cs="Times New Roman"/>
          <w:color w:val="000000" w:themeColor="text1"/>
          <w:kern w:val="2"/>
          <w:szCs w:val="22"/>
          <w14:textFill>
            <w14:solidFill>
              <w14:schemeClr w14:val="tx1"/>
            </w14:solidFill>
          </w14:textFill>
        </w:rPr>
        <w:t>截至本预案签署日，</w:t>
      </w:r>
      <w:r>
        <w:rPr>
          <w:rStyle w:val="3135"/>
          <w:color w:val="000000" w:themeColor="text1"/>
          <w14:textFill>
            <w14:solidFill>
              <w14:schemeClr w14:val="tx1"/>
            </w14:solidFill>
          </w14:textFill>
        </w:rPr>
        <w:t>与本次交易相关的</w:t>
      </w:r>
      <w:r>
        <w:rPr>
          <w:rFonts w:hint="eastAsia" w:cs="Times New Roman"/>
          <w:color w:val="000000" w:themeColor="text1"/>
          <w:kern w:val="2"/>
          <w:szCs w:val="22"/>
          <w14:textFill>
            <w14:solidFill>
              <w14:schemeClr w14:val="tx1"/>
            </w14:solidFill>
          </w14:textFill>
        </w:rPr>
        <w:t>审计和评估工作尚未完成，本预案涉及的相关数据尚未经过符合《证券法》规定的审计机构、评估机构的审计、评估，相关资产经审计的财务数据及评估结果将在重组报告书中予以披露，特提请投资者注意。</w:t>
      </w:r>
    </w:p>
    <w:p w14:paraId="167065BE">
      <w:pPr>
        <w:spacing w:before="120" w:after="120" w:afterLines="50"/>
        <w:ind w:firstLine="480"/>
        <w:jc w:val="both"/>
        <w:rPr>
          <w:rFonts w:eastAsia="黑体" w:cs="Times New Roman"/>
          <w:b/>
          <w:bCs/>
          <w:kern w:val="2"/>
          <w:sz w:val="32"/>
          <w:szCs w:val="28"/>
          <w:lang w:val="zh-CN"/>
        </w:rPr>
      </w:pPr>
      <w:r>
        <w:rPr>
          <w:rFonts w:hint="eastAsia" w:cs="Times New Roman"/>
          <w:color w:val="000000" w:themeColor="text1"/>
          <w:kern w:val="2"/>
          <w:szCs w:val="22"/>
          <w14:textFill>
            <w14:solidFill>
              <w14:schemeClr w14:val="tx1"/>
            </w14:solidFill>
          </w14:textFill>
        </w:rPr>
        <w:t>本预案披露后，上市公司将继续按照相关法规的要求，及时、准确地披露公司本次交易的进展情况，敬请广大投资者注意投资风险。</w:t>
      </w:r>
      <w:bookmarkEnd w:id="11"/>
      <w:bookmarkEnd w:id="12"/>
      <w:bookmarkEnd w:id="13"/>
      <w:bookmarkEnd w:id="23"/>
      <w:bookmarkEnd w:id="24"/>
    </w:p>
    <w:p w14:paraId="5941D08F">
      <w:pPr>
        <w:keepNext/>
        <w:keepLines/>
        <w:pageBreakBefore/>
        <w:spacing w:before="120" w:after="120" w:afterLines="50"/>
        <w:ind w:firstLine="480" w:firstLineChars="0"/>
        <w:jc w:val="center"/>
        <w:outlineLvl w:val="0"/>
        <w:rPr>
          <w:rFonts w:eastAsia="黑体" w:cs="Times New Roman"/>
          <w:b/>
          <w:bCs/>
          <w:kern w:val="2"/>
          <w:sz w:val="32"/>
          <w:szCs w:val="28"/>
          <w:lang w:val="zh-CN"/>
        </w:rPr>
      </w:pPr>
      <w:bookmarkStart w:id="63" w:name="_Toc1202"/>
      <w:r>
        <w:rPr>
          <w:rFonts w:hint="eastAsia" w:eastAsia="黑体" w:cs="Times New Roman"/>
          <w:b/>
          <w:bCs/>
          <w:kern w:val="2"/>
          <w:sz w:val="32"/>
          <w:szCs w:val="28"/>
          <w:lang w:val="zh-CN"/>
        </w:rPr>
        <w:t>重大风险提示</w:t>
      </w:r>
      <w:bookmarkEnd w:id="63"/>
    </w:p>
    <w:p w14:paraId="1722142E">
      <w:pPr>
        <w:widowControl/>
        <w:spacing w:before="120"/>
        <w:ind w:firstLine="480"/>
        <w:rPr>
          <w:rFonts w:hint="eastAsia" w:ascii="宋体" w:hAnsi="宋体"/>
          <w:color w:val="000000"/>
          <w:lang w:bidi="ar"/>
        </w:rPr>
      </w:pPr>
      <w:r>
        <w:rPr>
          <w:rFonts w:hint="eastAsia" w:ascii="宋体" w:hAnsi="宋体"/>
          <w:color w:val="000000"/>
          <w:lang w:bidi="ar"/>
        </w:rPr>
        <w:t>投资者在评价公司本次交易时，还应特别认真地考虑下述各项风险因素：</w:t>
      </w:r>
    </w:p>
    <w:p w14:paraId="6FBD0ABE">
      <w:pPr>
        <w:pStyle w:val="860"/>
        <w:spacing w:before="120" w:after="120"/>
        <w:rPr>
          <w:b w:val="0"/>
          <w:bCs w:val="0"/>
          <w:color w:val="000000" w:themeColor="text1"/>
          <w14:textFill>
            <w14:solidFill>
              <w14:schemeClr w14:val="tx1"/>
            </w14:solidFill>
          </w14:textFill>
        </w:rPr>
      </w:pPr>
      <w:bookmarkStart w:id="64" w:name="_Toc3631"/>
      <w:r>
        <w:rPr>
          <w:rFonts w:hint="eastAsia"/>
          <w:color w:val="000000" w:themeColor="text1"/>
          <w14:textFill>
            <w14:solidFill>
              <w14:schemeClr w14:val="tx1"/>
            </w14:solidFill>
          </w14:textFill>
        </w:rPr>
        <w:t>一、与本次交易相关的风险</w:t>
      </w:r>
      <w:bookmarkEnd w:id="64"/>
    </w:p>
    <w:p w14:paraId="1EA8EFD3">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（一）审批风险</w:t>
      </w:r>
    </w:p>
    <w:p w14:paraId="4FE4A104">
      <w:pPr>
        <w:spacing w:before="120" w:after="120" w:afterLines="50"/>
        <w:ind w:firstLine="480"/>
        <w:jc w:val="both"/>
        <w:rPr>
          <w:rFonts w:cs="Times New Roman"/>
          <w:kern w:val="2"/>
          <w:szCs w:val="22"/>
        </w:rPr>
      </w:pPr>
      <w:r>
        <w:rPr>
          <w:rFonts w:hint="eastAsia" w:cs="Times New Roman"/>
          <w:kern w:val="2"/>
          <w:szCs w:val="22"/>
        </w:rPr>
        <w:t>本次交易已由上市公司第三届董事会第三十二次会议、第三届监事会第二十八次会议审议通过，本次交易尚需满足多项条件方可完成，包括但不限于：</w:t>
      </w:r>
    </w:p>
    <w:p w14:paraId="3DD7F0F6">
      <w:pPr>
        <w:spacing w:before="120" w:after="120" w:afterLines="50"/>
        <w:ind w:firstLine="480"/>
        <w:jc w:val="both"/>
        <w:rPr>
          <w:rFonts w:cs="Times New Roman"/>
          <w:kern w:val="2"/>
          <w:szCs w:val="22"/>
        </w:rPr>
      </w:pPr>
      <w:r>
        <w:rPr>
          <w:rFonts w:hint="eastAsia" w:cs="Times New Roman"/>
          <w:kern w:val="2"/>
          <w:szCs w:val="22"/>
        </w:rPr>
        <w:t>1、本次交易涉及的标的资产审计、评估工作完成后，上市公司将再次召开董事会审议通过本次交易的相关议案；</w:t>
      </w:r>
    </w:p>
    <w:p w14:paraId="4933A4E1">
      <w:pPr>
        <w:spacing w:before="120" w:after="120" w:afterLines="50"/>
        <w:ind w:firstLine="480"/>
        <w:jc w:val="both"/>
        <w:rPr>
          <w:rFonts w:cs="Times New Roman"/>
          <w:kern w:val="2"/>
          <w:szCs w:val="22"/>
        </w:rPr>
      </w:pPr>
      <w:r>
        <w:rPr>
          <w:rFonts w:hint="eastAsia" w:cs="Times New Roman"/>
          <w:kern w:val="2"/>
          <w:szCs w:val="22"/>
        </w:rPr>
        <w:t>2、本次交易正式方案经交易对方内部有权机构审议通过；</w:t>
      </w:r>
    </w:p>
    <w:p w14:paraId="489F0469">
      <w:pPr>
        <w:spacing w:before="120" w:after="120" w:afterLines="50"/>
        <w:ind w:firstLine="480"/>
        <w:jc w:val="both"/>
        <w:rPr>
          <w:rFonts w:cs="Times New Roman"/>
          <w:kern w:val="2"/>
          <w:szCs w:val="22"/>
        </w:rPr>
      </w:pPr>
      <w:r>
        <w:rPr>
          <w:rFonts w:hint="eastAsia" w:cs="Times New Roman"/>
          <w:kern w:val="2"/>
          <w:szCs w:val="22"/>
        </w:rPr>
        <w:t>3、本次交易正式方案经上市公司股东会审议通过；</w:t>
      </w:r>
    </w:p>
    <w:p w14:paraId="4A8AA842">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4、本次交易正式方案经标的公司股东大会审议通过；</w:t>
      </w:r>
    </w:p>
    <w:p w14:paraId="27E0EF28">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5、本次交易经深交所审核通过并经中国证监会同意注册；</w:t>
      </w:r>
    </w:p>
    <w:p w14:paraId="4EFDF25E">
      <w:pPr>
        <w:spacing w:before="120" w:after="120" w:afterLines="50"/>
        <w:ind w:firstLine="480"/>
        <w:jc w:val="both"/>
        <w:rPr>
          <w:rFonts w:cs="Times New Roman"/>
          <w:kern w:val="2"/>
          <w:szCs w:val="22"/>
        </w:rPr>
      </w:pPr>
      <w:r>
        <w:rPr>
          <w:rFonts w:hint="eastAsia" w:cs="Times New Roman"/>
          <w:kern w:val="2"/>
          <w:szCs w:val="22"/>
        </w:rPr>
        <w:t>6、标的公司完成公司形式由股份有限公司变更为有限责任公司的相关工商变更手续；</w:t>
      </w:r>
    </w:p>
    <w:p w14:paraId="4B5B05C8">
      <w:pPr>
        <w:spacing w:before="120" w:after="120" w:afterLines="50"/>
        <w:ind w:firstLine="480"/>
        <w:jc w:val="both"/>
        <w:rPr>
          <w:rFonts w:cs="Times New Roman"/>
          <w:kern w:val="2"/>
          <w:szCs w:val="22"/>
        </w:rPr>
      </w:pPr>
      <w:r>
        <w:rPr>
          <w:rFonts w:hint="eastAsia" w:cs="Times New Roman"/>
          <w:kern w:val="2"/>
          <w:szCs w:val="22"/>
        </w:rPr>
        <w:t>7、相关法律法规所要求的其他可能涉及必要的批准、核准、备案或许可（如适用）。</w:t>
      </w:r>
    </w:p>
    <w:p w14:paraId="4EBE75D4">
      <w:pPr>
        <w:spacing w:before="120" w:after="120" w:afterLines="50"/>
        <w:ind w:firstLine="480"/>
        <w:jc w:val="both"/>
        <w:rPr>
          <w:rFonts w:cs="Times New Roman"/>
          <w:kern w:val="2"/>
          <w:szCs w:val="22"/>
        </w:rPr>
      </w:pPr>
      <w:r>
        <w:rPr>
          <w:rFonts w:hint="eastAsia" w:cs="Times New Roman"/>
          <w:kern w:val="2"/>
          <w:szCs w:val="22"/>
        </w:rPr>
        <w:t>本次交易能否取得上述批准、审核通过或同意注册，以及最终取得批准、审核通过或同意注册的时间均存在不确定性，提请广大投资者注意投资风险。</w:t>
      </w:r>
    </w:p>
    <w:p w14:paraId="25ECF675">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（二）本次交易可能被暂停、中止或者取消的风险</w:t>
      </w:r>
    </w:p>
    <w:p w14:paraId="091FFB05">
      <w:pPr>
        <w:spacing w:before="120" w:after="120" w:afterLines="50"/>
        <w:ind w:firstLine="480"/>
        <w:jc w:val="both"/>
        <w:rPr>
          <w:rFonts w:hint="eastAsia" w:ascii="宋体" w:hAnsi="宋体"/>
          <w:color w:val="000000"/>
        </w:rPr>
      </w:pPr>
      <w:r>
        <w:rPr>
          <w:rFonts w:hint="eastAsia" w:ascii="宋体" w:hAnsi="宋体"/>
          <w:color w:val="000000"/>
        </w:rPr>
        <w:t>由于本次交易涉及向深交所、中国证监会等相关监管机构申请审核注册工作，上述工作能否如期顺利完成可能对本次交易的时间进度产生重大影响。除此之外，本次交易存在如下被暂停、中止或取消的风险：</w:t>
      </w:r>
    </w:p>
    <w:p w14:paraId="11B04EF1">
      <w:pPr>
        <w:spacing w:before="120" w:after="120" w:afterLines="50"/>
        <w:ind w:firstLine="480"/>
        <w:jc w:val="both"/>
        <w:rPr>
          <w:rFonts w:cs="Times New Roman"/>
          <w:kern w:val="2"/>
          <w:szCs w:val="22"/>
        </w:rPr>
      </w:pPr>
      <w:r>
        <w:rPr>
          <w:rFonts w:hint="eastAsia" w:cs="Times New Roman"/>
          <w:kern w:val="2"/>
          <w:szCs w:val="22"/>
        </w:rPr>
        <w:t>1、上市公司制定了严格的内幕信息管理制度，上市公司在与交易对方的协商过程中尽可能缩小内幕信息知情人范围，避免内幕信息的泄漏、传播。</w:t>
      </w:r>
      <w:r>
        <w:rPr>
          <w:rFonts w:ascii="宋体" w:hAnsi="宋体"/>
          <w:color w:val="000000"/>
        </w:rPr>
        <w:t>尽管如此，受限于查询范围和核查手段的有限性，</w:t>
      </w:r>
      <w:r>
        <w:rPr>
          <w:rFonts w:hint="eastAsia" w:cs="Times New Roman"/>
          <w:kern w:val="2"/>
          <w:szCs w:val="22"/>
        </w:rPr>
        <w:t>仍无法避免有关机构和个人利用本次交易内幕信息进行内幕交易的可能，本次交易存在可能涉嫌内幕交易导致上市公司股价的异常波动或异常交易，而被暂停、中止或取消的风险。</w:t>
      </w:r>
    </w:p>
    <w:p w14:paraId="2746BF71">
      <w:pPr>
        <w:spacing w:before="120" w:after="120" w:afterLines="50"/>
        <w:ind w:firstLine="480"/>
        <w:jc w:val="both"/>
        <w:rPr>
          <w:rFonts w:hint="eastAsia" w:ascii="宋体" w:hAnsi="宋体"/>
          <w:color w:val="000000"/>
        </w:rPr>
      </w:pPr>
      <w:r>
        <w:rPr>
          <w:rFonts w:hint="eastAsia" w:cs="Times New Roman"/>
          <w:kern w:val="2"/>
          <w:szCs w:val="22"/>
        </w:rPr>
        <w:t>2、</w:t>
      </w:r>
      <w:r>
        <w:rPr>
          <w:rFonts w:hint="eastAsia" w:ascii="宋体" w:hAnsi="宋体"/>
          <w:color w:val="000000"/>
        </w:rPr>
        <w:t>本次交易存在因交易各方在后续的商务谈判中产生重大分歧，而被暂停、中止或取消的风险。</w:t>
      </w:r>
    </w:p>
    <w:p w14:paraId="16FEA07A">
      <w:pPr>
        <w:spacing w:before="120" w:after="120" w:afterLines="50"/>
        <w:ind w:firstLine="480"/>
        <w:jc w:val="both"/>
        <w:rPr>
          <w:rFonts w:hint="eastAsia" w:ascii="宋体" w:hAnsi="宋体"/>
        </w:rPr>
      </w:pPr>
      <w:r>
        <w:rPr>
          <w:rFonts w:cs="Times New Roman"/>
          <w:color w:val="000000"/>
        </w:rPr>
        <w:t>3</w:t>
      </w:r>
      <w:r>
        <w:rPr>
          <w:rFonts w:hint="eastAsia" w:ascii="宋体" w:hAnsi="宋体"/>
          <w:color w:val="000000"/>
        </w:rPr>
        <w:t>、本次交易存在因标的资产出现无法预见的风险事件，而被暂停、中止或取消的风险。</w:t>
      </w:r>
    </w:p>
    <w:p w14:paraId="148A6E56">
      <w:pPr>
        <w:spacing w:before="120" w:after="120" w:afterLines="50"/>
        <w:ind w:firstLine="480"/>
        <w:jc w:val="both"/>
        <w:rPr>
          <w:rFonts w:hint="eastAsia" w:ascii="宋体" w:hAnsi="宋体"/>
          <w:color w:val="000000"/>
        </w:rPr>
      </w:pPr>
      <w:r>
        <w:rPr>
          <w:rFonts w:cs="Times New Roman"/>
          <w:color w:val="000000"/>
        </w:rPr>
        <w:t>4</w:t>
      </w:r>
      <w:r>
        <w:rPr>
          <w:rFonts w:hint="eastAsia" w:ascii="宋体" w:hAnsi="宋体"/>
          <w:color w:val="000000"/>
        </w:rPr>
        <w:t>、其他无法预见的可能导致本次交易被暂停、中止或取消的重大影响事项。</w:t>
      </w:r>
    </w:p>
    <w:p w14:paraId="04140E26">
      <w:pPr>
        <w:spacing w:before="120" w:after="120" w:afterLines="50"/>
        <w:ind w:firstLine="480"/>
        <w:jc w:val="both"/>
        <w:rPr>
          <w:rFonts w:hint="eastAsia" w:ascii="宋体" w:hAnsi="宋体"/>
          <w:color w:val="000000"/>
        </w:rPr>
      </w:pPr>
      <w:r>
        <w:rPr>
          <w:rFonts w:hint="eastAsia" w:ascii="宋体" w:hAnsi="宋体"/>
          <w:color w:val="000000"/>
        </w:rPr>
        <w:t>上述情形可能导致本次交易暂停、中止或取消，特此提醒广大投资者注意投资风险。上市公司董事会将在本次交易过程中，及时公告相关工作进展，以便投资者了解本次交易进程，并做出相应判断。</w:t>
      </w:r>
    </w:p>
    <w:p w14:paraId="7286BB2F">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（三）审计、评估工作尚未完成的风险</w:t>
      </w:r>
    </w:p>
    <w:p w14:paraId="42A30A0C">
      <w:pPr>
        <w:spacing w:before="120" w:after="120" w:afterLines="50"/>
        <w:ind w:firstLine="480"/>
        <w:jc w:val="both"/>
        <w:rPr>
          <w:rFonts w:hint="eastAsia" w:ascii="宋体" w:hAnsi="宋体"/>
          <w:color w:val="000000"/>
        </w:rPr>
      </w:pPr>
      <w:r>
        <w:rPr>
          <w:rFonts w:hint="eastAsia" w:ascii="宋体" w:hAnsi="宋体"/>
          <w:color w:val="000000"/>
        </w:rPr>
        <w:t>截至本预案签署日，与本次交易相关的审计、评估工作尚未完成，标的资产的评估价值及交易作价尚未确定。本预案引用的标的公司主要财务指标、经营业绩存在后续调整的可能，仅供投资者参考之用。</w:t>
      </w:r>
    </w:p>
    <w:p w14:paraId="098341C2">
      <w:pPr>
        <w:spacing w:before="120" w:after="120" w:afterLines="50"/>
        <w:ind w:firstLine="480"/>
        <w:jc w:val="both"/>
        <w:rPr>
          <w:rFonts w:hint="eastAsia" w:ascii="宋体" w:hAnsi="宋体"/>
          <w:color w:val="000000"/>
        </w:rPr>
      </w:pPr>
      <w:r>
        <w:rPr>
          <w:rFonts w:hint="eastAsia" w:ascii="宋体" w:hAnsi="宋体"/>
          <w:color w:val="000000"/>
        </w:rPr>
        <w:t>标的公司相关数据应以符合《证券法》规定的会计师事务所、资产评估机构出具的审计报告、评估报告为准。标的公司经审计的财务数据、评估结果将在重组报告书中予以披露。提请投资者注意，相关资产经审计的财务数据、评估或估值最终结果可能与预案披露情况存在较大差异的风险。</w:t>
      </w:r>
    </w:p>
    <w:p w14:paraId="57D96FE1">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（四）交易作价尚未确定的风险</w:t>
      </w:r>
    </w:p>
    <w:p w14:paraId="761D4CE7">
      <w:pPr>
        <w:spacing w:before="120" w:after="120" w:afterLines="50"/>
        <w:ind w:firstLine="480"/>
        <w:jc w:val="both"/>
        <w:rPr>
          <w:rFonts w:hint="eastAsia" w:ascii="宋体" w:hAnsi="宋体"/>
        </w:rPr>
      </w:pPr>
      <w:r>
        <w:rPr>
          <w:rFonts w:hint="eastAsia" w:ascii="宋体" w:hAnsi="宋体"/>
          <w:color w:val="000000"/>
        </w:rPr>
        <w:t>截至本预案签署日，本次交易初步方案已确定，但鉴于本次重组标的资产的审计、评估工作尚未完成，本次交易标的资产的交易价格尚未确定。标的资产的最终交易价格将以符合《证券法》规定的资产评估机构出具的评估报告的评估结果为基础，经交易双方充分协商确定，最终评估结果与交易价格将在重组报告书中予以披露。提请广大投资者注意相关风险。</w:t>
      </w:r>
    </w:p>
    <w:p w14:paraId="5A7586D1">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（五）本次交易方案调整的风险</w:t>
      </w:r>
    </w:p>
    <w:p w14:paraId="72BC34BE">
      <w:pPr>
        <w:spacing w:before="120" w:after="120" w:afterLines="50"/>
        <w:ind w:firstLine="480"/>
        <w:jc w:val="both"/>
        <w:rPr>
          <w:rFonts w:hint="eastAsia" w:ascii="宋体" w:hAnsi="宋体"/>
          <w:color w:val="000000"/>
        </w:rPr>
      </w:pPr>
      <w:r>
        <w:rPr>
          <w:rFonts w:hint="eastAsia" w:ascii="宋体" w:hAnsi="宋体"/>
          <w:color w:val="000000"/>
        </w:rPr>
        <w:t>截至本预案签署日，本次重组标的资产的审计、评估工作尚未完成，交易各方可能会根据审计、评估结果和市场行情对交易方案进行调整。本预案披露的方案仅为本次交易的初步方案，最终方案将在重组报告书中予以披露。本次交易存在方案后续调整的可能性。</w:t>
      </w:r>
    </w:p>
    <w:p w14:paraId="75886DAD">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（六）业绩承诺的风险</w:t>
      </w:r>
    </w:p>
    <w:p w14:paraId="226BCB61">
      <w:pPr>
        <w:spacing w:before="120" w:after="120" w:afterLines="50"/>
        <w:ind w:firstLine="480"/>
        <w:jc w:val="both"/>
        <w:rPr>
          <w:rFonts w:hint="eastAsia" w:ascii="宋体" w:hAnsi="宋体"/>
        </w:rPr>
      </w:pPr>
      <w:r>
        <w:rPr>
          <w:rFonts w:hint="eastAsia" w:ascii="宋体" w:hAnsi="宋体"/>
          <w:color w:val="000000"/>
        </w:rPr>
        <w:t>截至本预案签署日，本次交易的初步方案已确定，但由于本次重组标的资产的审计、评估工作尚未完成，本次交易各方暂未签订明确的业绩承诺补偿协议。待标的公司审计、评估工作完成后，上市公司将与业绩承诺方另行签订业绩补偿协议进行约定，届时将对补偿期间、承诺净利润、实现净利润的确认、补偿方式、补偿计算公式、补偿实施方式、标的资产减值测试补偿、违约责任等具体内容作出约定。由于标的公司后续业绩承诺的实现情况会受到政策环境、行业需求以及企业经营状况等多种因素的影响，标的公司存在实现业绩不能达到承诺业绩的风险。</w:t>
      </w:r>
    </w:p>
    <w:p w14:paraId="31B796F2">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（七）收购整合的风险</w:t>
      </w:r>
    </w:p>
    <w:p w14:paraId="2BFB5626">
      <w:pPr>
        <w:spacing w:before="120" w:after="120" w:afterLines="50"/>
        <w:ind w:firstLine="480"/>
        <w:jc w:val="both"/>
        <w:rPr>
          <w:rFonts w:hint="eastAsia" w:ascii="宋体" w:hAnsi="宋体"/>
          <w:color w:val="000000"/>
        </w:rPr>
      </w:pPr>
      <w:r>
        <w:rPr>
          <w:rFonts w:hint="eastAsia" w:ascii="宋体" w:hAnsi="宋体"/>
          <w:color w:val="000000"/>
        </w:rPr>
        <w:t>本次交易完成后，标的公司将纳入上市公司管理及合并报表范围，上市公司将派驻管理人员在组织结构、管理制度、业务体系、企业文化等方面对标的公司进行整合。鉴于上市公司与标的公司在具体产品、生产经营和管理制度等方面存在差异，本次交易完成后上市公司能否通过整合保持标的资产原有竞争优势并充分发挥并购整合的协同效应具有不确定性，提请投资者关注本次交易涉及的收购整合风险。</w:t>
      </w:r>
    </w:p>
    <w:p w14:paraId="426BE2AC">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（八）商誉减值的风险</w:t>
      </w:r>
    </w:p>
    <w:p w14:paraId="50857E61">
      <w:pPr>
        <w:spacing w:before="120" w:after="120" w:afterLines="50"/>
        <w:ind w:firstLine="480"/>
        <w:jc w:val="both"/>
        <w:rPr>
          <w:rFonts w:hint="eastAsia" w:ascii="宋体" w:hAnsi="宋体"/>
        </w:rPr>
      </w:pPr>
      <w:r>
        <w:rPr>
          <w:rFonts w:hint="eastAsia" w:ascii="宋体" w:hAnsi="宋体"/>
          <w:color w:val="000000"/>
        </w:rPr>
        <w:t>本次交易系非同一控制下的企业合并，根据《企业会计准则》相关规定，本次交易形成的商誉不作摊销处理，但需要在未来每年年终进行减值测试。如果标的公司未来经营状况未达预期，将产生商誉减值的风险，从而对上市公司未来经营业绩产生不利影响。</w:t>
      </w:r>
    </w:p>
    <w:p w14:paraId="63D64F1C">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（九）发行股份后可能摊薄上市公司即期回报的风险</w:t>
      </w:r>
    </w:p>
    <w:p w14:paraId="0ABE74F6">
      <w:pPr>
        <w:spacing w:before="120" w:after="120" w:afterLines="50"/>
        <w:ind w:firstLine="480"/>
        <w:jc w:val="both"/>
        <w:rPr>
          <w:rFonts w:hint="eastAsia" w:ascii="宋体" w:hAnsi="宋体"/>
          <w:color w:val="000000"/>
        </w:rPr>
      </w:pPr>
      <w:r>
        <w:rPr>
          <w:rFonts w:hint="eastAsia" w:ascii="宋体" w:hAnsi="宋体"/>
          <w:color w:val="000000"/>
        </w:rPr>
        <w:t>由于与本次交易相关的审计、评估工作尚未完成，尚无法对本次交易完成后上市公司的合并财务状况和盈利能力进行准确的定量分析。本次交易实施完成后，上市公司的总股本规模将相应增加。若标的公司的未来经营效益不及预期，则上市公司的每股收益等即期回报指标将面临被摊薄的风险。</w:t>
      </w:r>
    </w:p>
    <w:p w14:paraId="2BA2290D">
      <w:pPr>
        <w:pStyle w:val="860"/>
        <w:spacing w:before="120" w:after="120"/>
        <w:rPr>
          <w:b w:val="0"/>
          <w:bCs w:val="0"/>
          <w:color w:val="000000" w:themeColor="text1"/>
          <w14:textFill>
            <w14:solidFill>
              <w14:schemeClr w14:val="tx1"/>
            </w14:solidFill>
          </w14:textFill>
        </w:rPr>
      </w:pPr>
      <w:bookmarkStart w:id="65" w:name="_Toc104"/>
      <w:r>
        <w:rPr>
          <w:rFonts w:hint="eastAsia"/>
          <w:color w:val="000000" w:themeColor="text1"/>
          <w14:textFill>
            <w14:solidFill>
              <w14:schemeClr w14:val="tx1"/>
            </w14:solidFill>
          </w14:textFill>
        </w:rPr>
        <w:t>二、与标的资产相关的风险</w:t>
      </w:r>
      <w:bookmarkEnd w:id="65"/>
    </w:p>
    <w:p w14:paraId="70F47BF5">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（一）宏观经济波动风险</w:t>
      </w:r>
    </w:p>
    <w:p w14:paraId="6563E07E">
      <w:pPr>
        <w:spacing w:before="120"/>
        <w:ind w:firstLine="480"/>
        <w:jc w:val="both"/>
        <w:rPr>
          <w:rFonts w:hint="eastAsia" w:ascii="宋体" w:hAnsi="宋体"/>
          <w:color w:val="000000"/>
        </w:rPr>
      </w:pPr>
      <w:r>
        <w:rPr>
          <w:rFonts w:hint="eastAsia" w:ascii="宋体" w:hAnsi="宋体"/>
          <w:color w:val="000000"/>
        </w:rPr>
        <w:t>随着人口规模增长放缓，人口红利效应逐渐消失，以及国际、国内宏观经济格局复杂多变，经济运行中面临一定的挑战和波动风险，消费者未来的消费能力和消费意愿可能发生变化，从而影响到线下自助设备智能化行业整体规模及经营业绩，并对标的公司的盈利能力产生不利影响。</w:t>
      </w:r>
    </w:p>
    <w:p w14:paraId="7667C89C">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（二）市场竞争加剧的风险</w:t>
      </w:r>
    </w:p>
    <w:p w14:paraId="63287B6D">
      <w:pPr>
        <w:spacing w:before="120"/>
        <w:ind w:firstLine="480"/>
        <w:jc w:val="both"/>
        <w:rPr>
          <w:rFonts w:hint="eastAsia" w:ascii="宋体" w:hAnsi="宋体"/>
          <w:color w:val="000000"/>
        </w:rPr>
      </w:pPr>
      <w:r>
        <w:rPr>
          <w:rFonts w:hint="eastAsia" w:ascii="宋体" w:hAnsi="宋体"/>
          <w:color w:val="000000"/>
        </w:rPr>
        <w:t>随着自助设备数量规模逐步增长，国内对自助设备智能化平台的市场需求逐步扩大，新的竞争者将进入行业，导致市场竞争更为剧烈。如果标的公司不能持续在技术研发、产品开发等方面保持创新或改进，不能准确预测市场的最新需求并及时跟进市场前沿的新技术，导致无法实现新老技术产品的过渡，可能会使标的公司核心技术的发展进程出现偏差，对标的公司的核心竞争力及经营状况产生不利影响，并存在被同行业竞争对手赶超的风险，从而对标的公司的盈利能力造成不利影响。</w:t>
      </w:r>
    </w:p>
    <w:p w14:paraId="3534986A">
      <w:pPr>
        <w:keepNext/>
        <w:keepLines/>
        <w:spacing w:before="120" w:after="120" w:afterLines="50"/>
        <w:ind w:firstLine="0" w:firstLineChars="0"/>
        <w:jc w:val="both"/>
        <w:outlineLvl w:val="2"/>
        <w:rPr>
          <w:rFonts w:ascii="sans-serif" w:hAnsi="sans-serif" w:eastAsia="sans-serif" w:cs="sans-serif"/>
          <w:sz w:val="15"/>
          <w:szCs w:val="15"/>
          <w:shd w:val="clear" w:color="auto" w:fill="FFFFFF"/>
        </w:rPr>
      </w:pPr>
      <w:r>
        <w:rPr>
          <w:rFonts w:hint="eastAsia" w:eastAsia="黑体" w:cs="Times New Roman"/>
          <w:b/>
          <w:bCs/>
          <w:kern w:val="2"/>
          <w:szCs w:val="28"/>
        </w:rPr>
        <w:t>（三）技术研发和技术创新风险</w:t>
      </w:r>
    </w:p>
    <w:p w14:paraId="144EAF63">
      <w:pPr>
        <w:spacing w:before="120"/>
        <w:ind w:firstLine="480"/>
        <w:jc w:val="both"/>
        <w:rPr>
          <w:rFonts w:hint="eastAsia" w:ascii="宋体" w:hAnsi="宋体"/>
          <w:color w:val="000000"/>
        </w:rPr>
      </w:pPr>
      <w:r>
        <w:rPr>
          <w:rFonts w:hint="eastAsia" w:ascii="宋体" w:hAnsi="宋体"/>
          <w:color w:val="000000"/>
        </w:rPr>
        <w:t>标的公司所处的行业属于技术驱动的自助设备智能化领域，作为新兴行业，具有用户需求变化快，商业模式创新频繁的特点，因此技术创新是整个行业发展的重要动力。标的公司虽然已在行业内不同应用场景拥有一定积累，但如果未来标的公司不能把握行业技术的发展方向，相关技术和产品的更新迭代无法跟随行业发展趋势，则标的公司无法维持技术优势，未来的竞争力和可持续经营能力面临不利影响。</w:t>
      </w:r>
    </w:p>
    <w:p w14:paraId="16469ECB">
      <w:pPr>
        <w:pStyle w:val="860"/>
        <w:spacing w:before="120" w:after="120"/>
        <w:rPr>
          <w:b w:val="0"/>
          <w:bCs w:val="0"/>
          <w:color w:val="000000" w:themeColor="text1"/>
          <w14:textFill>
            <w14:solidFill>
              <w14:schemeClr w14:val="tx1"/>
            </w14:solidFill>
          </w14:textFill>
        </w:rPr>
      </w:pPr>
      <w:bookmarkStart w:id="66" w:name="_Toc25821"/>
      <w:r>
        <w:rPr>
          <w:rFonts w:hint="eastAsia"/>
          <w:color w:val="000000" w:themeColor="text1"/>
          <w14:textFill>
            <w14:solidFill>
              <w14:schemeClr w14:val="tx1"/>
            </w14:solidFill>
          </w14:textFill>
        </w:rPr>
        <w:t>三、其他风险</w:t>
      </w:r>
      <w:bookmarkEnd w:id="66"/>
    </w:p>
    <w:p w14:paraId="1F643565">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（一）股票价格波动风险</w:t>
      </w:r>
    </w:p>
    <w:p w14:paraId="23EBD4C5">
      <w:pPr>
        <w:spacing w:before="120"/>
        <w:ind w:firstLine="480"/>
        <w:jc w:val="both"/>
        <w:rPr>
          <w:rFonts w:hint="eastAsia" w:ascii="宋体" w:hAnsi="宋体"/>
        </w:rPr>
      </w:pPr>
      <w:r>
        <w:rPr>
          <w:rFonts w:hint="eastAsia" w:ascii="宋体" w:hAnsi="宋体"/>
          <w:color w:val="000000"/>
        </w:rPr>
        <w:t>股票市场投资收益与投资风险并存。股票价格不仅取决于公司的盈利水平及发展前景，还受宏观经济周期、国家经济政策、资金、供求关系等因素的影响，同时也会因国际、国内政治经济形势及投资者心理因素的变化而产生波动。本次交易需要有关部门审批且需要一定的时间方能完成，在此期间股票市场价格可能出现波动，从而给投资者带来一定的风险。</w:t>
      </w:r>
    </w:p>
    <w:p w14:paraId="5A5FC7A4">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（二）其他不可控风险</w:t>
      </w:r>
    </w:p>
    <w:p w14:paraId="5417ADC7">
      <w:pPr>
        <w:spacing w:before="120"/>
        <w:ind w:firstLine="480"/>
        <w:jc w:val="both"/>
        <w:rPr>
          <w:rFonts w:hint="eastAsia" w:ascii="宋体" w:hAnsi="宋体"/>
          <w:color w:val="000000"/>
        </w:rPr>
      </w:pPr>
      <w:r>
        <w:rPr>
          <w:rFonts w:hint="eastAsia" w:ascii="宋体" w:hAnsi="宋体"/>
          <w:color w:val="000000"/>
        </w:rPr>
        <w:t>本次交易不排除因政治、经济、自然灾害等其他不可控因素带来不利影响的可能性。提请投资者关注相关风险。</w:t>
      </w:r>
    </w:p>
    <w:p w14:paraId="6D7C3460">
      <w:pPr>
        <w:spacing w:before="120"/>
        <w:ind w:firstLine="480"/>
        <w:jc w:val="both"/>
        <w:rPr>
          <w:rFonts w:hint="eastAsia" w:ascii="宋体" w:hAnsi="宋体"/>
          <w:color w:val="000000"/>
        </w:rPr>
      </w:pPr>
    </w:p>
    <w:p w14:paraId="0C3F5812">
      <w:pPr>
        <w:pStyle w:val="817"/>
        <w:spacing w:before="120" w:after="120"/>
        <w:rPr>
          <w:color w:val="000000" w:themeColor="text1"/>
          <w14:textFill>
            <w14:solidFill>
              <w14:schemeClr w14:val="tx1"/>
            </w14:solidFill>
          </w14:textFill>
        </w:rPr>
      </w:pPr>
      <w:bookmarkStart w:id="67" w:name="_Toc481026473"/>
      <w:bookmarkStart w:id="68" w:name="_Toc86099268"/>
      <w:bookmarkStart w:id="69" w:name="_Toc184373634"/>
      <w:bookmarkStart w:id="70" w:name="_Toc4240"/>
      <w:bookmarkStart w:id="71" w:name="_Toc396649001"/>
      <w:bookmarkStart w:id="72" w:name="_Toc444071357"/>
      <w:bookmarkStart w:id="73" w:name="_Toc446527852"/>
      <w:bookmarkStart w:id="74" w:name="_Toc75902836"/>
      <w:bookmarkStart w:id="75" w:name="_Toc86099275"/>
      <w:r>
        <w:rPr>
          <w:color w:val="000000" w:themeColor="text1"/>
          <w14:textFill>
            <w14:solidFill>
              <w14:schemeClr w14:val="tx1"/>
            </w14:solidFill>
          </w14:textFill>
        </w:rPr>
        <w:t>第一节</w:t>
      </w:r>
      <w:bookmarkEnd w:id="67"/>
      <w:bookmarkEnd w:id="68"/>
      <w:r>
        <w:rPr>
          <w:rFonts w:hint="eastAsia"/>
          <w:color w:val="000000" w:themeColor="text1"/>
          <w:lang w:val="en-US"/>
          <w14:textFill>
            <w14:solidFill>
              <w14:schemeClr w14:val="tx1"/>
            </w14:solidFill>
          </w14:textFill>
        </w:rPr>
        <w:t xml:space="preserve"> </w:t>
      </w:r>
      <w:r>
        <w:rPr>
          <w:rFonts w:hint="eastAsia"/>
          <w:color w:val="000000" w:themeColor="text1"/>
          <w14:textFill>
            <w14:solidFill>
              <w14:schemeClr w14:val="tx1"/>
            </w14:solidFill>
          </w14:textFill>
        </w:rPr>
        <w:t>本次交易概况</w:t>
      </w:r>
      <w:bookmarkEnd w:id="69"/>
      <w:bookmarkEnd w:id="70"/>
    </w:p>
    <w:p w14:paraId="0E14EAAC">
      <w:pPr>
        <w:pStyle w:val="860"/>
        <w:spacing w:before="120" w:after="120"/>
        <w:rPr>
          <w:color w:val="000000" w:themeColor="text1"/>
          <w14:textFill>
            <w14:solidFill>
              <w14:schemeClr w14:val="tx1"/>
            </w14:solidFill>
          </w14:textFill>
        </w:rPr>
      </w:pPr>
      <w:bookmarkStart w:id="76" w:name="_Toc86099269"/>
      <w:bookmarkStart w:id="77" w:name="_Toc184373635"/>
      <w:bookmarkStart w:id="78" w:name="_Toc8948"/>
      <w:r>
        <w:rPr>
          <w:rFonts w:hint="eastAsia"/>
          <w:color w:val="000000" w:themeColor="text1"/>
          <w14:textFill>
            <w14:solidFill>
              <w14:schemeClr w14:val="tx1"/>
            </w14:solidFill>
          </w14:textFill>
        </w:rPr>
        <w:t>一、本次交易的背景和目的</w:t>
      </w:r>
      <w:bookmarkEnd w:id="76"/>
      <w:bookmarkEnd w:id="77"/>
      <w:bookmarkEnd w:id="78"/>
    </w:p>
    <w:p w14:paraId="59ACF002">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（一）本次交易的背景</w:t>
      </w:r>
    </w:p>
    <w:p w14:paraId="37264C09">
      <w:pPr>
        <w:spacing w:before="120"/>
        <w:ind w:firstLine="482"/>
        <w:jc w:val="both"/>
        <w:outlineLvl w:val="3"/>
        <w:rPr>
          <w:rFonts w:cs="Times New Roman"/>
          <w:b/>
          <w:bCs/>
          <w:color w:val="000000" w:themeColor="text1"/>
          <w:kern w:val="2"/>
          <w14:textFill>
            <w14:solidFill>
              <w14:schemeClr w14:val="tx1"/>
            </w14:solidFill>
          </w14:textFill>
        </w:rPr>
      </w:pPr>
      <w:bookmarkStart w:id="79" w:name="_Hlk189427701"/>
      <w:bookmarkStart w:id="80" w:name="_Hlk191626660"/>
      <w:r>
        <w:rPr>
          <w:rFonts w:hint="eastAsia" w:cs="Times New Roman"/>
          <w:b/>
          <w:bCs/>
          <w:color w:val="000000" w:themeColor="text1"/>
          <w:kern w:val="2"/>
          <w14:textFill>
            <w14:solidFill>
              <w14:schemeClr w14:val="tx1"/>
            </w14:solidFill>
          </w14:textFill>
        </w:rPr>
        <w:t>1、政策支持上市公司通过并购重组加强产业整合</w:t>
      </w:r>
    </w:p>
    <w:p w14:paraId="0005127F">
      <w:pPr>
        <w:spacing w:before="120"/>
        <w:ind w:firstLine="480"/>
        <w:jc w:val="both"/>
        <w:rPr>
          <w:rFonts w:cs="Times New Roman"/>
          <w:color w:val="000000" w:themeColor="text1"/>
          <w:kern w:val="2"/>
          <w14:textFill>
            <w14:solidFill>
              <w14:schemeClr w14:val="tx1"/>
            </w14:solidFill>
          </w14:textFill>
        </w:rPr>
      </w:pPr>
      <w:r>
        <w:rPr>
          <w:rFonts w:cs="Times New Roman"/>
          <w:color w:val="000000" w:themeColor="text1"/>
          <w:kern w:val="2"/>
          <w14:textFill>
            <w14:solidFill>
              <w14:schemeClr w14:val="tx1"/>
            </w14:solidFill>
          </w14:textFill>
        </w:rPr>
        <w:t>2024年4月，国务院出台《国务院关于加强监管防范风险推动资本市场高质量发展的若干意见》，鼓励上市公司综合运用并购重组等方式提高发展质量。2024年9月，证监会发布《关于深化上市公司并购重组市场改革的意见》，资本市场在支持新兴行业发展的同时，将继续助力传统行业通过重组合理提升产业集中度，提升资源配置效率。</w:t>
      </w:r>
      <w:r>
        <w:rPr>
          <w:rFonts w:hint="eastAsia" w:cs="Times New Roman"/>
          <w:color w:val="000000" w:themeColor="text1"/>
          <w:kern w:val="2"/>
          <w14:textFill>
            <w14:solidFill>
              <w14:schemeClr w14:val="tx1"/>
            </w14:solidFill>
          </w14:textFill>
        </w:rPr>
        <w:t>2025年5月16日，证监会修订实施《上市公司重大资产重组管理办法》，在简化审核程序、创新交易工具、提升监管包容度等方面进行优化。</w:t>
      </w:r>
    </w:p>
    <w:p w14:paraId="436B6180">
      <w:pPr>
        <w:spacing w:before="120"/>
        <w:ind w:firstLine="480"/>
        <w:jc w:val="both"/>
      </w:pPr>
      <w:r>
        <w:rPr>
          <w:rFonts w:hint="eastAsia" w:cs="Times New Roman"/>
          <w:color w:val="000000" w:themeColor="text1"/>
          <w:kern w:val="2"/>
          <w14:textFill>
            <w14:solidFill>
              <w14:schemeClr w14:val="tx1"/>
            </w14:solidFill>
          </w14:textFill>
        </w:rPr>
        <w:t>国务院、证监会陆续出台多项政策，鼓励上市公司通过实施并购重组进行产业整合，进一步优化资源配置，为上市公司并购重组提供了良好的政策环境。并购重组已成为上市公司持续发展、做优做强的重要手段，在市场资源配置方面发挥重要作用。通过并购重组，有助于资源要素向新质生产力方向聚集、推动新质生产力稳步发展。</w:t>
      </w:r>
    </w:p>
    <w:p w14:paraId="250D691E">
      <w:pPr>
        <w:spacing w:before="120"/>
        <w:ind w:firstLine="482"/>
        <w:jc w:val="both"/>
        <w:outlineLvl w:val="3"/>
        <w:rPr>
          <w:rFonts w:cs="Times New Roman"/>
          <w:b/>
          <w:bCs/>
          <w:color w:val="000000" w:themeColor="text1"/>
          <w:kern w:val="2"/>
          <w14:textFill>
            <w14:solidFill>
              <w14:schemeClr w14:val="tx1"/>
            </w14:solidFill>
          </w14:textFill>
        </w:rPr>
      </w:pPr>
      <w:r>
        <w:rPr>
          <w:rFonts w:hint="eastAsia" w:cs="Times New Roman"/>
          <w:b/>
          <w:bCs/>
          <w:color w:val="000000" w:themeColor="text1"/>
          <w:kern w:val="2"/>
          <w14:textFill>
            <w14:solidFill>
              <w14:schemeClr w14:val="tx1"/>
            </w14:solidFill>
          </w14:textFill>
        </w:rPr>
        <w:t>2、物联网产业具备广阔发展前景</w:t>
      </w:r>
    </w:p>
    <w:p w14:paraId="0477CCB9">
      <w:pPr>
        <w:spacing w:before="120"/>
        <w:ind w:firstLine="480"/>
        <w:jc w:val="both"/>
      </w:pPr>
      <w:r>
        <w:rPr>
          <w:rFonts w:hint="eastAsia"/>
        </w:rPr>
        <w:t>2024年8月，工信部发布《关于推进移动物联网“万物智联”发展的通知》，提出进一步深化移动物联网与人工智能、大数据等技术融合，提升移动物联网行业供给水平。近年来，国务院、发改委、工信部等部门出台了一系列强有力的政策支持我国物联网产业快速发展。根据IDC数据，2024年中国物联网（IoT）市场规模达1,982.5亿美元，同比增长13.2%，预计2028年将增至3,264.7亿美元，5年CAGR达13.3%。</w:t>
      </w:r>
    </w:p>
    <w:p w14:paraId="006D2D30">
      <w:pPr>
        <w:spacing w:before="120"/>
        <w:ind w:firstLine="480"/>
        <w:jc w:val="both"/>
      </w:pPr>
      <w:r>
        <w:rPr>
          <w:rFonts w:hint="eastAsia"/>
        </w:rPr>
        <w:t>标的公司系物联网产业中的智能自助设备数字化服务提供商。随着物联网设备和设施的逐步完善以及物联网应用创新的不断涌现，物联网产业将有望迎来快速扩容。</w:t>
      </w:r>
    </w:p>
    <w:p w14:paraId="318DAB06">
      <w:pPr>
        <w:spacing w:before="120"/>
        <w:ind w:firstLine="482"/>
        <w:jc w:val="both"/>
        <w:outlineLvl w:val="3"/>
        <w:rPr>
          <w:rFonts w:cs="Times New Roman"/>
          <w:b/>
          <w:bCs/>
          <w:color w:val="000000" w:themeColor="text1"/>
          <w:kern w:val="2"/>
          <w14:textFill>
            <w14:solidFill>
              <w14:schemeClr w14:val="tx1"/>
            </w14:solidFill>
          </w14:textFill>
        </w:rPr>
      </w:pPr>
      <w:r>
        <w:rPr>
          <w:rFonts w:hint="eastAsia" w:cs="Times New Roman"/>
          <w:b/>
          <w:bCs/>
          <w:color w:val="000000" w:themeColor="text1"/>
          <w:kern w:val="2"/>
          <w14:textFill>
            <w14:solidFill>
              <w14:schemeClr w14:val="tx1"/>
            </w14:solidFill>
          </w14:textFill>
        </w:rPr>
        <w:t>3、积极响应全领域数字化转型</w:t>
      </w:r>
      <w:r>
        <w:rPr>
          <w:rFonts w:hint="eastAsia"/>
          <w:b/>
          <w:bCs/>
        </w:rPr>
        <w:t>政策方针</w:t>
      </w:r>
    </w:p>
    <w:p w14:paraId="5C5E3F3D">
      <w:pPr>
        <w:spacing w:before="120"/>
        <w:ind w:firstLine="480"/>
        <w:jc w:val="both"/>
        <w:rPr>
          <w:rFonts w:cs="Times New Roman"/>
          <w:color w:val="000000" w:themeColor="text1"/>
          <w:kern w:val="2"/>
          <w14:textFill>
            <w14:solidFill>
              <w14:schemeClr w14:val="tx1"/>
            </w14:solidFill>
          </w14:textFill>
        </w:rPr>
      </w:pPr>
      <w:r>
        <w:rPr>
          <w:rFonts w:hint="eastAsia" w:cs="Times New Roman"/>
          <w:color w:val="000000" w:themeColor="text1"/>
          <w:kern w:val="2"/>
          <w14:textFill>
            <w14:solidFill>
              <w14:schemeClr w14:val="tx1"/>
            </w14:solidFill>
          </w14:textFill>
        </w:rPr>
        <w:t>2024年4月，国家发展改革委、国家数据局、财政部、自然资源部联合发布《关于深化智慧城市发展推进城市全域数字化转型的指导意见》，提出“整体性重塑智慧城市技术架构、系统性变革城市管理流程、一体化推动产城深度融合，全面提升城市全域数字化转型的整体性、系统性、协同性”的发展要求。目前，我国城市数字化发展正在向数字技术赋能、数据要素贯通、数字制度创新协同转变，在数字中国整体规划布局下，数字化贯穿城市规划、建设、服务、运营全领域各方面。</w:t>
      </w:r>
    </w:p>
    <w:p w14:paraId="41904FC2">
      <w:pPr>
        <w:spacing w:before="120"/>
        <w:ind w:firstLine="480"/>
        <w:jc w:val="both"/>
        <w:rPr>
          <w:rFonts w:cs="Times New Roman"/>
          <w:color w:val="000000" w:themeColor="text1"/>
          <w:kern w:val="2"/>
          <w14:textFill>
            <w14:solidFill>
              <w14:schemeClr w14:val="tx1"/>
            </w14:solidFill>
          </w14:textFill>
        </w:rPr>
      </w:pPr>
      <w:r>
        <w:rPr>
          <w:rFonts w:hint="eastAsia" w:cs="Times New Roman"/>
          <w:color w:val="000000" w:themeColor="text1"/>
          <w:kern w:val="2"/>
          <w14:textFill>
            <w14:solidFill>
              <w14:schemeClr w14:val="tx1"/>
            </w14:solidFill>
          </w14:textFill>
        </w:rPr>
        <w:t>标的公司凭借多年来在AI智慧经营、SaaS系统和大数据等方面的技术积累，持续为企业赋能。通过本次收购，有利于增强上市公司在物联网、大数据、云计算、人工智能等技术方向的科研领域，以更好地响应全领域数字化转型政策方针。</w:t>
      </w:r>
    </w:p>
    <w:p w14:paraId="4D321DB8">
      <w:pPr>
        <w:pStyle w:val="4"/>
        <w:spacing w:before="120" w:after="0" w:line="360" w:lineRule="auto"/>
        <w:ind w:firstLine="0" w:firstLineChars="0"/>
        <w:rPr>
          <w:rFonts w:ascii="Times New Roman" w:hAnsi="Times New Roman" w:eastAsia="黑体"/>
          <w:color w:val="000000" w:themeColor="text1"/>
          <w:kern w:val="2"/>
          <w:sz w:val="24"/>
          <w:szCs w:val="28"/>
          <w:lang w:val="en-US"/>
          <w14:textFill>
            <w14:solidFill>
              <w14:schemeClr w14:val="tx1"/>
            </w14:solidFill>
          </w14:textFill>
        </w:rPr>
      </w:pPr>
      <w:r>
        <w:rPr>
          <w:rFonts w:hint="eastAsia" w:ascii="Times New Roman" w:hAnsi="Times New Roman" w:eastAsia="黑体"/>
          <w:color w:val="000000" w:themeColor="text1"/>
          <w:kern w:val="2"/>
          <w:sz w:val="24"/>
          <w:szCs w:val="28"/>
          <w:lang w:val="en-US"/>
          <w14:textFill>
            <w14:solidFill>
              <w14:schemeClr w14:val="tx1"/>
            </w14:solidFill>
          </w14:textFill>
        </w:rPr>
        <w:t>（二）本次交易的目的</w:t>
      </w:r>
    </w:p>
    <w:p w14:paraId="4356181B">
      <w:pPr>
        <w:spacing w:before="120"/>
        <w:ind w:firstLine="482"/>
        <w:jc w:val="both"/>
        <w:outlineLvl w:val="3"/>
        <w:rPr>
          <w:rFonts w:cs="Times New Roman"/>
          <w:b/>
          <w:bCs/>
          <w:color w:val="000000" w:themeColor="text1"/>
          <w:kern w:val="2"/>
          <w14:textFill>
            <w14:solidFill>
              <w14:schemeClr w14:val="tx1"/>
            </w14:solidFill>
          </w14:textFill>
        </w:rPr>
      </w:pPr>
      <w:r>
        <w:rPr>
          <w:rFonts w:hint="eastAsia" w:cs="Times New Roman"/>
          <w:b/>
          <w:bCs/>
          <w:color w:val="000000" w:themeColor="text1"/>
          <w:kern w:val="2"/>
          <w14:textFill>
            <w14:solidFill>
              <w14:schemeClr w14:val="tx1"/>
            </w14:solidFill>
          </w14:textFill>
        </w:rPr>
        <w:t>1</w:t>
      </w:r>
      <w:r>
        <w:rPr>
          <w:rFonts w:cs="Times New Roman"/>
          <w:b/>
          <w:bCs/>
          <w:color w:val="000000" w:themeColor="text1"/>
          <w:kern w:val="2"/>
          <w14:textFill>
            <w14:solidFill>
              <w14:schemeClr w14:val="tx1"/>
            </w14:solidFill>
          </w14:textFill>
        </w:rPr>
        <w:t>、</w:t>
      </w:r>
      <w:r>
        <w:rPr>
          <w:rFonts w:hint="eastAsia" w:cs="Times New Roman"/>
          <w:b/>
          <w:bCs/>
          <w:color w:val="000000" w:themeColor="text1"/>
          <w:kern w:val="2"/>
          <w14:textFill>
            <w14:solidFill>
              <w14:schemeClr w14:val="tx1"/>
            </w14:solidFill>
          </w14:textFill>
        </w:rPr>
        <w:t>完善IoT底层技术，巩固上市公司核心技术体系</w:t>
      </w:r>
    </w:p>
    <w:p w14:paraId="3F3C5AB7">
      <w:pPr>
        <w:spacing w:before="120"/>
        <w:ind w:firstLine="480"/>
        <w:jc w:val="both"/>
        <w:rPr>
          <w:rFonts w:cs="Times New Roman"/>
          <w:color w:val="000000" w:themeColor="text1"/>
          <w:kern w:val="2"/>
          <w14:textFill>
            <w14:solidFill>
              <w14:schemeClr w14:val="tx1"/>
            </w14:solidFill>
          </w14:textFill>
        </w:rPr>
      </w:pPr>
      <w:r>
        <w:rPr>
          <w:rFonts w:hint="eastAsia" w:cs="Times New Roman"/>
          <w:color w:val="000000" w:themeColor="text1"/>
          <w:kern w:val="2"/>
          <w14:textFill>
            <w14:solidFill>
              <w14:schemeClr w14:val="tx1"/>
            </w14:solidFill>
          </w14:textFill>
        </w:rPr>
        <w:t>上市公司与标的公司均围绕物联网、大数据、云计算、人工智能等技术方向重点布局，并分别形成了各有侧重、优势突出的核心技术体系。</w:t>
      </w:r>
    </w:p>
    <w:p w14:paraId="544D9902">
      <w:pPr>
        <w:spacing w:before="120"/>
        <w:ind w:firstLine="480"/>
        <w:jc w:val="both"/>
        <w:rPr>
          <w:rFonts w:cs="Times New Roman"/>
          <w:color w:val="000000" w:themeColor="text1"/>
          <w:kern w:val="2"/>
          <w14:textFill>
            <w14:solidFill>
              <w14:schemeClr w14:val="tx1"/>
            </w14:solidFill>
          </w14:textFill>
        </w:rPr>
      </w:pPr>
      <w:r>
        <w:rPr>
          <w:rFonts w:hint="eastAsia" w:cs="Times New Roman"/>
          <w:color w:val="000000" w:themeColor="text1"/>
          <w:kern w:val="2"/>
          <w14:textFill>
            <w14:solidFill>
              <w14:schemeClr w14:val="tx1"/>
            </w14:solidFill>
          </w14:textFill>
        </w:rPr>
        <w:t>上市公司始终秉承“技术缔造价值”的核心理念，掌握了数字孪生构建与应用、政务大数据分析与挖掘、图像超分与识别、跨平台高性能音视频通讯、智能人机交互、低代码应用开发等核心技术，持续巩固在智慧政务、智慧教育和智慧医疗等领域的竞争优势。截至2024年12月31日，上市公司拥有358项计算机软件著作权，取得9项专利。</w:t>
      </w:r>
    </w:p>
    <w:p w14:paraId="5270D158">
      <w:pPr>
        <w:spacing w:before="120"/>
        <w:ind w:firstLine="480"/>
        <w:jc w:val="both"/>
        <w:rPr>
          <w:rFonts w:cs="Times New Roman"/>
          <w:color w:val="000000" w:themeColor="text1"/>
          <w:kern w:val="2"/>
          <w14:textFill>
            <w14:solidFill>
              <w14:schemeClr w14:val="tx1"/>
            </w14:solidFill>
          </w14:textFill>
        </w:rPr>
      </w:pPr>
      <w:r>
        <w:rPr>
          <w:rFonts w:hint="eastAsia" w:cs="Times New Roman"/>
          <w:color w:val="000000" w:themeColor="text1"/>
          <w:kern w:val="2"/>
          <w14:textFill>
            <w14:solidFill>
              <w14:schemeClr w14:val="tx1"/>
            </w14:solidFill>
          </w14:textFill>
        </w:rPr>
        <w:t>标的公司则专注于攻关IoT底层技术，有效完善了自助硬件设备物联通讯和智能管理技术，并顺利实现数据收集、数据建模、数据测试、故障诊断和智能预测的智能自助设备全链条数据开发和应用，在城市数字经济发展领域优势突出。</w:t>
      </w:r>
    </w:p>
    <w:p w14:paraId="71248700">
      <w:pPr>
        <w:spacing w:before="120"/>
        <w:ind w:firstLine="480"/>
        <w:jc w:val="both"/>
        <w:rPr>
          <w:rFonts w:cs="Times New Roman"/>
          <w:color w:val="000000" w:themeColor="text1"/>
          <w:kern w:val="2"/>
          <w14:textFill>
            <w14:solidFill>
              <w14:schemeClr w14:val="tx1"/>
            </w14:solidFill>
          </w14:textFill>
        </w:rPr>
      </w:pPr>
      <w:r>
        <w:rPr>
          <w:rFonts w:hint="eastAsia" w:cs="Times New Roman"/>
          <w:color w:val="000000" w:themeColor="text1"/>
          <w:kern w:val="2"/>
          <w14:textFill>
            <w14:solidFill>
              <w14:schemeClr w14:val="tx1"/>
            </w14:solidFill>
          </w14:textFill>
        </w:rPr>
        <w:t>通过本次交易，上市公司的核心技术优势将得到进一步巩固增强。</w:t>
      </w:r>
    </w:p>
    <w:p w14:paraId="15F361DD">
      <w:pPr>
        <w:spacing w:before="120"/>
        <w:ind w:firstLine="482"/>
        <w:jc w:val="both"/>
        <w:outlineLvl w:val="3"/>
        <w:rPr>
          <w:rFonts w:cs="Times New Roman"/>
          <w:b/>
          <w:bCs/>
          <w:color w:val="000000" w:themeColor="text1"/>
          <w:kern w:val="2"/>
          <w14:textFill>
            <w14:solidFill>
              <w14:schemeClr w14:val="tx1"/>
            </w14:solidFill>
          </w14:textFill>
        </w:rPr>
      </w:pPr>
      <w:r>
        <w:rPr>
          <w:rFonts w:hint="eastAsia" w:cs="Times New Roman"/>
          <w:b/>
          <w:bCs/>
          <w:color w:val="000000" w:themeColor="text1"/>
          <w:kern w:val="2"/>
          <w14:textFill>
            <w14:solidFill>
              <w14:schemeClr w14:val="tx1"/>
            </w14:solidFill>
          </w14:textFill>
        </w:rPr>
        <w:t>2、持续完善上市公司物联网产业链布局，拓宽业务应用场景</w:t>
      </w:r>
    </w:p>
    <w:p w14:paraId="2DB4234B">
      <w:pPr>
        <w:spacing w:before="120"/>
        <w:ind w:firstLine="480"/>
        <w:jc w:val="both"/>
        <w:rPr>
          <w:rFonts w:cs="Times New Roman"/>
          <w:kern w:val="2"/>
          <w14:ligatures w14:val="standardContextual"/>
        </w:rPr>
      </w:pPr>
      <w:r>
        <w:rPr>
          <w:rFonts w:hint="eastAsia" w:cs="Times New Roman"/>
          <w:kern w:val="2"/>
          <w14:ligatures w14:val="standardContextual"/>
        </w:rPr>
        <w:t>物联网（IoT）技术通过连接物理设备与数字系统，实时采集、传输和分析生产数据，推动生产、运营和交付流程智能化升级，显著提升资源利用效率和决策精准度，将成为新质生产力的核心技术载体。其数据驱动的生产模式重构了传统制造逻辑，助力产业向高附加值、高效率、精益管理等方向转型，为高质量发展提供重要支撑。</w:t>
      </w:r>
    </w:p>
    <w:p w14:paraId="768255D8">
      <w:pPr>
        <w:spacing w:before="120"/>
        <w:ind w:firstLine="480"/>
        <w:jc w:val="both"/>
        <w:rPr>
          <w:rFonts w:cs="Times New Roman"/>
          <w:kern w:val="2"/>
          <w14:ligatures w14:val="standardContextual"/>
        </w:rPr>
      </w:pPr>
      <w:r>
        <w:rPr>
          <w:rFonts w:hint="eastAsia" w:cs="Times New Roman"/>
          <w:kern w:val="2"/>
          <w14:ligatures w14:val="standardContextual"/>
        </w:rPr>
        <w:t>标的公司专注于提供“IoT智能硬件+SaaS云平台”一体化解决方案，已经打造覆盖智慧生活解决方案、智慧零售解决方案、智慧出行解决方案等在内的全场景解决方案矩阵，能够全面覆盖多类型的自助设备终端场景，有效满足客户和消费者的多元需求。</w:t>
      </w:r>
    </w:p>
    <w:p w14:paraId="7377D1D1">
      <w:pPr>
        <w:spacing w:before="120"/>
        <w:ind w:firstLine="480"/>
        <w:jc w:val="both"/>
        <w:rPr>
          <w:rFonts w:cs="Times New Roman"/>
          <w:kern w:val="2"/>
          <w14:ligatures w14:val="standardContextual"/>
        </w:rPr>
      </w:pPr>
      <w:r>
        <w:rPr>
          <w:rFonts w:hint="eastAsia" w:cs="Times New Roman"/>
          <w:kern w:val="2"/>
          <w14:ligatures w14:val="standardContextual"/>
        </w:rPr>
        <w:t>综上，通过本次交易，上市公司将完善对物联网产业链上的布局，拓宽业务应用场景至消费级市场，夯实物联网领域内优势，助力上市公司持续高质量发展。</w:t>
      </w:r>
    </w:p>
    <w:p w14:paraId="12C7F826">
      <w:pPr>
        <w:spacing w:before="120"/>
        <w:ind w:firstLine="482"/>
        <w:jc w:val="both"/>
        <w:outlineLvl w:val="3"/>
        <w:rPr>
          <w:rFonts w:cs="Times New Roman"/>
          <w:b/>
          <w:bCs/>
          <w:color w:val="000000" w:themeColor="text1"/>
          <w:kern w:val="2"/>
          <w14:textFill>
            <w14:solidFill>
              <w14:schemeClr w14:val="tx1"/>
            </w14:solidFill>
          </w14:textFill>
        </w:rPr>
      </w:pPr>
      <w:r>
        <w:rPr>
          <w:rFonts w:hint="eastAsia" w:cs="Times New Roman"/>
          <w:b/>
          <w:bCs/>
          <w:color w:val="000000" w:themeColor="text1"/>
          <w:kern w:val="2"/>
          <w14:textFill>
            <w14:solidFill>
              <w14:schemeClr w14:val="tx1"/>
            </w14:solidFill>
          </w14:textFill>
        </w:rPr>
        <w:t>3</w:t>
      </w:r>
      <w:r>
        <w:rPr>
          <w:rFonts w:cs="Times New Roman"/>
          <w:b/>
          <w:bCs/>
          <w:color w:val="000000" w:themeColor="text1"/>
          <w:kern w:val="2"/>
          <w14:textFill>
            <w14:solidFill>
              <w14:schemeClr w14:val="tx1"/>
            </w14:solidFill>
          </w14:textFill>
        </w:rPr>
        <w:t>、</w:t>
      </w:r>
      <w:r>
        <w:rPr>
          <w:rFonts w:hint="eastAsia" w:cs="Times New Roman"/>
          <w:b/>
          <w:bCs/>
          <w:color w:val="000000" w:themeColor="text1"/>
          <w:kern w:val="2"/>
          <w14:textFill>
            <w14:solidFill>
              <w14:schemeClr w14:val="tx1"/>
            </w14:solidFill>
          </w14:textFill>
        </w:rPr>
        <w:t>注入优质资产，改善并提升上市公司资产质量及盈利能力</w:t>
      </w:r>
    </w:p>
    <w:p w14:paraId="398598FC">
      <w:pPr>
        <w:spacing w:before="120"/>
        <w:ind w:firstLine="480"/>
        <w:jc w:val="both"/>
        <w:rPr>
          <w:rFonts w:cs="Times New Roman"/>
          <w:kern w:val="2"/>
          <w14:ligatures w14:val="standardContextual"/>
        </w:rPr>
      </w:pPr>
      <w:r>
        <w:rPr>
          <w:rFonts w:hint="eastAsia" w:cs="Times New Roman"/>
          <w:kern w:val="2"/>
          <w14:ligatures w14:val="standardContextual"/>
        </w:rPr>
        <w:t>随着物联网、大数据、人工智能等数字化技术与各线下场景深度融合，物联网加速向各行业渗透，使得物联网自助设备连接量持续上升。标的公司作为自助设备物联网平台领域内的头部企业之一，主营产品已在智慧生活、智慧零售、智慧出行等领域得到广泛使用。目前标的公司已与8,000余家制造工厂达成深度合作，全平台服务设备数超300万台，遍布全国600多个城市。此外，标的公司服务运营商家已超50万家，并为逾4.9亿用户提供智能服务。受益于智能化升级、信息化深度融合、物联网设备连接量持续增长等市场红利，标的公司具备较强的盈利能力。</w:t>
      </w:r>
    </w:p>
    <w:p w14:paraId="161F70E7">
      <w:pPr>
        <w:spacing w:before="120"/>
        <w:ind w:firstLine="480"/>
        <w:jc w:val="both"/>
        <w:rPr>
          <w:color w:val="000000" w:themeColor="text1"/>
          <w14:textFill>
            <w14:solidFill>
              <w14:schemeClr w14:val="tx1"/>
            </w14:solidFill>
          </w14:textFill>
        </w:rPr>
      </w:pPr>
      <w:r>
        <w:rPr>
          <w:rFonts w:hint="eastAsia" w:cs="Times New Roman"/>
          <w:kern w:val="2"/>
          <w14:ligatures w14:val="standardContextual"/>
        </w:rPr>
        <w:t>本次交易完成后，标的公司的财务报表将纳入上市公司合并范围，有助于上市公司进一步提升收入及利润规模，增强资本实力及盈利能力，提高上市公司的资产质量，改善上市公司的经营活动现金流量，以实现上市公司股东的利益最大化。</w:t>
      </w:r>
    </w:p>
    <w:p w14:paraId="60B8D60E">
      <w:pPr>
        <w:pStyle w:val="860"/>
        <w:spacing w:before="120" w:after="120"/>
        <w:rPr>
          <w:color w:val="000000" w:themeColor="text1"/>
          <w14:textFill>
            <w14:solidFill>
              <w14:schemeClr w14:val="tx1"/>
            </w14:solidFill>
          </w14:textFill>
        </w:rPr>
      </w:pPr>
      <w:bookmarkStart w:id="81" w:name="_Toc2363"/>
      <w:r>
        <w:rPr>
          <w:rFonts w:hint="eastAsia"/>
          <w:color w:val="000000" w:themeColor="text1"/>
          <w14:textFill>
            <w14:solidFill>
              <w14:schemeClr w14:val="tx1"/>
            </w14:solidFill>
          </w14:textFill>
        </w:rPr>
        <w:t>二、本次交易具体方案</w:t>
      </w:r>
      <w:bookmarkEnd w:id="81"/>
    </w:p>
    <w:p w14:paraId="31917B32">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（一）本次交易方案概况</w:t>
      </w:r>
    </w:p>
    <w:p w14:paraId="786F9B5A">
      <w:pPr>
        <w:spacing w:before="120"/>
        <w:ind w:firstLine="480" w:firstLineChars="0"/>
        <w:jc w:val="both"/>
      </w:pPr>
      <w:r>
        <w:rPr>
          <w:rFonts w:hint="eastAsia"/>
          <w:color w:val="000000" w:themeColor="text1"/>
          <w:lang w:bidi="ar"/>
          <w14:textFill>
            <w14:solidFill>
              <w14:schemeClr w14:val="tx1"/>
            </w14:solidFill>
          </w14:textFill>
        </w:rPr>
        <w:t>本次交易的整体方案由发行股份及支付现金购买资产和募集配套资金两部分组成。</w:t>
      </w:r>
      <w:r>
        <w:rPr>
          <w:rFonts w:hint="eastAsia"/>
        </w:rPr>
        <w:t>本次募集配套资金的生效和实施以本次发行股份及支付现金购买资产的生效为前提条件。本次发行股份及支付现金购买资产不以募集配套资金的成功实施为前提，最终募集配套资金成功与否不影响本次发行股份及支付现金购买资产的实施。具体情况如下：</w:t>
      </w:r>
    </w:p>
    <w:p w14:paraId="46FF42FA">
      <w:pPr>
        <w:keepNext/>
        <w:keepLines/>
        <w:adjustRightInd w:val="0"/>
        <w:snapToGrid w:val="0"/>
        <w:spacing w:before="120"/>
        <w:ind w:firstLine="482" w:firstLineChars="0"/>
        <w:jc w:val="both"/>
        <w:outlineLvl w:val="3"/>
        <w:rPr>
          <w:rFonts w:cs="Times New Roman"/>
          <w:b/>
          <w:bCs/>
          <w:kern w:val="2"/>
          <w:szCs w:val="28"/>
          <w:lang w:bidi="ar"/>
        </w:rPr>
      </w:pPr>
      <w:r>
        <w:rPr>
          <w:rFonts w:cs="Times New Roman"/>
          <w:b/>
          <w:bCs/>
          <w:kern w:val="2"/>
          <w:szCs w:val="28"/>
          <w:lang w:bidi="ar"/>
        </w:rPr>
        <w:t>1、发行股份及支付现金购买资产</w:t>
      </w:r>
    </w:p>
    <w:p w14:paraId="0CAB3BBA">
      <w:pPr>
        <w:spacing w:before="120"/>
        <w:ind w:firstLine="480"/>
        <w:jc w:val="both"/>
      </w:pPr>
      <w:r>
        <w:rPr>
          <w:rFonts w:hint="eastAsia"/>
        </w:rPr>
        <w:t>天亿马拟以发行股份及支付现金的方式向陈耿豪、南通成为常青股权投资合伙企业（有限合伙）、珠海广发信德科文创业投资基金（有限合伙）、苏州市德同合心创业投资合伙企业（有限合伙）、珠海乐陶陶投资合伙企业（有限合伙）、林芝利新信息技术有限公司、杨凯然、张杰波、璀璨远见（深圳）企业管理合伙企业（有限合伙）、珠海乐熙熙投资合伙企业（有限合伙）、珠海乐腾腾投资合伙企业（有限合伙）、深圳市前海千意智合三期投资合伙企业（有限合伙）、胡俊、王佳、杨裕雄、珠海乐哈哈投资合伙企业（有限合伙）、广州广发信德二期创业投资合伙企业（有限合伙）、璀璨德商（深圳）创业投资中心（有限合伙）、广州信德创业营股权投资合伙企业（有限合伙）、珠海乐摇投资合伙企业（有限合伙）、珠海康远投资企业（有限合伙）、上海德盾企业管理合伙企业（有限合伙）共22名交易对方购买其合计持有的星云开物100%的股权。</w:t>
      </w:r>
    </w:p>
    <w:p w14:paraId="02AAF930">
      <w:pPr>
        <w:spacing w:before="120"/>
        <w:ind w:firstLine="480" w:firstLineChars="0"/>
        <w:jc w:val="both"/>
      </w:pPr>
      <w:r>
        <w:rPr>
          <w:rFonts w:hint="eastAsia"/>
          <w:lang w:bidi="ar"/>
        </w:rPr>
        <w:t>其中，天亿马以支付现金方式购买交易对方合法持有的星云开物51%股权；以发行股份方式购买交易对方合法持有的星云开物49%股权。</w:t>
      </w:r>
      <w:r>
        <w:rPr>
          <w:rFonts w:hint="eastAsia"/>
        </w:rPr>
        <w:t>本次交易前，天亿马未持有星云开物股权；本次交易完成后，星云开物将成为天亿马的全资子公司，纳入天亿马合并财务报表范围。</w:t>
      </w:r>
    </w:p>
    <w:p w14:paraId="6B3A5D11">
      <w:pPr>
        <w:keepNext/>
        <w:keepLines/>
        <w:adjustRightInd w:val="0"/>
        <w:snapToGrid w:val="0"/>
        <w:spacing w:before="120"/>
        <w:ind w:firstLine="482" w:firstLineChars="0"/>
        <w:jc w:val="both"/>
        <w:outlineLvl w:val="3"/>
        <w:rPr>
          <w:rFonts w:cs="Times New Roman"/>
          <w:b/>
          <w:bCs/>
          <w:kern w:val="2"/>
          <w:szCs w:val="28"/>
          <w:lang w:bidi="ar"/>
        </w:rPr>
      </w:pPr>
      <w:r>
        <w:rPr>
          <w:rFonts w:cs="Times New Roman"/>
          <w:b/>
          <w:bCs/>
          <w:kern w:val="2"/>
          <w:szCs w:val="28"/>
          <w:lang w:bidi="ar"/>
        </w:rPr>
        <w:t>2、发行股份募集配套资金</w:t>
      </w:r>
    </w:p>
    <w:p w14:paraId="6C480349">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本次交易中，上市公司拟向上市公司实际控制人之一</w:t>
      </w:r>
      <w:r>
        <w:rPr>
          <w:rFonts w:hint="eastAsia"/>
        </w:rPr>
        <w:t>马学沛先生</w:t>
      </w:r>
      <w:r>
        <w:rPr>
          <w:rFonts w:hint="eastAsia" w:ascii="宋体" w:hAnsi="宋体"/>
          <w:color w:val="000000" w:themeColor="text1"/>
          <w14:textFill>
            <w14:solidFill>
              <w14:schemeClr w14:val="tx1"/>
            </w14:solidFill>
          </w14:textFill>
        </w:rPr>
        <w:t>发行股份募集配套资金，募集配套资金总额不超过</w:t>
      </w:r>
      <w:r>
        <w:rPr>
          <w:rFonts w:cs="Times New Roman"/>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亿元且不超过本次发行股份购买资产交易价格的</w:t>
      </w:r>
      <w:r>
        <w:rPr>
          <w:rFonts w:cs="Times New Roman"/>
          <w:color w:val="000000" w:themeColor="text1"/>
          <w14:textFill>
            <w14:solidFill>
              <w14:schemeClr w14:val="tx1"/>
            </w14:solidFill>
          </w14:textFill>
        </w:rPr>
        <w:t>100%</w:t>
      </w:r>
      <w:r>
        <w:rPr>
          <w:rFonts w:hint="eastAsia" w:ascii="宋体" w:hAnsi="宋体"/>
          <w:color w:val="000000" w:themeColor="text1"/>
          <w14:textFill>
            <w14:solidFill>
              <w14:schemeClr w14:val="tx1"/>
            </w14:solidFill>
          </w14:textFill>
        </w:rPr>
        <w:t>，且发行股份数量不超过本次募集配套资金股份发行前上市公司总股本的</w:t>
      </w:r>
      <w:r>
        <w:rPr>
          <w:rFonts w:cs="Times New Roman"/>
          <w:color w:val="000000" w:themeColor="text1"/>
          <w14:textFill>
            <w14:solidFill>
              <w14:schemeClr w14:val="tx1"/>
            </w14:solidFill>
          </w14:textFill>
        </w:rPr>
        <w:t>30%</w:t>
      </w:r>
      <w:r>
        <w:rPr>
          <w:rFonts w:hint="eastAsia" w:ascii="宋体" w:hAnsi="宋体"/>
          <w:color w:val="000000" w:themeColor="text1"/>
          <w14:textFill>
            <w14:solidFill>
              <w14:schemeClr w14:val="tx1"/>
            </w14:solidFill>
          </w14:textFill>
        </w:rPr>
        <w:t>，最终发行数量以经深交所审核通过并经中国证监会予以注册的数量为上限。</w:t>
      </w:r>
    </w:p>
    <w:p w14:paraId="13CEF75F">
      <w:pPr>
        <w:adjustRightInd w:val="0"/>
        <w:snapToGrid w:val="0"/>
        <w:spacing w:before="120"/>
        <w:ind w:firstLine="480"/>
        <w:jc w:val="both"/>
        <w:rPr>
          <w:rFonts w:cs="Times New Roman"/>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本次募集配套资金拟用于支付本次交易现金对价、支付本次交易的中介机构费用、相关税费，募集配套资金具体用途及金额将在重组报告书中予以披露。</w:t>
      </w:r>
    </w:p>
    <w:p w14:paraId="69BC6800">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（二）发行股份及支付现金购买资产的具体情况</w:t>
      </w:r>
    </w:p>
    <w:p w14:paraId="70FCCCCE">
      <w:pPr>
        <w:spacing w:before="120"/>
        <w:ind w:firstLine="482"/>
        <w:jc w:val="both"/>
        <w:rPr>
          <w:b/>
          <w:bCs/>
          <w:color w:val="000000" w:themeColor="text1"/>
          <w:lang w:bidi="ar"/>
          <w14:textFill>
            <w14:solidFill>
              <w14:schemeClr w14:val="tx1"/>
            </w14:solidFill>
          </w14:textFill>
        </w:rPr>
      </w:pPr>
      <w:r>
        <w:rPr>
          <w:b/>
          <w:bCs/>
          <w:color w:val="000000" w:themeColor="text1"/>
          <w:lang w:bidi="ar"/>
          <w14:textFill>
            <w14:solidFill>
              <w14:schemeClr w14:val="tx1"/>
            </w14:solidFill>
          </w14:textFill>
        </w:rPr>
        <w:t>1</w:t>
      </w:r>
      <w:r>
        <w:rPr>
          <w:rFonts w:hint="eastAsia"/>
          <w:b/>
          <w:bCs/>
          <w:color w:val="000000" w:themeColor="text1"/>
          <w:lang w:bidi="ar"/>
          <w14:textFill>
            <w14:solidFill>
              <w14:schemeClr w14:val="tx1"/>
            </w14:solidFill>
          </w14:textFill>
        </w:rPr>
        <w:t>、发行股份的种类、面值及上市地点</w:t>
      </w:r>
    </w:p>
    <w:p w14:paraId="4180F657">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本次发行的股份种类为境内上市人民币普通股（A股），每股面值为人民币1.00元，上市地点为深交所。</w:t>
      </w:r>
    </w:p>
    <w:p w14:paraId="076DD752">
      <w:pPr>
        <w:spacing w:before="120"/>
        <w:ind w:firstLine="482"/>
        <w:jc w:val="both"/>
        <w:rPr>
          <w:b/>
          <w:bCs/>
          <w:color w:val="000000" w:themeColor="text1"/>
          <w:lang w:bidi="ar"/>
          <w14:textFill>
            <w14:solidFill>
              <w14:schemeClr w14:val="tx1"/>
            </w14:solidFill>
          </w14:textFill>
        </w:rPr>
      </w:pPr>
      <w:r>
        <w:rPr>
          <w:b/>
          <w:bCs/>
          <w:color w:val="000000" w:themeColor="text1"/>
          <w:lang w:bidi="ar"/>
          <w14:textFill>
            <w14:solidFill>
              <w14:schemeClr w14:val="tx1"/>
            </w14:solidFill>
          </w14:textFill>
        </w:rPr>
        <w:t>2</w:t>
      </w:r>
      <w:r>
        <w:rPr>
          <w:rFonts w:hint="eastAsia"/>
          <w:b/>
          <w:bCs/>
          <w:color w:val="000000" w:themeColor="text1"/>
          <w:lang w:bidi="ar"/>
          <w14:textFill>
            <w14:solidFill>
              <w14:schemeClr w14:val="tx1"/>
            </w14:solidFill>
          </w14:textFill>
        </w:rPr>
        <w:t>、发行方式及发行对象</w:t>
      </w:r>
    </w:p>
    <w:p w14:paraId="463A8074">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本次交易的发行方式为向特定对象发行股票，发行股份的对象为</w:t>
      </w:r>
      <w:r>
        <w:rPr>
          <w:rFonts w:hint="eastAsia"/>
        </w:rPr>
        <w:t>陈耿豪等22</w:t>
      </w:r>
      <w:r>
        <w:rPr>
          <w:rFonts w:hint="eastAsia"/>
          <w:color w:val="000000" w:themeColor="text1"/>
          <w14:textFill>
            <w14:solidFill>
              <w14:schemeClr w14:val="tx1"/>
            </w14:solidFill>
          </w14:textFill>
        </w:rPr>
        <w:t>名对象中的全部或部分交易对方。</w:t>
      </w:r>
    </w:p>
    <w:p w14:paraId="5932EF73">
      <w:pPr>
        <w:spacing w:before="120"/>
        <w:ind w:firstLine="482"/>
        <w:jc w:val="both"/>
        <w:rPr>
          <w:b/>
          <w:bCs/>
          <w:color w:val="000000" w:themeColor="text1"/>
          <w:lang w:bidi="ar"/>
          <w14:textFill>
            <w14:solidFill>
              <w14:schemeClr w14:val="tx1"/>
            </w14:solidFill>
          </w14:textFill>
        </w:rPr>
      </w:pPr>
      <w:r>
        <w:rPr>
          <w:b/>
          <w:bCs/>
          <w:color w:val="000000" w:themeColor="text1"/>
          <w:lang w:bidi="ar"/>
          <w14:textFill>
            <w14:solidFill>
              <w14:schemeClr w14:val="tx1"/>
            </w14:solidFill>
          </w14:textFill>
        </w:rPr>
        <w:t>3</w:t>
      </w:r>
      <w:r>
        <w:rPr>
          <w:rFonts w:hint="eastAsia"/>
          <w:b/>
          <w:bCs/>
          <w:color w:val="000000" w:themeColor="text1"/>
          <w:lang w:bidi="ar"/>
          <w14:textFill>
            <w14:solidFill>
              <w14:schemeClr w14:val="tx1"/>
            </w14:solidFill>
          </w14:textFill>
        </w:rPr>
        <w:t>、定价基准日及发行价格</w:t>
      </w:r>
    </w:p>
    <w:p w14:paraId="704C5758">
      <w:pPr>
        <w:spacing w:before="120"/>
        <w:ind w:firstLine="482"/>
        <w:jc w:val="both"/>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w:t>
      </w:r>
      <w:r>
        <w:rPr>
          <w:b/>
          <w:bCs/>
          <w:color w:val="000000" w:themeColor="text1"/>
          <w:lang w:bidi="ar"/>
          <w14:textFill>
            <w14:solidFill>
              <w14:schemeClr w14:val="tx1"/>
            </w14:solidFill>
          </w14:textFill>
        </w:rPr>
        <w:t>1</w:t>
      </w:r>
      <w:r>
        <w:rPr>
          <w:rFonts w:hint="eastAsia"/>
          <w:b/>
          <w:bCs/>
          <w:color w:val="000000" w:themeColor="text1"/>
          <w:lang w:bidi="ar"/>
          <w14:textFill>
            <w14:solidFill>
              <w14:schemeClr w14:val="tx1"/>
            </w14:solidFill>
          </w14:textFill>
        </w:rPr>
        <w:t>）定价基准日</w:t>
      </w:r>
    </w:p>
    <w:p w14:paraId="02F9AD99">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本次交易中，发行股份及支付现金购买资产的定价基准日为上市公司审议本次交易相关事项的第三届董事会第三十二次会议决议公告日。</w:t>
      </w:r>
    </w:p>
    <w:p w14:paraId="4110F163">
      <w:pPr>
        <w:spacing w:before="120"/>
        <w:ind w:firstLine="482"/>
        <w:jc w:val="both"/>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w:t>
      </w:r>
      <w:r>
        <w:rPr>
          <w:b/>
          <w:bCs/>
          <w:color w:val="000000" w:themeColor="text1"/>
          <w:lang w:bidi="ar"/>
          <w14:textFill>
            <w14:solidFill>
              <w14:schemeClr w14:val="tx1"/>
            </w14:solidFill>
          </w14:textFill>
        </w:rPr>
        <w:t>2</w:t>
      </w:r>
      <w:r>
        <w:rPr>
          <w:rFonts w:hint="eastAsia"/>
          <w:b/>
          <w:bCs/>
          <w:color w:val="000000" w:themeColor="text1"/>
          <w:lang w:bidi="ar"/>
          <w14:textFill>
            <w14:solidFill>
              <w14:schemeClr w14:val="tx1"/>
            </w14:solidFill>
          </w14:textFill>
        </w:rPr>
        <w:t>）发行价格</w:t>
      </w:r>
    </w:p>
    <w:p w14:paraId="72D93ABF">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根据《重组管理办法》《持续监管办法》相关规定：上市公司发行股份的价格不得低于市场参考价的80%。市场参考价为本次交易的董事会决议公告日前20个交易日、60个交易日或者120个交易日的公司股票交易均价之一。定价基准日前若干个交易日公司股票交易均价＝定价基准日前若干个交易日公司股票交易总额/定价基准日前若干个交易日公司股票交易总量。</w:t>
      </w:r>
    </w:p>
    <w:p w14:paraId="372FEB68">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上市公司定价基准日前20个交易日、60个交易日、120个交易日股票交易均价具体情况如下表所示：</w:t>
      </w:r>
    </w:p>
    <w:tbl>
      <w:tblPr>
        <w:tblStyle w:val="76"/>
        <w:tblW w:w="499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Layout w:type="autofit"/>
        <w:tblCellMar>
          <w:top w:w="0" w:type="dxa"/>
          <w:left w:w="0" w:type="dxa"/>
          <w:bottom w:w="0" w:type="dxa"/>
          <w:right w:w="0" w:type="dxa"/>
        </w:tblCellMar>
      </w:tblPr>
      <w:tblGrid>
        <w:gridCol w:w="2803"/>
        <w:gridCol w:w="2378"/>
        <w:gridCol w:w="3229"/>
      </w:tblGrid>
      <w:tr w14:paraId="0D4F7C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0" w:type="dxa"/>
            <w:bottom w:w="0" w:type="dxa"/>
            <w:right w:w="0" w:type="dxa"/>
          </w:tblCellMar>
        </w:tblPrEx>
        <w:trPr>
          <w:trHeight w:val="397" w:hRule="atLeast"/>
        </w:trPr>
        <w:tc>
          <w:tcPr>
            <w:tcW w:w="1666" w:type="pct"/>
            <w:tcBorders>
              <w:tl2br w:val="nil"/>
              <w:tr2bl w:val="nil"/>
            </w:tcBorders>
            <w:shd w:val="clear" w:color="auto" w:fill="FFFFFF"/>
            <w:tcMar>
              <w:top w:w="50" w:type="dxa"/>
              <w:left w:w="50" w:type="dxa"/>
              <w:bottom w:w="50" w:type="dxa"/>
              <w:right w:w="50" w:type="dxa"/>
            </w:tcMar>
            <w:vAlign w:val="center"/>
          </w:tcPr>
          <w:p w14:paraId="65B6973D">
            <w:pPr>
              <w:spacing w:before="0" w:beforeLines="0" w:line="240" w:lineRule="auto"/>
              <w:ind w:firstLine="0" w:firstLineChars="0"/>
              <w:jc w:val="center"/>
              <w:rPr>
                <w:b/>
                <w:bCs/>
                <w:color w:val="000000" w:themeColor="text1"/>
                <w:sz w:val="21"/>
                <w:szCs w:val="21"/>
                <w:lang w:bidi="ar"/>
                <w14:textFill>
                  <w14:solidFill>
                    <w14:schemeClr w14:val="tx1"/>
                  </w14:solidFill>
                </w14:textFill>
              </w:rPr>
            </w:pPr>
            <w:r>
              <w:rPr>
                <w:rFonts w:hint="eastAsia"/>
                <w:b/>
                <w:bCs/>
                <w:color w:val="000000" w:themeColor="text1"/>
                <w:sz w:val="21"/>
                <w:szCs w:val="21"/>
                <w:lang w:bidi="ar"/>
                <w14:textFill>
                  <w14:solidFill>
                    <w14:schemeClr w14:val="tx1"/>
                  </w14:solidFill>
                </w14:textFill>
              </w:rPr>
              <w:t>股票交易均价计算区间</w:t>
            </w:r>
          </w:p>
        </w:tc>
        <w:tc>
          <w:tcPr>
            <w:tcW w:w="1413" w:type="pct"/>
            <w:tcBorders>
              <w:tl2br w:val="nil"/>
              <w:tr2bl w:val="nil"/>
            </w:tcBorders>
            <w:shd w:val="clear" w:color="auto" w:fill="FFFFFF"/>
            <w:tcMar>
              <w:top w:w="50" w:type="dxa"/>
              <w:left w:w="50" w:type="dxa"/>
              <w:bottom w:w="50" w:type="dxa"/>
              <w:right w:w="50" w:type="dxa"/>
            </w:tcMar>
            <w:vAlign w:val="center"/>
          </w:tcPr>
          <w:p w14:paraId="24EB537B">
            <w:pPr>
              <w:spacing w:before="0" w:beforeLines="0" w:line="240" w:lineRule="auto"/>
              <w:ind w:firstLine="0" w:firstLineChars="0"/>
              <w:jc w:val="center"/>
              <w:rPr>
                <w:b/>
                <w:bCs/>
                <w:color w:val="000000" w:themeColor="text1"/>
                <w:sz w:val="21"/>
                <w:szCs w:val="21"/>
                <w:lang w:bidi="ar"/>
                <w14:textFill>
                  <w14:solidFill>
                    <w14:schemeClr w14:val="tx1"/>
                  </w14:solidFill>
                </w14:textFill>
              </w:rPr>
            </w:pPr>
            <w:r>
              <w:rPr>
                <w:rFonts w:hint="eastAsia"/>
                <w:b/>
                <w:bCs/>
                <w:color w:val="000000" w:themeColor="text1"/>
                <w:sz w:val="21"/>
                <w:szCs w:val="21"/>
                <w:lang w:bidi="ar"/>
                <w14:textFill>
                  <w14:solidFill>
                    <w14:schemeClr w14:val="tx1"/>
                  </w14:solidFill>
                </w14:textFill>
              </w:rPr>
              <w:t>交易均价（元</w:t>
            </w:r>
            <w:r>
              <w:rPr>
                <w:b/>
                <w:bCs/>
                <w:color w:val="000000" w:themeColor="text1"/>
                <w:sz w:val="21"/>
                <w:szCs w:val="21"/>
                <w:lang w:bidi="ar"/>
                <w14:textFill>
                  <w14:solidFill>
                    <w14:schemeClr w14:val="tx1"/>
                  </w14:solidFill>
                </w14:textFill>
              </w:rPr>
              <w:t>/</w:t>
            </w:r>
            <w:r>
              <w:rPr>
                <w:rFonts w:hint="eastAsia"/>
                <w:b/>
                <w:bCs/>
                <w:color w:val="000000" w:themeColor="text1"/>
                <w:sz w:val="21"/>
                <w:szCs w:val="21"/>
                <w:lang w:bidi="ar"/>
                <w14:textFill>
                  <w14:solidFill>
                    <w14:schemeClr w14:val="tx1"/>
                  </w14:solidFill>
                </w14:textFill>
              </w:rPr>
              <w:t>股）</w:t>
            </w:r>
          </w:p>
        </w:tc>
        <w:tc>
          <w:tcPr>
            <w:tcW w:w="1919" w:type="pct"/>
            <w:tcBorders>
              <w:tl2br w:val="nil"/>
              <w:tr2bl w:val="nil"/>
            </w:tcBorders>
            <w:shd w:val="clear" w:color="auto" w:fill="FFFFFF"/>
            <w:tcMar>
              <w:top w:w="50" w:type="dxa"/>
              <w:left w:w="50" w:type="dxa"/>
              <w:bottom w:w="50" w:type="dxa"/>
              <w:right w:w="50" w:type="dxa"/>
            </w:tcMar>
            <w:vAlign w:val="center"/>
          </w:tcPr>
          <w:p w14:paraId="53F23592">
            <w:pPr>
              <w:spacing w:before="0" w:beforeLines="0" w:line="240" w:lineRule="auto"/>
              <w:ind w:firstLine="0" w:firstLineChars="0"/>
              <w:jc w:val="center"/>
              <w:rPr>
                <w:b/>
                <w:bCs/>
                <w:color w:val="000000" w:themeColor="text1"/>
                <w:sz w:val="21"/>
                <w:szCs w:val="21"/>
                <w:lang w:bidi="ar"/>
                <w14:textFill>
                  <w14:solidFill>
                    <w14:schemeClr w14:val="tx1"/>
                  </w14:solidFill>
                </w14:textFill>
              </w:rPr>
            </w:pPr>
            <w:r>
              <w:rPr>
                <w:rFonts w:hint="eastAsia"/>
                <w:b/>
                <w:bCs/>
                <w:color w:val="000000" w:themeColor="text1"/>
                <w:sz w:val="21"/>
                <w:szCs w:val="21"/>
                <w:lang w:bidi="ar"/>
                <w14:textFill>
                  <w14:solidFill>
                    <w14:schemeClr w14:val="tx1"/>
                  </w14:solidFill>
                </w14:textFill>
              </w:rPr>
              <w:t>交易均价的8</w:t>
            </w:r>
            <w:r>
              <w:rPr>
                <w:b/>
                <w:bCs/>
                <w:color w:val="000000" w:themeColor="text1"/>
                <w:sz w:val="21"/>
                <w:szCs w:val="21"/>
                <w:lang w:bidi="ar"/>
                <w14:textFill>
                  <w14:solidFill>
                    <w14:schemeClr w14:val="tx1"/>
                  </w14:solidFill>
                </w14:textFill>
              </w:rPr>
              <w:t>0%</w:t>
            </w:r>
            <w:r>
              <w:rPr>
                <w:rFonts w:hint="eastAsia"/>
                <w:b/>
                <w:bCs/>
                <w:color w:val="000000" w:themeColor="text1"/>
                <w:sz w:val="21"/>
                <w:szCs w:val="21"/>
                <w:lang w:bidi="ar"/>
                <w14:textFill>
                  <w14:solidFill>
                    <w14:schemeClr w14:val="tx1"/>
                  </w14:solidFill>
                </w14:textFill>
              </w:rPr>
              <w:t>（元</w:t>
            </w:r>
            <w:r>
              <w:rPr>
                <w:b/>
                <w:bCs/>
                <w:color w:val="000000" w:themeColor="text1"/>
                <w:sz w:val="21"/>
                <w:szCs w:val="21"/>
                <w:lang w:bidi="ar"/>
                <w14:textFill>
                  <w14:solidFill>
                    <w14:schemeClr w14:val="tx1"/>
                  </w14:solidFill>
                </w14:textFill>
              </w:rPr>
              <w:t>/</w:t>
            </w:r>
            <w:r>
              <w:rPr>
                <w:rFonts w:hint="eastAsia"/>
                <w:b/>
                <w:bCs/>
                <w:color w:val="000000" w:themeColor="text1"/>
                <w:sz w:val="21"/>
                <w:szCs w:val="21"/>
                <w:lang w:bidi="ar"/>
                <w14:textFill>
                  <w14:solidFill>
                    <w14:schemeClr w14:val="tx1"/>
                  </w14:solidFill>
                </w14:textFill>
              </w:rPr>
              <w:t>股）</w:t>
            </w:r>
          </w:p>
        </w:tc>
      </w:tr>
      <w:tr w14:paraId="554065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1666" w:type="pct"/>
            <w:tcBorders>
              <w:tl2br w:val="nil"/>
              <w:tr2bl w:val="nil"/>
            </w:tcBorders>
            <w:shd w:val="clear" w:color="auto" w:fill="FFFFFF"/>
            <w:tcMar>
              <w:top w:w="50" w:type="dxa"/>
              <w:left w:w="50" w:type="dxa"/>
              <w:bottom w:w="50" w:type="dxa"/>
              <w:right w:w="50" w:type="dxa"/>
            </w:tcMar>
            <w:vAlign w:val="center"/>
          </w:tcPr>
          <w:p w14:paraId="221CA5F5">
            <w:pPr>
              <w:spacing w:before="0" w:beforeLines="0" w:line="240" w:lineRule="auto"/>
              <w:ind w:firstLine="0" w:firstLineChars="0"/>
              <w:jc w:val="center"/>
              <w:rPr>
                <w:color w:val="000000" w:themeColor="text1"/>
                <w:sz w:val="21"/>
                <w:szCs w:val="21"/>
                <w:lang w:bidi="ar"/>
                <w14:textFill>
                  <w14:solidFill>
                    <w14:schemeClr w14:val="tx1"/>
                  </w14:solidFill>
                </w14:textFill>
              </w:rPr>
            </w:pPr>
            <w:r>
              <w:rPr>
                <w:color w:val="000000" w:themeColor="text1"/>
                <w:sz w:val="21"/>
                <w:szCs w:val="21"/>
                <w:lang w:bidi="ar"/>
                <w14:textFill>
                  <w14:solidFill>
                    <w14:schemeClr w14:val="tx1"/>
                  </w14:solidFill>
                </w14:textFill>
              </w:rPr>
              <w:t>20</w:t>
            </w:r>
            <w:r>
              <w:rPr>
                <w:rFonts w:hint="eastAsia"/>
                <w:color w:val="000000" w:themeColor="text1"/>
                <w:sz w:val="21"/>
                <w:szCs w:val="21"/>
                <w:lang w:bidi="ar"/>
                <w14:textFill>
                  <w14:solidFill>
                    <w14:schemeClr w14:val="tx1"/>
                  </w14:solidFill>
                </w14:textFill>
              </w:rPr>
              <w:t>个交易日</w:t>
            </w:r>
          </w:p>
        </w:tc>
        <w:tc>
          <w:tcPr>
            <w:tcW w:w="2341" w:type="dxa"/>
            <w:tcBorders>
              <w:tl2br w:val="nil"/>
              <w:tr2bl w:val="nil"/>
            </w:tcBorders>
            <w:shd w:val="clear" w:color="auto" w:fill="FFFFFF"/>
            <w:tcMar>
              <w:top w:w="50" w:type="dxa"/>
              <w:left w:w="50" w:type="dxa"/>
              <w:bottom w:w="50" w:type="dxa"/>
              <w:right w:w="50" w:type="dxa"/>
            </w:tcMar>
            <w:vAlign w:val="center"/>
          </w:tcPr>
          <w:p w14:paraId="69EB64B8">
            <w:pPr>
              <w:widowControl/>
              <w:spacing w:before="0" w:beforeLines="0" w:line="240" w:lineRule="auto"/>
              <w:ind w:firstLine="0" w:firstLineChars="0"/>
              <w:jc w:val="right"/>
              <w:textAlignment w:val="center"/>
              <w:rPr>
                <w:color w:val="000000" w:themeColor="text1"/>
                <w:sz w:val="21"/>
                <w:szCs w:val="21"/>
                <w:lang w:bidi="ar"/>
                <w14:textFill>
                  <w14:solidFill>
                    <w14:schemeClr w14:val="tx1"/>
                  </w14:solidFill>
                </w14:textFill>
              </w:rPr>
            </w:pPr>
            <w:r>
              <w:rPr>
                <w:rFonts w:hint="eastAsia" w:cs="Times New Roman"/>
                <w:color w:val="000000"/>
                <w:sz w:val="21"/>
                <w:szCs w:val="21"/>
                <w:lang w:bidi="ar"/>
              </w:rPr>
              <w:t>40.91</w:t>
            </w:r>
          </w:p>
        </w:tc>
        <w:tc>
          <w:tcPr>
            <w:tcW w:w="3179" w:type="dxa"/>
            <w:tcBorders>
              <w:tl2br w:val="nil"/>
              <w:tr2bl w:val="nil"/>
            </w:tcBorders>
            <w:shd w:val="clear" w:color="auto" w:fill="FFFFFF"/>
            <w:tcMar>
              <w:top w:w="50" w:type="dxa"/>
              <w:left w:w="50" w:type="dxa"/>
              <w:bottom w:w="50" w:type="dxa"/>
              <w:right w:w="50" w:type="dxa"/>
            </w:tcMar>
            <w:vAlign w:val="center"/>
          </w:tcPr>
          <w:p w14:paraId="7242E8DE">
            <w:pPr>
              <w:widowControl/>
              <w:spacing w:before="0" w:beforeLines="0" w:line="240" w:lineRule="auto"/>
              <w:ind w:firstLine="0" w:firstLineChars="0"/>
              <w:jc w:val="right"/>
              <w:textAlignment w:val="center"/>
              <w:rPr>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32.74</w:t>
            </w:r>
          </w:p>
        </w:tc>
      </w:tr>
      <w:tr w14:paraId="12A3A2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0" w:type="dxa"/>
            <w:bottom w:w="0" w:type="dxa"/>
            <w:right w:w="0" w:type="dxa"/>
          </w:tblCellMar>
        </w:tblPrEx>
        <w:trPr>
          <w:trHeight w:val="397" w:hRule="atLeast"/>
        </w:trPr>
        <w:tc>
          <w:tcPr>
            <w:tcW w:w="1666" w:type="pct"/>
            <w:tcBorders>
              <w:tl2br w:val="nil"/>
              <w:tr2bl w:val="nil"/>
            </w:tcBorders>
            <w:shd w:val="clear" w:color="auto" w:fill="FFFFFF"/>
            <w:tcMar>
              <w:top w:w="50" w:type="dxa"/>
              <w:left w:w="50" w:type="dxa"/>
              <w:bottom w:w="50" w:type="dxa"/>
              <w:right w:w="50" w:type="dxa"/>
            </w:tcMar>
            <w:vAlign w:val="center"/>
          </w:tcPr>
          <w:p w14:paraId="64B3FF57">
            <w:pPr>
              <w:spacing w:before="0" w:beforeLines="0" w:line="240" w:lineRule="auto"/>
              <w:ind w:firstLine="0" w:firstLineChars="0"/>
              <w:jc w:val="center"/>
              <w:rPr>
                <w:color w:val="000000" w:themeColor="text1"/>
                <w:sz w:val="21"/>
                <w:szCs w:val="21"/>
                <w:lang w:bidi="ar"/>
                <w14:textFill>
                  <w14:solidFill>
                    <w14:schemeClr w14:val="tx1"/>
                  </w14:solidFill>
                </w14:textFill>
              </w:rPr>
            </w:pPr>
            <w:r>
              <w:rPr>
                <w:color w:val="000000" w:themeColor="text1"/>
                <w:sz w:val="21"/>
                <w:szCs w:val="21"/>
                <w:lang w:bidi="ar"/>
                <w14:textFill>
                  <w14:solidFill>
                    <w14:schemeClr w14:val="tx1"/>
                  </w14:solidFill>
                </w14:textFill>
              </w:rPr>
              <w:t>60</w:t>
            </w:r>
            <w:r>
              <w:rPr>
                <w:rFonts w:hint="eastAsia"/>
                <w:color w:val="000000" w:themeColor="text1"/>
                <w:sz w:val="21"/>
                <w:szCs w:val="21"/>
                <w:lang w:bidi="ar"/>
                <w14:textFill>
                  <w14:solidFill>
                    <w14:schemeClr w14:val="tx1"/>
                  </w14:solidFill>
                </w14:textFill>
              </w:rPr>
              <w:t>个交易日</w:t>
            </w:r>
          </w:p>
        </w:tc>
        <w:tc>
          <w:tcPr>
            <w:tcW w:w="2341" w:type="dxa"/>
            <w:tcBorders>
              <w:tl2br w:val="nil"/>
              <w:tr2bl w:val="nil"/>
            </w:tcBorders>
            <w:shd w:val="clear" w:color="auto" w:fill="FFFFFF"/>
            <w:tcMar>
              <w:top w:w="50" w:type="dxa"/>
              <w:left w:w="50" w:type="dxa"/>
              <w:bottom w:w="50" w:type="dxa"/>
              <w:right w:w="50" w:type="dxa"/>
            </w:tcMar>
            <w:vAlign w:val="center"/>
          </w:tcPr>
          <w:p w14:paraId="31FAFC5C">
            <w:pPr>
              <w:widowControl/>
              <w:spacing w:before="0" w:beforeLines="0" w:line="240" w:lineRule="auto"/>
              <w:ind w:firstLine="0" w:firstLineChars="0"/>
              <w:jc w:val="right"/>
              <w:textAlignment w:val="center"/>
              <w:rPr>
                <w:color w:val="000000" w:themeColor="text1"/>
                <w:sz w:val="21"/>
                <w:szCs w:val="21"/>
                <w:lang w:bidi="ar"/>
                <w14:textFill>
                  <w14:solidFill>
                    <w14:schemeClr w14:val="tx1"/>
                  </w14:solidFill>
                </w14:textFill>
              </w:rPr>
            </w:pPr>
            <w:r>
              <w:rPr>
                <w:rFonts w:hint="eastAsia" w:cs="Times New Roman"/>
                <w:color w:val="000000"/>
                <w:sz w:val="21"/>
                <w:szCs w:val="21"/>
                <w:lang w:bidi="ar"/>
              </w:rPr>
              <w:t>36.39</w:t>
            </w:r>
          </w:p>
        </w:tc>
        <w:tc>
          <w:tcPr>
            <w:tcW w:w="3179" w:type="dxa"/>
            <w:tcBorders>
              <w:tl2br w:val="nil"/>
              <w:tr2bl w:val="nil"/>
            </w:tcBorders>
            <w:shd w:val="clear" w:color="auto" w:fill="FFFFFF"/>
            <w:tcMar>
              <w:top w:w="50" w:type="dxa"/>
              <w:left w:w="50" w:type="dxa"/>
              <w:bottom w:w="50" w:type="dxa"/>
              <w:right w:w="50" w:type="dxa"/>
            </w:tcMar>
            <w:vAlign w:val="center"/>
          </w:tcPr>
          <w:p w14:paraId="1C492F64">
            <w:pPr>
              <w:widowControl/>
              <w:spacing w:before="0" w:beforeLines="0" w:line="240" w:lineRule="auto"/>
              <w:ind w:firstLine="0" w:firstLineChars="0"/>
              <w:jc w:val="right"/>
              <w:textAlignment w:val="center"/>
              <w:rPr>
                <w:color w:val="000000" w:themeColor="text1"/>
                <w:sz w:val="21"/>
                <w:szCs w:val="21"/>
                <w:lang w:bidi="ar"/>
                <w14:textFill>
                  <w14:solidFill>
                    <w14:schemeClr w14:val="tx1"/>
                  </w14:solidFill>
                </w14:textFill>
              </w:rPr>
            </w:pPr>
            <w:r>
              <w:rPr>
                <w:rFonts w:hint="eastAsia" w:cs="Times New Roman"/>
                <w:color w:val="000000"/>
                <w:sz w:val="21"/>
                <w:szCs w:val="21"/>
                <w:lang w:bidi="ar"/>
              </w:rPr>
              <w:t>29.12</w:t>
            </w:r>
          </w:p>
        </w:tc>
      </w:tr>
      <w:tr w14:paraId="6750D4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blCellMar>
            <w:top w:w="0" w:type="dxa"/>
            <w:left w:w="0" w:type="dxa"/>
            <w:bottom w:w="0" w:type="dxa"/>
            <w:right w:w="0" w:type="dxa"/>
          </w:tblCellMar>
        </w:tblPrEx>
        <w:trPr>
          <w:trHeight w:val="397" w:hRule="atLeast"/>
        </w:trPr>
        <w:tc>
          <w:tcPr>
            <w:tcW w:w="1666" w:type="pct"/>
            <w:tcBorders>
              <w:tl2br w:val="nil"/>
              <w:tr2bl w:val="nil"/>
            </w:tcBorders>
            <w:shd w:val="clear" w:color="auto" w:fill="FFFFFF"/>
            <w:tcMar>
              <w:top w:w="50" w:type="dxa"/>
              <w:left w:w="50" w:type="dxa"/>
              <w:bottom w:w="50" w:type="dxa"/>
              <w:right w:w="50" w:type="dxa"/>
            </w:tcMar>
            <w:vAlign w:val="center"/>
          </w:tcPr>
          <w:p w14:paraId="07E2FD42">
            <w:pPr>
              <w:spacing w:before="0" w:beforeLines="0" w:line="240" w:lineRule="auto"/>
              <w:ind w:firstLine="0" w:firstLineChars="0"/>
              <w:jc w:val="center"/>
              <w:rPr>
                <w:color w:val="000000" w:themeColor="text1"/>
                <w:sz w:val="21"/>
                <w:szCs w:val="21"/>
                <w:lang w:bidi="ar"/>
                <w14:textFill>
                  <w14:solidFill>
                    <w14:schemeClr w14:val="tx1"/>
                  </w14:solidFill>
                </w14:textFill>
              </w:rPr>
            </w:pPr>
            <w:r>
              <w:rPr>
                <w:color w:val="000000" w:themeColor="text1"/>
                <w:sz w:val="21"/>
                <w:szCs w:val="21"/>
                <w:lang w:bidi="ar"/>
                <w14:textFill>
                  <w14:solidFill>
                    <w14:schemeClr w14:val="tx1"/>
                  </w14:solidFill>
                </w14:textFill>
              </w:rPr>
              <w:t>120</w:t>
            </w:r>
            <w:r>
              <w:rPr>
                <w:rFonts w:hint="eastAsia"/>
                <w:color w:val="000000" w:themeColor="text1"/>
                <w:sz w:val="21"/>
                <w:szCs w:val="21"/>
                <w:lang w:bidi="ar"/>
                <w14:textFill>
                  <w14:solidFill>
                    <w14:schemeClr w14:val="tx1"/>
                  </w14:solidFill>
                </w14:textFill>
              </w:rPr>
              <w:t>个交易日</w:t>
            </w:r>
          </w:p>
        </w:tc>
        <w:tc>
          <w:tcPr>
            <w:tcW w:w="2341" w:type="dxa"/>
            <w:tcBorders>
              <w:tl2br w:val="nil"/>
              <w:tr2bl w:val="nil"/>
            </w:tcBorders>
            <w:shd w:val="clear" w:color="auto" w:fill="FFFFFF"/>
            <w:tcMar>
              <w:top w:w="50" w:type="dxa"/>
              <w:left w:w="50" w:type="dxa"/>
              <w:bottom w:w="50" w:type="dxa"/>
              <w:right w:w="50" w:type="dxa"/>
            </w:tcMar>
            <w:vAlign w:val="center"/>
          </w:tcPr>
          <w:p w14:paraId="1BB4A5EF">
            <w:pPr>
              <w:widowControl/>
              <w:spacing w:before="0" w:beforeLines="0" w:line="240" w:lineRule="auto"/>
              <w:ind w:firstLine="0" w:firstLineChars="0"/>
              <w:jc w:val="right"/>
              <w:textAlignment w:val="center"/>
              <w:rPr>
                <w:color w:val="000000" w:themeColor="text1"/>
                <w:sz w:val="21"/>
                <w:szCs w:val="21"/>
                <w:lang w:bidi="ar"/>
                <w14:textFill>
                  <w14:solidFill>
                    <w14:schemeClr w14:val="tx1"/>
                  </w14:solidFill>
                </w14:textFill>
              </w:rPr>
            </w:pPr>
            <w:r>
              <w:rPr>
                <w:rFonts w:hint="eastAsia" w:cs="Times New Roman"/>
                <w:color w:val="000000"/>
                <w:sz w:val="21"/>
                <w:szCs w:val="21"/>
                <w:lang w:bidi="ar"/>
              </w:rPr>
              <w:t>33.45</w:t>
            </w:r>
          </w:p>
        </w:tc>
        <w:tc>
          <w:tcPr>
            <w:tcW w:w="3179" w:type="dxa"/>
            <w:tcBorders>
              <w:tl2br w:val="nil"/>
              <w:tr2bl w:val="nil"/>
            </w:tcBorders>
            <w:shd w:val="clear" w:color="auto" w:fill="FFFFFF"/>
            <w:tcMar>
              <w:top w:w="50" w:type="dxa"/>
              <w:left w:w="50" w:type="dxa"/>
              <w:bottom w:w="50" w:type="dxa"/>
              <w:right w:w="50" w:type="dxa"/>
            </w:tcMar>
            <w:vAlign w:val="center"/>
          </w:tcPr>
          <w:p w14:paraId="0157F255">
            <w:pPr>
              <w:widowControl/>
              <w:spacing w:before="0" w:beforeLines="0" w:line="240" w:lineRule="auto"/>
              <w:ind w:firstLine="0" w:firstLineChars="0"/>
              <w:jc w:val="right"/>
              <w:textAlignment w:val="center"/>
              <w:rPr>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26.76</w:t>
            </w:r>
          </w:p>
        </w:tc>
      </w:tr>
    </w:tbl>
    <w:p w14:paraId="5AF6DDA9">
      <w:pPr>
        <w:spacing w:before="0" w:beforeLines="0" w:line="240" w:lineRule="auto"/>
        <w:ind w:firstLine="0" w:firstLineChars="0"/>
        <w:jc w:val="both"/>
        <w:rPr>
          <w:color w:val="000000" w:themeColor="text1"/>
          <w:sz w:val="21"/>
          <w:szCs w:val="21"/>
          <w:lang w:bidi="ar"/>
          <w14:textFill>
            <w14:solidFill>
              <w14:schemeClr w14:val="tx1"/>
            </w14:solidFill>
          </w14:textFill>
        </w:rPr>
      </w:pPr>
      <w:r>
        <w:rPr>
          <w:rFonts w:hint="eastAsia"/>
          <w:color w:val="000000" w:themeColor="text1"/>
          <w:sz w:val="21"/>
          <w:szCs w:val="21"/>
          <w:lang w:bidi="ar"/>
          <w14:textFill>
            <w14:solidFill>
              <w14:schemeClr w14:val="tx1"/>
            </w14:solidFill>
          </w14:textFill>
        </w:rPr>
        <w:t>注：交易均价的80%在计算时均保留两位小数且向上取整。</w:t>
      </w:r>
    </w:p>
    <w:p w14:paraId="0875E5C6">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经交易各方商议决定，本次发行股份购买资产的发行价格选择本次重组首次董事会决议公告日前120个交易日股票交易均价作为市场参考价，最终确定为26.76元/股，发行价格不低于市场参考价的80%。</w:t>
      </w:r>
    </w:p>
    <w:p w14:paraId="4A40EB9B">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在上述定价基准日至发行日期间，若上市公司发生派发股利、送红股、转增股本、增发新股或配股等除权、除息行为，将按照中国证监会及深交所的相关规则对上述发行价格作相应调整。</w:t>
      </w:r>
    </w:p>
    <w:p w14:paraId="22273BB6">
      <w:pPr>
        <w:spacing w:before="120"/>
        <w:ind w:firstLine="482"/>
        <w:jc w:val="both"/>
        <w:rPr>
          <w:b/>
          <w:bCs/>
          <w:color w:val="000000" w:themeColor="text1"/>
          <w:lang w:bidi="ar"/>
          <w14:textFill>
            <w14:solidFill>
              <w14:schemeClr w14:val="tx1"/>
            </w14:solidFill>
          </w14:textFill>
        </w:rPr>
      </w:pPr>
      <w:r>
        <w:rPr>
          <w:b/>
          <w:bCs/>
          <w:color w:val="000000" w:themeColor="text1"/>
          <w:lang w:bidi="ar"/>
          <w14:textFill>
            <w14:solidFill>
              <w14:schemeClr w14:val="tx1"/>
            </w14:solidFill>
          </w14:textFill>
        </w:rPr>
        <w:t>4</w:t>
      </w:r>
      <w:r>
        <w:rPr>
          <w:rFonts w:hint="eastAsia"/>
          <w:b/>
          <w:bCs/>
          <w:color w:val="000000" w:themeColor="text1"/>
          <w:lang w:bidi="ar"/>
          <w14:textFill>
            <w14:solidFill>
              <w14:schemeClr w14:val="tx1"/>
            </w14:solidFill>
          </w14:textFill>
        </w:rPr>
        <w:t>、发行股份数量</w:t>
      </w:r>
    </w:p>
    <w:p w14:paraId="6CF826A5">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本次发行股份及支付现金购买资产的具体发行数量将由下列公式计算：</w:t>
      </w:r>
    </w:p>
    <w:p w14:paraId="0A1680D2">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向各交易对方发行股份数量=广东天亿马信息产业股份有限公司以发行股份方式向各交易对方支付的标的资产对价金额÷本次发行价格（如有调价，则按调整后确定的发行价格）（不足一股的舍去尾数取整；单位：股）</w:t>
      </w:r>
    </w:p>
    <w:p w14:paraId="4F0E7BF0">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发行股份总数量=向各交易对方发行股份数量之和。</w:t>
      </w:r>
    </w:p>
    <w:p w14:paraId="0AC28E45">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最终发行股份数量将根据最终交易对价进行调整，以上市公司股东会批准，并经深交所审核通过以及中国证监会同意注册的发行股份数量为准。在本次公司发行股份及支付现金购买资产定价基准日至发行完成期间，上市公司如有派息、送红股、转增股本或配股等除权、除息事项的，发行数量将根据发行价格的调整情况进行相应调整。</w:t>
      </w:r>
    </w:p>
    <w:p w14:paraId="6BB3171F">
      <w:pPr>
        <w:spacing w:before="120"/>
        <w:ind w:firstLine="482"/>
        <w:jc w:val="both"/>
        <w:rPr>
          <w:b/>
          <w:bCs/>
          <w:color w:val="000000" w:themeColor="text1"/>
          <w:lang w:bidi="ar"/>
          <w14:textFill>
            <w14:solidFill>
              <w14:schemeClr w14:val="tx1"/>
            </w14:solidFill>
          </w14:textFill>
        </w:rPr>
      </w:pPr>
      <w:r>
        <w:rPr>
          <w:b/>
          <w:bCs/>
          <w:color w:val="000000" w:themeColor="text1"/>
          <w:lang w:bidi="ar"/>
          <w14:textFill>
            <w14:solidFill>
              <w14:schemeClr w14:val="tx1"/>
            </w14:solidFill>
          </w14:textFill>
        </w:rPr>
        <w:t>5</w:t>
      </w:r>
      <w:r>
        <w:rPr>
          <w:rFonts w:hint="eastAsia"/>
          <w:b/>
          <w:bCs/>
          <w:color w:val="000000" w:themeColor="text1"/>
          <w:lang w:bidi="ar"/>
          <w14:textFill>
            <w14:solidFill>
              <w14:schemeClr w14:val="tx1"/>
            </w14:solidFill>
          </w14:textFill>
        </w:rPr>
        <w:t>、锁定期</w:t>
      </w:r>
    </w:p>
    <w:p w14:paraId="5B54E5D1">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陈耿豪等22名交易对方通过本次购买资产取得股份的锁定期将在满足《上市公司重大资产重组管理办法》等法律法规、规范性文件要求的前提下，由公司与交易对方协商一致确定，具体股份锁定情况将在重组报告书中详细披露。</w:t>
      </w:r>
    </w:p>
    <w:p w14:paraId="12F881A4">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若本次交易签订明确的业绩补偿协议，则业绩补偿协议的签署方将通过签订书面补充协议的方式进一步明确因本次交易取得的上市公司股份的锁定期安排。</w:t>
      </w:r>
    </w:p>
    <w:p w14:paraId="7183D710">
      <w:pPr>
        <w:spacing w:before="120"/>
        <w:ind w:firstLine="482"/>
        <w:jc w:val="both"/>
        <w:rPr>
          <w:b/>
          <w:bCs/>
          <w:color w:val="000000" w:themeColor="text1"/>
          <w:lang w:bidi="ar"/>
          <w14:textFill>
            <w14:solidFill>
              <w14:schemeClr w14:val="tx1"/>
            </w14:solidFill>
          </w14:textFill>
        </w:rPr>
      </w:pPr>
      <w:r>
        <w:rPr>
          <w:b/>
          <w:bCs/>
          <w:color w:val="000000" w:themeColor="text1"/>
          <w:lang w:bidi="ar"/>
          <w14:textFill>
            <w14:solidFill>
              <w14:schemeClr w14:val="tx1"/>
            </w14:solidFill>
          </w14:textFill>
        </w:rPr>
        <w:t>6</w:t>
      </w:r>
      <w:r>
        <w:rPr>
          <w:rFonts w:hint="eastAsia"/>
          <w:b/>
          <w:bCs/>
          <w:color w:val="000000" w:themeColor="text1"/>
          <w:lang w:bidi="ar"/>
          <w14:textFill>
            <w14:solidFill>
              <w14:schemeClr w14:val="tx1"/>
            </w14:solidFill>
          </w14:textFill>
        </w:rPr>
        <w:t>、过渡期损益安排</w:t>
      </w:r>
    </w:p>
    <w:p w14:paraId="770F01EA">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鉴于标的资产的审计、评估工作尚未完成，本次交易暂未对过渡期间损益安排进行约定。标的资产过渡期间损益安排将于本次交易相关的审计、评估工作完成后，由各方另行签署补充协议正式约定。</w:t>
      </w:r>
    </w:p>
    <w:p w14:paraId="1A450864">
      <w:pPr>
        <w:spacing w:before="120"/>
        <w:ind w:firstLine="482"/>
        <w:jc w:val="both"/>
        <w:rPr>
          <w:b/>
          <w:bCs/>
          <w:color w:val="000000" w:themeColor="text1"/>
          <w:lang w:bidi="ar"/>
          <w14:textFill>
            <w14:solidFill>
              <w14:schemeClr w14:val="tx1"/>
            </w14:solidFill>
          </w14:textFill>
        </w:rPr>
      </w:pPr>
      <w:r>
        <w:rPr>
          <w:b/>
          <w:bCs/>
          <w:color w:val="000000" w:themeColor="text1"/>
          <w:lang w:bidi="ar"/>
          <w14:textFill>
            <w14:solidFill>
              <w14:schemeClr w14:val="tx1"/>
            </w14:solidFill>
          </w14:textFill>
        </w:rPr>
        <w:t>7</w:t>
      </w:r>
      <w:r>
        <w:rPr>
          <w:rFonts w:hint="eastAsia"/>
          <w:b/>
          <w:bCs/>
          <w:color w:val="000000" w:themeColor="text1"/>
          <w:lang w:bidi="ar"/>
          <w14:textFill>
            <w14:solidFill>
              <w14:schemeClr w14:val="tx1"/>
            </w14:solidFill>
          </w14:textFill>
        </w:rPr>
        <w:t>、滚存未分配利润安排</w:t>
      </w:r>
    </w:p>
    <w:p w14:paraId="1A83C6D2">
      <w:pPr>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公司在本次交易完成前的滚存未分配利润由本次交易完成后公司的新老股东共同享有。</w:t>
      </w:r>
    </w:p>
    <w:p w14:paraId="63B34E56">
      <w:pPr>
        <w:spacing w:before="120"/>
        <w:ind w:firstLine="482"/>
        <w:jc w:val="both"/>
        <w:rPr>
          <w:b/>
          <w:bCs/>
          <w:color w:val="000000" w:themeColor="text1"/>
          <w:lang w:bidi="ar"/>
          <w14:textFill>
            <w14:solidFill>
              <w14:schemeClr w14:val="tx1"/>
            </w14:solidFill>
          </w14:textFill>
        </w:rPr>
      </w:pPr>
      <w:r>
        <w:rPr>
          <w:rFonts w:hint="eastAsia"/>
          <w:b/>
          <w:bCs/>
          <w:color w:val="000000" w:themeColor="text1"/>
          <w:lang w:bidi="ar"/>
          <w14:textFill>
            <w14:solidFill>
              <w14:schemeClr w14:val="tx1"/>
            </w14:solidFill>
          </w14:textFill>
        </w:rPr>
        <w:t>8、交割安排</w:t>
      </w:r>
    </w:p>
    <w:p w14:paraId="1FF7C633">
      <w:pPr>
        <w:spacing w:before="120"/>
        <w:ind w:firstLine="480"/>
        <w:jc w:val="both"/>
        <w:rPr>
          <w:color w:val="000000" w:themeColor="text1"/>
          <w:lang w:bidi="ar"/>
          <w14:textFill>
            <w14:solidFill>
              <w14:schemeClr w14:val="tx1"/>
            </w14:solidFill>
          </w14:textFill>
        </w:rPr>
      </w:pPr>
      <w:r>
        <w:rPr>
          <w:color w:val="000000" w:themeColor="text1"/>
          <w:lang w:bidi="ar"/>
          <w14:textFill>
            <w14:solidFill>
              <w14:schemeClr w14:val="tx1"/>
            </w14:solidFill>
          </w14:textFill>
        </w:rPr>
        <w:t>本次交易的交割安排将由各方另行签署补充协议正式约定。</w:t>
      </w:r>
    </w:p>
    <w:p w14:paraId="05D3C169">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（三）募集配套资金的具体情况</w:t>
      </w:r>
    </w:p>
    <w:p w14:paraId="241B68B1">
      <w:pPr>
        <w:adjustRightInd w:val="0"/>
        <w:snapToGrid w:val="0"/>
        <w:spacing w:before="120"/>
        <w:ind w:firstLine="482"/>
        <w:jc w:val="both"/>
        <w:rPr>
          <w:rFonts w:hint="eastAsia" w:ascii="宋体" w:hAnsi="宋体"/>
          <w:b/>
          <w:bCs/>
          <w:color w:val="000000" w:themeColor="text1"/>
          <w14:textFill>
            <w14:solidFill>
              <w14:schemeClr w14:val="tx1"/>
            </w14:solidFill>
          </w14:textFill>
        </w:rPr>
      </w:pPr>
      <w:r>
        <w:rPr>
          <w:rFonts w:ascii="宋体" w:hAnsi="宋体"/>
          <w:b/>
          <w:bCs/>
          <w:color w:val="000000" w:themeColor="text1"/>
          <w14:textFill>
            <w14:solidFill>
              <w14:schemeClr w14:val="tx1"/>
            </w14:solidFill>
          </w14:textFill>
        </w:rPr>
        <w:t>1、发行股份的种类和面值</w:t>
      </w:r>
      <w:r>
        <w:rPr>
          <w:rFonts w:hint="eastAsia"/>
          <w:b/>
          <w:bCs/>
          <w:color w:val="000000" w:themeColor="text1"/>
          <w:lang w:bidi="ar"/>
          <w14:textFill>
            <w14:solidFill>
              <w14:schemeClr w14:val="tx1"/>
            </w14:solidFill>
          </w14:textFill>
        </w:rPr>
        <w:t>及上市地点</w:t>
      </w:r>
    </w:p>
    <w:p w14:paraId="15054D05">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本次发行的股份种类为境内上市人民币普通股（</w:t>
      </w:r>
      <w:r>
        <w:rPr>
          <w:rFonts w:cs="Times New Roman"/>
          <w:color w:val="000000" w:themeColor="text1"/>
          <w14:textFill>
            <w14:solidFill>
              <w14:schemeClr w14:val="tx1"/>
            </w14:solidFill>
          </w14:textFill>
        </w:rPr>
        <w:t>A</w:t>
      </w:r>
      <w:r>
        <w:rPr>
          <w:rFonts w:hint="eastAsia" w:ascii="宋体" w:hAnsi="宋体"/>
          <w:color w:val="000000" w:themeColor="text1"/>
          <w14:textFill>
            <w14:solidFill>
              <w14:schemeClr w14:val="tx1"/>
            </w14:solidFill>
          </w14:textFill>
        </w:rPr>
        <w:t>股），每股面值为人民币</w:t>
      </w:r>
      <w:r>
        <w:rPr>
          <w:rFonts w:cs="Times New Roman"/>
          <w:color w:val="000000" w:themeColor="text1"/>
          <w14:textFill>
            <w14:solidFill>
              <w14:schemeClr w14:val="tx1"/>
            </w14:solidFill>
          </w14:textFill>
        </w:rPr>
        <w:t>1.00</w:t>
      </w:r>
      <w:r>
        <w:rPr>
          <w:rFonts w:hint="eastAsia" w:ascii="宋体" w:hAnsi="宋体"/>
          <w:color w:val="000000" w:themeColor="text1"/>
          <w14:textFill>
            <w14:solidFill>
              <w14:schemeClr w14:val="tx1"/>
            </w14:solidFill>
          </w14:textFill>
        </w:rPr>
        <w:t>元</w:t>
      </w:r>
      <w:r>
        <w:rPr>
          <w:rFonts w:hint="eastAsia"/>
          <w:color w:val="000000" w:themeColor="text1"/>
          <w:lang w:bidi="ar"/>
          <w14:textFill>
            <w14:solidFill>
              <w14:schemeClr w14:val="tx1"/>
            </w14:solidFill>
          </w14:textFill>
        </w:rPr>
        <w:t>，上市地点为深交所</w:t>
      </w:r>
      <w:r>
        <w:rPr>
          <w:rFonts w:hint="eastAsia" w:ascii="宋体" w:hAnsi="宋体"/>
          <w:color w:val="000000" w:themeColor="text1"/>
          <w14:textFill>
            <w14:solidFill>
              <w14:schemeClr w14:val="tx1"/>
            </w14:solidFill>
          </w14:textFill>
        </w:rPr>
        <w:t>。</w:t>
      </w:r>
    </w:p>
    <w:p w14:paraId="77083DFC">
      <w:pPr>
        <w:adjustRightInd w:val="0"/>
        <w:snapToGrid w:val="0"/>
        <w:spacing w:before="120"/>
        <w:ind w:firstLine="482"/>
        <w:jc w:val="both"/>
        <w:rPr>
          <w:b/>
          <w:color w:val="000000" w:themeColor="text1"/>
          <w14:textFill>
            <w14:solidFill>
              <w14:schemeClr w14:val="tx1"/>
            </w14:solidFill>
          </w14:textFill>
        </w:rPr>
      </w:pPr>
      <w:r>
        <w:rPr>
          <w:b/>
          <w:color w:val="000000" w:themeColor="text1"/>
          <w14:textFill>
            <w14:solidFill>
              <w14:schemeClr w14:val="tx1"/>
            </w14:solidFill>
          </w14:textFill>
        </w:rPr>
        <w:t>2、发行方式和发行对象</w:t>
      </w:r>
    </w:p>
    <w:p w14:paraId="40EB7E72">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本次募集配套资金的发行方式为向特定对象发行。发行对象均以现金方式认购本次募集配套资金发行股票。</w:t>
      </w:r>
    </w:p>
    <w:p w14:paraId="2C7BA1C1">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本次募集配套资金的发行对象为上市公司实际控制人之一马学沛先生。</w:t>
      </w:r>
    </w:p>
    <w:p w14:paraId="36351209">
      <w:pPr>
        <w:adjustRightInd w:val="0"/>
        <w:snapToGrid w:val="0"/>
        <w:spacing w:before="120"/>
        <w:ind w:firstLine="482"/>
        <w:jc w:val="both"/>
        <w:rPr>
          <w:rFonts w:hint="eastAsia" w:ascii="宋体" w:hAnsi="宋体"/>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3</w:t>
      </w:r>
      <w:r>
        <w:rPr>
          <w:rFonts w:ascii="宋体" w:hAnsi="宋体"/>
          <w:b/>
          <w:bCs/>
          <w:color w:val="000000" w:themeColor="text1"/>
          <w14:textFill>
            <w14:solidFill>
              <w14:schemeClr w14:val="tx1"/>
            </w14:solidFill>
          </w14:textFill>
        </w:rPr>
        <w:t>、定价基准日和发行价格</w:t>
      </w:r>
    </w:p>
    <w:p w14:paraId="5AF4162E">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本次募集配套资金的定价基准日为上市公司审议本次交易事项的第三届董事会第三十二次会议决议公告日。</w:t>
      </w:r>
    </w:p>
    <w:p w14:paraId="659AD9B6">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本次募集配套资金的发行价格为</w:t>
      </w:r>
      <w:r>
        <w:rPr>
          <w:rFonts w:cs="Times New Roman"/>
          <w:color w:val="000000" w:themeColor="text1"/>
          <w14:textFill>
            <w14:solidFill>
              <w14:schemeClr w14:val="tx1"/>
            </w14:solidFill>
          </w14:textFill>
        </w:rPr>
        <w:t>32.74元/股，不低于定价基准日前20个交易日公司股票交易均价的80%</w:t>
      </w:r>
      <w:r>
        <w:rPr>
          <w:rFonts w:hint="eastAsia" w:ascii="宋体" w:hAnsi="宋体"/>
          <w:color w:val="000000" w:themeColor="text1"/>
          <w14:textFill>
            <w14:solidFill>
              <w14:schemeClr w14:val="tx1"/>
            </w14:solidFill>
          </w14:textFill>
        </w:rPr>
        <w:t>。</w:t>
      </w:r>
    </w:p>
    <w:p w14:paraId="1B4BF122">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在定价基准日至股份发行日期间，公司如有派息、送股、资本公积金转增股本等除权、除息事项，则上述发行价格将根据中国证监会及深交所的相关规则进行相应调整。</w:t>
      </w:r>
    </w:p>
    <w:p w14:paraId="11C8242C">
      <w:pPr>
        <w:adjustRightInd w:val="0"/>
        <w:snapToGrid w:val="0"/>
        <w:spacing w:before="120"/>
        <w:ind w:firstLine="482"/>
        <w:jc w:val="both"/>
        <w:rPr>
          <w:rFonts w:hint="eastAsia" w:ascii="宋体" w:hAnsi="宋体"/>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4</w:t>
      </w:r>
      <w:r>
        <w:rPr>
          <w:rFonts w:ascii="宋体" w:hAnsi="宋体"/>
          <w:b/>
          <w:bCs/>
          <w:color w:val="000000" w:themeColor="text1"/>
          <w14:textFill>
            <w14:solidFill>
              <w14:schemeClr w14:val="tx1"/>
            </w14:solidFill>
          </w14:textFill>
        </w:rPr>
        <w:t>、募集配套资金金额及发行数量</w:t>
      </w:r>
    </w:p>
    <w:p w14:paraId="65E0BCB5">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次募集配套资金总额不超过人民币2亿元且不超过本次发行股份购买资产交易价格的100%，且发行股份数量不超过本次募集配套资金股份发行前公司总股本的30%。确定的发行规模及发行数量将在重组报告书中披露，最终发行规模及发行数量将在本次重组经深交所审核通过并经中国证监会予以注册后，按照《上市公司证券发行注册管理办法》等的相关规定最终确定。</w:t>
      </w:r>
    </w:p>
    <w:p w14:paraId="3891BC8E">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在定价基准日至发行日期间，上市公司如有派息、送股、资本公积转增股本、配股等除权、除息事项，本次股份发行价格需进行调整的，本次发行股份数量也随之进行调整。</w:t>
      </w:r>
    </w:p>
    <w:p w14:paraId="28E91DD3">
      <w:pPr>
        <w:adjustRightInd w:val="0"/>
        <w:snapToGrid w:val="0"/>
        <w:spacing w:before="120"/>
        <w:ind w:firstLine="482"/>
        <w:jc w:val="both"/>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5、锁定期</w:t>
      </w:r>
    </w:p>
    <w:p w14:paraId="4EB1FEEC">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本次配套募集资金的认购方所认购的天亿马股份，自该等股份发行结束之日起18个月内不得转让。</w:t>
      </w:r>
    </w:p>
    <w:p w14:paraId="3FDB0E29">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上述锁定期内，配套募集资金认购方由于天亿马送股、转增股本等原因增持的天亿马股份，同时遵照上述锁定期进行锁定。如上述锁定期的安排与中国证监会等监管部门的最新监管意见不符的，双方将根据监管部门的最新监管意见对锁定期安排予以调整</w:t>
      </w:r>
      <w:r>
        <w:rPr>
          <w:rFonts w:cs="Times New Roman"/>
          <w:color w:val="000000" w:themeColor="text1"/>
          <w14:textFill>
            <w14:solidFill>
              <w14:schemeClr w14:val="tx1"/>
            </w14:solidFill>
          </w14:textFill>
        </w:rPr>
        <w:t>。</w:t>
      </w:r>
    </w:p>
    <w:p w14:paraId="721BB71F">
      <w:pPr>
        <w:adjustRightInd w:val="0"/>
        <w:snapToGrid w:val="0"/>
        <w:spacing w:before="120"/>
        <w:ind w:firstLine="482"/>
        <w:jc w:val="both"/>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6、募集资金用途</w:t>
      </w:r>
    </w:p>
    <w:p w14:paraId="170AB316">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募集配套资金拟用于支付本次交易现金对价、支付本次交易的中介机构费用、相关税费。</w:t>
      </w:r>
    </w:p>
    <w:p w14:paraId="7D259A9A">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本次发行股份及支付现金购买资产不以募集配套资金的成功实施为前提，最终募集配套资金发行成功与否以及内容变更不影响发行股票及支付现金购买资产的实施</w:t>
      </w:r>
      <w:r>
        <w:rPr>
          <w:rFonts w:cs="Times New Roman"/>
          <w:color w:val="000000" w:themeColor="text1"/>
          <w14:textFill>
            <w14:solidFill>
              <w14:schemeClr w14:val="tx1"/>
            </w14:solidFill>
          </w14:textFill>
        </w:rPr>
        <w:t>。</w:t>
      </w:r>
    </w:p>
    <w:p w14:paraId="07617334">
      <w:pPr>
        <w:adjustRightInd w:val="0"/>
        <w:snapToGrid w:val="0"/>
        <w:spacing w:before="120"/>
        <w:ind w:firstLine="482"/>
        <w:jc w:val="both"/>
        <w:rPr>
          <w:rFonts w:cs="Times New Roman"/>
          <w:b/>
          <w:bCs/>
          <w:color w:val="000000" w:themeColor="text1"/>
          <w14:textFill>
            <w14:solidFill>
              <w14:schemeClr w14:val="tx1"/>
            </w14:solidFill>
          </w14:textFill>
        </w:rPr>
      </w:pPr>
      <w:r>
        <w:rPr>
          <w:rFonts w:cs="Times New Roman"/>
          <w:b/>
          <w:bCs/>
          <w:color w:val="000000" w:themeColor="text1"/>
          <w14:textFill>
            <w14:solidFill>
              <w14:schemeClr w14:val="tx1"/>
            </w14:solidFill>
          </w14:textFill>
        </w:rPr>
        <w:t>7、滚存未分配利润安排</w:t>
      </w:r>
    </w:p>
    <w:p w14:paraId="76B79BC4">
      <w:pPr>
        <w:adjustRightInd w:val="0"/>
        <w:snapToGrid w:val="0"/>
        <w:spacing w:before="120"/>
        <w:ind w:firstLine="480"/>
        <w:jc w:val="both"/>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本次募集配套资金完成后，上市公司发行前的滚存未分配利润，由发行后新老股东按各自持股比例共同享有。</w:t>
      </w:r>
    </w:p>
    <w:p w14:paraId="6B34138F">
      <w:pPr>
        <w:pStyle w:val="860"/>
        <w:spacing w:before="120" w:after="120"/>
        <w:rPr>
          <w:color w:val="000000" w:themeColor="text1"/>
          <w14:textFill>
            <w14:solidFill>
              <w14:schemeClr w14:val="tx1"/>
            </w14:solidFill>
          </w14:textFill>
        </w:rPr>
      </w:pPr>
      <w:bookmarkStart w:id="82" w:name="_Toc9275"/>
      <w:r>
        <w:rPr>
          <w:rFonts w:hint="eastAsia"/>
          <w:color w:val="000000" w:themeColor="text1"/>
          <w14:textFill>
            <w14:solidFill>
              <w14:schemeClr w14:val="tx1"/>
            </w14:solidFill>
          </w14:textFill>
        </w:rPr>
        <w:t>三、标的资产评估及作价情况</w:t>
      </w:r>
      <w:bookmarkEnd w:id="82"/>
    </w:p>
    <w:p w14:paraId="3EC91747">
      <w:pPr>
        <w:spacing w:before="120" w:after="1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截至本预案签署日，标的资产的审计和评估工作尚未完成，具体评估值和交易价格尚未确定。标的资产的最终交易价格将在参考评估机构出具的评估报告载明的评估值的基础上，经交易各方协商确定。</w:t>
      </w:r>
    </w:p>
    <w:p w14:paraId="55487628">
      <w:pPr>
        <w:pStyle w:val="860"/>
        <w:spacing w:before="120" w:after="120"/>
        <w:rPr>
          <w:color w:val="000000" w:themeColor="text1"/>
          <w14:textFill>
            <w14:solidFill>
              <w14:schemeClr w14:val="tx1"/>
            </w14:solidFill>
          </w14:textFill>
        </w:rPr>
      </w:pPr>
      <w:bookmarkStart w:id="83" w:name="_Toc14125"/>
      <w:r>
        <w:rPr>
          <w:rFonts w:hint="eastAsia"/>
          <w:color w:val="000000" w:themeColor="text1"/>
          <w14:textFill>
            <w14:solidFill>
              <w14:schemeClr w14:val="tx1"/>
            </w14:solidFill>
          </w14:textFill>
        </w:rPr>
        <w:t>四、本次交易性质</w:t>
      </w:r>
      <w:bookmarkEnd w:id="83"/>
    </w:p>
    <w:p w14:paraId="7E29E149">
      <w:pPr>
        <w:keepNext/>
        <w:keepLines/>
        <w:spacing w:before="120" w:after="120" w:afterLines="50"/>
        <w:ind w:firstLine="0" w:firstLineChars="0"/>
        <w:jc w:val="both"/>
        <w:outlineLvl w:val="2"/>
        <w:rPr>
          <w:color w:val="000000" w:themeColor="text1"/>
          <w:lang w:bidi="ar"/>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（一）本次交易预计构成重大资产重组</w:t>
      </w:r>
    </w:p>
    <w:p w14:paraId="7B17B548">
      <w:pPr>
        <w:spacing w:before="120"/>
        <w:ind w:firstLine="480"/>
        <w:jc w:val="both"/>
        <w:rPr>
          <w:color w:val="000000" w:themeColor="text1"/>
          <w14:textFill>
            <w14:solidFill>
              <w14:schemeClr w14:val="tx1"/>
            </w14:solidFill>
          </w14:textFill>
        </w:rPr>
      </w:pPr>
      <w:r>
        <w:rPr>
          <w:rFonts w:hint="eastAsia"/>
          <w:color w:val="000000" w:themeColor="text1"/>
          <w:lang w:bidi="ar"/>
          <w14:textFill>
            <w14:solidFill>
              <w14:schemeClr w14:val="tx1"/>
            </w14:solidFill>
          </w14:textFill>
        </w:rPr>
        <w:t>根据《上市公司重大资产重组管理办法》第十二条及第十四条的规定，本次交易预计构成重大资产重组。待标的公司的审计、评估工作完成后，公司将根据标的公司经审计数据以及本次交易的最终定价情况，按《上市公司重大资产重组管理办法》规定计算，并在重组报告书中予以披露，预计不会改变本次交易构成重大资产重组的实质</w:t>
      </w:r>
      <w:r>
        <w:rPr>
          <w:color w:val="000000" w:themeColor="text1"/>
          <w14:textFill>
            <w14:solidFill>
              <w14:schemeClr w14:val="tx1"/>
            </w14:solidFill>
          </w14:textFill>
        </w:rPr>
        <w:t>。</w:t>
      </w:r>
    </w:p>
    <w:p w14:paraId="19AEF7E5">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（二）本次交易预计构成关联交易</w:t>
      </w:r>
    </w:p>
    <w:p w14:paraId="1908C31C">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本次发行股份及支付现金购买资产前，交易对方与公司不存在关联关系；本次发行股份及支付现金购买资产完成后，交易对方陈耿豪及南通成为常青股权投资合伙企业（有限合伙）分别持有公司股份比例预计将超过5%。因此，根据《深圳证券交易所创业板股票上市规则》相关规定，本次交易预计将构成关联交易。</w:t>
      </w:r>
    </w:p>
    <w:p w14:paraId="4793FCC2">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本次发行股份募集配套资金的发行对象马学沛先生为公司实际控制人，因此，根据《深圳证券交易所创业板股票上市规则》相关规定，本次募集配套资金构成关联交易。</w:t>
      </w:r>
    </w:p>
    <w:p w14:paraId="061CF0B2">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（三）本次交易不构成重组上市</w:t>
      </w:r>
    </w:p>
    <w:p w14:paraId="29A9D996">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本次交易前后，公司的实际控制人均为马学沛先生及林明玲女士，本次交易不会导致公司控制权变更；且本次交易前36个月内，公司的实际控制权未发生变化。因此，本次交易不构成《上市公司重大资产重组管理办法》第十三条规定的重组上市。</w:t>
      </w:r>
    </w:p>
    <w:p w14:paraId="37E26DD3">
      <w:pPr>
        <w:pStyle w:val="860"/>
        <w:spacing w:before="120" w:after="120"/>
        <w:rPr>
          <w:color w:val="000000" w:themeColor="text1"/>
          <w14:textFill>
            <w14:solidFill>
              <w14:schemeClr w14:val="tx1"/>
            </w14:solidFill>
          </w14:textFill>
        </w:rPr>
      </w:pPr>
      <w:bookmarkStart w:id="84" w:name="_Toc10801"/>
      <w:r>
        <w:rPr>
          <w:rFonts w:hint="eastAsia"/>
          <w:color w:val="000000" w:themeColor="text1"/>
          <w14:textFill>
            <w14:solidFill>
              <w14:schemeClr w14:val="tx1"/>
            </w14:solidFill>
          </w14:textFill>
        </w:rPr>
        <w:t>五、业绩补偿及承诺安排</w:t>
      </w:r>
      <w:bookmarkEnd w:id="84"/>
    </w:p>
    <w:p w14:paraId="719D222B">
      <w:pPr>
        <w:spacing w:before="120"/>
        <w:ind w:firstLine="48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截至本预案签署日，相关证券服务机构尚未完成对标的资产的审计、评估工作，本次交易暂未签订明确的业绩补偿协议或条款。业绩承诺和补偿具体方案将由上市公司与交易对方在审计、评估工作完成后参照中国证监会等监管机构关于业绩承诺和补偿的相关规定和有关惯例另行协商确定，最终以签署的业绩承诺及补偿协议或条款为准。</w:t>
      </w:r>
    </w:p>
    <w:p w14:paraId="724C9C2B">
      <w:pPr>
        <w:pStyle w:val="860"/>
        <w:spacing w:before="120" w:after="120"/>
        <w:rPr>
          <w:color w:val="000000" w:themeColor="text1"/>
          <w14:textFill>
            <w14:solidFill>
              <w14:schemeClr w14:val="tx1"/>
            </w14:solidFill>
          </w14:textFill>
        </w:rPr>
      </w:pPr>
      <w:bookmarkStart w:id="85" w:name="_Toc1673"/>
      <w:r>
        <w:rPr>
          <w:rFonts w:hint="eastAsia"/>
          <w:color w:val="000000" w:themeColor="text1"/>
          <w14:textFill>
            <w14:solidFill>
              <w14:schemeClr w14:val="tx1"/>
            </w14:solidFill>
          </w14:textFill>
        </w:rPr>
        <w:t>六、本次交易对上市公司影响</w:t>
      </w:r>
      <w:bookmarkEnd w:id="85"/>
    </w:p>
    <w:p w14:paraId="03AD548E">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（一）本次交易对上市公司主营业务的影响</w:t>
      </w:r>
    </w:p>
    <w:p w14:paraId="216A37FD">
      <w:pPr>
        <w:tabs>
          <w:tab w:val="left" w:pos="868"/>
        </w:tabs>
        <w:spacing w:before="120" w:after="120" w:afterLines="5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本次交易前，上市公司致力于融合物联网、大数据、云计算、人工智能等新一代信息技术，持续创新并成功落地了市域社会治理、数字乡村、社会治安综合治理、智慧社区、智慧党建、行政便民服务、轨道交通无人值守等一系列应用产品和解决方案，广泛服务于各级党政部门、企事业单位。</w:t>
      </w:r>
    </w:p>
    <w:p w14:paraId="5FE4E7FF">
      <w:pPr>
        <w:spacing w:before="120" w:after="120" w:afterLines="50"/>
        <w:ind w:firstLine="480"/>
        <w:rPr>
          <w:color w:val="000000" w:themeColor="text1"/>
          <w:lang w:bidi="ar"/>
          <w14:textFill>
            <w14:solidFill>
              <w14:schemeClr w14:val="tx1"/>
            </w14:solidFill>
          </w14:textFill>
        </w:rPr>
      </w:pPr>
      <w:r>
        <w:rPr>
          <w:rFonts w:hint="eastAsia"/>
          <w:szCs w:val="28"/>
        </w:rPr>
        <w:t>标的公司是一家智能自助设备数字化服务提供商，专注于提供“IoT智能硬件+SaaS云平台”一体化解决方案，致力于实现智能自助设备的物联通讯和数字化升级。</w:t>
      </w:r>
    </w:p>
    <w:p w14:paraId="145869E9">
      <w:pPr>
        <w:tabs>
          <w:tab w:val="left" w:pos="868"/>
        </w:tabs>
        <w:spacing w:before="120" w:after="120" w:afterLines="5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通过本次交易，上市公司与标的公司在产业链布局、技术研发、市场拓展、产品迭代等方面将产生互补和协同效应。一方面，上市公司将进一步拓展智能自助设备数字化服务领域业务，实现围绕信息技术服务的深度布局，形成双轮驱动的发展模式，进一步提升公司业绩成长性；另一方面，上市公司能够拓展智能自助设备数字化服务的研发能力，持续完善公司产业链布局，满足更多的应用场景及客户多元化需求，扩大公司整体销售规模，进一步提升持续盈利能力和核心竞争力，维护全体股东利益。</w:t>
      </w:r>
    </w:p>
    <w:p w14:paraId="6B6A1F74">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（二）本次交易对上市公司股权结构的影响</w:t>
      </w:r>
    </w:p>
    <w:p w14:paraId="3629F6BA">
      <w:pPr>
        <w:spacing w:before="120" w:after="120" w:afterLines="50"/>
        <w:ind w:firstLine="480"/>
        <w:jc w:val="both"/>
        <w:rPr>
          <w:rFonts w:cs="Times New Roman"/>
          <w:color w:val="000000" w:themeColor="text1"/>
          <w:kern w:val="2"/>
          <w:szCs w:val="22"/>
          <w14:textFill>
            <w14:solidFill>
              <w14:schemeClr w14:val="tx1"/>
            </w14:solidFill>
          </w14:textFill>
        </w:rPr>
      </w:pPr>
      <w:r>
        <w:rPr>
          <w:rFonts w:hint="eastAsia" w:cs="Times New Roman"/>
          <w:color w:val="000000" w:themeColor="text1"/>
          <w:kern w:val="2"/>
          <w:szCs w:val="22"/>
          <w14:textFill>
            <w14:solidFill>
              <w14:schemeClr w14:val="tx1"/>
            </w14:solidFill>
          </w14:textFill>
        </w:rPr>
        <w:t>本次交易前后，公司的控股股东、实际控制人均未发生变化，本次交易不会导致公司控制权变更。</w:t>
      </w:r>
    </w:p>
    <w:p w14:paraId="3A881D62">
      <w:pPr>
        <w:spacing w:before="120" w:after="120" w:afterLines="50"/>
        <w:ind w:firstLine="480"/>
        <w:jc w:val="both"/>
        <w:rPr>
          <w:rFonts w:cs="Times New Roman"/>
          <w:color w:val="000000" w:themeColor="text1"/>
          <w:kern w:val="2"/>
          <w:szCs w:val="22"/>
          <w14:textFill>
            <w14:solidFill>
              <w14:schemeClr w14:val="tx1"/>
            </w14:solidFill>
          </w14:textFill>
        </w:rPr>
      </w:pPr>
      <w:r>
        <w:rPr>
          <w:rFonts w:hint="eastAsia"/>
          <w:color w:val="000000" w:themeColor="text1"/>
          <w14:textFill>
            <w14:solidFill>
              <w14:schemeClr w14:val="tx1"/>
            </w14:solidFill>
          </w14:textFill>
        </w:rPr>
        <w:t>截至本预案签署日，由于本次交易的审计、评估工作尚未完成，标的资产交易对价及支付方式尚未确定，</w:t>
      </w:r>
      <w:r>
        <w:rPr>
          <w:color w:val="000000" w:themeColor="text1"/>
          <w14:textFill>
            <w14:solidFill>
              <w14:schemeClr w14:val="tx1"/>
            </w14:solidFill>
          </w14:textFill>
        </w:rPr>
        <w:t>公司将在前述因素确定后测算本次重组对上市公司股权结构的影响</w:t>
      </w:r>
      <w:r>
        <w:rPr>
          <w:rFonts w:hint="eastAsia"/>
          <w:color w:val="000000" w:themeColor="text1"/>
          <w14:textFill>
            <w14:solidFill>
              <w14:schemeClr w14:val="tx1"/>
            </w14:solidFill>
          </w14:textFill>
        </w:rPr>
        <w:t>，具体影响将在重组报告书中予以披露。</w:t>
      </w:r>
    </w:p>
    <w:p w14:paraId="520695E7">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（三）本次交易对上市公司盈利能力的影响</w:t>
      </w:r>
    </w:p>
    <w:p w14:paraId="6C65FC8B">
      <w:pPr>
        <w:adjustRightInd w:val="0"/>
        <w:snapToGrid w:val="0"/>
        <w:spacing w:before="120"/>
        <w:ind w:firstLine="480"/>
        <w:jc w:val="both"/>
        <w:rPr>
          <w:color w:val="000000" w:themeColor="text1"/>
          <w:lang w:bidi="ar"/>
          <w14:textFill>
            <w14:solidFill>
              <w14:schemeClr w14:val="tx1"/>
            </w14:solidFill>
          </w14:textFill>
        </w:rPr>
      </w:pPr>
      <w:r>
        <w:rPr>
          <w:rFonts w:hint="eastAsia" w:cs="Times New Roman"/>
          <w:color w:val="000000" w:themeColor="text1"/>
          <w:kern w:val="2"/>
          <w:szCs w:val="22"/>
          <w14:textFill>
            <w14:solidFill>
              <w14:schemeClr w14:val="tx1"/>
            </w14:solidFill>
          </w14:textFill>
        </w:rPr>
        <w:t>本次交易完成后，上市公司的总资产、营业收入等将进一步增长，持续经营能力进一步增强。鉴于与本次交易相关的审计、评估等工作尚未最终完成，尚无法对本次交易完成后上市公司财务状况和盈利能力进行准确定量分析，上市公司将在相关审计、评估等工作完成后，在重组报告书中就本次交易对上市公司盈利能力的影响进行详细测算分析并披露。</w:t>
      </w:r>
    </w:p>
    <w:p w14:paraId="5F8A0411">
      <w:pPr>
        <w:pStyle w:val="860"/>
        <w:spacing w:before="120" w:after="120"/>
        <w:rPr>
          <w:color w:val="000000" w:themeColor="text1"/>
          <w14:textFill>
            <w14:solidFill>
              <w14:schemeClr w14:val="tx1"/>
            </w14:solidFill>
          </w14:textFill>
        </w:rPr>
      </w:pPr>
      <w:bookmarkStart w:id="86" w:name="_Toc26248"/>
      <w:r>
        <w:rPr>
          <w:rFonts w:hint="eastAsia"/>
          <w:color w:val="000000" w:themeColor="text1"/>
          <w14:textFill>
            <w14:solidFill>
              <w14:schemeClr w14:val="tx1"/>
            </w14:solidFill>
          </w14:textFill>
        </w:rPr>
        <w:t>七、本次交易已履行和尚需履行的审批程序</w:t>
      </w:r>
      <w:bookmarkEnd w:id="86"/>
    </w:p>
    <w:p w14:paraId="4149C590">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（一）本次交易已履行的决策及审批程序</w:t>
      </w:r>
    </w:p>
    <w:p w14:paraId="52898D51">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截至本预案签署日，本次交易已履行的决策程序及批准包括：</w:t>
      </w:r>
    </w:p>
    <w:p w14:paraId="20F89B34">
      <w:pPr>
        <w:adjustRightInd w:val="0"/>
        <w:snapToGrid w:val="0"/>
        <w:spacing w:before="120"/>
        <w:ind w:firstLine="480"/>
        <w:jc w:val="both"/>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1、本次交易已取得上市公司控股股东、实际控制人的原则性同意；</w:t>
      </w:r>
    </w:p>
    <w:p w14:paraId="4621655D">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olor w:val="000000" w:themeColor="text1"/>
          <w:lang w:bidi="ar"/>
          <w14:textFill>
            <w14:solidFill>
              <w14:schemeClr w14:val="tx1"/>
            </w14:solidFill>
          </w14:textFill>
        </w:rPr>
        <w:t>2、本次交易已经上市公司第三届董事会第三十二次会议、第三届监事会第二十八次会议审议通过；</w:t>
      </w:r>
    </w:p>
    <w:p w14:paraId="2837186E">
      <w:pPr>
        <w:adjustRightInd w:val="0"/>
        <w:snapToGrid w:val="0"/>
        <w:spacing w:before="120"/>
        <w:ind w:firstLine="480"/>
        <w:jc w:val="both"/>
        <w:rPr>
          <w:rFonts w:cs="Times New Roman"/>
          <w:color w:val="000000" w:themeColor="text1"/>
          <w:lang w:bidi="ar"/>
          <w14:textFill>
            <w14:solidFill>
              <w14:schemeClr w14:val="tx1"/>
            </w14:solidFill>
          </w14:textFill>
        </w:rPr>
      </w:pPr>
      <w:r>
        <w:rPr>
          <w:rFonts w:hint="eastAsia" w:cs="Times New Roman"/>
          <w:color w:val="000000" w:themeColor="text1"/>
          <w:lang w:bidi="ar"/>
          <w14:textFill>
            <w14:solidFill>
              <w14:schemeClr w14:val="tx1"/>
            </w14:solidFill>
          </w14:textFill>
        </w:rPr>
        <w:t>3、</w:t>
      </w:r>
      <w:r>
        <w:rPr>
          <w:rFonts w:cs="Times New Roman"/>
          <w:color w:val="000000" w:themeColor="text1"/>
          <w:lang w:bidi="ar"/>
          <w14:textFill>
            <w14:solidFill>
              <w14:schemeClr w14:val="tx1"/>
            </w14:solidFill>
          </w14:textFill>
        </w:rPr>
        <w:t>本次交易已履行交易对方现阶段所必需的内部授权或批准。</w:t>
      </w:r>
    </w:p>
    <w:p w14:paraId="56DBC1D1">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（二）本次交易尚需履行的审批程序</w:t>
      </w:r>
    </w:p>
    <w:p w14:paraId="6001F0AC">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截至本预案签署日，本次交易尚需履行的程序事项包括但不限于：</w:t>
      </w:r>
    </w:p>
    <w:p w14:paraId="643420E1">
      <w:pPr>
        <w:adjustRightInd w:val="0"/>
        <w:snapToGrid w:val="0"/>
        <w:spacing w:before="120"/>
        <w:ind w:firstLine="480" w:firstLineChars="0"/>
        <w:jc w:val="both"/>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1、本次交易涉及的标的资产审计、评估工作完成后，上市公司将再次召开董事会审议通过本次交易的相关议案；</w:t>
      </w:r>
    </w:p>
    <w:p w14:paraId="4C44B08B">
      <w:pPr>
        <w:adjustRightInd w:val="0"/>
        <w:snapToGrid w:val="0"/>
        <w:spacing w:before="120"/>
        <w:ind w:firstLine="480" w:firstLineChars="0"/>
        <w:jc w:val="both"/>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2、本次交易正式方案经交易对方内部有权机构审议通过；</w:t>
      </w:r>
    </w:p>
    <w:p w14:paraId="2EE27F99">
      <w:pPr>
        <w:adjustRightInd w:val="0"/>
        <w:snapToGrid w:val="0"/>
        <w:spacing w:before="120"/>
        <w:ind w:firstLine="480" w:firstLineChars="0"/>
        <w:jc w:val="both"/>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3、本次交易</w:t>
      </w:r>
      <w:r>
        <w:rPr>
          <w:rFonts w:hint="eastAsia" w:cs="Times New Roman"/>
          <w:color w:val="000000" w:themeColor="text1"/>
          <w14:textFill>
            <w14:solidFill>
              <w14:schemeClr w14:val="tx1"/>
            </w14:solidFill>
          </w14:textFill>
        </w:rPr>
        <w:t>正式</w:t>
      </w:r>
      <w:r>
        <w:rPr>
          <w:rFonts w:cs="Times New Roman"/>
          <w:color w:val="000000" w:themeColor="text1"/>
          <w14:textFill>
            <w14:solidFill>
              <w14:schemeClr w14:val="tx1"/>
            </w14:solidFill>
          </w14:textFill>
        </w:rPr>
        <w:t>方案</w:t>
      </w:r>
      <w:r>
        <w:rPr>
          <w:rFonts w:hint="eastAsia" w:cs="Times New Roman"/>
          <w:color w:val="000000" w:themeColor="text1"/>
          <w14:textFill>
            <w14:solidFill>
              <w14:schemeClr w14:val="tx1"/>
            </w14:solidFill>
          </w14:textFill>
        </w:rPr>
        <w:t>经</w:t>
      </w:r>
      <w:r>
        <w:rPr>
          <w:rFonts w:cs="Times New Roman"/>
          <w:color w:val="000000" w:themeColor="text1"/>
          <w14:textFill>
            <w14:solidFill>
              <w14:schemeClr w14:val="tx1"/>
            </w14:solidFill>
          </w14:textFill>
        </w:rPr>
        <w:t>上市公司股东会审议通过；</w:t>
      </w:r>
    </w:p>
    <w:p w14:paraId="051DF42E">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4、本次交易正式方案经标的公司股东大会审议通过；</w:t>
      </w:r>
    </w:p>
    <w:p w14:paraId="02A78C71">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5、本次交易经深交所审核通过并经中国证监会同意注册；</w:t>
      </w:r>
    </w:p>
    <w:p w14:paraId="71BD38D5">
      <w:pPr>
        <w:adjustRightInd w:val="0"/>
        <w:snapToGrid w:val="0"/>
        <w:spacing w:before="120"/>
        <w:ind w:firstLine="480" w:firstLineChars="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6</w:t>
      </w:r>
      <w:r>
        <w:rPr>
          <w:rFonts w:cs="Times New Roman"/>
          <w:color w:val="000000" w:themeColor="text1"/>
          <w14:textFill>
            <w14:solidFill>
              <w14:schemeClr w14:val="tx1"/>
            </w14:solidFill>
          </w14:textFill>
        </w:rPr>
        <w:t>、标的公司完成公司形式由股份有限公司变更为有限责任公司的相关工商变更手续；</w:t>
      </w:r>
    </w:p>
    <w:p w14:paraId="7939B6CA">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7</w:t>
      </w:r>
      <w:r>
        <w:rPr>
          <w:rFonts w:cs="Times New Roman"/>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相关法律法规所要求的其他可能涉及必要的批准、核准、备案或许可（如适用）。</w:t>
      </w:r>
    </w:p>
    <w:p w14:paraId="57A44BE2">
      <w:pPr>
        <w:spacing w:before="120"/>
        <w:ind w:firstLine="480"/>
        <w:jc w:val="both"/>
        <w:rPr>
          <w:rFonts w:cs="Times New Roman"/>
          <w:color w:val="000000" w:themeColor="text1"/>
          <w:kern w:val="2"/>
          <w14:textFill>
            <w14:solidFill>
              <w14:schemeClr w14:val="tx1"/>
            </w14:solidFill>
          </w14:textFill>
        </w:rPr>
      </w:pPr>
      <w:r>
        <w:rPr>
          <w:rFonts w:hint="eastAsia"/>
          <w:color w:val="000000" w:themeColor="text1"/>
          <w14:textFill>
            <w14:solidFill>
              <w14:schemeClr w14:val="tx1"/>
            </w14:solidFill>
          </w14:textFill>
        </w:rPr>
        <w:t>本次交易能否取得上述批准、审核通过或同意注册，以及最终取得批准、审核通过或同意注册的时间均存在不确定性，提请广大投资者注意投资风险。</w:t>
      </w:r>
    </w:p>
    <w:bookmarkEnd w:id="71"/>
    <w:bookmarkEnd w:id="72"/>
    <w:bookmarkEnd w:id="73"/>
    <w:bookmarkEnd w:id="74"/>
    <w:bookmarkEnd w:id="75"/>
    <w:bookmarkEnd w:id="79"/>
    <w:bookmarkEnd w:id="80"/>
    <w:p w14:paraId="114BC3CE">
      <w:pPr>
        <w:pStyle w:val="860"/>
        <w:spacing w:before="120" w:after="120"/>
        <w:rPr>
          <w:color w:val="000000" w:themeColor="text1"/>
          <w14:textFill>
            <w14:solidFill>
              <w14:schemeClr w14:val="tx1"/>
            </w14:solidFill>
          </w14:textFill>
        </w:rPr>
      </w:pPr>
      <w:bookmarkStart w:id="87" w:name="_Toc26602"/>
      <w:bookmarkStart w:id="88" w:name="_Toc86099283"/>
      <w:r>
        <w:rPr>
          <w:rFonts w:hint="eastAsia"/>
          <w:color w:val="000000" w:themeColor="text1"/>
          <w14:textFill>
            <w14:solidFill>
              <w14:schemeClr w14:val="tx1"/>
            </w14:solidFill>
          </w14:textFill>
        </w:rPr>
        <w:t>八、本次交易相关方作出的重要承诺</w:t>
      </w:r>
      <w:bookmarkEnd w:id="87"/>
    </w:p>
    <w:p w14:paraId="7EA20357">
      <w:pPr>
        <w:adjustRightInd w:val="0"/>
        <w:snapToGrid w:val="0"/>
        <w:spacing w:before="120"/>
        <w:ind w:firstLine="480"/>
        <w:jc w:val="both"/>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本次交易相关方作出的重要承诺如下：</w:t>
      </w:r>
    </w:p>
    <w:p w14:paraId="17DD6F48">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（一）上市公司及其董事、监事、高级管理人员作出的重要承诺</w:t>
      </w:r>
    </w:p>
    <w:p w14:paraId="66E582A1">
      <w:pPr>
        <w:adjustRightInd w:val="0"/>
        <w:snapToGrid w:val="0"/>
        <w:spacing w:before="120"/>
        <w:ind w:firstLine="482"/>
        <w:jc w:val="both"/>
        <w:rPr>
          <w:color w:val="000000" w:themeColor="text1"/>
          <w14:textFill>
            <w14:solidFill>
              <w14:schemeClr w14:val="tx1"/>
            </w14:solidFill>
          </w14:textFill>
        </w:rPr>
      </w:pPr>
      <w:r>
        <w:rPr>
          <w:rFonts w:hint="eastAsia"/>
          <w:b/>
          <w:bCs/>
          <w:color w:val="000000" w:themeColor="text1"/>
          <w:lang w:bidi="ar"/>
          <w14:textFill>
            <w14:solidFill>
              <w14:schemeClr w14:val="tx1"/>
            </w14:solidFill>
          </w14:textFill>
        </w:rPr>
        <w:t>1、上市公司承诺</w:t>
      </w:r>
    </w:p>
    <w:tbl>
      <w:tblPr>
        <w:tblStyle w:val="7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1789"/>
        <w:gridCol w:w="5374"/>
        <w:gridCol w:w="6"/>
      </w:tblGrid>
      <w:tr w14:paraId="0B71FD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119" w:type="dxa"/>
            <w:tcBorders>
              <w:tl2br w:val="nil"/>
              <w:tr2bl w:val="nil"/>
            </w:tcBorders>
            <w:vAlign w:val="center"/>
          </w:tcPr>
          <w:p w14:paraId="20E90049">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承诺方</w:t>
            </w:r>
          </w:p>
        </w:tc>
        <w:tc>
          <w:tcPr>
            <w:tcW w:w="1789" w:type="dxa"/>
            <w:tcBorders>
              <w:tl2br w:val="nil"/>
              <w:tr2bl w:val="nil"/>
            </w:tcBorders>
            <w:vAlign w:val="center"/>
          </w:tcPr>
          <w:p w14:paraId="109ACD1B">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承诺事项</w:t>
            </w:r>
          </w:p>
        </w:tc>
        <w:tc>
          <w:tcPr>
            <w:tcW w:w="5380" w:type="dxa"/>
            <w:gridSpan w:val="2"/>
            <w:tcBorders>
              <w:tl2br w:val="nil"/>
              <w:tr2bl w:val="nil"/>
            </w:tcBorders>
            <w:vAlign w:val="center"/>
          </w:tcPr>
          <w:p w14:paraId="404B42A7">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承诺内容</w:t>
            </w:r>
          </w:p>
        </w:tc>
      </w:tr>
      <w:tr w14:paraId="445FB5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tl2br w:val="nil"/>
              <w:tr2bl w:val="nil"/>
            </w:tcBorders>
            <w:vAlign w:val="center"/>
          </w:tcPr>
          <w:p w14:paraId="307E92E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w:t>
            </w:r>
          </w:p>
        </w:tc>
        <w:tc>
          <w:tcPr>
            <w:tcW w:w="1789" w:type="dxa"/>
            <w:tcBorders>
              <w:tl2br w:val="nil"/>
              <w:tr2bl w:val="nil"/>
            </w:tcBorders>
            <w:vAlign w:val="center"/>
          </w:tcPr>
          <w:p w14:paraId="67486F7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关于提供信息真实、准确和完整的承诺函</w:t>
            </w:r>
          </w:p>
        </w:tc>
        <w:tc>
          <w:tcPr>
            <w:tcW w:w="5380" w:type="dxa"/>
            <w:gridSpan w:val="2"/>
            <w:tcBorders>
              <w:tl2br w:val="nil"/>
              <w:tr2bl w:val="nil"/>
            </w:tcBorders>
            <w:vAlign w:val="center"/>
          </w:tcPr>
          <w:p w14:paraId="2B8B5F13">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1、本公司向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14CD9CEC">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2、本公司为本次交易所出具的说明、声明、承诺以及所提供或披露的资料及信息均真实、准确、完整，不存在任何虚假记载、误导性陈述或者重大遗漏。</w:t>
            </w:r>
          </w:p>
          <w:p w14:paraId="60EE5655">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3、本公司保证本次交易的信息披露和申请文件真实、准确、完整，不存在任何虚假记载、误导性陈述或者重大遗漏。本公司保证已履行了法定的披露和报告义务，不存在应当披露而未披露的合同、协议、安排或其他事项。</w:t>
            </w:r>
          </w:p>
          <w:p w14:paraId="14EACF6D">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4、本公司保证参与本次交易的证券服务机构在申请文件中引用的由本公司所出具的文件及引用文件的相关内容已经本公司审阅，确认本次交易的申请文件不致因引用上述内容而出现虚假记载、误导性陈述或重大遗漏。</w:t>
            </w:r>
          </w:p>
          <w:p w14:paraId="29BF15B6">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5、根据本次交易的进程，本公司将依照法律法规及中国证券监督管理委员会和深圳证券交易所的有关规定，及时、公平地提供或披露相关信息和文件，并保证继续提供的信息和文件仍然符合真实、准确、完整、有效的要求。</w:t>
            </w:r>
          </w:p>
          <w:p w14:paraId="01CAC892">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6、本公司同意对违反前述承诺的行为承担相应的法律责任。</w:t>
            </w:r>
          </w:p>
        </w:tc>
      </w:tr>
      <w:tr w14:paraId="5F5677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tl2br w:val="nil"/>
              <w:tr2bl w:val="nil"/>
            </w:tcBorders>
            <w:vAlign w:val="center"/>
          </w:tcPr>
          <w:p w14:paraId="416502C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w:t>
            </w:r>
          </w:p>
        </w:tc>
        <w:tc>
          <w:tcPr>
            <w:tcW w:w="1789" w:type="dxa"/>
            <w:tcBorders>
              <w:tl2br w:val="nil"/>
              <w:tr2bl w:val="nil"/>
            </w:tcBorders>
            <w:vAlign w:val="center"/>
          </w:tcPr>
          <w:p w14:paraId="70843A9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关于合法合规及诚信情况的承诺函</w:t>
            </w:r>
          </w:p>
        </w:tc>
        <w:tc>
          <w:tcPr>
            <w:tcW w:w="5380" w:type="dxa"/>
            <w:gridSpan w:val="2"/>
            <w:tcBorders>
              <w:tl2br w:val="nil"/>
              <w:tr2bl w:val="nil"/>
            </w:tcBorders>
            <w:vAlign w:val="center"/>
          </w:tcPr>
          <w:p w14:paraId="2C55183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截至本承诺函签署日，本公司不存在因涉嫌犯罪正被司法机关立案侦查或涉嫌违法违规正被中国证券监督管理委员会（以下简称“中国证监会”）立案调查的情形，不存在尚未了结的或潜在的重大诉讼、仲裁或行政处罚。</w:t>
            </w:r>
          </w:p>
          <w:p w14:paraId="3279660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公司最近三年不存在严重损害投资者合法权益或者社会公共利益的重大违法行为，不存在因违反法律、行政法规、规章受到刑事处罚或行政处罚的情形，亦不存在违规资金占用、违规对外担保等情形；本公司最近三年诚信情况良好，不存在未按期偿还大额债务、未履行承诺等情况。</w:t>
            </w:r>
          </w:p>
          <w:p w14:paraId="20F572F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3、本公司最近三年不存在受到中国证监会行政处罚的情形，最近十二个月内未受到证券交易所公开谴责，不存在其他重大失信行为。</w:t>
            </w:r>
          </w:p>
          <w:p w14:paraId="05B4AD1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4、本公司上述情况均客观真实，不存在虚假记载、误导性陈述和重大遗漏，并对其真实性、准确性和完整性承担法律责任。</w:t>
            </w:r>
          </w:p>
        </w:tc>
      </w:tr>
      <w:tr w14:paraId="6226BC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tl2br w:val="nil"/>
              <w:tr2bl w:val="nil"/>
            </w:tcBorders>
            <w:vAlign w:val="center"/>
          </w:tcPr>
          <w:p w14:paraId="41F121B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w:t>
            </w:r>
          </w:p>
        </w:tc>
        <w:tc>
          <w:tcPr>
            <w:tcW w:w="1789" w:type="dxa"/>
            <w:tcBorders>
              <w:tl2br w:val="nil"/>
              <w:tr2bl w:val="nil"/>
            </w:tcBorders>
            <w:vAlign w:val="center"/>
          </w:tcPr>
          <w:p w14:paraId="571B1A5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关于不存在不得参与上市公司重大资产重组情形的承诺函</w:t>
            </w:r>
          </w:p>
        </w:tc>
        <w:tc>
          <w:tcPr>
            <w:tcW w:w="5380" w:type="dxa"/>
            <w:gridSpan w:val="2"/>
            <w:tcBorders>
              <w:tl2br w:val="nil"/>
              <w:tr2bl w:val="nil"/>
            </w:tcBorders>
            <w:vAlign w:val="center"/>
          </w:tcPr>
          <w:p w14:paraId="56F9A08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公司及本公司控制的机构不存在因涉嫌本次交易相关的内幕交易被立案调查或者立案侦查的情形，最近36个月内不存在因与上市公司重大资产重组相关的内幕交易被中国证券监督管理委员会作出行政处罚或者司法机关依法追究刑事责任的情形，不存在《上市公司监管指引第7号——上市公司重大资产重组相关股票异常交易监管》第十二条以及《深圳证券交易所上市公司自律监管指引第8号——重大资产重组》第三十条规定的不得参与任何上市公司重大资产重组的情形。</w:t>
            </w:r>
          </w:p>
          <w:p w14:paraId="22591FD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2、本公司及本公司控制的机构不存在违规泄露本次交易的相关内幕信息及违规利用该内幕信息进行内幕交易的情形，并保证采取必要措施对本次交易事宜所涉及的资料和信息严格保密。</w:t>
            </w:r>
          </w:p>
          <w:p w14:paraId="629FB16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3、本公司以上所述情况均客观真实，不存在虚假记载、误导性陈述和重大遗漏，并对其真实性、准确性和完整性承担法律责任。</w:t>
            </w:r>
          </w:p>
        </w:tc>
      </w:tr>
      <w:tr w14:paraId="7AB6B7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119" w:type="dxa"/>
            <w:tcBorders>
              <w:tl2br w:val="nil"/>
              <w:tr2bl w:val="nil"/>
            </w:tcBorders>
            <w:vAlign w:val="center"/>
          </w:tcPr>
          <w:p w14:paraId="406EBAC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w:t>
            </w:r>
          </w:p>
        </w:tc>
        <w:tc>
          <w:tcPr>
            <w:tcW w:w="1789" w:type="dxa"/>
            <w:tcBorders>
              <w:tl2br w:val="nil"/>
              <w:tr2bl w:val="nil"/>
            </w:tcBorders>
            <w:vAlign w:val="center"/>
          </w:tcPr>
          <w:p w14:paraId="288D35F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关于本次交易采取的保密措施及保密制度的承诺函</w:t>
            </w:r>
          </w:p>
        </w:tc>
        <w:tc>
          <w:tcPr>
            <w:tcW w:w="5374" w:type="dxa"/>
            <w:tcBorders>
              <w:tl2br w:val="nil"/>
              <w:tr2bl w:val="nil"/>
            </w:tcBorders>
            <w:vAlign w:val="center"/>
          </w:tcPr>
          <w:p w14:paraId="282FCD6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1、本公司高度重视保密问题，自各方就本次交易事宜进行初步磋商时，立即采取了必要且充分的保密措施。</w:t>
            </w:r>
          </w:p>
          <w:p w14:paraId="4505490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2、本公司与本次交易的证券服务中介机构签订了保密协议，本公司与交易对方在签订的交易协议中约定了相应的保密条款，明确了各方的保密责任与义务，并限定了本次交易相关敏感信息的知悉范围。</w:t>
            </w:r>
          </w:p>
          <w:p w14:paraId="1FF190F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公司严格按照《上市公司重大资产重组管理办法》《上市公司信息披露管理办法》等法律、法规及规范性文件的要求，遵循本公司章程及内部管理制度的规定，就本次交易采取了充分必要的保护措施，制定了严格有效的保密制度。</w:t>
            </w:r>
          </w:p>
          <w:p w14:paraId="47CC556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公司严格按照《上市公司监管指引第5号——上市公司内幕信息知情人登记管理制度》等相关规定，登记内幕信息知情人信息，并依据本次交易的实际进展，制作内幕信息知情人登记表及重大事项交易进程备忘录。</w:t>
            </w:r>
          </w:p>
          <w:p w14:paraId="37E191D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5、本公司多次提示相关内幕信息知情人履行保密义务和责任，在内幕信息依法披露前，不得公开或泄露该信息，不得利用内幕信息买卖或建议他人买卖本公司股票。</w:t>
            </w:r>
          </w:p>
          <w:p w14:paraId="092202E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本公司已根据相关法律、法规及规范性文件的规定，制定了严格有效的保密制度，采取了必要且充分的保密措施，限定相关敏感信息的知悉范围，及时签订了保密协议，严格履行了本次交易信息在依法披露前的保密义务。</w:t>
            </w:r>
          </w:p>
        </w:tc>
      </w:tr>
      <w:tr w14:paraId="2AD0D9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119" w:type="dxa"/>
            <w:tcBorders>
              <w:tl2br w:val="nil"/>
              <w:tr2bl w:val="nil"/>
            </w:tcBorders>
            <w:vAlign w:val="center"/>
          </w:tcPr>
          <w:p w14:paraId="3D0168D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w:t>
            </w:r>
          </w:p>
        </w:tc>
        <w:tc>
          <w:tcPr>
            <w:tcW w:w="1789" w:type="dxa"/>
            <w:tcBorders>
              <w:tl2br w:val="nil"/>
              <w:tr2bl w:val="nil"/>
            </w:tcBorders>
            <w:vAlign w:val="center"/>
          </w:tcPr>
          <w:p w14:paraId="70C6139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关于不存在不得向特定对象发行股票情形的承诺函</w:t>
            </w:r>
          </w:p>
        </w:tc>
        <w:tc>
          <w:tcPr>
            <w:tcW w:w="5374" w:type="dxa"/>
            <w:tcBorders>
              <w:tl2br w:val="nil"/>
              <w:tr2bl w:val="nil"/>
            </w:tcBorders>
            <w:vAlign w:val="center"/>
          </w:tcPr>
          <w:p w14:paraId="1FFAFFC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本公司承诺不存在《上市公司证券发行注册管理办法》第十一条规定的不得向特定对象发行股票的下列情形：1、擅自改变前次募集资金用途未作纠正，或者未经股东大会认可。</w:t>
            </w:r>
          </w:p>
          <w:p w14:paraId="618A599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最近一年财务报表的编制和披露在重大方面不符合企业会计准则或者相关信息披露规则的规定；最近一年财务会计报告被出具否定意见或者无法表示意见的审计报告；最近一年财务会计报告被出具保留意见的审计报告，且保留意见所涉及事项对上市公司的重大不利影响尚未消除。本次发行涉及重大资产重组的除外。</w:t>
            </w:r>
          </w:p>
          <w:p w14:paraId="2869A30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3、现任董事、高级管理人员最近三年受到中国证监会行政处罚，或者最近一年受到证券交易所公开谴责。</w:t>
            </w:r>
          </w:p>
          <w:p w14:paraId="54CC66B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4、上市公司或者其现任董事、高级管理人员因涉嫌犯罪正在被司法机关立案侦查或者涉嫌违法违规正在被中国证监会立案调查。</w:t>
            </w:r>
          </w:p>
          <w:p w14:paraId="5778F48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5、控股股东、实际控制人最近三年存在严重损害上市公司利益或者投资者合法权益的重大违法行为。</w:t>
            </w:r>
          </w:p>
          <w:p w14:paraId="4FE2081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6、最近三年存在严重损害投资者合法权益或者社会公共利益的重大违法行为。</w:t>
            </w:r>
          </w:p>
        </w:tc>
      </w:tr>
    </w:tbl>
    <w:p w14:paraId="10E1E57E">
      <w:pPr>
        <w:adjustRightInd w:val="0"/>
        <w:snapToGrid w:val="0"/>
        <w:spacing w:before="120"/>
        <w:ind w:firstLine="482"/>
        <w:jc w:val="both"/>
        <w:rPr>
          <w:color w:val="000000" w:themeColor="text1"/>
          <w14:textFill>
            <w14:solidFill>
              <w14:schemeClr w14:val="tx1"/>
            </w14:solidFill>
          </w14:textFill>
        </w:rPr>
      </w:pPr>
      <w:r>
        <w:rPr>
          <w:rFonts w:hint="eastAsia"/>
          <w:b/>
          <w:bCs/>
          <w:color w:val="000000" w:themeColor="text1"/>
          <w:lang w:bidi="ar"/>
          <w14:textFill>
            <w14:solidFill>
              <w14:schemeClr w14:val="tx1"/>
            </w14:solidFill>
          </w14:textFill>
        </w:rPr>
        <w:t>2、上市公司董事、监事、高级管理人员承诺</w:t>
      </w:r>
    </w:p>
    <w:tbl>
      <w:tblPr>
        <w:tblStyle w:val="7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1794"/>
        <w:gridCol w:w="5369"/>
        <w:gridCol w:w="6"/>
      </w:tblGrid>
      <w:tr w14:paraId="6BF66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119" w:type="dxa"/>
            <w:tcBorders>
              <w:top w:val="single" w:color="auto" w:sz="12" w:space="0"/>
              <w:left w:val="single" w:color="auto" w:sz="12" w:space="0"/>
            </w:tcBorders>
            <w:vAlign w:val="center"/>
          </w:tcPr>
          <w:p w14:paraId="022A1AA1">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承诺方</w:t>
            </w:r>
          </w:p>
        </w:tc>
        <w:tc>
          <w:tcPr>
            <w:tcW w:w="1794" w:type="dxa"/>
            <w:tcBorders>
              <w:top w:val="single" w:color="auto" w:sz="12" w:space="0"/>
            </w:tcBorders>
            <w:vAlign w:val="center"/>
          </w:tcPr>
          <w:p w14:paraId="04E520A0">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承诺事项</w:t>
            </w:r>
          </w:p>
        </w:tc>
        <w:tc>
          <w:tcPr>
            <w:tcW w:w="5369" w:type="dxa"/>
            <w:gridSpan w:val="2"/>
            <w:tcBorders>
              <w:top w:val="single" w:color="auto" w:sz="12" w:space="0"/>
              <w:right w:val="single" w:color="auto" w:sz="12" w:space="0"/>
            </w:tcBorders>
            <w:vAlign w:val="center"/>
          </w:tcPr>
          <w:p w14:paraId="29224E57">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承诺内容</w:t>
            </w:r>
          </w:p>
        </w:tc>
      </w:tr>
      <w:tr w14:paraId="63ED8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left w:val="single" w:color="auto" w:sz="12" w:space="0"/>
            </w:tcBorders>
            <w:vAlign w:val="center"/>
          </w:tcPr>
          <w:p w14:paraId="560C620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上市公司董事、监事、高级管理人员</w:t>
            </w:r>
          </w:p>
        </w:tc>
        <w:tc>
          <w:tcPr>
            <w:tcW w:w="1794" w:type="dxa"/>
            <w:vAlign w:val="center"/>
          </w:tcPr>
          <w:p w14:paraId="4409CC4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关于提供信息真实、准确和完整的承诺函</w:t>
            </w:r>
          </w:p>
        </w:tc>
        <w:tc>
          <w:tcPr>
            <w:tcW w:w="5369" w:type="dxa"/>
            <w:gridSpan w:val="2"/>
            <w:tcBorders>
              <w:right w:val="single" w:color="auto" w:sz="12" w:space="0"/>
            </w:tcBorders>
            <w:vAlign w:val="center"/>
          </w:tcPr>
          <w:p w14:paraId="3EB1B77E">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1、本人向参与本次交易的证券服务机构所提供的资料及信息真实、准确、完整，其中的副本或复印件与正本或原件一致且相符，所有文件的签名、印章均是真实的，相关文件经合法有效签署，不存在任何虚假记载、误导性陈述或者重大遗漏。</w:t>
            </w:r>
          </w:p>
          <w:p w14:paraId="5D8F3EE1">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2、本人为本次交易所出具的说明、声明、承诺以及所提供或披露的资料及信息均真实、准确、完整，不存在任何虚假记载、误导性陈述或者重大遗漏。</w:t>
            </w:r>
          </w:p>
          <w:p w14:paraId="53BFF30F">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3、本人保证本次交易的信息披露和申请文件真实、准确、完整，不存在任何虚假记载、误导性陈述或者重大遗漏。本人保证已履行了法定的披露和报告义务，不存在应当披露而未披露的合同、协议、安排或其他事项。</w:t>
            </w:r>
          </w:p>
          <w:p w14:paraId="3E6499E5">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4、本人保证参与本次交易的证券服务机构在申请文件中引用的由本人所出具的文件及引用文件的相关内容已经本人审阅，确认本次交易的申请文件不致因引用上述内容而出现虚假记载、误导性陈述或重大遗漏。</w:t>
            </w:r>
          </w:p>
          <w:p w14:paraId="7A11F3C1">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5、根据本次交易的进程，本人将依照法律法规及中国证券监督管理委员会和深圳证券交易所的有关规定，及时、公平地提供或披露相关信息和文件，并保证继续提供的信息和文件仍然符合真实、准确、完整、有效的要求。</w:t>
            </w:r>
          </w:p>
          <w:p w14:paraId="51FE0D0A">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6、如本次交易所披露或提供的信息涉嫌虚假记载、误导性陈述或者重大遗漏，被司法机关立案侦查或者被中国证监会立案调查的，在形成调查结论以前，本人不转让在上市公司拥有权益的股份（如有），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5A427181">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7、若违反上述承诺，本人将依法承担相应的法律责任。</w:t>
            </w:r>
          </w:p>
        </w:tc>
      </w:tr>
      <w:tr w14:paraId="7ACEF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left w:val="single" w:color="auto" w:sz="12" w:space="0"/>
            </w:tcBorders>
            <w:vAlign w:val="center"/>
          </w:tcPr>
          <w:p w14:paraId="45F252B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上市公司董事、监事、高级管理人员</w:t>
            </w:r>
          </w:p>
        </w:tc>
        <w:tc>
          <w:tcPr>
            <w:tcW w:w="1794" w:type="dxa"/>
            <w:vAlign w:val="center"/>
          </w:tcPr>
          <w:p w14:paraId="35CF960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关于合法合规及诚信情况的承诺函</w:t>
            </w:r>
          </w:p>
        </w:tc>
        <w:tc>
          <w:tcPr>
            <w:tcW w:w="5369" w:type="dxa"/>
            <w:gridSpan w:val="2"/>
            <w:tcBorders>
              <w:right w:val="single" w:color="auto" w:sz="12" w:space="0"/>
            </w:tcBorders>
            <w:vAlign w:val="center"/>
          </w:tcPr>
          <w:p w14:paraId="0F503AE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具备和遵守《中华人民共和国公司法》等法律、法规、规范性文件和公司章程规定的任职资格和义务，本人任职经合法程序产生，不存在有关法律、法规、规范性文件和公司章程及有关监管部门、兼职单位（如有）所禁止的兼职情形；本人不存在违反《中华人民共和国公司法》第一百七十八条、第一百七十九条、第一百八十条、第一百八十一条规定的行为。</w:t>
            </w:r>
          </w:p>
          <w:p w14:paraId="19654FC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2、本人最近三年不存在因违反法律、行政法规、规范性文件受到行政处罚（与证券市场明显无关的除外），或者刑事处罚。</w:t>
            </w:r>
          </w:p>
          <w:p w14:paraId="7971E48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3、本人最近三年内不存在因违反证券法律、行政法规、规范性文件受到中国证监会及其派出机构、证券交易所采取行政监管措施、纪律处分或者行政处罚的情形。</w:t>
            </w:r>
          </w:p>
          <w:p w14:paraId="2DAEB32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4、本人最近一年内未受到证券交易所公开谴责，亦不存在其他重大失信行为。</w:t>
            </w:r>
          </w:p>
          <w:p w14:paraId="35CEADD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5、本人最近三年内诚信情况良好，不存在未按期偿还大额债务、未履行承诺的情形，不存在严重损害投资者合法权益和社会公共利益的情形。</w:t>
            </w:r>
          </w:p>
          <w:p w14:paraId="4BD686F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截至本承诺函签署日，本人不存在尚未了结或可预见的重大诉讼、仲裁或行政处罚案件，亦不存在因涉嫌犯罪正被司法机关立案侦查或涉嫌违法违规正被中国证监会立案调查的情形，不存在被其他有权部门调查等情形。</w:t>
            </w:r>
          </w:p>
          <w:p w14:paraId="64E92B8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7、本人上述情况均客观真实，不存在虚假记载、误导性陈述和重大遗漏，并对其真实性、准确性和完整性承担法律责任。</w:t>
            </w:r>
          </w:p>
        </w:tc>
      </w:tr>
      <w:tr w14:paraId="1AF19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left w:val="single" w:color="auto" w:sz="12" w:space="0"/>
            </w:tcBorders>
            <w:vAlign w:val="center"/>
          </w:tcPr>
          <w:p w14:paraId="61AB298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上市公司董事、监事、高级管理人员</w:t>
            </w:r>
          </w:p>
        </w:tc>
        <w:tc>
          <w:tcPr>
            <w:tcW w:w="1794" w:type="dxa"/>
            <w:vAlign w:val="center"/>
          </w:tcPr>
          <w:p w14:paraId="154EBB7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关于不存在不得参与上市公司重大资产重组情形的承诺函</w:t>
            </w:r>
          </w:p>
        </w:tc>
        <w:tc>
          <w:tcPr>
            <w:tcW w:w="5369" w:type="dxa"/>
            <w:gridSpan w:val="2"/>
            <w:tcBorders>
              <w:right w:val="single" w:color="auto" w:sz="12" w:space="0"/>
            </w:tcBorders>
            <w:vAlign w:val="center"/>
          </w:tcPr>
          <w:p w14:paraId="37FB50A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及本人控制的企业不存在因涉嫌本次交易相关的内幕交易被立案调查或者立案侦查的情形，最近36个月内不存在因与上市公司重大资产重组相关的内幕交易被中国证券监督管理委员会作出行政处罚或者司法机关依法追究刑事责任的情形，不存在《上市公司监管指引第7号——上市公司重大资产重组相关股票异常交易监管》第十二条以及《深圳证券交易所上市公司自律监管指引第8号——重大资产重组》第三十条规定的不得参与任何上市公司重大资产重组的情形。</w:t>
            </w:r>
          </w:p>
          <w:p w14:paraId="737A95D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2、本人及本人控制的企业不存在违规泄露本次交易的相关内幕信息及违规利用该内幕信息进行内幕交易的情形，并保证采取必要措施对本次交易事宜所涉及的资料和信息严格保密。</w:t>
            </w:r>
          </w:p>
          <w:p w14:paraId="6E8530D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3、本人以上所述情况均客观真实，不存在虚假记载、误导性陈述和重大遗漏，并对其真实性、准确性和完整性承担法律责任。</w:t>
            </w:r>
          </w:p>
        </w:tc>
      </w:tr>
      <w:tr w14:paraId="5B885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left w:val="single" w:color="auto" w:sz="12" w:space="0"/>
            </w:tcBorders>
            <w:vAlign w:val="center"/>
          </w:tcPr>
          <w:p w14:paraId="1B754F7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上市公司董事、监事、高级管理人员</w:t>
            </w:r>
          </w:p>
        </w:tc>
        <w:tc>
          <w:tcPr>
            <w:tcW w:w="1794" w:type="dxa"/>
            <w:vAlign w:val="center"/>
          </w:tcPr>
          <w:p w14:paraId="06D7E84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关于上市公司股份减持计划的承诺函</w:t>
            </w:r>
          </w:p>
        </w:tc>
        <w:tc>
          <w:tcPr>
            <w:tcW w:w="5369" w:type="dxa"/>
            <w:gridSpan w:val="2"/>
            <w:tcBorders>
              <w:right w:val="single" w:color="auto" w:sz="12" w:space="0"/>
            </w:tcBorders>
            <w:vAlign w:val="center"/>
          </w:tcPr>
          <w:p w14:paraId="41C856E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1、截至本承诺函出具之日，本人不存在减持上市公司股份的计划。</w:t>
            </w:r>
          </w:p>
          <w:p w14:paraId="58D4C98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187B456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3、如本人后续根据自身实际情况需要或市场变化拟减持上市公司股份的，本人将依据相关法律法规的规定及时履行信息披露义务。</w:t>
            </w:r>
          </w:p>
          <w:p w14:paraId="3DD3C03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4、若本人的减持承诺与证券监管机构的最新监管意见不相符，本人将根据相关证券监管机构的监管意见进行调整。</w:t>
            </w:r>
          </w:p>
          <w:p w14:paraId="7F748C6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p>
        </w:tc>
      </w:tr>
      <w:tr w14:paraId="7C9D7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119" w:type="dxa"/>
            <w:tcBorders>
              <w:left w:val="single" w:color="auto" w:sz="12" w:space="0"/>
              <w:bottom w:val="single" w:color="auto" w:sz="12" w:space="0"/>
            </w:tcBorders>
            <w:vAlign w:val="center"/>
          </w:tcPr>
          <w:p w14:paraId="09D1AB4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上市公司董事、监事、高级管理人员</w:t>
            </w:r>
          </w:p>
        </w:tc>
        <w:tc>
          <w:tcPr>
            <w:tcW w:w="1794" w:type="dxa"/>
            <w:tcBorders>
              <w:bottom w:val="single" w:color="auto" w:sz="12" w:space="0"/>
            </w:tcBorders>
            <w:vAlign w:val="center"/>
          </w:tcPr>
          <w:p w14:paraId="013CE42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关于本次交易采取的保密措施及保密制度的承诺函</w:t>
            </w:r>
          </w:p>
        </w:tc>
        <w:tc>
          <w:tcPr>
            <w:tcW w:w="5369" w:type="dxa"/>
            <w:tcBorders>
              <w:bottom w:val="single" w:color="auto" w:sz="12" w:space="0"/>
              <w:right w:val="single" w:color="auto" w:sz="12" w:space="0"/>
            </w:tcBorders>
            <w:vAlign w:val="center"/>
          </w:tcPr>
          <w:p w14:paraId="06A76F3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1、本人保证针对本次交易已采取了有效的保密措施，履行了保密义务。</w:t>
            </w:r>
          </w:p>
          <w:p w14:paraId="61F8256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2、本人承诺并保证不泄露本次交易内幕信息，在内幕信息依法披露之前，不公开或者泄露信息，不利用内幕信息买卖或者建议他人买卖上市公司股票。</w:t>
            </w:r>
          </w:p>
          <w:p w14:paraId="0E91AB4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3、本人严格按照上市公司内幕信息知情人登记管理制度相关要求进行内幕信息知情人登记。</w:t>
            </w:r>
          </w:p>
          <w:p w14:paraId="2575B49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4、如因本人违反上述承诺或因上述承诺被证明不真实为上市公司或投资者造成损失的，将依法承担相应的法律责任。</w:t>
            </w:r>
          </w:p>
        </w:tc>
      </w:tr>
      <w:tr w14:paraId="6DBA9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tcBorders>
              <w:left w:val="single" w:color="auto" w:sz="12" w:space="0"/>
              <w:bottom w:val="single" w:color="auto" w:sz="12" w:space="0"/>
            </w:tcBorders>
            <w:vAlign w:val="center"/>
          </w:tcPr>
          <w:p w14:paraId="745ED5E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上市公司董事、高级管理人员</w:t>
            </w:r>
          </w:p>
        </w:tc>
        <w:tc>
          <w:tcPr>
            <w:tcW w:w="1794" w:type="dxa"/>
            <w:tcBorders>
              <w:bottom w:val="single" w:color="auto" w:sz="12" w:space="0"/>
            </w:tcBorders>
            <w:vAlign w:val="center"/>
          </w:tcPr>
          <w:p w14:paraId="73D3C3A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关于本次重组摊薄即期回报采取填补措施的承诺函</w:t>
            </w:r>
          </w:p>
        </w:tc>
        <w:tc>
          <w:tcPr>
            <w:tcW w:w="5369" w:type="dxa"/>
            <w:gridSpan w:val="2"/>
            <w:tcBorders>
              <w:bottom w:val="single" w:color="auto" w:sz="12" w:space="0"/>
              <w:right w:val="single" w:color="auto" w:sz="12" w:space="0"/>
            </w:tcBorders>
            <w:vAlign w:val="center"/>
          </w:tcPr>
          <w:p w14:paraId="4028C54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1、本人承诺忠实、勤勉地履行上市公司董事或高级管理人员的职责，维护公司和全体股东的合法权益。</w:t>
            </w:r>
          </w:p>
          <w:p w14:paraId="224412E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2、本人承诺不无偿或以不公平条件向其他单位或者个人输送利益，也不采用其他方式损害上市公司利益。</w:t>
            </w:r>
          </w:p>
          <w:p w14:paraId="1815FD8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3、本人承诺对本人的职务消费行为进行约束。</w:t>
            </w:r>
          </w:p>
          <w:p w14:paraId="757701A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4、本人承诺不得动用上市公司资产从事与本人履行职责无关的投资、消费活动。</w:t>
            </w:r>
          </w:p>
          <w:p w14:paraId="77BF0C1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5、本人承诺支持董事会或薪酬与考核委员会制订薪酬制度时，应与上市公司填补回报措施的执行情况相挂钩。</w:t>
            </w:r>
          </w:p>
          <w:p w14:paraId="75C0203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6、未来上市公司如实施股权激励计划，在本人合法权限范围内，促使拟公告的股权激励计划设置的行权条件将与上市公司填补回报措施的执行情况相挂钩。</w:t>
            </w:r>
          </w:p>
          <w:p w14:paraId="4A7D949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自本承诺签署日后至本次交易完成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648D473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8、本人承诺切实履行上市公司制定的有关填补回报措施以及本人对此作出的任何有关填补回报措施的承诺，若本人违反该等承诺并给上市公司或者投资者造成损失的，本人将依法承担相应的法律责任。</w:t>
            </w:r>
          </w:p>
        </w:tc>
      </w:tr>
    </w:tbl>
    <w:p w14:paraId="7929F06F">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（二）上市公司控股股东、实际控制人作出的重要承诺</w:t>
      </w:r>
    </w:p>
    <w:tbl>
      <w:tblPr>
        <w:tblStyle w:val="7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1641"/>
        <w:gridCol w:w="5369"/>
        <w:gridCol w:w="6"/>
      </w:tblGrid>
      <w:tr w14:paraId="3934C4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272" w:type="dxa"/>
            <w:vAlign w:val="center"/>
          </w:tcPr>
          <w:p w14:paraId="10A076C7">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承诺方</w:t>
            </w:r>
          </w:p>
        </w:tc>
        <w:tc>
          <w:tcPr>
            <w:tcW w:w="1641" w:type="dxa"/>
            <w:vAlign w:val="center"/>
          </w:tcPr>
          <w:p w14:paraId="3A270694">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承诺事项</w:t>
            </w:r>
          </w:p>
        </w:tc>
        <w:tc>
          <w:tcPr>
            <w:tcW w:w="5369" w:type="dxa"/>
            <w:gridSpan w:val="2"/>
            <w:vAlign w:val="center"/>
          </w:tcPr>
          <w:p w14:paraId="0517A3B9">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承诺内容</w:t>
            </w:r>
          </w:p>
        </w:tc>
      </w:tr>
      <w:tr w14:paraId="4E1640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0A05527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6688A1D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关于提供信息真实、准确和完整的承诺函</w:t>
            </w:r>
          </w:p>
        </w:tc>
        <w:tc>
          <w:tcPr>
            <w:tcW w:w="5369" w:type="dxa"/>
            <w:gridSpan w:val="2"/>
            <w:vAlign w:val="center"/>
          </w:tcPr>
          <w:p w14:paraId="40F0808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671E373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2、本人为本次交易所出具的说明、声明、承诺以及所提供或披露的资料及信息均真实、准确、完整，不存在任何虚假记载、误导性陈述或者重大遗漏。</w:t>
            </w:r>
          </w:p>
          <w:p w14:paraId="41A6A81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保证本次交易的信息披露和申请文件真实、准确、完整，不存在任何虚假记载、误导性陈述或者重大遗漏。本人保证已履行了法定的披露和报告义务，不存在应当披露而未披露的合同、协议、安排或其他事项。</w:t>
            </w:r>
          </w:p>
          <w:p w14:paraId="136C44A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4、本人保证参与本次交易的证券服务机构在申请文件中引用的由本人所出具的文件及引用文件的相关内容已经本人审阅，确认本次交易的申请文件不致因引用上述内容而出现虚假记载、误导性陈述或重大遗漏。</w:t>
            </w:r>
          </w:p>
          <w:p w14:paraId="2775BBD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根据本次交易的进程，本人将依照法律法规及中国证券监督管理委员会和深圳证券交易所的有关规定，及时、公平地提供或披露相关信息和文件，并保证继续提供的信息和文件仍然符合真实、准确、完整、有效的要求。</w:t>
            </w:r>
          </w:p>
          <w:p w14:paraId="7687336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如本次交易所披露或提供的信息涉嫌虚假记载、误导性陈述或者重大遗漏，被司法机关立案侦查或者被中国证监会立案调查的，在形成调查结论以前，本人不转让在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084C247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7、若违反上述承诺，本人将依法承担相应的法律责任。</w:t>
            </w:r>
          </w:p>
        </w:tc>
      </w:tr>
      <w:tr w14:paraId="5F537B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69546EB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329B19F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关于合法合规及诚信情况的承诺函</w:t>
            </w:r>
          </w:p>
        </w:tc>
        <w:tc>
          <w:tcPr>
            <w:tcW w:w="5369" w:type="dxa"/>
            <w:gridSpan w:val="2"/>
            <w:vAlign w:val="center"/>
          </w:tcPr>
          <w:p w14:paraId="29D2B4C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1、本人最近三年不存在严重损害上市公司利益、投资者的合法权益或者社会公共利益的重大违法行为。</w:t>
            </w:r>
          </w:p>
          <w:p w14:paraId="4A63B19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最近三年不存在因违反法律、行政法规、规范性文件受到行政处罚（与证券市场明显无关的除外）或者刑事处罚的情形或者因违反证券法律、行政法规、规范性文件受到中国证监会及其派出机构、证券交易所采取行政监管措施、纪律处分或者行政处罚的情形。</w:t>
            </w:r>
          </w:p>
          <w:p w14:paraId="21388C7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3、本人最近一年内未受到证券交易所公开谴责，亦不存在其他重大失信行为。</w:t>
            </w:r>
          </w:p>
          <w:p w14:paraId="060491D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截至本承诺函签署日，本人不存在尚未了结或可预见的重大诉讼、仲裁或行政处罚案件，亦不存在因涉嫌犯罪正被司法机关立案侦查或涉嫌违法违规正被中国证监会立案调查的情形，不存在被其他有权部门调查等情形。</w:t>
            </w:r>
          </w:p>
          <w:p w14:paraId="2C1C6C9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5、本人上述情况均客观真实，不存在虚假记载、误导性陈述和重大遗漏，并对其真实性、准确性和完整性承担法律责任。</w:t>
            </w:r>
          </w:p>
        </w:tc>
      </w:tr>
      <w:tr w14:paraId="23462C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68695D3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19D83CE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关于上市公司股份减持计划的承诺函</w:t>
            </w:r>
          </w:p>
        </w:tc>
        <w:tc>
          <w:tcPr>
            <w:tcW w:w="5369" w:type="dxa"/>
            <w:gridSpan w:val="2"/>
            <w:vAlign w:val="center"/>
          </w:tcPr>
          <w:p w14:paraId="4E771C6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1、截至本承诺函出具之日，本人不存在减持上市公司股份的计划。</w:t>
            </w:r>
          </w:p>
          <w:p w14:paraId="66E8A5A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1ED8467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3、如本人后续根据自身实际情况需要或市场变化拟减持上市公司股份的，本人将依据相关法律法规的规定及时履行信息披露义务。</w:t>
            </w:r>
          </w:p>
          <w:p w14:paraId="74B4ED9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4、若本人的减持承诺与证券监管机构的最新监管意见不相符，本人将根据相关证券监管机构的监管意见进行调整。</w:t>
            </w:r>
          </w:p>
          <w:p w14:paraId="385E81A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p>
        </w:tc>
      </w:tr>
      <w:tr w14:paraId="62C4DC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472A811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4B74A5E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关于本次重组摊薄即期回报采取填补措施的承诺函</w:t>
            </w:r>
          </w:p>
        </w:tc>
        <w:tc>
          <w:tcPr>
            <w:tcW w:w="5369" w:type="dxa"/>
            <w:gridSpan w:val="2"/>
            <w:vAlign w:val="center"/>
          </w:tcPr>
          <w:p w14:paraId="454CD8B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1、本人承诺不越权干预上市公司经营管理活动，也不采用其他方式损害上市公司利益。</w:t>
            </w:r>
          </w:p>
          <w:p w14:paraId="2745F0E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自本承诺签署日至本次交易实施完毕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0986A04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3、如本人违反上述承诺并因此给上市公司或者上市公司股东造成损失的，本人将依法承担赔偿责任。</w:t>
            </w:r>
          </w:p>
        </w:tc>
      </w:tr>
      <w:tr w14:paraId="4BBCB3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1162B77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0413559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关于不存在不得参与上市公司重大资产重组情形的承诺函</w:t>
            </w:r>
          </w:p>
        </w:tc>
        <w:tc>
          <w:tcPr>
            <w:tcW w:w="5369" w:type="dxa"/>
            <w:gridSpan w:val="2"/>
            <w:vAlign w:val="center"/>
          </w:tcPr>
          <w:p w14:paraId="257E9CA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及本人控制的企业不存在因涉嫌本次交易相关的内幕交易被立案调查或者立案侦查的情形，最近36个月内不存在因与上市公司重大资产重组相关的内幕交易被中国证券监督管理委员会作出行政处罚或者司法机关依法追究刑事责任的情形，不存在《上市公司监管指引第7号——上市公司重大资产重组相关股票异常交易监管》第十二条以及《深圳证券交易所上市公司自律监管指引第8号——重大资产重组》第三十条规定的不得参与任何上市公司重大资产重组的情形。</w:t>
            </w:r>
          </w:p>
          <w:p w14:paraId="2F3DD9B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2、本人及本人控制的企业不存在违规泄露本次交易的相关内幕信息及违规利用该内幕信息进行内幕交易的情形，并保证采取必要措施对本次交易事宜所涉及的资料和信息严格保密。</w:t>
            </w:r>
          </w:p>
          <w:p w14:paraId="6FF7031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3、本人以上所述情况均客观真实，不存在虚假记载、误导性陈述和重大遗漏，并对其真实性、准确性和完整性承担法律责任。</w:t>
            </w:r>
          </w:p>
        </w:tc>
      </w:tr>
      <w:tr w14:paraId="78ECE3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66D6681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0FBF0DB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关于保持上市公司独立性的承诺函</w:t>
            </w:r>
          </w:p>
        </w:tc>
        <w:tc>
          <w:tcPr>
            <w:tcW w:w="5369" w:type="dxa"/>
            <w:gridSpan w:val="2"/>
            <w:vAlign w:val="center"/>
          </w:tcPr>
          <w:p w14:paraId="21374A4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次交易前，上市公司已按照《公司法》《证券法》和中国证监会的有关要求，建立了完善的法人治理结构和独立运营的公司管理体制。本人保证上市公司在业务、资产、机构、人员和财务等方面与本人及本人控制的其他企业之间保持独立，上市公司在业务、资产、机构、人员和财务等方面具备独立性。</w:t>
            </w:r>
          </w:p>
          <w:p w14:paraId="721C2DB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次交易完成后，本人及本人控制的其他企业不会利用上市公司控股股东、实际控制人的身份影响上市公司独立性和合法利益，切实保障上市公司在人员、资产、业务、机构和财务等方面的独立性，并严格遵守中国证监会关于上市公司独立性的相关规定，不违规利用上市公司为本人或本人控制的其他企业提供担保，不违规占用上市公司资金、资产，保持并维护上市公司的独立性，维护上市公司其他股东的合法权益。</w:t>
            </w:r>
          </w:p>
          <w:p w14:paraId="0925618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3、本次交易不会对上市公司法人治理结构带来不利影响。本次交易完成后，本人将积极协助上市公司进一步加强和完善上市公司的治理结构。</w:t>
            </w:r>
          </w:p>
          <w:p w14:paraId="42B7DE6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4、本人知悉上述承诺可能导致的法律后果，如违反上述承诺，本人自愿承担相应的法律责任。</w:t>
            </w:r>
          </w:p>
        </w:tc>
      </w:tr>
      <w:tr w14:paraId="7EB46E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4A84F1D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5038AFB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关于规范和减少关联交易的承诺函</w:t>
            </w:r>
          </w:p>
        </w:tc>
        <w:tc>
          <w:tcPr>
            <w:tcW w:w="5369" w:type="dxa"/>
            <w:gridSpan w:val="2"/>
            <w:vAlign w:val="center"/>
          </w:tcPr>
          <w:p w14:paraId="5E821A3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1、本人及本人的直接或间接控制的企业将采取必要措施尽量避免和减少与上市公司及其下属企业之间发生的关联交易。</w:t>
            </w:r>
          </w:p>
          <w:p w14:paraId="66FEA0B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对于正常经营范围内无法避免或有合理理由存在的关联交易，本人及本人的直接或间接控制的企业将遵循公开、公平、公正的原则，将依法签订协议，按照公允、合理的市场价格与上市公司及其下属企业进行交易，促使上市公司依据有关法律、法规及规范性文件的规定履行决策程序，依法履行信息披露义务。</w:t>
            </w:r>
          </w:p>
          <w:p w14:paraId="23562ED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及本人的直接或间接控制的企业保证不以拆借、占用或由上市公司代垫款项、代偿债务等任何方式挪用、侵占上市公司及其下属企业的资金、利润、资产及其他资源，不利用关联交易损害上市公司及其下属企业或上市公司其他股东的合法权益。</w:t>
            </w:r>
          </w:p>
          <w:p w14:paraId="194E71C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4、如违反上述承诺，本人将依法承担相应的法律责任。</w:t>
            </w:r>
          </w:p>
        </w:tc>
      </w:tr>
      <w:tr w14:paraId="4ECD7C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2" w:type="dxa"/>
            <w:vAlign w:val="center"/>
          </w:tcPr>
          <w:p w14:paraId="09C36F2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55047DE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关于避免同业竞争的承诺函</w:t>
            </w:r>
          </w:p>
        </w:tc>
        <w:tc>
          <w:tcPr>
            <w:tcW w:w="5369" w:type="dxa"/>
            <w:gridSpan w:val="2"/>
            <w:vAlign w:val="center"/>
          </w:tcPr>
          <w:p w14:paraId="1750B11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1、截至本承诺函出具日，除持有上市公司股权外，本人及本人控制的企业不存在直接或间接从事与上市公司及其控制的企业实际从事的业务构成或可能构成同业竞争的任何业务活动。</w:t>
            </w:r>
          </w:p>
          <w:p w14:paraId="6F6740D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在本次交易完成后，本人及本人控制的企业不会直接或间接地以任何方式参与或进行与上市公司及其控制的企业实际从事的业务存在直接或间接竞争的任何业务活动。凡本人及本人控制的企业将来可能获得任何与上市公司及其控制的企业存在直接或间接竞争的业务机会，本人及本人控制的企业按照如下方式退出与上市公司的竞争：</w:t>
            </w:r>
          </w:p>
          <w:p w14:paraId="3AA1D10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（1）停止生产构成竞争或可能构成竞争的产品；</w:t>
            </w:r>
          </w:p>
          <w:p w14:paraId="01BE5EE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（2）停止经营构成竞争或可能构成竞争的业务；</w:t>
            </w:r>
          </w:p>
          <w:p w14:paraId="58A6E77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（3）将相竞争的业务纳入到上市公司来经营；</w:t>
            </w:r>
          </w:p>
          <w:p w14:paraId="6F76CDE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（4）将相竞争的业务转让给无关联的第三方。</w:t>
            </w:r>
          </w:p>
          <w:p w14:paraId="22C1116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3、本人保证有权签署本承诺函，且本承诺函一经签署即对本人构成有效的、合法的、具有约束力的责任。</w:t>
            </w:r>
          </w:p>
          <w:p w14:paraId="26B66EE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4、自本承诺函签署日起，本人愿意对违反上述承诺而给上市公司造成的损失承担赔偿责任；本人亦应将上述相关获利支付给上市公司；上市公司有权将应付本人的分红收入予以扣留并冲抵前述相关款项。</w:t>
            </w:r>
          </w:p>
        </w:tc>
      </w:tr>
      <w:tr w14:paraId="0ADA30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272" w:type="dxa"/>
            <w:vAlign w:val="center"/>
          </w:tcPr>
          <w:p w14:paraId="71A3906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21DA5C1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关于本次交易采取的保密措施及保密制度的承诺函</w:t>
            </w:r>
          </w:p>
        </w:tc>
        <w:tc>
          <w:tcPr>
            <w:tcW w:w="5369" w:type="dxa"/>
            <w:vAlign w:val="center"/>
          </w:tcPr>
          <w:p w14:paraId="604B9C7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1、本人保证针对本次交易已采取了有效的保密措施，履行了保密义务。</w:t>
            </w:r>
          </w:p>
          <w:p w14:paraId="14FDBC6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2、本人承诺并保证不泄露本次交易内幕信息，在内幕信息依法披露之前，不公开或者泄露信息，不利用内幕信息买卖或者建议他人买卖上市公司股票。</w:t>
            </w:r>
          </w:p>
          <w:p w14:paraId="748BE2E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3、本人严格按照上市公司内幕信息知情人登记管理制度相关要求进行内幕信息知情人登记。</w:t>
            </w:r>
          </w:p>
          <w:p w14:paraId="2E3EC0D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4、如因本人违反上述承诺或因上述承诺被证明不真实为上市公司或投资者造成损失的，将依法承担相应的法律责任。</w:t>
            </w:r>
          </w:p>
        </w:tc>
      </w:tr>
      <w:tr w14:paraId="634CDB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272" w:type="dxa"/>
            <w:vAlign w:val="center"/>
          </w:tcPr>
          <w:p w14:paraId="3CE6801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林明玲、马学沛</w:t>
            </w:r>
          </w:p>
        </w:tc>
        <w:tc>
          <w:tcPr>
            <w:tcW w:w="1641" w:type="dxa"/>
            <w:vAlign w:val="center"/>
          </w:tcPr>
          <w:p w14:paraId="05CED5AC">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关于原则同意本次交易的承诺函</w:t>
            </w:r>
          </w:p>
        </w:tc>
        <w:tc>
          <w:tcPr>
            <w:tcW w:w="5369" w:type="dxa"/>
            <w:vAlign w:val="center"/>
          </w:tcPr>
          <w:p w14:paraId="2330F79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已知悉上市公司本次交易的相关信息和方案，本人认为，本次交易符合相关法律、法规及监管规则的要求，有利于增强上市公司持续经营能力、抗风险能力和综合竞争实力，有利于维护上市公司及全体股东的利益，本人原则上同意本次交易。</w:t>
            </w:r>
          </w:p>
          <w:p w14:paraId="193F87E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2、本人将坚持在有利于上市公司的前提下，积极促成本次交易顺利进行。</w:t>
            </w:r>
          </w:p>
        </w:tc>
      </w:tr>
    </w:tbl>
    <w:p w14:paraId="13647079">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（三）交易对方作出的重要承诺</w:t>
      </w:r>
    </w:p>
    <w:tbl>
      <w:tblPr>
        <w:tblStyle w:val="7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7"/>
        <w:gridCol w:w="1649"/>
        <w:gridCol w:w="5540"/>
        <w:gridCol w:w="6"/>
      </w:tblGrid>
      <w:tr w14:paraId="56905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327" w:type="dxa"/>
            <w:tcBorders>
              <w:top w:val="single" w:color="auto" w:sz="12" w:space="0"/>
              <w:left w:val="single" w:color="auto" w:sz="12" w:space="0"/>
            </w:tcBorders>
            <w:vAlign w:val="center"/>
          </w:tcPr>
          <w:p w14:paraId="365799ED">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承诺方</w:t>
            </w:r>
          </w:p>
        </w:tc>
        <w:tc>
          <w:tcPr>
            <w:tcW w:w="1649" w:type="dxa"/>
            <w:tcBorders>
              <w:top w:val="single" w:color="auto" w:sz="12" w:space="0"/>
            </w:tcBorders>
            <w:vAlign w:val="center"/>
          </w:tcPr>
          <w:p w14:paraId="518990E0">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承诺事项</w:t>
            </w:r>
          </w:p>
        </w:tc>
        <w:tc>
          <w:tcPr>
            <w:tcW w:w="5546" w:type="dxa"/>
            <w:gridSpan w:val="2"/>
            <w:tcBorders>
              <w:top w:val="single" w:color="auto" w:sz="12" w:space="0"/>
              <w:right w:val="single" w:color="auto" w:sz="12" w:space="0"/>
            </w:tcBorders>
            <w:vAlign w:val="center"/>
          </w:tcPr>
          <w:p w14:paraId="6BE5AB75">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承诺内容</w:t>
            </w:r>
          </w:p>
        </w:tc>
      </w:tr>
      <w:tr w14:paraId="7CBA9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27" w:type="dxa"/>
            <w:tcBorders>
              <w:left w:val="single" w:color="auto" w:sz="12" w:space="0"/>
            </w:tcBorders>
            <w:vAlign w:val="center"/>
          </w:tcPr>
          <w:p w14:paraId="1C5EA3C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陈耿豪等22名发行股份及支付现金购买资产交易对方</w:t>
            </w:r>
          </w:p>
        </w:tc>
        <w:tc>
          <w:tcPr>
            <w:tcW w:w="1649" w:type="dxa"/>
            <w:vAlign w:val="center"/>
          </w:tcPr>
          <w:p w14:paraId="7BB4501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关于提供信息真实、准确和完整的承诺函</w:t>
            </w:r>
          </w:p>
        </w:tc>
        <w:tc>
          <w:tcPr>
            <w:tcW w:w="5546" w:type="dxa"/>
            <w:gridSpan w:val="2"/>
            <w:tcBorders>
              <w:right w:val="single" w:color="auto" w:sz="12" w:space="0"/>
            </w:tcBorders>
            <w:vAlign w:val="center"/>
          </w:tcPr>
          <w:p w14:paraId="704DA3D2">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1、本人/本企业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3C74428D">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2、本人/本企业为本次交易所出具的说明、声明、承诺以及所提供或披露的资料及信息均真实、准确、完整，不存在任何虚假记载、误导性陈述或者重大遗漏。</w:t>
            </w:r>
          </w:p>
          <w:p w14:paraId="4B909444">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3、在本次交易期间，本人/本企业保证按照相关法律法规、中国证监会和深圳证券交易所的有关规定，及时向上市公司提供、披露有关本次交易的信息，并保证该等信息的真实性、准确性和完整性。</w:t>
            </w:r>
          </w:p>
          <w:p w14:paraId="46AEAE35">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4、如因本人/本企业提供信息存在虚假记载、误导性陈述或重大遗漏，给上市公司或投资者造成损失的，本人/本企业将依法承担赔偿责任。如本次交易所披露或提供的信息涉嫌虚假记载、误导性陈述或者重大遗漏，被司法机关立案侦查或者被中国证监会立案调查的，在形成调查结论以前，不转让在该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本企业的身份信息和账户信息并申请锁定；董事会未向证券交易所和证券登记结算机构报送本人/本企业的身份信息和账户信息的，授权证券交易所和证券登记结算机构直接锁定相关股份。如调查结论发现存在违法违规情节，本人/本企业承诺锁定股份自愿用于相关投资者赔偿安排。</w:t>
            </w:r>
          </w:p>
        </w:tc>
      </w:tr>
      <w:tr w14:paraId="3475F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27" w:type="dxa"/>
            <w:tcBorders>
              <w:left w:val="single" w:color="auto" w:sz="12" w:space="0"/>
            </w:tcBorders>
            <w:vAlign w:val="center"/>
          </w:tcPr>
          <w:p w14:paraId="1E0585E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陈耿豪等22名发行股份及支付现金购买资产交易对方</w:t>
            </w:r>
          </w:p>
        </w:tc>
        <w:tc>
          <w:tcPr>
            <w:tcW w:w="1649" w:type="dxa"/>
            <w:vAlign w:val="center"/>
          </w:tcPr>
          <w:p w14:paraId="62EC140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关于不存在不得参与上市公司重大资产重组情形的承诺函</w:t>
            </w:r>
          </w:p>
        </w:tc>
        <w:tc>
          <w:tcPr>
            <w:tcW w:w="5546" w:type="dxa"/>
            <w:gridSpan w:val="2"/>
            <w:tcBorders>
              <w:right w:val="single" w:color="auto" w:sz="12" w:space="0"/>
            </w:tcBorders>
            <w:vAlign w:val="center"/>
          </w:tcPr>
          <w:p w14:paraId="233AA106">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1、本人/本企业、本企业董事、监事、高级管理人员、本企业控股股东/实际控制人及前述主体控制的机构不存在因涉嫌本次交易相关的内幕交易被立案调查或者立案侦查的情形，最近36个月内不存在因与上市公司重大资产重组相关的内幕交易被中国证券监督管理委员会作出行政处罚或者司法机关依法追究刑事责任的情形，不存在《上市公司监管指引第7号——上市公司重大资产重组相关股票异常交易监管》第十二条以及《深圳证券交易所上市公司自律监管指引第8号——重大资产重组》第三十条规定的不得参与任何上市公司重大资产重组的情形。</w:t>
            </w:r>
          </w:p>
          <w:p w14:paraId="6B7A868E">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2、本人/本企业、本企业董事、监事、高级管理人员、本企业控股股东/实际控制人及前述主体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610A655A">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3．本人/本企业、本企业董事、监事、高级管理人员、本企业控股股东/实际控制人及前述主体控制的机构以上情况均客观真实，不存在虚假记载、误导性陈述和重大遗漏，并对其真实性、准确性和完整性承担法律责任。</w:t>
            </w:r>
          </w:p>
        </w:tc>
      </w:tr>
      <w:tr w14:paraId="47680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27" w:type="dxa"/>
            <w:tcBorders>
              <w:left w:val="single" w:color="auto" w:sz="12" w:space="0"/>
            </w:tcBorders>
            <w:vAlign w:val="center"/>
          </w:tcPr>
          <w:p w14:paraId="5C2E494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陈耿豪等22名发行股份及支付现金购买资产交易对方</w:t>
            </w:r>
          </w:p>
        </w:tc>
        <w:tc>
          <w:tcPr>
            <w:tcW w:w="1649" w:type="dxa"/>
            <w:vAlign w:val="center"/>
          </w:tcPr>
          <w:p w14:paraId="77DC032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关于合法合规及诚信情况的承诺函</w:t>
            </w:r>
          </w:p>
        </w:tc>
        <w:tc>
          <w:tcPr>
            <w:tcW w:w="5546" w:type="dxa"/>
            <w:gridSpan w:val="2"/>
            <w:tcBorders>
              <w:right w:val="single" w:color="auto" w:sz="12" w:space="0"/>
            </w:tcBorders>
            <w:vAlign w:val="center"/>
          </w:tcPr>
          <w:p w14:paraId="1A45994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1、本人/本企业系具备完全民事行为能力的个人或依法设立并有效存续的企业，具备相关法律、法规和规范性文件规定的参与本次交易、签署本次交易相关协议及履行协议项下权利义务的合法主体资格。</w:t>
            </w:r>
          </w:p>
          <w:p w14:paraId="138F531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2、本人/本企业及本企业董事、监事、高级管理人员最近五年内未受到过行政处罚（与证券市场明显无关的除外）、刑事处罚，也未涉及与经济纠纷有关的重大民事诉讼或者仲裁的情形。</w:t>
            </w:r>
          </w:p>
          <w:p w14:paraId="3653A0D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本企业及本企业董事、监事、高级管理人员最近五年诚信情况良好，不存在重大失信行为，不存在未按期偿还大额债务、未履行公开承诺，不存在被中国证监会采取行政监管措施或受到证券交易所纪律处分的情形。</w:t>
            </w:r>
          </w:p>
          <w:p w14:paraId="75F1B01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截至本承诺函签署日，本人/本企业及本企业董事、监事、高级管理人员不存在尚未了结或可预见的重大诉讼、仲裁或行政处罚案件，亦不存在因涉嫌犯罪正被司法机关立案侦查或涉嫌违法违规正被中国证监会立案调查的情形，不存在被其他有权部门调查等情形。</w:t>
            </w:r>
          </w:p>
          <w:p w14:paraId="4621377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5、本人/本企业以上所述情况均客观真实，不存在虚假记载、误导性陈述和重大遗漏，并对其真实性、准确性和完整性承担法律责任。</w:t>
            </w:r>
          </w:p>
        </w:tc>
      </w:tr>
      <w:tr w14:paraId="40593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327" w:type="dxa"/>
            <w:tcBorders>
              <w:left w:val="single" w:color="auto" w:sz="12" w:space="0"/>
            </w:tcBorders>
            <w:vAlign w:val="center"/>
          </w:tcPr>
          <w:p w14:paraId="42AAA6E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陈耿豪等21名发行股份及支付现金购买资产交易对方（除林芝利新）</w:t>
            </w:r>
          </w:p>
        </w:tc>
        <w:tc>
          <w:tcPr>
            <w:tcW w:w="1649" w:type="dxa"/>
            <w:vAlign w:val="center"/>
          </w:tcPr>
          <w:p w14:paraId="4879675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关于所持标的公司资产权属情况的承诺函</w:t>
            </w:r>
          </w:p>
        </w:tc>
        <w:tc>
          <w:tcPr>
            <w:tcW w:w="5540" w:type="dxa"/>
            <w:tcBorders>
              <w:right w:val="single" w:color="auto" w:sz="12" w:space="0"/>
            </w:tcBorders>
            <w:vAlign w:val="center"/>
          </w:tcPr>
          <w:p w14:paraId="011442A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本企业作为标的公司的股东，已依据相关法律法规及标的公司之公司章程履行出资义务，不存在任何虚假出资、抽逃出资、出资不实、出资瑕疵等违反股东义务及责任的行为；本人/本企业所持标的公司股权历史上发生的历次股权变动（如有）均已履行必要的法律程序，不存在纠纷或潜在纠纷。</w:t>
            </w:r>
          </w:p>
          <w:p w14:paraId="4AB32747">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截至本承诺函出具之日，本人/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14:paraId="073195C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本企业保证前述情况将持续至本次交易实施完成。本次交易实施完成前，本人/本企业将审慎尽职地行使股东权利，履行股东义务并承担股东责任，未经标的公司事先书面同意，不自行或促使标的公司从事或开展与标的公司正常经营活动无关的资产处置、对外担保、利润分配或增加重大债务、加重义务等行为。</w:t>
            </w:r>
          </w:p>
          <w:p w14:paraId="4A2D0CC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4、本人/本企业如违反上述承诺，将依法承担相应的法律责任。</w:t>
            </w:r>
          </w:p>
        </w:tc>
      </w:tr>
      <w:tr w14:paraId="03EC1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327" w:type="dxa"/>
            <w:tcBorders>
              <w:left w:val="single" w:color="auto" w:sz="12" w:space="0"/>
            </w:tcBorders>
            <w:vAlign w:val="center"/>
          </w:tcPr>
          <w:p w14:paraId="0D803D1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林芝利新</w:t>
            </w:r>
          </w:p>
        </w:tc>
        <w:tc>
          <w:tcPr>
            <w:tcW w:w="1649" w:type="dxa"/>
            <w:vAlign w:val="center"/>
          </w:tcPr>
          <w:p w14:paraId="3CDA5C3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关于所持标的公司资产权属情况的承诺函</w:t>
            </w:r>
          </w:p>
        </w:tc>
        <w:tc>
          <w:tcPr>
            <w:tcW w:w="5540" w:type="dxa"/>
            <w:tcBorders>
              <w:right w:val="single" w:color="auto" w:sz="12" w:space="0"/>
            </w:tcBorders>
            <w:vAlign w:val="center"/>
          </w:tcPr>
          <w:p w14:paraId="107BFA3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本企业作为标的公司的股东，已依据相关法律法规及标的公司之公司章程履行出资义务，不存在任何虚假出资、抽逃出资、出资不实、出资瑕疵等违反股东义务及责任的行为；本人/本企业所持标的公司股权历史上发生的历次股权变动（如有）均已履行必要的法律程序，不存在纠纷或潜在纠纷。</w:t>
            </w:r>
          </w:p>
          <w:p w14:paraId="3F09A44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截至本承诺函出具之日，本人/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14:paraId="346F3CB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3、本人/本企业保证前述情况将持续至本次交易实施完成。本次交易实施完成前，本人/本企业将审慎尽职地行使股东权利，履行股东义务并承担股东责任。</w:t>
            </w:r>
          </w:p>
          <w:p w14:paraId="1570F7A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4、本人/本企业如违反上述承诺，将依法承担相应的法律责任。</w:t>
            </w:r>
          </w:p>
        </w:tc>
      </w:tr>
    </w:tbl>
    <w:p w14:paraId="6D2C0A86">
      <w:pPr>
        <w:keepNext/>
        <w:keepLines/>
        <w:spacing w:before="120" w:after="120" w:afterLines="50"/>
        <w:ind w:firstLine="0" w:firstLineChars="0"/>
        <w:jc w:val="both"/>
        <w:outlineLvl w:val="2"/>
        <w:rPr>
          <w:rFonts w:eastAsia="黑体" w:cs="Times New Roman"/>
          <w:b/>
          <w:bCs/>
          <w:color w:val="000000" w:themeColor="text1"/>
          <w:kern w:val="2"/>
          <w:szCs w:val="28"/>
          <w14:textFill>
            <w14:solidFill>
              <w14:schemeClr w14:val="tx1"/>
            </w14:solidFill>
          </w14:textFill>
        </w:rPr>
      </w:pPr>
      <w:r>
        <w:rPr>
          <w:rFonts w:hint="eastAsia" w:eastAsia="黑体" w:cs="Times New Roman"/>
          <w:b/>
          <w:bCs/>
          <w:color w:val="000000" w:themeColor="text1"/>
          <w:kern w:val="2"/>
          <w:szCs w:val="28"/>
          <w14:textFill>
            <w14:solidFill>
              <w14:schemeClr w14:val="tx1"/>
            </w14:solidFill>
          </w14:textFill>
        </w:rPr>
        <w:t>（四）标的公司及其董事、监事、高级管理人员作出的重要承诺</w:t>
      </w:r>
    </w:p>
    <w:p w14:paraId="4653E403">
      <w:pPr>
        <w:adjustRightInd w:val="0"/>
        <w:snapToGrid w:val="0"/>
        <w:spacing w:before="120"/>
        <w:ind w:firstLine="482"/>
        <w:jc w:val="both"/>
        <w:rPr>
          <w:rFonts w:eastAsia="黑体" w:cs="Times New Roman"/>
          <w:b/>
          <w:bCs/>
          <w:color w:val="000000" w:themeColor="text1"/>
          <w:kern w:val="2"/>
          <w:szCs w:val="28"/>
          <w14:textFill>
            <w14:solidFill>
              <w14:schemeClr w14:val="tx1"/>
            </w14:solidFill>
          </w14:textFill>
        </w:rPr>
      </w:pPr>
      <w:r>
        <w:rPr>
          <w:rFonts w:hint="eastAsia"/>
          <w:b/>
          <w:bCs/>
          <w:color w:val="000000" w:themeColor="text1"/>
          <w:lang w:bidi="ar"/>
          <w14:textFill>
            <w14:solidFill>
              <w14:schemeClr w14:val="tx1"/>
            </w14:solidFill>
          </w14:textFill>
        </w:rPr>
        <w:t>1、标的公司承诺</w:t>
      </w:r>
    </w:p>
    <w:tbl>
      <w:tblPr>
        <w:tblStyle w:val="7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1789"/>
        <w:gridCol w:w="5374"/>
        <w:gridCol w:w="6"/>
      </w:tblGrid>
      <w:tr w14:paraId="65D2A2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119" w:type="dxa"/>
            <w:vAlign w:val="center"/>
          </w:tcPr>
          <w:p w14:paraId="4A1EF51C">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承诺方</w:t>
            </w:r>
          </w:p>
        </w:tc>
        <w:tc>
          <w:tcPr>
            <w:tcW w:w="1789" w:type="dxa"/>
            <w:vAlign w:val="center"/>
          </w:tcPr>
          <w:p w14:paraId="70E05950">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承诺事项</w:t>
            </w:r>
          </w:p>
        </w:tc>
        <w:tc>
          <w:tcPr>
            <w:tcW w:w="5374" w:type="dxa"/>
            <w:gridSpan w:val="2"/>
            <w:vAlign w:val="center"/>
          </w:tcPr>
          <w:p w14:paraId="59E31A83">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承诺内容</w:t>
            </w:r>
          </w:p>
        </w:tc>
      </w:tr>
      <w:tr w14:paraId="4EB5C8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vAlign w:val="center"/>
          </w:tcPr>
          <w:p w14:paraId="3D4E501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星云开物</w:t>
            </w:r>
          </w:p>
        </w:tc>
        <w:tc>
          <w:tcPr>
            <w:tcW w:w="1789" w:type="dxa"/>
            <w:vAlign w:val="center"/>
          </w:tcPr>
          <w:p w14:paraId="7D506D4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关于提供信息真实、准确和完整的承诺函</w:t>
            </w:r>
          </w:p>
        </w:tc>
        <w:tc>
          <w:tcPr>
            <w:tcW w:w="5374" w:type="dxa"/>
            <w:gridSpan w:val="2"/>
            <w:vAlign w:val="center"/>
          </w:tcPr>
          <w:p w14:paraId="70AA3349">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1、本公司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52693D6F">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2、本公司为本次交易所出具的说明、声明、承诺以及所提供或披露的资料及信息均真实、准确、完整，不存在任何虚假记载、误导性陈述或者重大遗漏。</w:t>
            </w:r>
          </w:p>
          <w:p w14:paraId="23B3929E">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3、在本次交易期间，本公司保证按照相关法律法规、中国证监会和深圳证券交易所的有关规定，及时提供、披露有关本次交易的信息，并保证该等信息的真实性、准确性和完整性。</w:t>
            </w:r>
          </w:p>
          <w:p w14:paraId="73D5B957">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4、本公司保证严格履行上述承诺，如因提供的资料、信息存在虚假记载、误导性陈述或者重大遗漏，给上市公司或投资者造成损失的，本公司将依法承担相应的法律责任。</w:t>
            </w:r>
          </w:p>
        </w:tc>
      </w:tr>
      <w:tr w14:paraId="4B5D5B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vAlign w:val="center"/>
          </w:tcPr>
          <w:p w14:paraId="0EE1C8C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星云开物</w:t>
            </w:r>
          </w:p>
        </w:tc>
        <w:tc>
          <w:tcPr>
            <w:tcW w:w="1789" w:type="dxa"/>
            <w:vAlign w:val="center"/>
          </w:tcPr>
          <w:p w14:paraId="49ED64D8">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关于合法合规及诚信情况的承诺函</w:t>
            </w:r>
          </w:p>
        </w:tc>
        <w:tc>
          <w:tcPr>
            <w:tcW w:w="5374" w:type="dxa"/>
            <w:gridSpan w:val="2"/>
            <w:vAlign w:val="center"/>
          </w:tcPr>
          <w:p w14:paraId="3D299B50">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1、截至本承诺函出具日，本公司不存在因涉嫌犯罪被司法机关立案侦查或涉嫌违法违规被中国证券监督管理委员会（以下简称“中国证监会”）立案调查的情况，不存在尚未了结的重大诉讼、仲裁或行政处罚案件。</w:t>
            </w:r>
          </w:p>
          <w:p w14:paraId="45DCCCD3">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2、本公司最近三年内未受到过行政处罚（与证券市场明显无关的除外）、刑事处罚，也未涉及与经济纠纷有关的重大民事诉讼或者仲裁的情形，不存在重大违法行为。</w:t>
            </w:r>
          </w:p>
          <w:p w14:paraId="14C15A19">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3、本公司最近三年诚信情况良好，不存在重大失信行为，不存在未按期偿还的大额金融机构债务、不存在未履行公开承诺，不存在严重损害投资者合法权益和社会公共利益的情形，也不存在被中国证监会采取行政监管措施或受到证券交易所纪律处分的情况等，亦不存在受到过中国证监会的行政处罚或证券交易所的公开谴责。</w:t>
            </w:r>
          </w:p>
          <w:p w14:paraId="48C22067">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4、本公司以上所述情况均客观真实，不存在虚假记载、误导性陈述和重大遗漏，并对其真实性、准确性和完整性承担法律责任。</w:t>
            </w:r>
          </w:p>
        </w:tc>
      </w:tr>
      <w:tr w14:paraId="6CADD5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397" w:hRule="atLeast"/>
        </w:trPr>
        <w:tc>
          <w:tcPr>
            <w:tcW w:w="1119" w:type="dxa"/>
            <w:vAlign w:val="center"/>
          </w:tcPr>
          <w:p w14:paraId="146E672D">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星云开物</w:t>
            </w:r>
          </w:p>
        </w:tc>
        <w:tc>
          <w:tcPr>
            <w:tcW w:w="1789" w:type="dxa"/>
            <w:vAlign w:val="center"/>
          </w:tcPr>
          <w:p w14:paraId="5D63B06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关于不存在不得参与上市公司重大资产重组情形的承诺函</w:t>
            </w:r>
          </w:p>
        </w:tc>
        <w:tc>
          <w:tcPr>
            <w:tcW w:w="5374" w:type="dxa"/>
            <w:vAlign w:val="center"/>
          </w:tcPr>
          <w:p w14:paraId="5007EFD0">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1、本公司及本公司控制的机构不存在因涉嫌本次交易相关的内幕交易被立案调查或者立案侦查的情形，最近36个月内不存在因与上市公司重大资产重组相关的内幕交易被中国证券监督管理委员会作出行政处罚或者司法机关依法追究刑事责任的情形，不存在《上市公司监管指引第7号——上市公司重大资产重组相关股票异常交易监管》第十二条以及《深圳证券交易所上市公司自律监管指引第8号——重大资产重组》第三十条规定的不得参与任何上市公司重大资产重组的情形。</w:t>
            </w:r>
          </w:p>
          <w:p w14:paraId="0F86D906">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2、本公司及本公司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0C5DC2A3">
            <w:pPr>
              <w:spacing w:before="0" w:beforeLines="0" w:line="240" w:lineRule="auto"/>
              <w:ind w:firstLine="0" w:firstLineChars="0"/>
              <w:jc w:val="both"/>
              <w:rPr>
                <w:rFonts w:cs="Times New Roman"/>
                <w:color w:val="000000" w:themeColor="text1"/>
                <w:kern w:val="2"/>
                <w:sz w:val="21"/>
                <w:szCs w:val="21"/>
                <w14:textFill>
                  <w14:solidFill>
                    <w14:schemeClr w14:val="tx1"/>
                  </w14:solidFill>
                </w14:textFill>
              </w:rPr>
            </w:pPr>
            <w:r>
              <w:rPr>
                <w:rFonts w:hint="eastAsia" w:cs="Times New Roman"/>
                <w:color w:val="000000" w:themeColor="text1"/>
                <w:kern w:val="2"/>
                <w:sz w:val="21"/>
                <w:szCs w:val="21"/>
                <w14:textFill>
                  <w14:solidFill>
                    <w14:schemeClr w14:val="tx1"/>
                  </w14:solidFill>
                </w14:textFill>
              </w:rPr>
              <w:t>3、本公司以上所述情况均客观真实，不存在虚假记载、误导性陈述和重大遗漏，并对其真实性、准确性和完整性承担法律责任。</w:t>
            </w:r>
          </w:p>
        </w:tc>
      </w:tr>
    </w:tbl>
    <w:p w14:paraId="2284B2E2">
      <w:pPr>
        <w:adjustRightInd w:val="0"/>
        <w:snapToGrid w:val="0"/>
        <w:spacing w:before="120"/>
        <w:ind w:firstLine="482"/>
        <w:jc w:val="both"/>
        <w:rPr>
          <w:rFonts w:eastAsia="黑体" w:cs="Times New Roman"/>
          <w:b/>
          <w:bCs/>
          <w:color w:val="000000" w:themeColor="text1"/>
          <w:kern w:val="2"/>
          <w:szCs w:val="28"/>
          <w14:textFill>
            <w14:solidFill>
              <w14:schemeClr w14:val="tx1"/>
            </w14:solidFill>
          </w14:textFill>
        </w:rPr>
      </w:pPr>
      <w:r>
        <w:rPr>
          <w:rFonts w:hint="eastAsia"/>
          <w:b/>
          <w:bCs/>
          <w:color w:val="000000" w:themeColor="text1"/>
          <w:lang w:bidi="ar"/>
          <w14:textFill>
            <w14:solidFill>
              <w14:schemeClr w14:val="tx1"/>
            </w14:solidFill>
          </w14:textFill>
        </w:rPr>
        <w:t>2、标的公司董事、监事、高级管理人员承诺</w:t>
      </w:r>
    </w:p>
    <w:tbl>
      <w:tblPr>
        <w:tblStyle w:val="7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1794"/>
        <w:gridCol w:w="5369"/>
      </w:tblGrid>
      <w:tr w14:paraId="337802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119" w:type="dxa"/>
            <w:vAlign w:val="center"/>
          </w:tcPr>
          <w:p w14:paraId="0055251C">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承诺方</w:t>
            </w:r>
          </w:p>
        </w:tc>
        <w:tc>
          <w:tcPr>
            <w:tcW w:w="1794" w:type="dxa"/>
            <w:vAlign w:val="center"/>
          </w:tcPr>
          <w:p w14:paraId="67725585">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承诺事项</w:t>
            </w:r>
          </w:p>
        </w:tc>
        <w:tc>
          <w:tcPr>
            <w:tcW w:w="5369" w:type="dxa"/>
            <w:vAlign w:val="center"/>
          </w:tcPr>
          <w:p w14:paraId="3FE2B3A2">
            <w:pPr>
              <w:spacing w:before="0" w:beforeLines="0"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承诺内容</w:t>
            </w:r>
          </w:p>
        </w:tc>
      </w:tr>
      <w:tr w14:paraId="57CD5E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vAlign w:val="center"/>
          </w:tcPr>
          <w:p w14:paraId="746AD01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星云开物董事、监事、高级管理人员</w:t>
            </w:r>
          </w:p>
        </w:tc>
        <w:tc>
          <w:tcPr>
            <w:tcW w:w="1794" w:type="dxa"/>
            <w:vAlign w:val="center"/>
          </w:tcPr>
          <w:p w14:paraId="38AF2EF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关于提供信息真实、准确和完整的承诺函</w:t>
            </w:r>
          </w:p>
        </w:tc>
        <w:tc>
          <w:tcPr>
            <w:tcW w:w="5369" w:type="dxa"/>
            <w:vAlign w:val="center"/>
          </w:tcPr>
          <w:p w14:paraId="2A7E3DBA">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向上市公司及参与本次交易的证券服务机构所提供的资料及信息真实、准确、完整，其中的副本或复印件与正本或原件一致且相符，所有文件的签名、印章均是真实的，相关文件经合法有效签署，不存在任何虚假记载、误导性陈述或者重大遗漏。</w:t>
            </w:r>
          </w:p>
          <w:p w14:paraId="20C5774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2、本人为本次交易所出具的说明、声明、承诺以及所提供或披露的资料及信息均真实、准确、完整，不存在任何虚假记载、误导性陈述或者重大遗漏。</w:t>
            </w:r>
          </w:p>
          <w:p w14:paraId="47AF798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3、在本次交易期间，本人保证按照相关法律法规、中国证监会和深圳证券交易所的有关规定，及时提供、披露有关本次交易的信息，并保证该等信息的真实性、准确性和完整性。</w:t>
            </w:r>
          </w:p>
          <w:p w14:paraId="439719D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4、本人保证严格履行上述承诺，如因提供的资料、信息存在虚假记载、误导性陈述或者重大遗漏，给上市公司或投资者造成损失的，本人将依法承担相应的法律责任。</w:t>
            </w:r>
          </w:p>
        </w:tc>
      </w:tr>
      <w:tr w14:paraId="7A7895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vAlign w:val="center"/>
          </w:tcPr>
          <w:p w14:paraId="36A838FE">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星云开物董事、监事、高级管理人员</w:t>
            </w:r>
          </w:p>
        </w:tc>
        <w:tc>
          <w:tcPr>
            <w:tcW w:w="1794" w:type="dxa"/>
            <w:vAlign w:val="center"/>
          </w:tcPr>
          <w:p w14:paraId="36F43C6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关于合法合规及诚信情况的承诺函</w:t>
            </w:r>
          </w:p>
        </w:tc>
        <w:tc>
          <w:tcPr>
            <w:tcW w:w="5369" w:type="dxa"/>
            <w:vAlign w:val="center"/>
          </w:tcPr>
          <w:p w14:paraId="515D11F1">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具备和遵守《中华人民共和国公司法》等法律、法规、规范性文件和公司章程规定的任职资格和义务，本人任职均经合法程序产生，不存在有关法律、法规、规范性文件和公司章程及有关监管部门、兼职单位（如有）所禁止的兼职情形；本人不存在违反《中华人民共和国公司法》第一百七十八条至第一百八十四条规定的情形。</w:t>
            </w:r>
          </w:p>
          <w:p w14:paraId="4CBA49FB">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截至本承诺函出具日，本人不存在因涉嫌犯罪被司法机关立案侦查或涉嫌违法违规被中国证券监督管理委员会（以下简称“中国证监会”）立案调查的情况，不存在尚未了结的重大诉讼、仲裁或行政处罚案件。</w:t>
            </w:r>
          </w:p>
          <w:p w14:paraId="4F88EB75">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3、本人最近三年内未受到过行政处罚（与证券市场明显无关的除外）、刑事处罚，也未涉及与经济纠纷有关的重大民事诉讼或者仲裁的情形，不存在重大违法行为。</w:t>
            </w:r>
          </w:p>
          <w:p w14:paraId="29B17C93">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本人最近三年诚信情况良好，不存在重大失信行为，不存在未按期偿还的大额金融机构债务、不存在未履行公开承诺，不存在严重损害投资者合法权益和社会公共利益的情形，也不存在被中国证监会采取行政监管措施或受到证券交易所纪律处分的情况等，亦不存在受到过中国证监会的行政处罚或证券交易所的公开谴责。</w:t>
            </w:r>
          </w:p>
          <w:p w14:paraId="2D6BED60">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5、本人以上所述情况均客观真实，不存在虚假记载、误导性陈述和重大遗漏，并对其真实性、准确性和完整性承担法律责任。</w:t>
            </w:r>
          </w:p>
        </w:tc>
      </w:tr>
      <w:tr w14:paraId="1535C8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19" w:type="dxa"/>
            <w:vAlign w:val="center"/>
          </w:tcPr>
          <w:p w14:paraId="6C36620F">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星云开物董事、监事、高级管理人员</w:t>
            </w:r>
          </w:p>
        </w:tc>
        <w:tc>
          <w:tcPr>
            <w:tcW w:w="1794" w:type="dxa"/>
            <w:vAlign w:val="center"/>
          </w:tcPr>
          <w:p w14:paraId="3ECDCCC6">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关于不存在不得参与上市公司重大资产重组情形的承诺函</w:t>
            </w:r>
          </w:p>
        </w:tc>
        <w:tc>
          <w:tcPr>
            <w:tcW w:w="5369" w:type="dxa"/>
            <w:vAlign w:val="center"/>
          </w:tcPr>
          <w:p w14:paraId="64581062">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本人及本人控制的机构不存在因涉嫌本次交易相关的内幕交易被立案调查或者立案侦查的情形，最近36个月内不存在因与上市公司重大资产重组相关的内幕交易被中国证券监督管理委员会作出行政处罚或者司法机关依法追究刑事责任的情形，不存在《上市公司监管指引第7号——上市公司重大资产重组相关股票异常交易监管》第十二条以及《深圳证券交易所上市公司自律监管指引第8号——重大资产重组》第三十条规定的不得参与任何上市公司重大资产重组的情形。</w:t>
            </w:r>
          </w:p>
          <w:p w14:paraId="3B64DFE4">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本人及本人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2F15B5B9">
            <w:pPr>
              <w:spacing w:before="0" w:beforeLines="0"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3、本人以上所述情况均客观真实，不存在虚假记载、误导性陈述和重大遗漏，并对其真实性、准确性和完整性承担法律责任。</w:t>
            </w:r>
          </w:p>
        </w:tc>
      </w:tr>
    </w:tbl>
    <w:p w14:paraId="429CE9B2">
      <w:pPr>
        <w:spacing w:before="120"/>
        <w:ind w:firstLine="480"/>
      </w:pPr>
    </w:p>
    <w:p w14:paraId="50384700">
      <w:pPr>
        <w:pStyle w:val="817"/>
        <w:spacing w:before="120" w:after="120"/>
      </w:pPr>
      <w:bookmarkStart w:id="89" w:name="_Toc15955"/>
      <w:r>
        <w:t>第</w:t>
      </w:r>
      <w:r>
        <w:rPr>
          <w:rFonts w:hint="eastAsia"/>
        </w:rPr>
        <w:t>二</w:t>
      </w:r>
      <w:r>
        <w:t>节</w:t>
      </w:r>
      <w:r>
        <w:rPr>
          <w:rFonts w:hint="eastAsia"/>
          <w:lang w:val="en-US"/>
        </w:rPr>
        <w:t xml:space="preserve"> 上市公司</w:t>
      </w:r>
      <w:r>
        <w:rPr>
          <w:rFonts w:hint="eastAsia"/>
        </w:rPr>
        <w:t>基本情况</w:t>
      </w:r>
      <w:bookmarkEnd w:id="89"/>
    </w:p>
    <w:p w14:paraId="31D40F3B">
      <w:pPr>
        <w:pStyle w:val="860"/>
        <w:spacing w:before="120" w:after="120"/>
      </w:pPr>
      <w:bookmarkStart w:id="90" w:name="_Toc86099276"/>
      <w:bookmarkStart w:id="91" w:name="_Toc75250053"/>
      <w:bookmarkStart w:id="92" w:name="_Toc12121"/>
      <w:bookmarkStart w:id="93" w:name="_Toc184373644"/>
      <w:r>
        <w:rPr>
          <w:rFonts w:hint="eastAsia"/>
        </w:rPr>
        <w:t>一、公司基本情况简介</w:t>
      </w:r>
      <w:bookmarkEnd w:id="90"/>
      <w:bookmarkEnd w:id="91"/>
      <w:bookmarkEnd w:id="92"/>
      <w:bookmarkEnd w:id="93"/>
    </w:p>
    <w:tbl>
      <w:tblPr>
        <w:tblStyle w:val="76"/>
        <w:tblW w:w="5000" w:type="pct"/>
        <w:jc w:val="center"/>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Layout w:type="autofit"/>
        <w:tblCellMar>
          <w:top w:w="0" w:type="dxa"/>
          <w:left w:w="108" w:type="dxa"/>
          <w:bottom w:w="0" w:type="dxa"/>
          <w:right w:w="108" w:type="dxa"/>
        </w:tblCellMar>
      </w:tblPr>
      <w:tblGrid>
        <w:gridCol w:w="2028"/>
        <w:gridCol w:w="6500"/>
      </w:tblGrid>
      <w:tr w14:paraId="18C4A9A9">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tblHeader/>
          <w:jc w:val="center"/>
        </w:trPr>
        <w:tc>
          <w:tcPr>
            <w:tcW w:w="1189" w:type="pct"/>
            <w:shd w:val="clear" w:color="auto" w:fill="auto"/>
            <w:vAlign w:val="center"/>
          </w:tcPr>
          <w:p w14:paraId="0909CEBB">
            <w:pPr>
              <w:keepNext/>
              <w:spacing w:before="0" w:beforeLines="0" w:line="240" w:lineRule="auto"/>
              <w:ind w:firstLine="0" w:firstLineChars="0"/>
              <w:jc w:val="both"/>
              <w:rPr>
                <w:b/>
                <w:color w:val="000000"/>
                <w:sz w:val="21"/>
              </w:rPr>
            </w:pPr>
            <w:r>
              <w:rPr>
                <w:b/>
                <w:color w:val="000000"/>
                <w:sz w:val="21"/>
              </w:rPr>
              <w:t>中文名称</w:t>
            </w:r>
          </w:p>
        </w:tc>
        <w:tc>
          <w:tcPr>
            <w:tcW w:w="3811" w:type="pct"/>
            <w:shd w:val="clear" w:color="auto" w:fill="auto"/>
            <w:vAlign w:val="center"/>
          </w:tcPr>
          <w:p w14:paraId="70985505">
            <w:pPr>
              <w:keepNext/>
              <w:spacing w:before="0" w:beforeLines="0" w:line="240" w:lineRule="auto"/>
              <w:ind w:firstLine="0" w:firstLineChars="0"/>
              <w:jc w:val="both"/>
              <w:rPr>
                <w:bCs/>
                <w:color w:val="000000"/>
                <w:sz w:val="21"/>
              </w:rPr>
            </w:pPr>
            <w:r>
              <w:rPr>
                <w:rFonts w:hint="eastAsia"/>
                <w:bCs/>
                <w:color w:val="000000"/>
                <w:sz w:val="21"/>
              </w:rPr>
              <w:t>广东天亿马信息产业股份有限公司</w:t>
            </w:r>
          </w:p>
        </w:tc>
      </w:tr>
      <w:tr w14:paraId="2B930047">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189" w:type="pct"/>
            <w:shd w:val="clear" w:color="auto" w:fill="auto"/>
            <w:vAlign w:val="center"/>
          </w:tcPr>
          <w:p w14:paraId="409D8170">
            <w:pPr>
              <w:spacing w:before="0" w:beforeLines="0" w:line="240" w:lineRule="auto"/>
              <w:ind w:firstLine="0" w:firstLineChars="0"/>
              <w:jc w:val="both"/>
              <w:rPr>
                <w:b/>
                <w:bCs/>
                <w:color w:val="000000"/>
                <w:sz w:val="21"/>
              </w:rPr>
            </w:pPr>
            <w:r>
              <w:rPr>
                <w:b/>
                <w:bCs/>
                <w:color w:val="000000"/>
                <w:sz w:val="21"/>
              </w:rPr>
              <w:t>英文名称</w:t>
            </w:r>
          </w:p>
        </w:tc>
        <w:tc>
          <w:tcPr>
            <w:tcW w:w="3811" w:type="pct"/>
            <w:shd w:val="clear" w:color="auto" w:fill="auto"/>
            <w:vAlign w:val="center"/>
          </w:tcPr>
          <w:p w14:paraId="7F48C13F">
            <w:pPr>
              <w:spacing w:before="0" w:beforeLines="0" w:line="240" w:lineRule="auto"/>
              <w:ind w:firstLine="0" w:firstLineChars="0"/>
              <w:jc w:val="both"/>
              <w:rPr>
                <w:color w:val="000000"/>
                <w:sz w:val="21"/>
              </w:rPr>
            </w:pPr>
            <w:r>
              <w:rPr>
                <w:rFonts w:hint="eastAsia"/>
                <w:color w:val="000000"/>
                <w:sz w:val="21"/>
              </w:rPr>
              <w:t>Guangdong Tianyima Information Industry Co.,Ltd.</w:t>
            </w:r>
          </w:p>
        </w:tc>
      </w:tr>
      <w:tr w14:paraId="08478F60">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189" w:type="pct"/>
            <w:shd w:val="clear" w:color="auto" w:fill="auto"/>
            <w:vAlign w:val="center"/>
          </w:tcPr>
          <w:p w14:paraId="22320091">
            <w:pPr>
              <w:spacing w:before="0" w:beforeLines="0" w:line="240" w:lineRule="auto"/>
              <w:ind w:firstLine="0" w:firstLineChars="0"/>
              <w:jc w:val="both"/>
              <w:rPr>
                <w:b/>
                <w:bCs/>
                <w:color w:val="000000"/>
                <w:sz w:val="21"/>
              </w:rPr>
            </w:pPr>
            <w:r>
              <w:rPr>
                <w:b/>
                <w:bCs/>
                <w:color w:val="000000"/>
                <w:sz w:val="21"/>
              </w:rPr>
              <w:t>股票简称</w:t>
            </w:r>
          </w:p>
        </w:tc>
        <w:tc>
          <w:tcPr>
            <w:tcW w:w="3811" w:type="pct"/>
            <w:shd w:val="clear" w:color="auto" w:fill="auto"/>
            <w:vAlign w:val="center"/>
          </w:tcPr>
          <w:p w14:paraId="6C074CFC">
            <w:pPr>
              <w:spacing w:before="0" w:beforeLines="0" w:line="240" w:lineRule="auto"/>
              <w:ind w:firstLine="0" w:firstLineChars="0"/>
              <w:jc w:val="both"/>
              <w:rPr>
                <w:color w:val="000000"/>
                <w:sz w:val="21"/>
              </w:rPr>
            </w:pPr>
            <w:r>
              <w:rPr>
                <w:rFonts w:hint="eastAsia"/>
                <w:color w:val="000000"/>
                <w:sz w:val="21"/>
              </w:rPr>
              <w:t>天亿马</w:t>
            </w:r>
          </w:p>
        </w:tc>
      </w:tr>
      <w:tr w14:paraId="13109E4D">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189" w:type="pct"/>
            <w:shd w:val="clear" w:color="auto" w:fill="auto"/>
            <w:vAlign w:val="center"/>
          </w:tcPr>
          <w:p w14:paraId="01048250">
            <w:pPr>
              <w:spacing w:before="0" w:beforeLines="0" w:line="240" w:lineRule="auto"/>
              <w:ind w:firstLine="0" w:firstLineChars="0"/>
              <w:jc w:val="both"/>
              <w:rPr>
                <w:b/>
                <w:bCs/>
                <w:color w:val="000000"/>
                <w:sz w:val="21"/>
              </w:rPr>
            </w:pPr>
            <w:r>
              <w:rPr>
                <w:b/>
                <w:bCs/>
                <w:color w:val="000000"/>
                <w:sz w:val="21"/>
              </w:rPr>
              <w:t>股票代码</w:t>
            </w:r>
          </w:p>
        </w:tc>
        <w:tc>
          <w:tcPr>
            <w:tcW w:w="3811" w:type="pct"/>
            <w:shd w:val="clear" w:color="auto" w:fill="auto"/>
            <w:vAlign w:val="center"/>
          </w:tcPr>
          <w:p w14:paraId="6CAC403B">
            <w:pPr>
              <w:spacing w:before="0" w:beforeLines="0" w:line="240" w:lineRule="auto"/>
              <w:ind w:firstLine="0" w:firstLineChars="0"/>
              <w:jc w:val="both"/>
              <w:rPr>
                <w:color w:val="000000"/>
                <w:sz w:val="21"/>
              </w:rPr>
            </w:pPr>
            <w:r>
              <w:rPr>
                <w:rFonts w:hint="eastAsia"/>
                <w:color w:val="000000"/>
                <w:sz w:val="21"/>
              </w:rPr>
              <w:t>301178.SZ</w:t>
            </w:r>
          </w:p>
        </w:tc>
      </w:tr>
      <w:tr w14:paraId="214996C4">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189" w:type="pct"/>
            <w:shd w:val="clear" w:color="auto" w:fill="auto"/>
            <w:vAlign w:val="center"/>
          </w:tcPr>
          <w:p w14:paraId="7854D76B">
            <w:pPr>
              <w:spacing w:before="0" w:beforeLines="0" w:line="240" w:lineRule="auto"/>
              <w:ind w:firstLine="0" w:firstLineChars="0"/>
              <w:jc w:val="both"/>
              <w:rPr>
                <w:b/>
                <w:bCs/>
                <w:color w:val="000000"/>
                <w:sz w:val="21"/>
              </w:rPr>
            </w:pPr>
            <w:r>
              <w:rPr>
                <w:b/>
                <w:bCs/>
                <w:color w:val="000000"/>
                <w:sz w:val="21"/>
              </w:rPr>
              <w:t>股票上市地</w:t>
            </w:r>
          </w:p>
        </w:tc>
        <w:tc>
          <w:tcPr>
            <w:tcW w:w="3811" w:type="pct"/>
            <w:shd w:val="clear" w:color="auto" w:fill="auto"/>
            <w:vAlign w:val="center"/>
          </w:tcPr>
          <w:p w14:paraId="336379BF">
            <w:pPr>
              <w:spacing w:before="0" w:beforeLines="0" w:line="240" w:lineRule="auto"/>
              <w:ind w:firstLine="0" w:firstLineChars="0"/>
              <w:jc w:val="both"/>
              <w:rPr>
                <w:color w:val="000000"/>
                <w:sz w:val="21"/>
              </w:rPr>
            </w:pPr>
            <w:r>
              <w:rPr>
                <w:rFonts w:hint="eastAsia"/>
                <w:color w:val="000000"/>
                <w:sz w:val="21"/>
              </w:rPr>
              <w:t>深圳证券交易所</w:t>
            </w:r>
          </w:p>
        </w:tc>
      </w:tr>
      <w:tr w14:paraId="37B7E50C">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189" w:type="pct"/>
            <w:shd w:val="clear" w:color="auto" w:fill="auto"/>
            <w:vAlign w:val="center"/>
          </w:tcPr>
          <w:p w14:paraId="641F8590">
            <w:pPr>
              <w:spacing w:before="0" w:beforeLines="0" w:line="240" w:lineRule="auto"/>
              <w:ind w:firstLine="0" w:firstLineChars="0"/>
              <w:jc w:val="both"/>
              <w:rPr>
                <w:b/>
                <w:bCs/>
                <w:color w:val="000000"/>
                <w:sz w:val="21"/>
              </w:rPr>
            </w:pPr>
            <w:r>
              <w:rPr>
                <w:rFonts w:hint="eastAsia"/>
                <w:b/>
                <w:bCs/>
                <w:color w:val="000000"/>
                <w:sz w:val="21"/>
              </w:rPr>
              <w:t>成立日期</w:t>
            </w:r>
          </w:p>
        </w:tc>
        <w:tc>
          <w:tcPr>
            <w:tcW w:w="3811" w:type="pct"/>
            <w:shd w:val="clear" w:color="auto" w:fill="auto"/>
            <w:vAlign w:val="center"/>
          </w:tcPr>
          <w:p w14:paraId="2D833A96">
            <w:pPr>
              <w:spacing w:before="0" w:beforeLines="0" w:line="240" w:lineRule="auto"/>
              <w:ind w:firstLine="0" w:firstLineChars="0"/>
              <w:jc w:val="both"/>
              <w:rPr>
                <w:color w:val="000000"/>
                <w:sz w:val="21"/>
              </w:rPr>
            </w:pPr>
            <w:r>
              <w:rPr>
                <w:rFonts w:hint="eastAsia"/>
                <w:color w:val="000000"/>
                <w:sz w:val="21"/>
              </w:rPr>
              <w:t>1998年07月07日</w:t>
            </w:r>
          </w:p>
        </w:tc>
      </w:tr>
      <w:tr w14:paraId="5F56BE24">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189" w:type="pct"/>
            <w:shd w:val="clear" w:color="auto" w:fill="auto"/>
            <w:vAlign w:val="center"/>
          </w:tcPr>
          <w:p w14:paraId="01590615">
            <w:pPr>
              <w:spacing w:before="0" w:beforeLines="0" w:line="240" w:lineRule="auto"/>
              <w:ind w:firstLine="0" w:firstLineChars="0"/>
              <w:jc w:val="both"/>
              <w:rPr>
                <w:b/>
                <w:bCs/>
                <w:color w:val="000000"/>
                <w:sz w:val="21"/>
              </w:rPr>
            </w:pPr>
            <w:r>
              <w:rPr>
                <w:b/>
                <w:bCs/>
                <w:color w:val="000000"/>
                <w:sz w:val="21"/>
              </w:rPr>
              <w:t>法定代表人</w:t>
            </w:r>
          </w:p>
        </w:tc>
        <w:tc>
          <w:tcPr>
            <w:tcW w:w="3811" w:type="pct"/>
            <w:shd w:val="clear" w:color="auto" w:fill="auto"/>
            <w:vAlign w:val="center"/>
          </w:tcPr>
          <w:p w14:paraId="4FE4108F">
            <w:pPr>
              <w:spacing w:before="0" w:beforeLines="0" w:line="240" w:lineRule="auto"/>
              <w:ind w:firstLine="0" w:firstLineChars="0"/>
              <w:jc w:val="both"/>
              <w:rPr>
                <w:color w:val="000000"/>
                <w:sz w:val="21"/>
              </w:rPr>
            </w:pPr>
            <w:r>
              <w:rPr>
                <w:rFonts w:hint="eastAsia"/>
                <w:color w:val="000000"/>
                <w:sz w:val="21"/>
              </w:rPr>
              <w:t>林明玲</w:t>
            </w:r>
          </w:p>
        </w:tc>
      </w:tr>
      <w:tr w14:paraId="5B620E49">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189" w:type="pct"/>
            <w:shd w:val="clear" w:color="auto" w:fill="auto"/>
            <w:vAlign w:val="center"/>
          </w:tcPr>
          <w:p w14:paraId="77DB36D7">
            <w:pPr>
              <w:spacing w:before="0" w:beforeLines="0" w:line="240" w:lineRule="auto"/>
              <w:ind w:firstLine="0" w:firstLineChars="0"/>
              <w:jc w:val="both"/>
              <w:rPr>
                <w:b/>
                <w:bCs/>
                <w:color w:val="000000"/>
                <w:sz w:val="21"/>
              </w:rPr>
            </w:pPr>
            <w:r>
              <w:rPr>
                <w:b/>
                <w:bCs/>
                <w:color w:val="000000"/>
                <w:sz w:val="21"/>
              </w:rPr>
              <w:t>注册资本</w:t>
            </w:r>
          </w:p>
        </w:tc>
        <w:tc>
          <w:tcPr>
            <w:tcW w:w="3811" w:type="pct"/>
            <w:shd w:val="clear" w:color="auto" w:fill="auto"/>
            <w:vAlign w:val="center"/>
          </w:tcPr>
          <w:p w14:paraId="77423F6A">
            <w:pPr>
              <w:spacing w:before="0" w:beforeLines="0" w:line="240" w:lineRule="auto"/>
              <w:ind w:firstLine="0" w:firstLineChars="0"/>
              <w:jc w:val="both"/>
              <w:rPr>
                <w:color w:val="000000"/>
                <w:sz w:val="21"/>
              </w:rPr>
            </w:pPr>
            <w:r>
              <w:rPr>
                <w:rFonts w:hint="eastAsia"/>
                <w:color w:val="000000"/>
                <w:sz w:val="21"/>
              </w:rPr>
              <w:t>6,710.88万元人民币</w:t>
            </w:r>
          </w:p>
        </w:tc>
      </w:tr>
      <w:tr w14:paraId="6919A201">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189" w:type="pct"/>
            <w:shd w:val="clear" w:color="auto" w:fill="auto"/>
            <w:vAlign w:val="center"/>
          </w:tcPr>
          <w:p w14:paraId="3F8E9075">
            <w:pPr>
              <w:spacing w:before="0" w:beforeLines="0" w:line="240" w:lineRule="auto"/>
              <w:ind w:firstLine="0" w:firstLineChars="0"/>
              <w:jc w:val="both"/>
              <w:rPr>
                <w:b/>
                <w:bCs/>
                <w:color w:val="000000"/>
                <w:sz w:val="21"/>
              </w:rPr>
            </w:pPr>
            <w:r>
              <w:rPr>
                <w:b/>
                <w:bCs/>
                <w:color w:val="000000"/>
                <w:sz w:val="21"/>
              </w:rPr>
              <w:t>注册地址</w:t>
            </w:r>
          </w:p>
        </w:tc>
        <w:tc>
          <w:tcPr>
            <w:tcW w:w="3811" w:type="pct"/>
            <w:shd w:val="clear" w:color="auto" w:fill="auto"/>
            <w:vAlign w:val="center"/>
          </w:tcPr>
          <w:p w14:paraId="137C4166">
            <w:pPr>
              <w:spacing w:before="0" w:beforeLines="0" w:line="240" w:lineRule="auto"/>
              <w:ind w:firstLine="0" w:firstLineChars="0"/>
              <w:jc w:val="both"/>
              <w:rPr>
                <w:color w:val="000000"/>
                <w:sz w:val="21"/>
              </w:rPr>
            </w:pPr>
            <w:r>
              <w:rPr>
                <w:rFonts w:hint="eastAsia"/>
                <w:color w:val="000000"/>
                <w:sz w:val="21"/>
              </w:rPr>
              <w:t>广东省汕头市龙湖区嵩山路南20号天澜国际大厦西塔2111-2112房</w:t>
            </w:r>
          </w:p>
        </w:tc>
      </w:tr>
      <w:tr w14:paraId="40838E0B">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189" w:type="pct"/>
            <w:shd w:val="clear" w:color="auto" w:fill="auto"/>
            <w:vAlign w:val="center"/>
          </w:tcPr>
          <w:p w14:paraId="17D9FB78">
            <w:pPr>
              <w:spacing w:before="0" w:beforeLines="0" w:line="240" w:lineRule="auto"/>
              <w:ind w:firstLine="0" w:firstLineChars="0"/>
              <w:jc w:val="both"/>
              <w:rPr>
                <w:b/>
                <w:bCs/>
                <w:color w:val="000000"/>
                <w:sz w:val="21"/>
              </w:rPr>
            </w:pPr>
            <w:r>
              <w:rPr>
                <w:b/>
                <w:bCs/>
                <w:color w:val="000000"/>
                <w:sz w:val="21"/>
              </w:rPr>
              <w:t>办公地址</w:t>
            </w:r>
          </w:p>
        </w:tc>
        <w:tc>
          <w:tcPr>
            <w:tcW w:w="3811" w:type="pct"/>
            <w:shd w:val="clear" w:color="auto" w:fill="auto"/>
            <w:vAlign w:val="center"/>
          </w:tcPr>
          <w:p w14:paraId="290D37CE">
            <w:pPr>
              <w:spacing w:before="0" w:beforeLines="0" w:line="240" w:lineRule="auto"/>
              <w:ind w:firstLine="0" w:firstLineChars="0"/>
              <w:jc w:val="both"/>
              <w:rPr>
                <w:color w:val="000000"/>
                <w:sz w:val="21"/>
              </w:rPr>
            </w:pPr>
            <w:r>
              <w:rPr>
                <w:rFonts w:hint="eastAsia"/>
                <w:color w:val="000000"/>
                <w:sz w:val="21"/>
              </w:rPr>
              <w:t>广东省汕头市海滨路55号海逸投资大厦4-5楼</w:t>
            </w:r>
          </w:p>
        </w:tc>
      </w:tr>
      <w:tr w14:paraId="0EDF7D9F">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5" w:hRule="atLeast"/>
          <w:jc w:val="center"/>
        </w:trPr>
        <w:tc>
          <w:tcPr>
            <w:tcW w:w="1189" w:type="pct"/>
            <w:shd w:val="clear" w:color="auto" w:fill="auto"/>
            <w:vAlign w:val="center"/>
          </w:tcPr>
          <w:p w14:paraId="2B4ED581">
            <w:pPr>
              <w:spacing w:before="0" w:beforeLines="0" w:line="240" w:lineRule="auto"/>
              <w:ind w:firstLine="0" w:firstLineChars="0"/>
              <w:jc w:val="both"/>
              <w:rPr>
                <w:b/>
                <w:bCs/>
                <w:color w:val="000000"/>
                <w:sz w:val="21"/>
              </w:rPr>
            </w:pPr>
            <w:r>
              <w:rPr>
                <w:rFonts w:hint="eastAsia"/>
                <w:b/>
                <w:bCs/>
                <w:color w:val="000000"/>
                <w:sz w:val="21"/>
              </w:rPr>
              <w:t>统一社会信用代码</w:t>
            </w:r>
          </w:p>
        </w:tc>
        <w:tc>
          <w:tcPr>
            <w:tcW w:w="3811" w:type="pct"/>
            <w:shd w:val="clear" w:color="auto" w:fill="auto"/>
            <w:vAlign w:val="center"/>
          </w:tcPr>
          <w:p w14:paraId="5973BF9C">
            <w:pPr>
              <w:spacing w:before="0" w:beforeLines="0" w:line="240" w:lineRule="auto"/>
              <w:ind w:firstLine="0" w:firstLineChars="0"/>
              <w:jc w:val="both"/>
              <w:rPr>
                <w:color w:val="000000"/>
                <w:sz w:val="21"/>
              </w:rPr>
            </w:pPr>
            <w:r>
              <w:rPr>
                <w:rFonts w:hint="eastAsia"/>
                <w:color w:val="000000"/>
                <w:sz w:val="21"/>
              </w:rPr>
              <w:t>914405007080295548</w:t>
            </w:r>
          </w:p>
        </w:tc>
      </w:tr>
      <w:tr w14:paraId="782AF16F">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189" w:type="pct"/>
            <w:shd w:val="clear" w:color="auto" w:fill="auto"/>
            <w:vAlign w:val="center"/>
          </w:tcPr>
          <w:p w14:paraId="48122612">
            <w:pPr>
              <w:spacing w:before="0" w:beforeLines="0" w:line="240" w:lineRule="auto"/>
              <w:ind w:firstLine="0" w:firstLineChars="0"/>
              <w:jc w:val="both"/>
              <w:rPr>
                <w:b/>
                <w:bCs/>
                <w:color w:val="000000"/>
                <w:sz w:val="21"/>
              </w:rPr>
            </w:pPr>
            <w:r>
              <w:rPr>
                <w:b/>
                <w:bCs/>
                <w:color w:val="000000"/>
                <w:sz w:val="21"/>
              </w:rPr>
              <w:t>邮政编码</w:t>
            </w:r>
          </w:p>
        </w:tc>
        <w:tc>
          <w:tcPr>
            <w:tcW w:w="3811" w:type="pct"/>
            <w:shd w:val="clear" w:color="auto" w:fill="auto"/>
            <w:vAlign w:val="center"/>
          </w:tcPr>
          <w:p w14:paraId="11624AA0">
            <w:pPr>
              <w:spacing w:before="0" w:beforeLines="0" w:line="240" w:lineRule="auto"/>
              <w:ind w:firstLine="0" w:firstLineChars="0"/>
              <w:jc w:val="both"/>
              <w:rPr>
                <w:color w:val="000000"/>
                <w:sz w:val="21"/>
              </w:rPr>
            </w:pPr>
            <w:r>
              <w:rPr>
                <w:rFonts w:hint="eastAsia"/>
                <w:color w:val="000000"/>
                <w:sz w:val="21"/>
              </w:rPr>
              <w:t>515041</w:t>
            </w:r>
          </w:p>
        </w:tc>
      </w:tr>
      <w:tr w14:paraId="5905E2C9">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189" w:type="pct"/>
            <w:shd w:val="clear" w:color="auto" w:fill="auto"/>
            <w:vAlign w:val="center"/>
          </w:tcPr>
          <w:p w14:paraId="6BAEFF5C">
            <w:pPr>
              <w:spacing w:before="0" w:beforeLines="0" w:line="240" w:lineRule="auto"/>
              <w:ind w:firstLine="0" w:firstLineChars="0"/>
              <w:jc w:val="both"/>
              <w:rPr>
                <w:b/>
                <w:bCs/>
                <w:color w:val="000000"/>
                <w:sz w:val="21"/>
              </w:rPr>
            </w:pPr>
            <w:r>
              <w:rPr>
                <w:b/>
                <w:bCs/>
                <w:color w:val="000000"/>
                <w:sz w:val="21"/>
              </w:rPr>
              <w:t>电话号码</w:t>
            </w:r>
          </w:p>
        </w:tc>
        <w:tc>
          <w:tcPr>
            <w:tcW w:w="3811" w:type="pct"/>
            <w:shd w:val="clear" w:color="auto" w:fill="auto"/>
            <w:vAlign w:val="center"/>
          </w:tcPr>
          <w:p w14:paraId="0929A533">
            <w:pPr>
              <w:spacing w:before="0" w:beforeLines="0" w:line="240" w:lineRule="auto"/>
              <w:ind w:firstLine="0" w:firstLineChars="0"/>
              <w:jc w:val="both"/>
              <w:rPr>
                <w:color w:val="000000"/>
                <w:sz w:val="21"/>
              </w:rPr>
            </w:pPr>
            <w:r>
              <w:rPr>
                <w:rFonts w:hint="eastAsia"/>
                <w:color w:val="000000"/>
                <w:sz w:val="21"/>
              </w:rPr>
              <w:t>0754-88880666</w:t>
            </w:r>
          </w:p>
        </w:tc>
      </w:tr>
      <w:tr w14:paraId="3161E410">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189" w:type="pct"/>
            <w:shd w:val="clear" w:color="auto" w:fill="auto"/>
            <w:vAlign w:val="center"/>
          </w:tcPr>
          <w:p w14:paraId="533FABF2">
            <w:pPr>
              <w:spacing w:before="0" w:beforeLines="0" w:line="240" w:lineRule="auto"/>
              <w:ind w:firstLine="0" w:firstLineChars="0"/>
              <w:jc w:val="both"/>
              <w:rPr>
                <w:b/>
                <w:bCs/>
                <w:color w:val="000000"/>
                <w:sz w:val="21"/>
              </w:rPr>
            </w:pPr>
            <w:r>
              <w:rPr>
                <w:b/>
                <w:bCs/>
                <w:color w:val="000000"/>
                <w:sz w:val="21"/>
              </w:rPr>
              <w:t>传真号码</w:t>
            </w:r>
          </w:p>
        </w:tc>
        <w:tc>
          <w:tcPr>
            <w:tcW w:w="3811" w:type="pct"/>
            <w:shd w:val="clear" w:color="auto" w:fill="auto"/>
            <w:vAlign w:val="center"/>
          </w:tcPr>
          <w:p w14:paraId="4130DD4F">
            <w:pPr>
              <w:spacing w:before="0" w:beforeLines="0" w:line="240" w:lineRule="auto"/>
              <w:ind w:firstLine="0" w:firstLineChars="0"/>
              <w:jc w:val="both"/>
              <w:rPr>
                <w:color w:val="000000"/>
                <w:sz w:val="21"/>
              </w:rPr>
            </w:pPr>
            <w:r>
              <w:rPr>
                <w:rFonts w:hint="eastAsia"/>
                <w:color w:val="000000"/>
                <w:sz w:val="21"/>
              </w:rPr>
              <w:t>0754-88983999</w:t>
            </w:r>
          </w:p>
        </w:tc>
      </w:tr>
      <w:tr w14:paraId="46CA3CFE">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189" w:type="pct"/>
            <w:shd w:val="clear" w:color="auto" w:fill="auto"/>
            <w:vAlign w:val="center"/>
          </w:tcPr>
          <w:p w14:paraId="1DD05366">
            <w:pPr>
              <w:spacing w:before="0" w:beforeLines="0" w:line="240" w:lineRule="auto"/>
              <w:ind w:firstLine="0" w:firstLineChars="0"/>
              <w:jc w:val="both"/>
              <w:rPr>
                <w:b/>
                <w:bCs/>
                <w:color w:val="000000"/>
                <w:sz w:val="21"/>
              </w:rPr>
            </w:pPr>
            <w:r>
              <w:rPr>
                <w:rFonts w:hint="eastAsia"/>
                <w:b/>
                <w:bCs/>
                <w:color w:val="000000"/>
                <w:sz w:val="21"/>
              </w:rPr>
              <w:t>公司</w:t>
            </w:r>
            <w:r>
              <w:rPr>
                <w:b/>
                <w:bCs/>
                <w:color w:val="000000"/>
                <w:sz w:val="21"/>
              </w:rPr>
              <w:t>网址</w:t>
            </w:r>
          </w:p>
        </w:tc>
        <w:tc>
          <w:tcPr>
            <w:tcW w:w="3811" w:type="pct"/>
            <w:shd w:val="clear" w:color="auto" w:fill="auto"/>
            <w:vAlign w:val="center"/>
          </w:tcPr>
          <w:p w14:paraId="1F1D1AE9">
            <w:pPr>
              <w:spacing w:before="0" w:beforeLines="0" w:line="240" w:lineRule="auto"/>
              <w:ind w:firstLine="0" w:firstLineChars="0"/>
              <w:jc w:val="both"/>
              <w:rPr>
                <w:color w:val="000000"/>
                <w:sz w:val="21"/>
              </w:rPr>
            </w:pPr>
            <w:r>
              <w:rPr>
                <w:rFonts w:hint="eastAsia"/>
                <w:color w:val="000000"/>
                <w:sz w:val="21"/>
              </w:rPr>
              <w:t>http://www.tym.com.cn/</w:t>
            </w:r>
          </w:p>
        </w:tc>
      </w:tr>
      <w:tr w14:paraId="6F4F3663">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189" w:type="pct"/>
            <w:shd w:val="clear" w:color="auto" w:fill="auto"/>
            <w:vAlign w:val="center"/>
          </w:tcPr>
          <w:p w14:paraId="7FCFA3D3">
            <w:pPr>
              <w:spacing w:before="0" w:beforeLines="0" w:line="240" w:lineRule="auto"/>
              <w:ind w:firstLine="0" w:firstLineChars="0"/>
              <w:jc w:val="both"/>
              <w:rPr>
                <w:b/>
                <w:bCs/>
                <w:color w:val="000000"/>
                <w:sz w:val="21"/>
              </w:rPr>
            </w:pPr>
            <w:r>
              <w:rPr>
                <w:b/>
                <w:bCs/>
                <w:color w:val="000000"/>
                <w:sz w:val="21"/>
              </w:rPr>
              <w:t>经营范围</w:t>
            </w:r>
          </w:p>
        </w:tc>
        <w:tc>
          <w:tcPr>
            <w:tcW w:w="3811" w:type="pct"/>
            <w:shd w:val="clear" w:color="auto" w:fill="auto"/>
            <w:vAlign w:val="center"/>
          </w:tcPr>
          <w:p w14:paraId="47852D07">
            <w:pPr>
              <w:spacing w:before="0" w:beforeLines="0" w:line="240" w:lineRule="auto"/>
              <w:ind w:firstLine="0" w:firstLineChars="0"/>
              <w:jc w:val="both"/>
              <w:rPr>
                <w:color w:val="000000"/>
                <w:sz w:val="21"/>
              </w:rPr>
            </w:pPr>
            <w:r>
              <w:rPr>
                <w:rFonts w:hint="eastAsia"/>
                <w:color w:val="000000"/>
                <w:sz w:val="21"/>
              </w:rPr>
              <w:t>计算机软件开发，计算机及信息化配套产品的研发，计算机信息系统集成及服务；智慧城市项目、电子政务项目、建筑智能化工程、电子自动化工程、防雷工程、通信工程、城市交通设施工程、电力工程的设计、施工及服务；计算机信息系统安全服务；安全技术防范系统设计、施工、维修；电子信息技术服务；交通信号灯系统、道路交通安全设施的制作及安装；电子计算机及配件、教学仪器、实验实训设备、通信设备、办公自动化设备的销售、维护、维修、安装、调试；地理信息数据处理，地理信息系统的技术开发及服务；销售：电子计算机软件，电子通信设备，通用机械设备，文化办公机械，文化用品，五金交电，空调、无线电设备、汽车、摩托车及零配件、新能源汽车整车；设计、制作、发布、代理国内外各类广告；档案管理咨询、评估、鉴定、整理、修复、档案管理技术和数字化服务；增值电信业务；电子产品租赁；新兴能源技术研发；新能源原动设备销售；发电技术服务：电气安装服务；输电、供电、受电设施的安装、维修和试验；以下项目限由其分支机构经营：生产：计算机及信息化配套产品；电子出版物零售。（依法须经批准的项目，经相关部门批准后方可开展经营活动）</w:t>
            </w:r>
          </w:p>
        </w:tc>
      </w:tr>
    </w:tbl>
    <w:p w14:paraId="2B9C3931">
      <w:pPr>
        <w:pStyle w:val="860"/>
        <w:spacing w:before="120" w:after="120"/>
      </w:pPr>
      <w:bookmarkStart w:id="94" w:name="_Toc184373645"/>
      <w:bookmarkStart w:id="95" w:name="_Toc13242"/>
      <w:r>
        <w:rPr>
          <w:rFonts w:hint="eastAsia"/>
        </w:rPr>
        <w:t>二、前十大股东情况</w:t>
      </w:r>
      <w:bookmarkEnd w:id="94"/>
      <w:bookmarkEnd w:id="95"/>
    </w:p>
    <w:p w14:paraId="42F92D4F">
      <w:pPr>
        <w:tabs>
          <w:tab w:val="left" w:pos="868"/>
        </w:tabs>
        <w:spacing w:before="120" w:after="120" w:afterLines="50"/>
        <w:ind w:firstLine="480"/>
        <w:jc w:val="both"/>
        <w:rPr>
          <w:color w:val="000000"/>
        </w:rPr>
      </w:pPr>
      <w:r>
        <w:rPr>
          <w:rFonts w:hint="eastAsia"/>
          <w:color w:val="000000"/>
        </w:rPr>
        <w:t>截至2025年3月31日，</w:t>
      </w:r>
      <w:r>
        <w:rPr>
          <w:color w:val="000000"/>
        </w:rPr>
        <w:t>公司前十大股东的名称、持股数量及持股比例情况</w:t>
      </w:r>
      <w:r>
        <w:rPr>
          <w:rFonts w:hint="eastAsia"/>
          <w:color w:val="000000"/>
        </w:rPr>
        <w:t>具体</w:t>
      </w:r>
      <w:r>
        <w:rPr>
          <w:color w:val="000000"/>
        </w:rPr>
        <w:t>如下：</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Layout w:type="autofit"/>
        <w:tblCellMar>
          <w:top w:w="0" w:type="dxa"/>
          <w:left w:w="108" w:type="dxa"/>
          <w:bottom w:w="0" w:type="dxa"/>
          <w:right w:w="108" w:type="dxa"/>
        </w:tblCellMar>
      </w:tblPr>
      <w:tblGrid>
        <w:gridCol w:w="703"/>
        <w:gridCol w:w="4951"/>
        <w:gridCol w:w="1631"/>
        <w:gridCol w:w="1243"/>
      </w:tblGrid>
      <w:tr w14:paraId="74A1B19B">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tblHeader/>
          <w:jc w:val="center"/>
        </w:trPr>
        <w:tc>
          <w:tcPr>
            <w:tcW w:w="412" w:type="pct"/>
            <w:shd w:val="clear" w:color="auto" w:fill="auto"/>
            <w:vAlign w:val="center"/>
          </w:tcPr>
          <w:p w14:paraId="3003F87C">
            <w:pPr>
              <w:keepNext/>
              <w:spacing w:before="0" w:beforeLines="0" w:line="240" w:lineRule="auto"/>
              <w:ind w:firstLine="0" w:firstLineChars="0"/>
              <w:jc w:val="center"/>
              <w:rPr>
                <w:rFonts w:cs="Times New Roman"/>
                <w:b/>
                <w:color w:val="000000"/>
                <w:sz w:val="21"/>
              </w:rPr>
            </w:pPr>
            <w:r>
              <w:rPr>
                <w:rFonts w:cs="Times New Roman"/>
                <w:b/>
                <w:color w:val="000000"/>
                <w:sz w:val="21"/>
              </w:rPr>
              <w:t>序号</w:t>
            </w:r>
          </w:p>
        </w:tc>
        <w:tc>
          <w:tcPr>
            <w:tcW w:w="2902" w:type="pct"/>
            <w:shd w:val="clear" w:color="auto" w:fill="auto"/>
            <w:vAlign w:val="center"/>
          </w:tcPr>
          <w:p w14:paraId="55DB2200">
            <w:pPr>
              <w:keepNext/>
              <w:spacing w:before="0" w:beforeLines="0" w:line="240" w:lineRule="auto"/>
              <w:ind w:firstLine="0" w:firstLineChars="0"/>
              <w:jc w:val="center"/>
              <w:rPr>
                <w:rFonts w:cs="Times New Roman"/>
                <w:b/>
                <w:color w:val="000000"/>
                <w:sz w:val="21"/>
              </w:rPr>
            </w:pPr>
            <w:r>
              <w:rPr>
                <w:rFonts w:cs="Times New Roman"/>
                <w:b/>
                <w:color w:val="000000"/>
                <w:sz w:val="21"/>
              </w:rPr>
              <w:t>股东名称/姓名</w:t>
            </w:r>
          </w:p>
        </w:tc>
        <w:tc>
          <w:tcPr>
            <w:tcW w:w="956" w:type="pct"/>
            <w:shd w:val="clear" w:color="auto" w:fill="auto"/>
            <w:vAlign w:val="center"/>
          </w:tcPr>
          <w:p w14:paraId="13C1BAE9">
            <w:pPr>
              <w:keepNext/>
              <w:spacing w:before="0" w:beforeLines="0" w:line="240" w:lineRule="auto"/>
              <w:ind w:firstLine="0" w:firstLineChars="0"/>
              <w:jc w:val="center"/>
              <w:rPr>
                <w:rFonts w:cs="Times New Roman"/>
                <w:b/>
                <w:color w:val="000000"/>
                <w:sz w:val="21"/>
              </w:rPr>
            </w:pPr>
            <w:r>
              <w:rPr>
                <w:rFonts w:cs="Times New Roman"/>
                <w:b/>
                <w:color w:val="000000"/>
                <w:sz w:val="21"/>
              </w:rPr>
              <w:t>持股数（股）</w:t>
            </w:r>
          </w:p>
        </w:tc>
        <w:tc>
          <w:tcPr>
            <w:tcW w:w="728" w:type="pct"/>
            <w:shd w:val="clear" w:color="auto" w:fill="auto"/>
            <w:vAlign w:val="center"/>
          </w:tcPr>
          <w:p w14:paraId="7D955414">
            <w:pPr>
              <w:keepNext/>
              <w:spacing w:before="0" w:beforeLines="0" w:line="240" w:lineRule="auto"/>
              <w:ind w:firstLine="0" w:firstLineChars="0"/>
              <w:jc w:val="center"/>
              <w:rPr>
                <w:rFonts w:cs="Times New Roman"/>
                <w:b/>
                <w:color w:val="000000"/>
                <w:sz w:val="21"/>
              </w:rPr>
            </w:pPr>
            <w:r>
              <w:rPr>
                <w:rFonts w:cs="Times New Roman"/>
                <w:b/>
                <w:color w:val="000000"/>
                <w:sz w:val="21"/>
              </w:rPr>
              <w:t>持股比例</w:t>
            </w:r>
          </w:p>
        </w:tc>
      </w:tr>
      <w:tr w14:paraId="39CCEAAF">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412" w:type="pct"/>
            <w:shd w:val="clear" w:color="auto" w:fill="auto"/>
            <w:vAlign w:val="center"/>
          </w:tcPr>
          <w:p w14:paraId="49404153">
            <w:pPr>
              <w:spacing w:before="0" w:beforeLines="0" w:line="240" w:lineRule="auto"/>
              <w:ind w:firstLine="0" w:firstLineChars="0"/>
              <w:jc w:val="center"/>
              <w:rPr>
                <w:rFonts w:cs="Times New Roman"/>
                <w:color w:val="000000"/>
                <w:sz w:val="21"/>
              </w:rPr>
            </w:pPr>
            <w:r>
              <w:rPr>
                <w:rFonts w:cs="Times New Roman"/>
                <w:color w:val="000000"/>
                <w:sz w:val="21"/>
              </w:rPr>
              <w:t>1</w:t>
            </w:r>
          </w:p>
        </w:tc>
        <w:tc>
          <w:tcPr>
            <w:tcW w:w="4951" w:type="dxa"/>
            <w:shd w:val="clear" w:color="auto" w:fill="auto"/>
            <w:vAlign w:val="center"/>
          </w:tcPr>
          <w:p w14:paraId="6D661BB9">
            <w:pPr>
              <w:widowControl/>
              <w:spacing w:before="0" w:beforeLines="0" w:line="240" w:lineRule="auto"/>
              <w:ind w:firstLine="0" w:firstLineChars="0"/>
              <w:textAlignment w:val="bottom"/>
              <w:rPr>
                <w:rFonts w:hint="eastAsia" w:ascii="宋体" w:hAnsi="宋体"/>
                <w:color w:val="000000"/>
                <w:sz w:val="21"/>
                <w:szCs w:val="21"/>
              </w:rPr>
            </w:pPr>
            <w:r>
              <w:rPr>
                <w:rFonts w:hint="eastAsia" w:ascii="宋体" w:hAnsi="宋体"/>
                <w:color w:val="000000"/>
                <w:sz w:val="21"/>
                <w:szCs w:val="21"/>
                <w:lang w:bidi="ar"/>
              </w:rPr>
              <w:t>林明玲</w:t>
            </w:r>
          </w:p>
        </w:tc>
        <w:tc>
          <w:tcPr>
            <w:tcW w:w="1631" w:type="dxa"/>
            <w:shd w:val="clear" w:color="auto" w:fill="auto"/>
            <w:vAlign w:val="center"/>
          </w:tcPr>
          <w:p w14:paraId="55D831CC">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19,327,824</w:t>
            </w:r>
          </w:p>
        </w:tc>
        <w:tc>
          <w:tcPr>
            <w:tcW w:w="1243" w:type="dxa"/>
            <w:shd w:val="clear" w:color="auto" w:fill="auto"/>
            <w:vAlign w:val="center"/>
          </w:tcPr>
          <w:p w14:paraId="6565802B">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28.80%</w:t>
            </w:r>
          </w:p>
        </w:tc>
      </w:tr>
      <w:tr w14:paraId="7573E9C6">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412" w:type="pct"/>
            <w:shd w:val="clear" w:color="auto" w:fill="auto"/>
            <w:vAlign w:val="center"/>
          </w:tcPr>
          <w:p w14:paraId="6CDA4058">
            <w:pPr>
              <w:spacing w:before="0" w:beforeLines="0" w:line="240" w:lineRule="auto"/>
              <w:ind w:firstLine="0" w:firstLineChars="0"/>
              <w:jc w:val="center"/>
              <w:rPr>
                <w:rFonts w:cs="Times New Roman"/>
                <w:color w:val="000000"/>
                <w:sz w:val="21"/>
              </w:rPr>
            </w:pPr>
            <w:r>
              <w:rPr>
                <w:rFonts w:cs="Times New Roman"/>
                <w:color w:val="000000"/>
                <w:sz w:val="21"/>
              </w:rPr>
              <w:t>2</w:t>
            </w:r>
          </w:p>
        </w:tc>
        <w:tc>
          <w:tcPr>
            <w:tcW w:w="4951" w:type="dxa"/>
            <w:shd w:val="clear" w:color="auto" w:fill="auto"/>
            <w:vAlign w:val="center"/>
          </w:tcPr>
          <w:p w14:paraId="704F2CA7">
            <w:pPr>
              <w:widowControl/>
              <w:spacing w:before="0" w:beforeLines="0" w:line="240" w:lineRule="auto"/>
              <w:ind w:firstLine="0" w:firstLineChars="0"/>
              <w:textAlignment w:val="bottom"/>
              <w:rPr>
                <w:rFonts w:hint="eastAsia" w:ascii="宋体" w:hAnsi="宋体"/>
                <w:color w:val="000000"/>
                <w:sz w:val="21"/>
                <w:szCs w:val="21"/>
              </w:rPr>
            </w:pPr>
            <w:r>
              <w:rPr>
                <w:rFonts w:hint="eastAsia" w:ascii="宋体" w:hAnsi="宋体"/>
                <w:color w:val="000000"/>
                <w:sz w:val="21"/>
                <w:szCs w:val="21"/>
                <w:lang w:bidi="ar"/>
              </w:rPr>
              <w:t>马学沛</w:t>
            </w:r>
          </w:p>
        </w:tc>
        <w:tc>
          <w:tcPr>
            <w:tcW w:w="1631" w:type="dxa"/>
            <w:shd w:val="clear" w:color="auto" w:fill="auto"/>
            <w:vAlign w:val="center"/>
          </w:tcPr>
          <w:p w14:paraId="60054293">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4,182,120</w:t>
            </w:r>
          </w:p>
        </w:tc>
        <w:tc>
          <w:tcPr>
            <w:tcW w:w="1243" w:type="dxa"/>
            <w:shd w:val="clear" w:color="auto" w:fill="auto"/>
            <w:vAlign w:val="center"/>
          </w:tcPr>
          <w:p w14:paraId="0AEFAA0C">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6.23%</w:t>
            </w:r>
          </w:p>
        </w:tc>
      </w:tr>
      <w:tr w14:paraId="1AFA7ABC">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412" w:type="pct"/>
            <w:shd w:val="clear" w:color="auto" w:fill="auto"/>
            <w:vAlign w:val="center"/>
          </w:tcPr>
          <w:p w14:paraId="49DD2DB7">
            <w:pPr>
              <w:spacing w:before="0" w:beforeLines="0" w:line="240" w:lineRule="auto"/>
              <w:ind w:firstLine="0" w:firstLineChars="0"/>
              <w:jc w:val="center"/>
              <w:rPr>
                <w:rFonts w:cs="Times New Roman"/>
                <w:color w:val="000000"/>
                <w:sz w:val="21"/>
              </w:rPr>
            </w:pPr>
            <w:r>
              <w:rPr>
                <w:rFonts w:cs="Times New Roman"/>
                <w:color w:val="000000"/>
                <w:sz w:val="21"/>
              </w:rPr>
              <w:t>3</w:t>
            </w:r>
          </w:p>
        </w:tc>
        <w:tc>
          <w:tcPr>
            <w:tcW w:w="4951" w:type="dxa"/>
            <w:shd w:val="clear" w:color="auto" w:fill="auto"/>
            <w:vAlign w:val="center"/>
          </w:tcPr>
          <w:p w14:paraId="73298CF6">
            <w:pPr>
              <w:widowControl/>
              <w:spacing w:before="0" w:beforeLines="0" w:line="240" w:lineRule="auto"/>
              <w:ind w:firstLine="0" w:firstLineChars="0"/>
              <w:textAlignment w:val="bottom"/>
              <w:rPr>
                <w:rFonts w:hint="eastAsia" w:ascii="宋体" w:hAnsi="宋体"/>
                <w:color w:val="000000"/>
                <w:sz w:val="21"/>
                <w:szCs w:val="21"/>
              </w:rPr>
            </w:pPr>
            <w:r>
              <w:rPr>
                <w:rFonts w:hint="eastAsia" w:ascii="宋体" w:hAnsi="宋体"/>
                <w:color w:val="000000"/>
                <w:sz w:val="21"/>
                <w:szCs w:val="21"/>
                <w:lang w:bidi="ar"/>
              </w:rPr>
              <w:t>南京优志投资管理合伙企业（有限合伙）</w:t>
            </w:r>
          </w:p>
        </w:tc>
        <w:tc>
          <w:tcPr>
            <w:tcW w:w="1631" w:type="dxa"/>
            <w:shd w:val="clear" w:color="auto" w:fill="auto"/>
            <w:vAlign w:val="center"/>
          </w:tcPr>
          <w:p w14:paraId="69B5D3E3">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2,875,000</w:t>
            </w:r>
          </w:p>
        </w:tc>
        <w:tc>
          <w:tcPr>
            <w:tcW w:w="1243" w:type="dxa"/>
            <w:shd w:val="clear" w:color="auto" w:fill="auto"/>
            <w:vAlign w:val="center"/>
          </w:tcPr>
          <w:p w14:paraId="70F911C9">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4.28%</w:t>
            </w:r>
          </w:p>
        </w:tc>
      </w:tr>
      <w:tr w14:paraId="482F9958">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412" w:type="pct"/>
            <w:shd w:val="clear" w:color="auto" w:fill="auto"/>
            <w:vAlign w:val="center"/>
          </w:tcPr>
          <w:p w14:paraId="36089A5D">
            <w:pPr>
              <w:spacing w:before="0" w:beforeLines="0" w:line="240" w:lineRule="auto"/>
              <w:ind w:firstLine="0" w:firstLineChars="0"/>
              <w:jc w:val="center"/>
              <w:rPr>
                <w:rFonts w:cs="Times New Roman"/>
                <w:color w:val="000000"/>
                <w:sz w:val="21"/>
              </w:rPr>
            </w:pPr>
            <w:r>
              <w:rPr>
                <w:rFonts w:cs="Times New Roman"/>
                <w:color w:val="000000"/>
                <w:sz w:val="21"/>
              </w:rPr>
              <w:t>4</w:t>
            </w:r>
          </w:p>
        </w:tc>
        <w:tc>
          <w:tcPr>
            <w:tcW w:w="4951" w:type="dxa"/>
            <w:shd w:val="clear" w:color="auto" w:fill="auto"/>
            <w:vAlign w:val="center"/>
          </w:tcPr>
          <w:p w14:paraId="303BC96C">
            <w:pPr>
              <w:widowControl/>
              <w:spacing w:before="0" w:beforeLines="0" w:line="240" w:lineRule="auto"/>
              <w:ind w:firstLine="0" w:firstLineChars="0"/>
              <w:textAlignment w:val="bottom"/>
              <w:rPr>
                <w:rFonts w:hint="eastAsia" w:ascii="宋体" w:hAnsi="宋体"/>
                <w:color w:val="000000"/>
                <w:sz w:val="21"/>
                <w:szCs w:val="21"/>
              </w:rPr>
            </w:pPr>
            <w:r>
              <w:rPr>
                <w:rFonts w:hint="eastAsia" w:ascii="宋体" w:hAnsi="宋体"/>
                <w:color w:val="000000"/>
                <w:sz w:val="21"/>
                <w:szCs w:val="21"/>
                <w:lang w:bidi="ar"/>
              </w:rPr>
              <w:t>共青城东兴博元投资中心（有限合伙）</w:t>
            </w:r>
          </w:p>
        </w:tc>
        <w:tc>
          <w:tcPr>
            <w:tcW w:w="1631" w:type="dxa"/>
            <w:shd w:val="clear" w:color="auto" w:fill="auto"/>
            <w:vAlign w:val="center"/>
          </w:tcPr>
          <w:p w14:paraId="52E748A5">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2,438,401</w:t>
            </w:r>
          </w:p>
        </w:tc>
        <w:tc>
          <w:tcPr>
            <w:tcW w:w="1243" w:type="dxa"/>
            <w:shd w:val="clear" w:color="auto" w:fill="auto"/>
            <w:vAlign w:val="center"/>
          </w:tcPr>
          <w:p w14:paraId="4B5E04B3">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3.63%</w:t>
            </w:r>
          </w:p>
        </w:tc>
      </w:tr>
      <w:tr w14:paraId="7258663B">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412" w:type="pct"/>
            <w:shd w:val="clear" w:color="auto" w:fill="auto"/>
            <w:vAlign w:val="center"/>
          </w:tcPr>
          <w:p w14:paraId="46C9976B">
            <w:pPr>
              <w:spacing w:before="0" w:beforeLines="0" w:line="240" w:lineRule="auto"/>
              <w:ind w:firstLine="0" w:firstLineChars="0"/>
              <w:jc w:val="center"/>
              <w:rPr>
                <w:rFonts w:cs="Times New Roman"/>
                <w:color w:val="000000"/>
                <w:sz w:val="21"/>
              </w:rPr>
            </w:pPr>
            <w:r>
              <w:rPr>
                <w:rFonts w:cs="Times New Roman"/>
                <w:color w:val="000000"/>
                <w:sz w:val="21"/>
              </w:rPr>
              <w:t>5</w:t>
            </w:r>
          </w:p>
        </w:tc>
        <w:tc>
          <w:tcPr>
            <w:tcW w:w="4951" w:type="dxa"/>
            <w:shd w:val="clear" w:color="auto" w:fill="auto"/>
            <w:vAlign w:val="center"/>
          </w:tcPr>
          <w:p w14:paraId="1A7CEAF5">
            <w:pPr>
              <w:widowControl/>
              <w:spacing w:before="0" w:beforeLines="0" w:line="240" w:lineRule="auto"/>
              <w:ind w:firstLine="0" w:firstLineChars="0"/>
              <w:textAlignment w:val="bottom"/>
              <w:rPr>
                <w:rFonts w:hint="eastAsia" w:ascii="宋体" w:hAnsi="宋体"/>
                <w:color w:val="000000"/>
                <w:sz w:val="21"/>
                <w:szCs w:val="21"/>
              </w:rPr>
            </w:pPr>
            <w:r>
              <w:rPr>
                <w:rFonts w:hint="eastAsia" w:ascii="宋体" w:hAnsi="宋体"/>
                <w:color w:val="000000"/>
                <w:sz w:val="21"/>
                <w:szCs w:val="21"/>
                <w:lang w:bidi="ar"/>
              </w:rPr>
              <w:t>南京乐遂信息咨询管理合伙企业（有限合伙）</w:t>
            </w:r>
          </w:p>
        </w:tc>
        <w:tc>
          <w:tcPr>
            <w:tcW w:w="1631" w:type="dxa"/>
            <w:shd w:val="clear" w:color="auto" w:fill="auto"/>
            <w:vAlign w:val="center"/>
          </w:tcPr>
          <w:p w14:paraId="2AD25BC2">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983,186</w:t>
            </w:r>
          </w:p>
        </w:tc>
        <w:tc>
          <w:tcPr>
            <w:tcW w:w="1243" w:type="dxa"/>
            <w:shd w:val="clear" w:color="auto" w:fill="auto"/>
            <w:vAlign w:val="center"/>
          </w:tcPr>
          <w:p w14:paraId="3CE2F26A">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1.47%</w:t>
            </w:r>
          </w:p>
        </w:tc>
      </w:tr>
      <w:tr w14:paraId="444CF9AC">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412" w:type="pct"/>
            <w:shd w:val="clear" w:color="auto" w:fill="auto"/>
            <w:vAlign w:val="center"/>
          </w:tcPr>
          <w:p w14:paraId="48DDD2E7">
            <w:pPr>
              <w:spacing w:before="0" w:beforeLines="0" w:line="240" w:lineRule="auto"/>
              <w:ind w:firstLine="0" w:firstLineChars="0"/>
              <w:jc w:val="center"/>
              <w:rPr>
                <w:rFonts w:cs="Times New Roman"/>
                <w:color w:val="000000"/>
                <w:sz w:val="21"/>
              </w:rPr>
            </w:pPr>
            <w:r>
              <w:rPr>
                <w:rFonts w:cs="Times New Roman"/>
                <w:color w:val="000000"/>
                <w:sz w:val="21"/>
              </w:rPr>
              <w:t>6</w:t>
            </w:r>
          </w:p>
        </w:tc>
        <w:tc>
          <w:tcPr>
            <w:tcW w:w="4951" w:type="dxa"/>
            <w:shd w:val="clear" w:color="auto" w:fill="auto"/>
            <w:vAlign w:val="center"/>
          </w:tcPr>
          <w:p w14:paraId="5308928B">
            <w:pPr>
              <w:widowControl/>
              <w:spacing w:before="0" w:beforeLines="0" w:line="240" w:lineRule="auto"/>
              <w:ind w:firstLine="0" w:firstLineChars="0"/>
              <w:textAlignment w:val="bottom"/>
              <w:rPr>
                <w:rFonts w:hint="eastAsia" w:ascii="宋体" w:hAnsi="宋体"/>
                <w:color w:val="000000"/>
                <w:sz w:val="21"/>
                <w:szCs w:val="21"/>
              </w:rPr>
            </w:pPr>
            <w:r>
              <w:rPr>
                <w:rFonts w:hint="eastAsia" w:ascii="宋体" w:hAnsi="宋体"/>
                <w:color w:val="000000"/>
                <w:sz w:val="21"/>
                <w:szCs w:val="21"/>
                <w:lang w:bidi="ar"/>
              </w:rPr>
              <w:t>广东天亿马信息产业股份有限公司-2023年员工持股计划</w:t>
            </w:r>
          </w:p>
        </w:tc>
        <w:tc>
          <w:tcPr>
            <w:tcW w:w="1631" w:type="dxa"/>
            <w:shd w:val="clear" w:color="auto" w:fill="auto"/>
            <w:vAlign w:val="center"/>
          </w:tcPr>
          <w:p w14:paraId="080A9DC7">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472,400</w:t>
            </w:r>
          </w:p>
        </w:tc>
        <w:tc>
          <w:tcPr>
            <w:tcW w:w="1243" w:type="dxa"/>
            <w:shd w:val="clear" w:color="auto" w:fill="auto"/>
            <w:vAlign w:val="center"/>
          </w:tcPr>
          <w:p w14:paraId="66BCFDA5">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0.70%</w:t>
            </w:r>
          </w:p>
        </w:tc>
      </w:tr>
      <w:tr w14:paraId="21BECA1B">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412" w:type="pct"/>
            <w:shd w:val="clear" w:color="auto" w:fill="auto"/>
            <w:vAlign w:val="center"/>
          </w:tcPr>
          <w:p w14:paraId="1A844EFB">
            <w:pPr>
              <w:spacing w:before="0" w:beforeLines="0" w:line="240" w:lineRule="auto"/>
              <w:ind w:firstLine="0" w:firstLineChars="0"/>
              <w:jc w:val="center"/>
              <w:rPr>
                <w:rFonts w:cs="Times New Roman"/>
                <w:color w:val="000000"/>
                <w:sz w:val="21"/>
              </w:rPr>
            </w:pPr>
            <w:r>
              <w:rPr>
                <w:rFonts w:cs="Times New Roman"/>
                <w:color w:val="000000"/>
                <w:sz w:val="21"/>
              </w:rPr>
              <w:t>7</w:t>
            </w:r>
          </w:p>
        </w:tc>
        <w:tc>
          <w:tcPr>
            <w:tcW w:w="4951" w:type="dxa"/>
            <w:shd w:val="clear" w:color="auto" w:fill="auto"/>
            <w:vAlign w:val="center"/>
          </w:tcPr>
          <w:p w14:paraId="7316515D">
            <w:pPr>
              <w:widowControl/>
              <w:spacing w:before="0" w:beforeLines="0" w:line="240" w:lineRule="auto"/>
              <w:ind w:firstLine="0" w:firstLineChars="0"/>
              <w:textAlignment w:val="bottom"/>
              <w:rPr>
                <w:rFonts w:hint="eastAsia" w:ascii="宋体" w:hAnsi="宋体"/>
                <w:color w:val="000000"/>
                <w:sz w:val="21"/>
                <w:szCs w:val="21"/>
              </w:rPr>
            </w:pPr>
            <w:r>
              <w:rPr>
                <w:rFonts w:hint="eastAsia" w:ascii="宋体" w:hAnsi="宋体"/>
                <w:color w:val="000000"/>
                <w:sz w:val="21"/>
                <w:szCs w:val="21"/>
                <w:lang w:bidi="ar"/>
              </w:rPr>
              <w:t>孙太忠</w:t>
            </w:r>
          </w:p>
        </w:tc>
        <w:tc>
          <w:tcPr>
            <w:tcW w:w="1631" w:type="dxa"/>
            <w:shd w:val="clear" w:color="auto" w:fill="auto"/>
            <w:vAlign w:val="center"/>
          </w:tcPr>
          <w:p w14:paraId="75939A97">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353,000</w:t>
            </w:r>
          </w:p>
        </w:tc>
        <w:tc>
          <w:tcPr>
            <w:tcW w:w="1243" w:type="dxa"/>
            <w:shd w:val="clear" w:color="auto" w:fill="auto"/>
            <w:vAlign w:val="center"/>
          </w:tcPr>
          <w:p w14:paraId="30B819C9">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0.53%</w:t>
            </w:r>
          </w:p>
        </w:tc>
      </w:tr>
      <w:tr w14:paraId="385F93B8">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412" w:type="pct"/>
            <w:shd w:val="clear" w:color="auto" w:fill="auto"/>
            <w:vAlign w:val="center"/>
          </w:tcPr>
          <w:p w14:paraId="73599AC3">
            <w:pPr>
              <w:spacing w:before="0" w:beforeLines="0" w:line="240" w:lineRule="auto"/>
              <w:ind w:firstLine="0" w:firstLineChars="0"/>
              <w:jc w:val="center"/>
              <w:rPr>
                <w:rFonts w:cs="Times New Roman"/>
                <w:color w:val="000000"/>
                <w:sz w:val="21"/>
              </w:rPr>
            </w:pPr>
            <w:r>
              <w:rPr>
                <w:rFonts w:cs="Times New Roman"/>
                <w:color w:val="000000"/>
                <w:sz w:val="21"/>
              </w:rPr>
              <w:t>8</w:t>
            </w:r>
          </w:p>
        </w:tc>
        <w:tc>
          <w:tcPr>
            <w:tcW w:w="4951" w:type="dxa"/>
            <w:shd w:val="clear" w:color="auto" w:fill="auto"/>
            <w:vAlign w:val="center"/>
          </w:tcPr>
          <w:p w14:paraId="3447F882">
            <w:pPr>
              <w:widowControl/>
              <w:spacing w:before="0" w:beforeLines="0" w:line="240" w:lineRule="auto"/>
              <w:ind w:firstLine="0" w:firstLineChars="0"/>
              <w:textAlignment w:val="bottom"/>
              <w:rPr>
                <w:rFonts w:hint="eastAsia" w:ascii="宋体" w:hAnsi="宋体"/>
                <w:color w:val="000000"/>
                <w:sz w:val="21"/>
                <w:szCs w:val="21"/>
              </w:rPr>
            </w:pPr>
            <w:r>
              <w:rPr>
                <w:rFonts w:hint="eastAsia" w:ascii="宋体" w:hAnsi="宋体"/>
                <w:color w:val="000000"/>
                <w:sz w:val="21"/>
                <w:szCs w:val="21"/>
                <w:lang w:bidi="ar"/>
              </w:rPr>
              <w:t>姜博</w:t>
            </w:r>
          </w:p>
        </w:tc>
        <w:tc>
          <w:tcPr>
            <w:tcW w:w="1631" w:type="dxa"/>
            <w:shd w:val="clear" w:color="auto" w:fill="auto"/>
            <w:vAlign w:val="center"/>
          </w:tcPr>
          <w:p w14:paraId="19148100">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330,800</w:t>
            </w:r>
          </w:p>
        </w:tc>
        <w:tc>
          <w:tcPr>
            <w:tcW w:w="1243" w:type="dxa"/>
            <w:shd w:val="clear" w:color="auto" w:fill="auto"/>
            <w:vAlign w:val="center"/>
          </w:tcPr>
          <w:p w14:paraId="2C3BB880">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0.49%</w:t>
            </w:r>
          </w:p>
        </w:tc>
      </w:tr>
      <w:tr w14:paraId="5B43A5A1">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412" w:type="pct"/>
            <w:shd w:val="clear" w:color="auto" w:fill="auto"/>
            <w:vAlign w:val="center"/>
          </w:tcPr>
          <w:p w14:paraId="5ECE6BB5">
            <w:pPr>
              <w:spacing w:before="0" w:beforeLines="0" w:line="240" w:lineRule="auto"/>
              <w:ind w:firstLine="0" w:firstLineChars="0"/>
              <w:jc w:val="center"/>
              <w:rPr>
                <w:rFonts w:cs="Times New Roman"/>
                <w:color w:val="000000"/>
                <w:sz w:val="21"/>
              </w:rPr>
            </w:pPr>
            <w:r>
              <w:rPr>
                <w:rFonts w:cs="Times New Roman"/>
                <w:color w:val="000000"/>
                <w:sz w:val="21"/>
              </w:rPr>
              <w:t>9</w:t>
            </w:r>
          </w:p>
        </w:tc>
        <w:tc>
          <w:tcPr>
            <w:tcW w:w="4951" w:type="dxa"/>
            <w:shd w:val="clear" w:color="auto" w:fill="auto"/>
            <w:vAlign w:val="center"/>
          </w:tcPr>
          <w:p w14:paraId="1BA88D99">
            <w:pPr>
              <w:widowControl/>
              <w:spacing w:before="0" w:beforeLines="0" w:line="240" w:lineRule="auto"/>
              <w:ind w:firstLine="0" w:firstLineChars="0"/>
              <w:textAlignment w:val="bottom"/>
              <w:rPr>
                <w:rFonts w:hint="eastAsia" w:ascii="宋体" w:hAnsi="宋体"/>
                <w:color w:val="000000"/>
                <w:sz w:val="21"/>
                <w:szCs w:val="21"/>
              </w:rPr>
            </w:pPr>
            <w:r>
              <w:rPr>
                <w:rFonts w:hint="eastAsia" w:ascii="宋体" w:hAnsi="宋体"/>
                <w:color w:val="000000"/>
                <w:sz w:val="21"/>
                <w:szCs w:val="21"/>
                <w:lang w:bidi="ar"/>
              </w:rPr>
              <w:t>郑树英</w:t>
            </w:r>
          </w:p>
        </w:tc>
        <w:tc>
          <w:tcPr>
            <w:tcW w:w="1631" w:type="dxa"/>
            <w:shd w:val="clear" w:color="auto" w:fill="auto"/>
            <w:vAlign w:val="center"/>
          </w:tcPr>
          <w:p w14:paraId="5A7C2E72">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327,229</w:t>
            </w:r>
          </w:p>
        </w:tc>
        <w:tc>
          <w:tcPr>
            <w:tcW w:w="1243" w:type="dxa"/>
            <w:shd w:val="clear" w:color="auto" w:fill="auto"/>
            <w:vAlign w:val="center"/>
          </w:tcPr>
          <w:p w14:paraId="68939751">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0.49%</w:t>
            </w:r>
          </w:p>
        </w:tc>
      </w:tr>
      <w:tr w14:paraId="2EA2765E">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412" w:type="pct"/>
            <w:shd w:val="clear" w:color="auto" w:fill="auto"/>
            <w:vAlign w:val="center"/>
          </w:tcPr>
          <w:p w14:paraId="5F8B26E2">
            <w:pPr>
              <w:spacing w:before="0" w:beforeLines="0" w:line="240" w:lineRule="auto"/>
              <w:ind w:firstLine="0" w:firstLineChars="0"/>
              <w:jc w:val="center"/>
              <w:rPr>
                <w:rFonts w:cs="Times New Roman"/>
                <w:color w:val="000000"/>
                <w:sz w:val="21"/>
              </w:rPr>
            </w:pPr>
            <w:r>
              <w:rPr>
                <w:rFonts w:cs="Times New Roman"/>
                <w:color w:val="000000"/>
                <w:sz w:val="21"/>
              </w:rPr>
              <w:t>10</w:t>
            </w:r>
          </w:p>
        </w:tc>
        <w:tc>
          <w:tcPr>
            <w:tcW w:w="4951" w:type="dxa"/>
            <w:shd w:val="clear" w:color="auto" w:fill="auto"/>
            <w:vAlign w:val="center"/>
          </w:tcPr>
          <w:p w14:paraId="77245EFC">
            <w:pPr>
              <w:widowControl/>
              <w:spacing w:before="0" w:beforeLines="0" w:line="240" w:lineRule="auto"/>
              <w:ind w:firstLine="0" w:firstLineChars="0"/>
              <w:textAlignment w:val="bottom"/>
              <w:rPr>
                <w:rFonts w:hint="eastAsia" w:ascii="宋体" w:hAnsi="宋体"/>
                <w:color w:val="000000"/>
                <w:sz w:val="21"/>
                <w:szCs w:val="21"/>
              </w:rPr>
            </w:pPr>
            <w:r>
              <w:rPr>
                <w:rFonts w:hint="eastAsia" w:ascii="宋体" w:hAnsi="宋体"/>
                <w:color w:val="000000"/>
                <w:sz w:val="21"/>
                <w:szCs w:val="21"/>
                <w:lang w:bidi="ar"/>
              </w:rPr>
              <w:t>大唐英加红马八八号私募证券投资基金</w:t>
            </w:r>
          </w:p>
        </w:tc>
        <w:tc>
          <w:tcPr>
            <w:tcW w:w="1631" w:type="dxa"/>
            <w:shd w:val="clear" w:color="auto" w:fill="auto"/>
            <w:vAlign w:val="center"/>
          </w:tcPr>
          <w:p w14:paraId="4BB3299C">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302,000</w:t>
            </w:r>
          </w:p>
        </w:tc>
        <w:tc>
          <w:tcPr>
            <w:tcW w:w="1243" w:type="dxa"/>
            <w:shd w:val="clear" w:color="auto" w:fill="auto"/>
            <w:vAlign w:val="center"/>
          </w:tcPr>
          <w:p w14:paraId="1C943279">
            <w:pPr>
              <w:widowControl/>
              <w:spacing w:before="0" w:beforeLines="0" w:line="240" w:lineRule="auto"/>
              <w:ind w:firstLine="0" w:firstLineChars="0"/>
              <w:jc w:val="right"/>
              <w:textAlignment w:val="bottom"/>
              <w:rPr>
                <w:rFonts w:cs="Times New Roman"/>
                <w:color w:val="000000"/>
                <w:sz w:val="21"/>
                <w:szCs w:val="21"/>
              </w:rPr>
            </w:pPr>
            <w:r>
              <w:rPr>
                <w:rFonts w:hint="eastAsia" w:ascii="宋体" w:hAnsi="宋体"/>
                <w:color w:val="000000"/>
                <w:sz w:val="21"/>
                <w:szCs w:val="21"/>
                <w:lang w:bidi="ar"/>
              </w:rPr>
              <w:t>0.45%</w:t>
            </w:r>
          </w:p>
        </w:tc>
      </w:tr>
      <w:tr w14:paraId="55284148">
        <w:tblPrEx>
          <w:tblBorders>
            <w:top w:val="single" w:color="auto" w:sz="12" w:space="0"/>
            <w:left w:val="single" w:color="auto" w:sz="12" w:space="0"/>
            <w:bottom w:val="single" w:color="auto" w:sz="12" w:space="0"/>
            <w:right w:val="single" w:color="auto"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3314" w:type="pct"/>
            <w:gridSpan w:val="2"/>
            <w:shd w:val="clear" w:color="auto" w:fill="auto"/>
            <w:vAlign w:val="center"/>
          </w:tcPr>
          <w:p w14:paraId="085DA788">
            <w:pPr>
              <w:widowControl/>
              <w:spacing w:before="0" w:beforeLines="0" w:line="240" w:lineRule="auto"/>
              <w:ind w:firstLine="0" w:firstLineChars="0"/>
              <w:jc w:val="center"/>
              <w:rPr>
                <w:rFonts w:cs="Times New Roman"/>
                <w:b/>
                <w:color w:val="000000"/>
                <w:sz w:val="21"/>
                <w:szCs w:val="21"/>
              </w:rPr>
            </w:pPr>
            <w:r>
              <w:rPr>
                <w:rFonts w:cs="Times New Roman"/>
                <w:b/>
                <w:color w:val="000000"/>
                <w:sz w:val="21"/>
                <w:szCs w:val="21"/>
              </w:rPr>
              <w:t>合计</w:t>
            </w:r>
          </w:p>
        </w:tc>
        <w:tc>
          <w:tcPr>
            <w:tcW w:w="1631" w:type="dxa"/>
            <w:shd w:val="clear" w:color="auto" w:fill="auto"/>
            <w:vAlign w:val="center"/>
          </w:tcPr>
          <w:p w14:paraId="25DB567C">
            <w:pPr>
              <w:widowControl/>
              <w:spacing w:before="0" w:beforeLines="0" w:line="240" w:lineRule="auto"/>
              <w:ind w:firstLine="0" w:firstLineChars="0"/>
              <w:jc w:val="right"/>
              <w:textAlignment w:val="bottom"/>
              <w:rPr>
                <w:rFonts w:cs="Times New Roman"/>
                <w:b/>
                <w:bCs/>
                <w:color w:val="000000"/>
                <w:sz w:val="21"/>
                <w:szCs w:val="21"/>
              </w:rPr>
            </w:pPr>
            <w:r>
              <w:rPr>
                <w:rFonts w:hint="eastAsia" w:ascii="宋体" w:hAnsi="宋体"/>
                <w:b/>
                <w:bCs/>
                <w:color w:val="000000"/>
                <w:sz w:val="21"/>
                <w:szCs w:val="21"/>
                <w:lang w:bidi="ar"/>
              </w:rPr>
              <w:t>31,591,960</w:t>
            </w:r>
          </w:p>
        </w:tc>
        <w:tc>
          <w:tcPr>
            <w:tcW w:w="1243" w:type="dxa"/>
            <w:shd w:val="clear" w:color="auto" w:fill="auto"/>
            <w:vAlign w:val="center"/>
          </w:tcPr>
          <w:p w14:paraId="19970D04">
            <w:pPr>
              <w:widowControl/>
              <w:spacing w:before="0" w:beforeLines="0" w:line="240" w:lineRule="auto"/>
              <w:ind w:firstLine="0" w:firstLineChars="0"/>
              <w:jc w:val="right"/>
              <w:textAlignment w:val="bottom"/>
              <w:rPr>
                <w:rFonts w:cs="Times New Roman"/>
                <w:b/>
                <w:bCs/>
                <w:color w:val="000000"/>
                <w:sz w:val="21"/>
                <w:szCs w:val="21"/>
              </w:rPr>
            </w:pPr>
            <w:r>
              <w:rPr>
                <w:rFonts w:hint="eastAsia" w:ascii="宋体" w:hAnsi="宋体"/>
                <w:b/>
                <w:bCs/>
                <w:color w:val="000000"/>
                <w:sz w:val="21"/>
                <w:szCs w:val="21"/>
                <w:lang w:bidi="ar"/>
              </w:rPr>
              <w:t>47.07%</w:t>
            </w:r>
          </w:p>
        </w:tc>
      </w:tr>
    </w:tbl>
    <w:p w14:paraId="3B12F15A">
      <w:pPr>
        <w:tabs>
          <w:tab w:val="left" w:pos="868"/>
        </w:tabs>
        <w:spacing w:before="120" w:after="120" w:afterLines="50"/>
        <w:ind w:firstLine="480"/>
        <w:jc w:val="both"/>
        <w:rPr>
          <w:color w:val="000000"/>
        </w:rPr>
      </w:pPr>
      <w:bookmarkStart w:id="96" w:name="_Toc184373646"/>
      <w:bookmarkStart w:id="97" w:name="_Toc86099279"/>
      <w:bookmarkStart w:id="98" w:name="_Toc75250056"/>
      <w:r>
        <w:rPr>
          <w:rFonts w:hint="eastAsia"/>
          <w:color w:val="000000"/>
        </w:rPr>
        <w:t>上述股东关联关系或一致行动的说明：</w:t>
      </w:r>
    </w:p>
    <w:p w14:paraId="6D175729">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olor w:val="000000"/>
        </w:rPr>
        <w:t>截至本预案签署之日，股东林明玲女士与股东马学沛先生为夫妻关系；股东马学沛先生担任南京优志投资管理合伙企业（有限合伙）有限合伙人。除上述情况外，公司未知前10名股东之间是否存在关联关系或一致行动人</w:t>
      </w:r>
      <w:bookmarkEnd w:id="96"/>
      <w:bookmarkEnd w:id="97"/>
      <w:bookmarkEnd w:id="98"/>
      <w:r>
        <w:rPr>
          <w:rFonts w:hint="eastAsia"/>
          <w:color w:val="000000"/>
        </w:rPr>
        <w:t>关系</w:t>
      </w:r>
      <w:r>
        <w:rPr>
          <w:rFonts w:hint="eastAsia" w:cs="Times New Roman"/>
          <w:color w:val="000000"/>
          <w:kern w:val="2"/>
          <w:szCs w:val="30"/>
          <w:shd w:val="clear" w:color="auto" w:fill="FFFFFF"/>
          <w:lang w:val="zh-CN"/>
        </w:rPr>
        <w:t>。</w:t>
      </w:r>
    </w:p>
    <w:p w14:paraId="65E96AE4">
      <w:pPr>
        <w:pStyle w:val="860"/>
        <w:spacing w:before="120" w:after="120"/>
      </w:pPr>
      <w:bookmarkStart w:id="99" w:name="_Toc17328"/>
      <w:r>
        <w:rPr>
          <w:rFonts w:hint="eastAsia"/>
        </w:rPr>
        <w:t>三、控股股东及实际控制人</w:t>
      </w:r>
      <w:bookmarkEnd w:id="99"/>
    </w:p>
    <w:p w14:paraId="630AF1BE">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（一）控股股东</w:t>
      </w:r>
    </w:p>
    <w:p w14:paraId="05D3C020">
      <w:pPr>
        <w:tabs>
          <w:tab w:val="left" w:pos="868"/>
        </w:tabs>
        <w:spacing w:before="120" w:after="120" w:afterLines="50"/>
        <w:ind w:firstLine="480"/>
        <w:jc w:val="both"/>
        <w:rPr>
          <w:color w:val="000000"/>
        </w:rPr>
      </w:pPr>
      <w:r>
        <w:rPr>
          <w:rFonts w:hint="eastAsia"/>
          <w:color w:val="000000"/>
        </w:rPr>
        <w:t>截至2025年3月31日，林明玲直接持有公司28.80%的股份，为公司的控股股东。</w:t>
      </w:r>
    </w:p>
    <w:p w14:paraId="2D84B436">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（二）实际控制人</w:t>
      </w:r>
    </w:p>
    <w:p w14:paraId="1FB14E39">
      <w:pPr>
        <w:tabs>
          <w:tab w:val="left" w:pos="868"/>
        </w:tabs>
        <w:spacing w:before="120" w:after="120" w:afterLines="50"/>
        <w:ind w:firstLine="480"/>
        <w:jc w:val="both"/>
        <w:rPr>
          <w:color w:val="000000"/>
        </w:rPr>
      </w:pPr>
      <w:r>
        <w:rPr>
          <w:rFonts w:hint="eastAsia"/>
          <w:color w:val="000000"/>
        </w:rPr>
        <w:t>截至2025年3月31日，公司实际控制人为林明玲、马学沛夫妻。其中，林明玲直接持有公司28.80%的股份，并任公司董事长。马学沛直接持有公司6.23%的股份，并任公司副董事长、总经理。</w:t>
      </w:r>
    </w:p>
    <w:p w14:paraId="626B10EF">
      <w:pPr>
        <w:tabs>
          <w:tab w:val="left" w:pos="868"/>
        </w:tabs>
        <w:spacing w:before="120" w:after="120" w:afterLines="50"/>
        <w:ind w:firstLine="480"/>
        <w:jc w:val="both"/>
        <w:rPr>
          <w:color w:val="000000"/>
        </w:rPr>
      </w:pPr>
      <w:r>
        <w:rPr>
          <w:rFonts w:hint="eastAsia"/>
          <w:color w:val="000000"/>
        </w:rPr>
        <w:t>两位实际控制人具体情况如下：</w:t>
      </w:r>
    </w:p>
    <w:p w14:paraId="2772C3BC">
      <w:pPr>
        <w:tabs>
          <w:tab w:val="left" w:pos="868"/>
        </w:tabs>
        <w:spacing w:before="0" w:beforeLines="0"/>
        <w:ind w:firstLine="480"/>
        <w:jc w:val="both"/>
        <w:rPr>
          <w:color w:val="000000"/>
        </w:rPr>
      </w:pPr>
      <w:r>
        <w:rPr>
          <w:rFonts w:hint="eastAsia"/>
          <w:color w:val="000000"/>
        </w:rPr>
        <w:t>林明玲女士：1971年生，中国国籍，无境外永久居留权，本科学历，行政管理专业。1998年7月至2015年8月担任公司执行董事；2015年8月至2017年4月担任公司董事长兼副总经理；现任公司董事长。</w:t>
      </w:r>
    </w:p>
    <w:p w14:paraId="2E4A53F5">
      <w:pPr>
        <w:tabs>
          <w:tab w:val="left" w:pos="868"/>
        </w:tabs>
        <w:spacing w:before="0" w:beforeLines="0"/>
        <w:ind w:firstLine="480"/>
        <w:jc w:val="both"/>
        <w:rPr>
          <w:color w:val="000000"/>
        </w:rPr>
      </w:pPr>
      <w:r>
        <w:rPr>
          <w:rFonts w:hint="eastAsia"/>
          <w:color w:val="000000"/>
        </w:rPr>
        <w:t>马学沛先生：1972年生，中国国籍，无境外永久居留权，工商管理硕士学历。1998年7月至2015年8月担任公司总经理，2015年8月至今任公司副董事长兼总经理；2016年至今，任汕头市工商联合会副主席；2012年至今，任汕头市科学技术协会常委；2022年1月被选举为汕头市第十五届人民代表大会代表（任期5年）；2023年2月被选举为第十四届全国人民代表大会代表（任期5年）。</w:t>
      </w:r>
    </w:p>
    <w:p w14:paraId="714D346B">
      <w:pPr>
        <w:pStyle w:val="860"/>
        <w:spacing w:before="120" w:after="120"/>
      </w:pPr>
      <w:bookmarkStart w:id="100" w:name="_Toc4657"/>
      <w:bookmarkStart w:id="101" w:name="_Toc75250055"/>
      <w:bookmarkStart w:id="102" w:name="_Toc184373647"/>
      <w:bookmarkStart w:id="103" w:name="_Toc86099278"/>
      <w:r>
        <w:rPr>
          <w:rFonts w:hint="eastAsia"/>
        </w:rPr>
        <w:t>四、上市公司最近三十六个月控制权变动情况</w:t>
      </w:r>
      <w:bookmarkEnd w:id="100"/>
      <w:bookmarkEnd w:id="101"/>
      <w:bookmarkEnd w:id="102"/>
      <w:bookmarkEnd w:id="103"/>
    </w:p>
    <w:p w14:paraId="5DCA370F">
      <w:pPr>
        <w:pStyle w:val="23"/>
        <w:spacing w:before="120"/>
        <w:ind w:firstLine="480"/>
        <w:jc w:val="both"/>
        <w:rPr>
          <w:rFonts w:ascii="Times New Roman" w:hAnsi="Times New Roman" w:cs="宋体"/>
          <w:color w:val="000000"/>
          <w:sz w:val="24"/>
          <w:szCs w:val="24"/>
        </w:rPr>
      </w:pPr>
      <w:bookmarkStart w:id="104" w:name="_Toc86099280"/>
      <w:bookmarkStart w:id="105" w:name="_Toc75250057"/>
      <w:r>
        <w:rPr>
          <w:rFonts w:hint="eastAsia" w:ascii="Times New Roman" w:hAnsi="Times New Roman" w:cs="宋体"/>
          <w:color w:val="000000"/>
          <w:sz w:val="24"/>
          <w:szCs w:val="24"/>
          <w:lang w:val="en-US"/>
        </w:rPr>
        <w:t>最近三十六个月内，</w:t>
      </w:r>
      <w:r>
        <w:rPr>
          <w:rFonts w:hint="eastAsia" w:ascii="Times New Roman" w:hAnsi="Times New Roman" w:cs="宋体"/>
          <w:color w:val="000000"/>
          <w:sz w:val="24"/>
          <w:szCs w:val="24"/>
        </w:rPr>
        <w:t>公司</w:t>
      </w:r>
      <w:r>
        <w:rPr>
          <w:rFonts w:ascii="Times New Roman" w:hAnsi="Times New Roman" w:cs="宋体"/>
          <w:color w:val="000000"/>
          <w:sz w:val="24"/>
          <w:szCs w:val="24"/>
        </w:rPr>
        <w:t>控股股东为</w:t>
      </w:r>
      <w:r>
        <w:rPr>
          <w:rFonts w:hint="eastAsia" w:ascii="Times New Roman" w:hAnsi="Times New Roman" w:cs="宋体"/>
          <w:color w:val="000000"/>
          <w:sz w:val="24"/>
          <w:szCs w:val="24"/>
        </w:rPr>
        <w:t>林明玲</w:t>
      </w:r>
      <w:r>
        <w:rPr>
          <w:rFonts w:ascii="Times New Roman" w:hAnsi="Times New Roman" w:cs="宋体"/>
          <w:color w:val="000000"/>
          <w:sz w:val="24"/>
          <w:szCs w:val="24"/>
        </w:rPr>
        <w:t>，实际控制人为</w:t>
      </w:r>
      <w:r>
        <w:rPr>
          <w:rFonts w:hint="eastAsia" w:ascii="Times New Roman" w:hAnsi="Times New Roman" w:cs="宋体"/>
          <w:color w:val="000000"/>
          <w:sz w:val="24"/>
          <w:szCs w:val="24"/>
        </w:rPr>
        <w:t>林明玲、马学沛</w:t>
      </w:r>
      <w:r>
        <w:rPr>
          <w:rFonts w:ascii="Times New Roman" w:hAnsi="Times New Roman" w:cs="宋体"/>
          <w:color w:val="000000"/>
          <w:sz w:val="24"/>
          <w:szCs w:val="24"/>
        </w:rPr>
        <w:t>，</w:t>
      </w:r>
      <w:r>
        <w:rPr>
          <w:rFonts w:ascii="宋体" w:hAnsi="宋体" w:cs="宋体"/>
          <w:color w:val="000000"/>
          <w:sz w:val="24"/>
          <w:szCs w:val="24"/>
        </w:rPr>
        <w:t>未发生</w:t>
      </w:r>
      <w:r>
        <w:rPr>
          <w:rFonts w:hint="eastAsia" w:ascii="宋体" w:hAnsi="宋体" w:cs="宋体"/>
          <w:color w:val="000000"/>
          <w:sz w:val="24"/>
          <w:szCs w:val="24"/>
          <w:lang w:val="en-US"/>
        </w:rPr>
        <w:t>控制权</w:t>
      </w:r>
      <w:r>
        <w:rPr>
          <w:rFonts w:ascii="宋体" w:hAnsi="宋体" w:cs="宋体"/>
          <w:color w:val="000000"/>
          <w:sz w:val="24"/>
          <w:szCs w:val="24"/>
        </w:rPr>
        <w:t>变动</w:t>
      </w:r>
      <w:r>
        <w:rPr>
          <w:rFonts w:hint="eastAsia" w:ascii="宋体" w:hAnsi="宋体" w:cs="宋体"/>
          <w:color w:val="000000"/>
          <w:sz w:val="24"/>
          <w:szCs w:val="24"/>
        </w:rPr>
        <w:t>的</w:t>
      </w:r>
      <w:r>
        <w:rPr>
          <w:rFonts w:hint="eastAsia" w:ascii="宋体" w:hAnsi="宋体" w:cs="宋体"/>
          <w:color w:val="000000"/>
          <w:sz w:val="24"/>
          <w:szCs w:val="24"/>
          <w:lang w:val="en-US"/>
        </w:rPr>
        <w:t>情形</w:t>
      </w:r>
      <w:r>
        <w:rPr>
          <w:rFonts w:ascii="Times New Roman" w:hAnsi="Times New Roman"/>
          <w:color w:val="000000"/>
          <w:sz w:val="24"/>
          <w:szCs w:val="24"/>
        </w:rPr>
        <w:t>。</w:t>
      </w:r>
    </w:p>
    <w:p w14:paraId="31983FE1">
      <w:pPr>
        <w:pStyle w:val="860"/>
        <w:spacing w:before="120" w:after="120"/>
      </w:pPr>
      <w:bookmarkStart w:id="106" w:name="_Toc184373648"/>
      <w:bookmarkStart w:id="107" w:name="_Toc27252"/>
      <w:r>
        <w:rPr>
          <w:rFonts w:hint="eastAsia"/>
        </w:rPr>
        <w:t>五、最近三年主营业务发展情况</w:t>
      </w:r>
      <w:bookmarkEnd w:id="104"/>
      <w:bookmarkEnd w:id="105"/>
      <w:bookmarkEnd w:id="106"/>
      <w:bookmarkEnd w:id="107"/>
    </w:p>
    <w:p w14:paraId="7DE58064">
      <w:pPr>
        <w:tabs>
          <w:tab w:val="left" w:pos="868"/>
        </w:tabs>
        <w:spacing w:before="120" w:after="120" w:afterLines="50"/>
        <w:ind w:firstLine="480"/>
        <w:jc w:val="both"/>
      </w:pPr>
      <w:r>
        <w:rPr>
          <w:rFonts w:hint="eastAsia"/>
        </w:rPr>
        <w:t>公司深耕信息技术领域二十多年，一直致力于融合物联网、大数据、云计算、人工智能等新一代信息技术，形成了产品研发、信息技术解决方案和信息系统运维服务三大核心业务板块，并主动布局智能算力、数据要素等新兴业务赛道，持续拓展算力网络集群服务，加速数据要素商业化进程；公司掌握了数字孪生构建与应用、政务大模型技术与应用、政务大数据分析与挖掘、图像超分与识别、跨平台高性能音视频通讯、统一数据集成、智能人机交互、智能报表、可视化工作流、低代码应用开发十大核心技术能力，持续创新并落地了基层社会治理网格化、市域社会治理、数字乡村、智慧社区、政务服务全场景一体化、数据要素全链条一站式、轨道交通无人值守、轨道交通资产巡视八大核心解决方案。</w:t>
      </w:r>
    </w:p>
    <w:p w14:paraId="03A5AC71">
      <w:pPr>
        <w:tabs>
          <w:tab w:val="left" w:pos="868"/>
        </w:tabs>
        <w:spacing w:before="120" w:after="120" w:afterLines="50"/>
        <w:ind w:firstLine="480"/>
        <w:jc w:val="both"/>
        <w:rPr>
          <w:color w:val="000000"/>
        </w:rPr>
      </w:pPr>
      <w:r>
        <w:t>最近三年，公司主营业务未发生变更。</w:t>
      </w:r>
    </w:p>
    <w:p w14:paraId="00177F6E">
      <w:pPr>
        <w:pStyle w:val="860"/>
        <w:spacing w:before="120" w:after="120"/>
      </w:pPr>
      <w:bookmarkStart w:id="108" w:name="_Toc75250058"/>
      <w:bookmarkStart w:id="109" w:name="_Toc86099281"/>
      <w:bookmarkStart w:id="110" w:name="_Toc184373649"/>
      <w:bookmarkStart w:id="111" w:name="_Toc6534"/>
      <w:r>
        <w:rPr>
          <w:rFonts w:hint="eastAsia"/>
        </w:rPr>
        <w:t>六、主要财务</w:t>
      </w:r>
      <w:bookmarkEnd w:id="108"/>
      <w:bookmarkEnd w:id="109"/>
      <w:r>
        <w:rPr>
          <w:rFonts w:hint="eastAsia"/>
        </w:rPr>
        <w:t>数据及指标</w:t>
      </w:r>
      <w:bookmarkEnd w:id="110"/>
      <w:bookmarkEnd w:id="111"/>
    </w:p>
    <w:p w14:paraId="20CBD19E">
      <w:pPr>
        <w:tabs>
          <w:tab w:val="left" w:pos="868"/>
        </w:tabs>
        <w:spacing w:before="120" w:after="120" w:afterLines="50"/>
        <w:ind w:firstLine="480"/>
        <w:jc w:val="both"/>
        <w:rPr>
          <w:color w:val="000000"/>
        </w:rPr>
      </w:pPr>
      <w:r>
        <w:rPr>
          <w:rFonts w:hint="eastAsia"/>
          <w:color w:val="000000"/>
        </w:rPr>
        <w:t>公司最近三年及一期的合并报表口径主要财务数据及财务指标如下表所示：</w:t>
      </w:r>
    </w:p>
    <w:p w14:paraId="7A2B9B25">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（一）资产负债表主要数据</w:t>
      </w:r>
    </w:p>
    <w:p w14:paraId="70E3D9A5">
      <w:pPr>
        <w:pStyle w:val="972"/>
      </w:pPr>
      <w:r>
        <w:t>单位：</w:t>
      </w:r>
      <w:r>
        <w:rPr>
          <w:rFonts w:hint="eastAsia"/>
        </w:rPr>
        <w:t>万</w:t>
      </w:r>
      <w:r>
        <w:t>元</w:t>
      </w:r>
    </w:p>
    <w:tbl>
      <w:tblPr>
        <w:tblStyle w:val="76"/>
        <w:tblW w:w="5000" w:type="pct"/>
        <w:jc w:val="center"/>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Layout w:type="autofit"/>
        <w:tblCellMar>
          <w:top w:w="0" w:type="dxa"/>
          <w:left w:w="108" w:type="dxa"/>
          <w:bottom w:w="0" w:type="dxa"/>
          <w:right w:w="108" w:type="dxa"/>
        </w:tblCellMar>
      </w:tblPr>
      <w:tblGrid>
        <w:gridCol w:w="1703"/>
        <w:gridCol w:w="1670"/>
        <w:gridCol w:w="1718"/>
        <w:gridCol w:w="1718"/>
        <w:gridCol w:w="1719"/>
      </w:tblGrid>
      <w:tr w14:paraId="13D5A577">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tblHeader/>
          <w:jc w:val="center"/>
        </w:trPr>
        <w:tc>
          <w:tcPr>
            <w:tcW w:w="998" w:type="pct"/>
            <w:shd w:val="clear" w:color="auto" w:fill="auto"/>
            <w:vAlign w:val="center"/>
          </w:tcPr>
          <w:p w14:paraId="0737FB9C">
            <w:pPr>
              <w:keepNext/>
              <w:spacing w:before="0" w:beforeLines="0" w:line="240" w:lineRule="auto"/>
              <w:ind w:firstLine="0" w:firstLineChars="0"/>
              <w:jc w:val="center"/>
              <w:rPr>
                <w:b/>
                <w:color w:val="000000"/>
                <w:sz w:val="21"/>
              </w:rPr>
            </w:pPr>
            <w:r>
              <w:rPr>
                <w:b/>
                <w:color w:val="000000"/>
                <w:sz w:val="21"/>
              </w:rPr>
              <w:t>项目</w:t>
            </w:r>
          </w:p>
        </w:tc>
        <w:tc>
          <w:tcPr>
            <w:tcW w:w="979" w:type="pct"/>
            <w:shd w:val="clear" w:color="auto" w:fill="auto"/>
            <w:vAlign w:val="center"/>
          </w:tcPr>
          <w:p w14:paraId="54FBC1D6">
            <w:pPr>
              <w:keepNext/>
              <w:spacing w:before="0" w:beforeLines="0" w:line="240" w:lineRule="auto"/>
              <w:ind w:firstLine="0" w:firstLineChars="0"/>
              <w:jc w:val="center"/>
              <w:rPr>
                <w:b/>
                <w:color w:val="000000"/>
                <w:sz w:val="21"/>
              </w:rPr>
            </w:pPr>
            <w:r>
              <w:rPr>
                <w:rFonts w:hint="eastAsia"/>
                <w:b/>
                <w:color w:val="000000"/>
                <w:sz w:val="21"/>
              </w:rPr>
              <w:t>2025年3月31日</w:t>
            </w:r>
          </w:p>
        </w:tc>
        <w:tc>
          <w:tcPr>
            <w:tcW w:w="1007" w:type="pct"/>
            <w:shd w:val="clear" w:color="auto" w:fill="auto"/>
            <w:vAlign w:val="center"/>
          </w:tcPr>
          <w:p w14:paraId="01E2CDE9">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4年1</w:t>
            </w:r>
            <w:r>
              <w:rPr>
                <w:b/>
                <w:color w:val="000000"/>
                <w:sz w:val="21"/>
              </w:rPr>
              <w:t>2</w:t>
            </w:r>
            <w:r>
              <w:rPr>
                <w:rFonts w:hint="eastAsia"/>
                <w:b/>
                <w:color w:val="000000"/>
                <w:sz w:val="21"/>
              </w:rPr>
              <w:t>月3</w:t>
            </w:r>
            <w:r>
              <w:rPr>
                <w:b/>
                <w:color w:val="000000"/>
                <w:sz w:val="21"/>
              </w:rPr>
              <w:t>1</w:t>
            </w:r>
            <w:r>
              <w:rPr>
                <w:rFonts w:hint="eastAsia"/>
                <w:b/>
                <w:color w:val="000000"/>
                <w:sz w:val="21"/>
              </w:rPr>
              <w:t>日</w:t>
            </w:r>
          </w:p>
        </w:tc>
        <w:tc>
          <w:tcPr>
            <w:tcW w:w="1007" w:type="pct"/>
            <w:shd w:val="clear" w:color="auto" w:fill="auto"/>
            <w:vAlign w:val="center"/>
          </w:tcPr>
          <w:p w14:paraId="243DE5A7">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3年1</w:t>
            </w:r>
            <w:r>
              <w:rPr>
                <w:b/>
                <w:color w:val="000000"/>
                <w:sz w:val="21"/>
              </w:rPr>
              <w:t>2</w:t>
            </w:r>
            <w:r>
              <w:rPr>
                <w:rFonts w:hint="eastAsia"/>
                <w:b/>
                <w:color w:val="000000"/>
                <w:sz w:val="21"/>
              </w:rPr>
              <w:t>月3</w:t>
            </w:r>
            <w:r>
              <w:rPr>
                <w:b/>
                <w:color w:val="000000"/>
                <w:sz w:val="21"/>
              </w:rPr>
              <w:t>1</w:t>
            </w:r>
            <w:r>
              <w:rPr>
                <w:rFonts w:hint="eastAsia"/>
                <w:b/>
                <w:color w:val="000000"/>
                <w:sz w:val="21"/>
              </w:rPr>
              <w:t>日</w:t>
            </w:r>
          </w:p>
        </w:tc>
        <w:tc>
          <w:tcPr>
            <w:tcW w:w="1007" w:type="pct"/>
            <w:shd w:val="clear" w:color="auto" w:fill="auto"/>
            <w:vAlign w:val="center"/>
          </w:tcPr>
          <w:p w14:paraId="52D62A0D">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2年1</w:t>
            </w:r>
            <w:r>
              <w:rPr>
                <w:b/>
                <w:color w:val="000000"/>
                <w:sz w:val="21"/>
              </w:rPr>
              <w:t>2</w:t>
            </w:r>
            <w:r>
              <w:rPr>
                <w:rFonts w:hint="eastAsia"/>
                <w:b/>
                <w:color w:val="000000"/>
                <w:sz w:val="21"/>
              </w:rPr>
              <w:t>月3</w:t>
            </w:r>
            <w:r>
              <w:rPr>
                <w:b/>
                <w:color w:val="000000"/>
                <w:sz w:val="21"/>
              </w:rPr>
              <w:t>1</w:t>
            </w:r>
            <w:r>
              <w:rPr>
                <w:rFonts w:hint="eastAsia"/>
                <w:b/>
                <w:color w:val="000000"/>
                <w:sz w:val="21"/>
              </w:rPr>
              <w:t>日</w:t>
            </w:r>
          </w:p>
        </w:tc>
      </w:tr>
      <w:tr w14:paraId="1F4893D4">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998" w:type="pct"/>
            <w:shd w:val="clear" w:color="auto" w:fill="auto"/>
            <w:vAlign w:val="center"/>
          </w:tcPr>
          <w:p w14:paraId="08601828">
            <w:pPr>
              <w:spacing w:before="0" w:beforeLines="0" w:line="240" w:lineRule="auto"/>
              <w:ind w:firstLine="0" w:firstLineChars="0"/>
              <w:rPr>
                <w:color w:val="000000"/>
                <w:sz w:val="21"/>
              </w:rPr>
            </w:pPr>
            <w:r>
              <w:rPr>
                <w:color w:val="000000"/>
                <w:sz w:val="21"/>
              </w:rPr>
              <w:t>总资产</w:t>
            </w:r>
          </w:p>
        </w:tc>
        <w:tc>
          <w:tcPr>
            <w:tcW w:w="979" w:type="pct"/>
            <w:shd w:val="clear" w:color="auto" w:fill="auto"/>
            <w:vAlign w:val="center"/>
          </w:tcPr>
          <w:p w14:paraId="110B43FF">
            <w:pPr>
              <w:spacing w:before="0" w:beforeLines="0" w:line="240" w:lineRule="auto"/>
              <w:ind w:firstLine="0" w:firstLineChars="0"/>
              <w:jc w:val="right"/>
              <w:rPr>
                <w:color w:val="000000"/>
                <w:sz w:val="21"/>
              </w:rPr>
            </w:pPr>
            <w:r>
              <w:rPr>
                <w:rFonts w:hint="eastAsia"/>
                <w:color w:val="000000"/>
                <w:sz w:val="21"/>
              </w:rPr>
              <w:t>138,332.56</w:t>
            </w:r>
          </w:p>
        </w:tc>
        <w:tc>
          <w:tcPr>
            <w:tcW w:w="1007" w:type="pct"/>
            <w:shd w:val="clear" w:color="auto" w:fill="auto"/>
            <w:vAlign w:val="center"/>
          </w:tcPr>
          <w:p w14:paraId="6C09045F">
            <w:pPr>
              <w:spacing w:before="0" w:beforeLines="0" w:line="240" w:lineRule="auto"/>
              <w:ind w:firstLine="0" w:firstLineChars="0"/>
              <w:jc w:val="right"/>
              <w:rPr>
                <w:color w:val="000000"/>
                <w:sz w:val="21"/>
              </w:rPr>
            </w:pPr>
            <w:r>
              <w:rPr>
                <w:rFonts w:hint="eastAsia"/>
                <w:color w:val="000000"/>
                <w:sz w:val="21"/>
              </w:rPr>
              <w:t>133,376.68</w:t>
            </w:r>
          </w:p>
        </w:tc>
        <w:tc>
          <w:tcPr>
            <w:tcW w:w="1007" w:type="pct"/>
            <w:shd w:val="clear" w:color="auto" w:fill="auto"/>
            <w:vAlign w:val="center"/>
          </w:tcPr>
          <w:p w14:paraId="308ABCDD">
            <w:pPr>
              <w:spacing w:before="0" w:beforeLines="0" w:line="240" w:lineRule="auto"/>
              <w:ind w:firstLine="0" w:firstLineChars="0"/>
              <w:jc w:val="right"/>
              <w:rPr>
                <w:color w:val="000000"/>
                <w:sz w:val="21"/>
              </w:rPr>
            </w:pPr>
            <w:r>
              <w:rPr>
                <w:rFonts w:hint="eastAsia"/>
                <w:color w:val="000000"/>
                <w:sz w:val="21"/>
              </w:rPr>
              <w:t>104,432.67</w:t>
            </w:r>
          </w:p>
        </w:tc>
        <w:tc>
          <w:tcPr>
            <w:tcW w:w="1007" w:type="pct"/>
            <w:shd w:val="clear" w:color="auto" w:fill="auto"/>
            <w:vAlign w:val="center"/>
          </w:tcPr>
          <w:p w14:paraId="14404C77">
            <w:pPr>
              <w:spacing w:before="0" w:beforeLines="0" w:line="240" w:lineRule="auto"/>
              <w:ind w:firstLine="0" w:firstLineChars="0"/>
              <w:jc w:val="right"/>
              <w:rPr>
                <w:color w:val="000000"/>
                <w:sz w:val="21"/>
              </w:rPr>
            </w:pPr>
            <w:r>
              <w:rPr>
                <w:rFonts w:hint="eastAsia"/>
                <w:color w:val="000000"/>
                <w:sz w:val="21"/>
              </w:rPr>
              <w:t>101,502.53</w:t>
            </w:r>
          </w:p>
        </w:tc>
      </w:tr>
      <w:tr w14:paraId="4C330FD5">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998" w:type="pct"/>
            <w:shd w:val="clear" w:color="auto" w:fill="auto"/>
            <w:vAlign w:val="center"/>
          </w:tcPr>
          <w:p w14:paraId="6543075E">
            <w:pPr>
              <w:spacing w:before="0" w:beforeLines="0" w:line="240" w:lineRule="auto"/>
              <w:ind w:firstLine="0" w:firstLineChars="0"/>
              <w:rPr>
                <w:color w:val="000000"/>
                <w:sz w:val="21"/>
              </w:rPr>
            </w:pPr>
            <w:r>
              <w:rPr>
                <w:color w:val="000000"/>
                <w:sz w:val="21"/>
              </w:rPr>
              <w:t>总负债</w:t>
            </w:r>
          </w:p>
        </w:tc>
        <w:tc>
          <w:tcPr>
            <w:tcW w:w="979" w:type="pct"/>
            <w:shd w:val="clear" w:color="auto" w:fill="auto"/>
            <w:vAlign w:val="center"/>
          </w:tcPr>
          <w:p w14:paraId="28952D99">
            <w:pPr>
              <w:spacing w:before="0" w:beforeLines="0" w:line="240" w:lineRule="auto"/>
              <w:ind w:firstLine="0" w:firstLineChars="0"/>
              <w:jc w:val="right"/>
              <w:rPr>
                <w:color w:val="000000"/>
                <w:sz w:val="21"/>
              </w:rPr>
            </w:pPr>
            <w:r>
              <w:rPr>
                <w:rFonts w:hint="eastAsia"/>
                <w:color w:val="000000"/>
                <w:sz w:val="21"/>
              </w:rPr>
              <w:t>61,413.76</w:t>
            </w:r>
          </w:p>
        </w:tc>
        <w:tc>
          <w:tcPr>
            <w:tcW w:w="1007" w:type="pct"/>
            <w:shd w:val="clear" w:color="auto" w:fill="auto"/>
            <w:vAlign w:val="center"/>
          </w:tcPr>
          <w:p w14:paraId="0B7376F6">
            <w:pPr>
              <w:spacing w:before="0" w:beforeLines="0" w:line="240" w:lineRule="auto"/>
              <w:ind w:firstLine="0" w:firstLineChars="0"/>
              <w:jc w:val="right"/>
              <w:rPr>
                <w:color w:val="000000"/>
                <w:sz w:val="21"/>
              </w:rPr>
            </w:pPr>
            <w:r>
              <w:rPr>
                <w:rFonts w:hint="eastAsia"/>
                <w:color w:val="000000"/>
                <w:sz w:val="21"/>
              </w:rPr>
              <w:t>56,734.99</w:t>
            </w:r>
          </w:p>
        </w:tc>
        <w:tc>
          <w:tcPr>
            <w:tcW w:w="1007" w:type="pct"/>
            <w:shd w:val="clear" w:color="auto" w:fill="auto"/>
            <w:vAlign w:val="center"/>
          </w:tcPr>
          <w:p w14:paraId="15970A21">
            <w:pPr>
              <w:spacing w:before="0" w:beforeLines="0" w:line="240" w:lineRule="auto"/>
              <w:ind w:firstLine="0" w:firstLineChars="0"/>
              <w:jc w:val="right"/>
              <w:rPr>
                <w:color w:val="000000"/>
                <w:sz w:val="21"/>
              </w:rPr>
            </w:pPr>
            <w:r>
              <w:rPr>
                <w:rFonts w:hint="eastAsia"/>
                <w:color w:val="000000"/>
                <w:sz w:val="21"/>
              </w:rPr>
              <w:t>20,804.70</w:t>
            </w:r>
          </w:p>
        </w:tc>
        <w:tc>
          <w:tcPr>
            <w:tcW w:w="1007" w:type="pct"/>
            <w:shd w:val="clear" w:color="auto" w:fill="auto"/>
            <w:vAlign w:val="center"/>
          </w:tcPr>
          <w:p w14:paraId="6540EEA2">
            <w:pPr>
              <w:spacing w:before="0" w:beforeLines="0" w:line="240" w:lineRule="auto"/>
              <w:ind w:firstLine="0" w:firstLineChars="0"/>
              <w:jc w:val="right"/>
              <w:rPr>
                <w:color w:val="000000"/>
                <w:sz w:val="21"/>
              </w:rPr>
            </w:pPr>
            <w:r>
              <w:rPr>
                <w:rFonts w:hint="eastAsia"/>
                <w:color w:val="000000"/>
                <w:sz w:val="21"/>
              </w:rPr>
              <w:t>17,579.64</w:t>
            </w:r>
          </w:p>
        </w:tc>
      </w:tr>
      <w:tr w14:paraId="6FE24A17">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998" w:type="pct"/>
            <w:shd w:val="clear" w:color="auto" w:fill="auto"/>
            <w:vAlign w:val="center"/>
          </w:tcPr>
          <w:p w14:paraId="4F90AB3A">
            <w:pPr>
              <w:spacing w:before="0" w:beforeLines="0" w:line="240" w:lineRule="auto"/>
              <w:ind w:firstLine="0" w:firstLineChars="0"/>
              <w:rPr>
                <w:color w:val="000000"/>
                <w:sz w:val="21"/>
              </w:rPr>
            </w:pPr>
            <w:r>
              <w:rPr>
                <w:rFonts w:hint="eastAsia"/>
                <w:color w:val="000000"/>
                <w:sz w:val="21"/>
              </w:rPr>
              <w:t>净资产</w:t>
            </w:r>
          </w:p>
        </w:tc>
        <w:tc>
          <w:tcPr>
            <w:tcW w:w="979" w:type="pct"/>
            <w:shd w:val="clear" w:color="auto" w:fill="auto"/>
            <w:vAlign w:val="center"/>
          </w:tcPr>
          <w:p w14:paraId="14D031E8">
            <w:pPr>
              <w:spacing w:before="0" w:beforeLines="0" w:line="240" w:lineRule="auto"/>
              <w:ind w:firstLine="0" w:firstLineChars="0"/>
              <w:jc w:val="right"/>
              <w:rPr>
                <w:color w:val="000000"/>
                <w:sz w:val="21"/>
              </w:rPr>
            </w:pPr>
            <w:r>
              <w:rPr>
                <w:rFonts w:hint="eastAsia"/>
                <w:color w:val="000000"/>
                <w:sz w:val="21"/>
              </w:rPr>
              <w:t>76,918.80</w:t>
            </w:r>
          </w:p>
        </w:tc>
        <w:tc>
          <w:tcPr>
            <w:tcW w:w="1007" w:type="pct"/>
            <w:shd w:val="clear" w:color="auto" w:fill="auto"/>
            <w:vAlign w:val="center"/>
          </w:tcPr>
          <w:p w14:paraId="11646664">
            <w:pPr>
              <w:spacing w:before="0" w:beforeLines="0" w:line="240" w:lineRule="auto"/>
              <w:ind w:firstLine="0" w:firstLineChars="0"/>
              <w:jc w:val="right"/>
              <w:rPr>
                <w:color w:val="000000"/>
                <w:sz w:val="21"/>
              </w:rPr>
            </w:pPr>
            <w:r>
              <w:rPr>
                <w:rFonts w:hint="eastAsia"/>
                <w:color w:val="000000"/>
                <w:sz w:val="21"/>
              </w:rPr>
              <w:t>76,641.68</w:t>
            </w:r>
          </w:p>
        </w:tc>
        <w:tc>
          <w:tcPr>
            <w:tcW w:w="1007" w:type="pct"/>
            <w:shd w:val="clear" w:color="auto" w:fill="auto"/>
            <w:vAlign w:val="center"/>
          </w:tcPr>
          <w:p w14:paraId="49AF2E68">
            <w:pPr>
              <w:spacing w:before="0" w:beforeLines="0" w:line="240" w:lineRule="auto"/>
              <w:ind w:firstLine="0" w:firstLineChars="0"/>
              <w:jc w:val="right"/>
              <w:rPr>
                <w:color w:val="000000"/>
                <w:sz w:val="21"/>
              </w:rPr>
            </w:pPr>
            <w:r>
              <w:rPr>
                <w:rFonts w:hint="eastAsia"/>
                <w:color w:val="000000"/>
                <w:sz w:val="21"/>
              </w:rPr>
              <w:t>83,627.97</w:t>
            </w:r>
          </w:p>
        </w:tc>
        <w:tc>
          <w:tcPr>
            <w:tcW w:w="1007" w:type="pct"/>
            <w:shd w:val="clear" w:color="auto" w:fill="auto"/>
            <w:vAlign w:val="center"/>
          </w:tcPr>
          <w:p w14:paraId="02D37B38">
            <w:pPr>
              <w:spacing w:before="0" w:beforeLines="0" w:line="240" w:lineRule="auto"/>
              <w:ind w:firstLine="0" w:firstLineChars="0"/>
              <w:jc w:val="right"/>
              <w:rPr>
                <w:color w:val="000000"/>
                <w:sz w:val="21"/>
              </w:rPr>
            </w:pPr>
            <w:r>
              <w:rPr>
                <w:rFonts w:hint="eastAsia"/>
                <w:color w:val="000000"/>
                <w:sz w:val="21"/>
              </w:rPr>
              <w:t>83,922.88</w:t>
            </w:r>
          </w:p>
        </w:tc>
      </w:tr>
      <w:tr w14:paraId="24AA95D0">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998" w:type="pct"/>
            <w:shd w:val="clear" w:color="auto" w:fill="auto"/>
            <w:vAlign w:val="center"/>
          </w:tcPr>
          <w:p w14:paraId="78A672D7">
            <w:pPr>
              <w:spacing w:before="0" w:beforeLines="0" w:line="240" w:lineRule="auto"/>
              <w:ind w:firstLine="0" w:firstLineChars="0"/>
              <w:rPr>
                <w:color w:val="000000"/>
                <w:sz w:val="21"/>
              </w:rPr>
            </w:pPr>
            <w:r>
              <w:rPr>
                <w:color w:val="000000"/>
                <w:sz w:val="21"/>
              </w:rPr>
              <w:t>归属于</w:t>
            </w:r>
            <w:r>
              <w:rPr>
                <w:rFonts w:hint="eastAsia"/>
                <w:color w:val="000000"/>
                <w:sz w:val="21"/>
              </w:rPr>
              <w:t>母</w:t>
            </w:r>
            <w:r>
              <w:rPr>
                <w:color w:val="000000"/>
                <w:sz w:val="21"/>
              </w:rPr>
              <w:t>公司股东的</w:t>
            </w:r>
            <w:r>
              <w:rPr>
                <w:rFonts w:hint="eastAsia"/>
                <w:color w:val="000000"/>
                <w:sz w:val="21"/>
              </w:rPr>
              <w:t>净资产</w:t>
            </w:r>
          </w:p>
        </w:tc>
        <w:tc>
          <w:tcPr>
            <w:tcW w:w="979" w:type="pct"/>
            <w:shd w:val="clear" w:color="auto" w:fill="auto"/>
            <w:vAlign w:val="center"/>
          </w:tcPr>
          <w:p w14:paraId="007907D9">
            <w:pPr>
              <w:spacing w:before="0" w:beforeLines="0" w:line="240" w:lineRule="auto"/>
              <w:ind w:firstLine="0" w:firstLineChars="0"/>
              <w:jc w:val="right"/>
              <w:rPr>
                <w:color w:val="000000"/>
                <w:sz w:val="21"/>
              </w:rPr>
            </w:pPr>
            <w:r>
              <w:rPr>
                <w:rFonts w:hint="eastAsia"/>
                <w:color w:val="000000"/>
                <w:sz w:val="21"/>
              </w:rPr>
              <w:t>76,164.77</w:t>
            </w:r>
          </w:p>
        </w:tc>
        <w:tc>
          <w:tcPr>
            <w:tcW w:w="1007" w:type="pct"/>
            <w:shd w:val="clear" w:color="auto" w:fill="auto"/>
            <w:vAlign w:val="center"/>
          </w:tcPr>
          <w:p w14:paraId="3217BB88">
            <w:pPr>
              <w:spacing w:before="0" w:beforeLines="0" w:line="240" w:lineRule="auto"/>
              <w:ind w:firstLine="0" w:firstLineChars="0"/>
              <w:jc w:val="right"/>
              <w:rPr>
                <w:color w:val="000000"/>
                <w:sz w:val="21"/>
              </w:rPr>
            </w:pPr>
            <w:r>
              <w:rPr>
                <w:rFonts w:hint="eastAsia"/>
                <w:color w:val="000000"/>
                <w:sz w:val="21"/>
              </w:rPr>
              <w:t>75,825.02</w:t>
            </w:r>
          </w:p>
        </w:tc>
        <w:tc>
          <w:tcPr>
            <w:tcW w:w="1007" w:type="pct"/>
            <w:shd w:val="clear" w:color="auto" w:fill="auto"/>
            <w:vAlign w:val="center"/>
          </w:tcPr>
          <w:p w14:paraId="6615B5EE">
            <w:pPr>
              <w:spacing w:before="0" w:beforeLines="0" w:line="240" w:lineRule="auto"/>
              <w:ind w:firstLine="0" w:firstLineChars="0"/>
              <w:jc w:val="right"/>
              <w:rPr>
                <w:color w:val="000000"/>
                <w:sz w:val="21"/>
              </w:rPr>
            </w:pPr>
            <w:r>
              <w:rPr>
                <w:rFonts w:hint="eastAsia"/>
                <w:color w:val="000000"/>
                <w:sz w:val="21"/>
              </w:rPr>
              <w:t>83,172.80</w:t>
            </w:r>
          </w:p>
        </w:tc>
        <w:tc>
          <w:tcPr>
            <w:tcW w:w="1007" w:type="pct"/>
            <w:shd w:val="clear" w:color="auto" w:fill="auto"/>
            <w:vAlign w:val="center"/>
          </w:tcPr>
          <w:p w14:paraId="603659D1">
            <w:pPr>
              <w:spacing w:before="0" w:beforeLines="0" w:line="240" w:lineRule="auto"/>
              <w:ind w:firstLine="0" w:firstLineChars="0"/>
              <w:jc w:val="right"/>
              <w:rPr>
                <w:color w:val="000000"/>
                <w:sz w:val="21"/>
              </w:rPr>
            </w:pPr>
            <w:r>
              <w:rPr>
                <w:rFonts w:hint="eastAsia"/>
                <w:color w:val="000000"/>
                <w:sz w:val="21"/>
              </w:rPr>
              <w:t>83,954.63</w:t>
            </w:r>
          </w:p>
        </w:tc>
      </w:tr>
    </w:tbl>
    <w:p w14:paraId="30371584">
      <w:pPr>
        <w:spacing w:before="120"/>
        <w:ind w:firstLine="420"/>
        <w:jc w:val="both"/>
        <w:rPr>
          <w:rFonts w:cs="Arial"/>
          <w:bCs/>
          <w:kern w:val="2"/>
          <w:sz w:val="21"/>
          <w:szCs w:val="22"/>
        </w:rPr>
      </w:pPr>
      <w:r>
        <w:rPr>
          <w:rFonts w:hint="eastAsia" w:cs="Arial"/>
          <w:bCs/>
          <w:kern w:val="2"/>
          <w:sz w:val="21"/>
          <w:szCs w:val="22"/>
        </w:rPr>
        <w:t>注：2</w:t>
      </w:r>
      <w:r>
        <w:rPr>
          <w:rFonts w:cs="Arial"/>
          <w:bCs/>
          <w:kern w:val="2"/>
          <w:sz w:val="21"/>
          <w:szCs w:val="22"/>
        </w:rPr>
        <w:t>02</w:t>
      </w:r>
      <w:r>
        <w:rPr>
          <w:rFonts w:hint="eastAsia" w:cs="Arial"/>
          <w:bCs/>
          <w:kern w:val="2"/>
          <w:sz w:val="21"/>
          <w:szCs w:val="22"/>
        </w:rPr>
        <w:t>5年3月31日的财务数据未经审计，其余数据已经审计。</w:t>
      </w:r>
    </w:p>
    <w:p w14:paraId="58162693">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（二）利润表主要数据</w:t>
      </w:r>
    </w:p>
    <w:p w14:paraId="33D6671B">
      <w:pPr>
        <w:pStyle w:val="972"/>
      </w:pPr>
      <w:r>
        <w:t>单位：</w:t>
      </w:r>
      <w:r>
        <w:rPr>
          <w:rFonts w:hint="eastAsia"/>
        </w:rPr>
        <w:t>万</w:t>
      </w:r>
      <w:r>
        <w:t>元</w:t>
      </w:r>
    </w:p>
    <w:tbl>
      <w:tblPr>
        <w:tblStyle w:val="76"/>
        <w:tblW w:w="4998" w:type="pct"/>
        <w:jc w:val="center"/>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Layout w:type="autofit"/>
        <w:tblCellMar>
          <w:top w:w="0" w:type="dxa"/>
          <w:left w:w="108" w:type="dxa"/>
          <w:bottom w:w="0" w:type="dxa"/>
          <w:right w:w="108" w:type="dxa"/>
        </w:tblCellMar>
      </w:tblPr>
      <w:tblGrid>
        <w:gridCol w:w="2936"/>
        <w:gridCol w:w="1680"/>
        <w:gridCol w:w="1303"/>
        <w:gridCol w:w="1303"/>
        <w:gridCol w:w="1303"/>
      </w:tblGrid>
      <w:tr w14:paraId="1F24B74E">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tblHeader/>
          <w:jc w:val="center"/>
        </w:trPr>
        <w:tc>
          <w:tcPr>
            <w:tcW w:w="1722" w:type="pct"/>
            <w:shd w:val="clear" w:color="auto" w:fill="auto"/>
            <w:vAlign w:val="center"/>
          </w:tcPr>
          <w:p w14:paraId="2DE3E077">
            <w:pPr>
              <w:keepNext/>
              <w:spacing w:before="0" w:beforeLines="0" w:line="240" w:lineRule="auto"/>
              <w:ind w:firstLine="0" w:firstLineChars="0"/>
              <w:jc w:val="center"/>
              <w:rPr>
                <w:b/>
                <w:color w:val="000000"/>
                <w:sz w:val="21"/>
              </w:rPr>
            </w:pPr>
            <w:r>
              <w:rPr>
                <w:b/>
                <w:color w:val="000000"/>
                <w:sz w:val="21"/>
              </w:rPr>
              <w:t>项目</w:t>
            </w:r>
          </w:p>
        </w:tc>
        <w:tc>
          <w:tcPr>
            <w:tcW w:w="985" w:type="pct"/>
            <w:shd w:val="clear" w:color="auto" w:fill="auto"/>
            <w:vAlign w:val="center"/>
          </w:tcPr>
          <w:p w14:paraId="51985B07">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5年1-3月</w:t>
            </w:r>
          </w:p>
        </w:tc>
        <w:tc>
          <w:tcPr>
            <w:tcW w:w="764" w:type="pct"/>
            <w:shd w:val="clear" w:color="auto" w:fill="auto"/>
            <w:vAlign w:val="center"/>
          </w:tcPr>
          <w:p w14:paraId="167465F2">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4年度</w:t>
            </w:r>
          </w:p>
        </w:tc>
        <w:tc>
          <w:tcPr>
            <w:tcW w:w="764" w:type="pct"/>
            <w:shd w:val="clear" w:color="auto" w:fill="auto"/>
            <w:vAlign w:val="center"/>
          </w:tcPr>
          <w:p w14:paraId="1077FC03">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3年度</w:t>
            </w:r>
          </w:p>
        </w:tc>
        <w:tc>
          <w:tcPr>
            <w:tcW w:w="764" w:type="pct"/>
            <w:shd w:val="clear" w:color="auto" w:fill="auto"/>
            <w:vAlign w:val="center"/>
          </w:tcPr>
          <w:p w14:paraId="515A6C51">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2年度</w:t>
            </w:r>
          </w:p>
        </w:tc>
      </w:tr>
      <w:tr w14:paraId="5468A4F1">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722" w:type="pct"/>
            <w:shd w:val="clear" w:color="auto" w:fill="auto"/>
            <w:vAlign w:val="center"/>
          </w:tcPr>
          <w:p w14:paraId="67E57609">
            <w:pPr>
              <w:spacing w:before="0" w:beforeLines="0" w:line="240" w:lineRule="auto"/>
              <w:ind w:firstLine="0" w:firstLineChars="0"/>
              <w:rPr>
                <w:color w:val="000000"/>
                <w:sz w:val="21"/>
              </w:rPr>
            </w:pPr>
            <w:r>
              <w:rPr>
                <w:color w:val="000000"/>
                <w:sz w:val="21"/>
              </w:rPr>
              <w:t>营业收入</w:t>
            </w:r>
          </w:p>
        </w:tc>
        <w:tc>
          <w:tcPr>
            <w:tcW w:w="985" w:type="pct"/>
            <w:shd w:val="clear" w:color="auto" w:fill="auto"/>
            <w:vAlign w:val="center"/>
          </w:tcPr>
          <w:p w14:paraId="36B6B3D9">
            <w:pPr>
              <w:spacing w:before="0" w:beforeLines="0" w:line="240" w:lineRule="auto"/>
              <w:ind w:firstLine="0" w:firstLineChars="0"/>
              <w:jc w:val="right"/>
              <w:rPr>
                <w:color w:val="000000"/>
                <w:sz w:val="21"/>
              </w:rPr>
            </w:pPr>
            <w:r>
              <w:rPr>
                <w:rFonts w:hint="eastAsia"/>
                <w:color w:val="000000"/>
                <w:sz w:val="21"/>
              </w:rPr>
              <w:t>4,842.29</w:t>
            </w:r>
          </w:p>
        </w:tc>
        <w:tc>
          <w:tcPr>
            <w:tcW w:w="764" w:type="pct"/>
            <w:shd w:val="clear" w:color="auto" w:fill="auto"/>
            <w:vAlign w:val="center"/>
          </w:tcPr>
          <w:p w14:paraId="2801AEA3">
            <w:pPr>
              <w:spacing w:before="0" w:beforeLines="0" w:line="240" w:lineRule="auto"/>
              <w:ind w:firstLine="0" w:firstLineChars="0"/>
              <w:jc w:val="right"/>
              <w:rPr>
                <w:color w:val="000000"/>
                <w:sz w:val="21"/>
              </w:rPr>
            </w:pPr>
            <w:r>
              <w:rPr>
                <w:rFonts w:hint="eastAsia"/>
                <w:color w:val="000000"/>
                <w:sz w:val="21"/>
              </w:rPr>
              <w:t>22,363.30</w:t>
            </w:r>
          </w:p>
        </w:tc>
        <w:tc>
          <w:tcPr>
            <w:tcW w:w="764" w:type="pct"/>
            <w:shd w:val="clear" w:color="auto" w:fill="auto"/>
            <w:vAlign w:val="center"/>
          </w:tcPr>
          <w:p w14:paraId="78182D3F">
            <w:pPr>
              <w:spacing w:before="0" w:beforeLines="0" w:line="240" w:lineRule="auto"/>
              <w:ind w:firstLine="0" w:firstLineChars="0"/>
              <w:jc w:val="right"/>
              <w:rPr>
                <w:color w:val="000000"/>
                <w:sz w:val="21"/>
              </w:rPr>
            </w:pPr>
            <w:r>
              <w:rPr>
                <w:rFonts w:hint="eastAsia"/>
                <w:color w:val="000000"/>
                <w:sz w:val="21"/>
              </w:rPr>
              <w:t>41,000.98</w:t>
            </w:r>
          </w:p>
        </w:tc>
        <w:tc>
          <w:tcPr>
            <w:tcW w:w="764" w:type="pct"/>
            <w:shd w:val="clear" w:color="auto" w:fill="auto"/>
            <w:vAlign w:val="center"/>
          </w:tcPr>
          <w:p w14:paraId="6F3EA424">
            <w:pPr>
              <w:spacing w:before="0" w:beforeLines="0" w:line="240" w:lineRule="auto"/>
              <w:ind w:firstLine="0" w:firstLineChars="0"/>
              <w:jc w:val="right"/>
              <w:rPr>
                <w:color w:val="000000"/>
                <w:sz w:val="21"/>
              </w:rPr>
            </w:pPr>
            <w:r>
              <w:rPr>
                <w:rFonts w:hint="eastAsia"/>
                <w:color w:val="000000"/>
                <w:sz w:val="21"/>
              </w:rPr>
              <w:t>43,921.75</w:t>
            </w:r>
          </w:p>
        </w:tc>
      </w:tr>
      <w:tr w14:paraId="4D22DC12">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722" w:type="pct"/>
            <w:shd w:val="clear" w:color="auto" w:fill="auto"/>
            <w:vAlign w:val="center"/>
          </w:tcPr>
          <w:p w14:paraId="04BCFF57">
            <w:pPr>
              <w:spacing w:before="0" w:beforeLines="0" w:line="240" w:lineRule="auto"/>
              <w:ind w:firstLine="0" w:firstLineChars="0"/>
              <w:rPr>
                <w:color w:val="000000"/>
                <w:sz w:val="21"/>
              </w:rPr>
            </w:pPr>
            <w:r>
              <w:rPr>
                <w:color w:val="000000"/>
                <w:sz w:val="21"/>
              </w:rPr>
              <w:t>营业利润</w:t>
            </w:r>
          </w:p>
        </w:tc>
        <w:tc>
          <w:tcPr>
            <w:tcW w:w="985" w:type="pct"/>
            <w:shd w:val="clear" w:color="auto" w:fill="auto"/>
            <w:vAlign w:val="center"/>
          </w:tcPr>
          <w:p w14:paraId="2E063ED3">
            <w:pPr>
              <w:spacing w:before="0" w:beforeLines="0" w:line="240" w:lineRule="auto"/>
              <w:ind w:firstLine="0" w:firstLineChars="0"/>
              <w:jc w:val="right"/>
              <w:rPr>
                <w:color w:val="000000"/>
                <w:sz w:val="21"/>
              </w:rPr>
            </w:pPr>
            <w:r>
              <w:rPr>
                <w:rFonts w:hint="eastAsia"/>
                <w:color w:val="000000"/>
                <w:sz w:val="21"/>
              </w:rPr>
              <w:t>-5.01</w:t>
            </w:r>
          </w:p>
        </w:tc>
        <w:tc>
          <w:tcPr>
            <w:tcW w:w="764" w:type="pct"/>
            <w:shd w:val="clear" w:color="auto" w:fill="auto"/>
            <w:vAlign w:val="center"/>
          </w:tcPr>
          <w:p w14:paraId="51F5C9F3">
            <w:pPr>
              <w:spacing w:before="0" w:beforeLines="0" w:line="240" w:lineRule="auto"/>
              <w:ind w:firstLine="0" w:firstLineChars="0"/>
              <w:jc w:val="right"/>
              <w:rPr>
                <w:color w:val="000000"/>
                <w:sz w:val="21"/>
              </w:rPr>
            </w:pPr>
            <w:r>
              <w:rPr>
                <w:rFonts w:hint="eastAsia"/>
                <w:color w:val="000000"/>
                <w:sz w:val="21"/>
              </w:rPr>
              <w:t>-6,269.27</w:t>
            </w:r>
          </w:p>
        </w:tc>
        <w:tc>
          <w:tcPr>
            <w:tcW w:w="764" w:type="pct"/>
            <w:shd w:val="clear" w:color="auto" w:fill="auto"/>
            <w:vAlign w:val="center"/>
          </w:tcPr>
          <w:p w14:paraId="0FA7F686">
            <w:pPr>
              <w:spacing w:before="0" w:beforeLines="0" w:line="240" w:lineRule="auto"/>
              <w:ind w:firstLine="0" w:firstLineChars="0"/>
              <w:jc w:val="right"/>
              <w:rPr>
                <w:color w:val="000000"/>
                <w:sz w:val="21"/>
              </w:rPr>
            </w:pPr>
            <w:r>
              <w:rPr>
                <w:rFonts w:hint="eastAsia"/>
                <w:color w:val="000000"/>
                <w:sz w:val="21"/>
              </w:rPr>
              <w:t>252.59</w:t>
            </w:r>
          </w:p>
        </w:tc>
        <w:tc>
          <w:tcPr>
            <w:tcW w:w="764" w:type="pct"/>
            <w:shd w:val="clear" w:color="auto" w:fill="auto"/>
            <w:vAlign w:val="center"/>
          </w:tcPr>
          <w:p w14:paraId="2EE38886">
            <w:pPr>
              <w:spacing w:before="0" w:beforeLines="0" w:line="240" w:lineRule="auto"/>
              <w:ind w:firstLine="0" w:firstLineChars="0"/>
              <w:jc w:val="right"/>
              <w:rPr>
                <w:color w:val="000000"/>
                <w:sz w:val="21"/>
              </w:rPr>
            </w:pPr>
            <w:r>
              <w:rPr>
                <w:rFonts w:hint="eastAsia"/>
                <w:color w:val="000000"/>
                <w:sz w:val="21"/>
              </w:rPr>
              <w:t>4,261.92</w:t>
            </w:r>
          </w:p>
        </w:tc>
      </w:tr>
      <w:tr w14:paraId="179B333C">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722" w:type="pct"/>
            <w:shd w:val="clear" w:color="auto" w:fill="auto"/>
            <w:vAlign w:val="center"/>
          </w:tcPr>
          <w:p w14:paraId="407726C8">
            <w:pPr>
              <w:spacing w:before="0" w:beforeLines="0" w:line="240" w:lineRule="auto"/>
              <w:ind w:firstLine="0" w:firstLineChars="0"/>
              <w:rPr>
                <w:color w:val="000000"/>
                <w:sz w:val="21"/>
              </w:rPr>
            </w:pPr>
            <w:r>
              <w:rPr>
                <w:color w:val="000000"/>
                <w:sz w:val="21"/>
              </w:rPr>
              <w:t>利润总额</w:t>
            </w:r>
          </w:p>
        </w:tc>
        <w:tc>
          <w:tcPr>
            <w:tcW w:w="985" w:type="pct"/>
            <w:shd w:val="clear" w:color="auto" w:fill="auto"/>
            <w:vAlign w:val="center"/>
          </w:tcPr>
          <w:p w14:paraId="240FF933">
            <w:pPr>
              <w:spacing w:before="0" w:beforeLines="0" w:line="240" w:lineRule="auto"/>
              <w:ind w:firstLine="0" w:firstLineChars="0"/>
              <w:jc w:val="right"/>
              <w:rPr>
                <w:color w:val="000000"/>
                <w:sz w:val="21"/>
              </w:rPr>
            </w:pPr>
            <w:r>
              <w:rPr>
                <w:rFonts w:hint="eastAsia"/>
                <w:color w:val="000000"/>
                <w:sz w:val="21"/>
              </w:rPr>
              <w:t>-108.35</w:t>
            </w:r>
          </w:p>
        </w:tc>
        <w:tc>
          <w:tcPr>
            <w:tcW w:w="764" w:type="pct"/>
            <w:shd w:val="clear" w:color="auto" w:fill="auto"/>
            <w:vAlign w:val="center"/>
          </w:tcPr>
          <w:p w14:paraId="50626B0F">
            <w:pPr>
              <w:spacing w:before="0" w:beforeLines="0" w:line="240" w:lineRule="auto"/>
              <w:ind w:firstLine="0" w:firstLineChars="0"/>
              <w:jc w:val="right"/>
              <w:rPr>
                <w:color w:val="000000"/>
                <w:sz w:val="21"/>
              </w:rPr>
            </w:pPr>
            <w:r>
              <w:rPr>
                <w:rFonts w:hint="eastAsia"/>
                <w:color w:val="000000"/>
                <w:sz w:val="21"/>
              </w:rPr>
              <w:t>-6,460.05</w:t>
            </w:r>
          </w:p>
        </w:tc>
        <w:tc>
          <w:tcPr>
            <w:tcW w:w="764" w:type="pct"/>
            <w:shd w:val="clear" w:color="auto" w:fill="auto"/>
            <w:vAlign w:val="center"/>
          </w:tcPr>
          <w:p w14:paraId="7439B21B">
            <w:pPr>
              <w:spacing w:before="0" w:beforeLines="0" w:line="240" w:lineRule="auto"/>
              <w:ind w:firstLine="0" w:firstLineChars="0"/>
              <w:jc w:val="right"/>
              <w:rPr>
                <w:color w:val="000000"/>
                <w:sz w:val="21"/>
              </w:rPr>
            </w:pPr>
            <w:r>
              <w:rPr>
                <w:rFonts w:hint="eastAsia"/>
                <w:color w:val="000000"/>
                <w:sz w:val="21"/>
              </w:rPr>
              <w:t>249.80</w:t>
            </w:r>
          </w:p>
        </w:tc>
        <w:tc>
          <w:tcPr>
            <w:tcW w:w="764" w:type="pct"/>
            <w:shd w:val="clear" w:color="auto" w:fill="auto"/>
            <w:vAlign w:val="center"/>
          </w:tcPr>
          <w:p w14:paraId="124A8B4E">
            <w:pPr>
              <w:spacing w:before="0" w:beforeLines="0" w:line="240" w:lineRule="auto"/>
              <w:ind w:firstLine="0" w:firstLineChars="0"/>
              <w:jc w:val="right"/>
              <w:rPr>
                <w:color w:val="000000"/>
                <w:sz w:val="21"/>
              </w:rPr>
            </w:pPr>
            <w:r>
              <w:rPr>
                <w:rFonts w:hint="eastAsia"/>
                <w:color w:val="000000"/>
                <w:sz w:val="21"/>
              </w:rPr>
              <w:t>4,470.82</w:t>
            </w:r>
          </w:p>
        </w:tc>
      </w:tr>
      <w:tr w14:paraId="7F100F26">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722" w:type="pct"/>
            <w:shd w:val="clear" w:color="auto" w:fill="auto"/>
            <w:vAlign w:val="center"/>
          </w:tcPr>
          <w:p w14:paraId="166A2DC6">
            <w:pPr>
              <w:spacing w:before="0" w:beforeLines="0" w:line="240" w:lineRule="auto"/>
              <w:ind w:firstLine="0" w:firstLineChars="0"/>
              <w:rPr>
                <w:color w:val="000000"/>
                <w:sz w:val="21"/>
              </w:rPr>
            </w:pPr>
            <w:r>
              <w:rPr>
                <w:color w:val="000000"/>
                <w:sz w:val="21"/>
              </w:rPr>
              <w:t>净利润</w:t>
            </w:r>
          </w:p>
        </w:tc>
        <w:tc>
          <w:tcPr>
            <w:tcW w:w="985" w:type="pct"/>
            <w:shd w:val="clear" w:color="auto" w:fill="auto"/>
            <w:vAlign w:val="center"/>
          </w:tcPr>
          <w:p w14:paraId="6376A34F">
            <w:pPr>
              <w:spacing w:before="0" w:beforeLines="0" w:line="240" w:lineRule="auto"/>
              <w:ind w:firstLine="0" w:firstLineChars="0"/>
              <w:jc w:val="right"/>
              <w:rPr>
                <w:color w:val="000000"/>
                <w:sz w:val="21"/>
              </w:rPr>
            </w:pPr>
            <w:r>
              <w:rPr>
                <w:rFonts w:hint="eastAsia"/>
                <w:color w:val="000000"/>
                <w:sz w:val="21"/>
              </w:rPr>
              <w:t>-19.58</w:t>
            </w:r>
          </w:p>
        </w:tc>
        <w:tc>
          <w:tcPr>
            <w:tcW w:w="764" w:type="pct"/>
            <w:shd w:val="clear" w:color="auto" w:fill="auto"/>
            <w:vAlign w:val="center"/>
          </w:tcPr>
          <w:p w14:paraId="511CCEC3">
            <w:pPr>
              <w:spacing w:before="0" w:beforeLines="0" w:line="240" w:lineRule="auto"/>
              <w:ind w:firstLine="0" w:firstLineChars="0"/>
              <w:jc w:val="right"/>
              <w:rPr>
                <w:color w:val="000000"/>
                <w:sz w:val="21"/>
              </w:rPr>
            </w:pPr>
            <w:r>
              <w:rPr>
                <w:rFonts w:hint="eastAsia"/>
                <w:color w:val="000000"/>
                <w:sz w:val="21"/>
              </w:rPr>
              <w:t>-5,349.18</w:t>
            </w:r>
          </w:p>
        </w:tc>
        <w:tc>
          <w:tcPr>
            <w:tcW w:w="764" w:type="pct"/>
            <w:shd w:val="clear" w:color="auto" w:fill="auto"/>
            <w:vAlign w:val="center"/>
          </w:tcPr>
          <w:p w14:paraId="59DD8517">
            <w:pPr>
              <w:spacing w:before="0" w:beforeLines="0" w:line="240" w:lineRule="auto"/>
              <w:ind w:firstLine="0" w:firstLineChars="0"/>
              <w:jc w:val="right"/>
              <w:rPr>
                <w:color w:val="000000"/>
                <w:sz w:val="21"/>
              </w:rPr>
            </w:pPr>
            <w:r>
              <w:rPr>
                <w:rFonts w:hint="eastAsia"/>
                <w:color w:val="000000"/>
                <w:sz w:val="21"/>
              </w:rPr>
              <w:t>438.78</w:t>
            </w:r>
          </w:p>
        </w:tc>
        <w:tc>
          <w:tcPr>
            <w:tcW w:w="764" w:type="pct"/>
            <w:shd w:val="clear" w:color="auto" w:fill="auto"/>
            <w:vAlign w:val="center"/>
          </w:tcPr>
          <w:p w14:paraId="7036159C">
            <w:pPr>
              <w:spacing w:before="0" w:beforeLines="0" w:line="240" w:lineRule="auto"/>
              <w:ind w:firstLine="0" w:firstLineChars="0"/>
              <w:jc w:val="right"/>
              <w:rPr>
                <w:color w:val="000000"/>
                <w:sz w:val="21"/>
              </w:rPr>
            </w:pPr>
            <w:r>
              <w:rPr>
                <w:rFonts w:hint="eastAsia"/>
                <w:color w:val="000000"/>
                <w:sz w:val="21"/>
              </w:rPr>
              <w:t>3,956.09</w:t>
            </w:r>
          </w:p>
        </w:tc>
      </w:tr>
      <w:tr w14:paraId="3E553506">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722" w:type="pct"/>
            <w:shd w:val="clear" w:color="auto" w:fill="auto"/>
            <w:vAlign w:val="center"/>
          </w:tcPr>
          <w:p w14:paraId="3E4C33DE">
            <w:pPr>
              <w:spacing w:before="0" w:beforeLines="0" w:line="240" w:lineRule="auto"/>
              <w:ind w:firstLine="0" w:firstLineChars="0"/>
              <w:rPr>
                <w:color w:val="000000"/>
                <w:sz w:val="21"/>
              </w:rPr>
            </w:pPr>
            <w:r>
              <w:rPr>
                <w:color w:val="000000"/>
                <w:sz w:val="21"/>
              </w:rPr>
              <w:t>归属于</w:t>
            </w:r>
            <w:r>
              <w:rPr>
                <w:rFonts w:hint="eastAsia"/>
                <w:color w:val="000000"/>
                <w:sz w:val="21"/>
              </w:rPr>
              <w:t>母</w:t>
            </w:r>
            <w:r>
              <w:rPr>
                <w:color w:val="000000"/>
                <w:sz w:val="21"/>
              </w:rPr>
              <w:t>公司股东的净利润</w:t>
            </w:r>
          </w:p>
        </w:tc>
        <w:tc>
          <w:tcPr>
            <w:tcW w:w="985" w:type="pct"/>
            <w:shd w:val="clear" w:color="auto" w:fill="auto"/>
            <w:vAlign w:val="center"/>
          </w:tcPr>
          <w:p w14:paraId="179E9D90">
            <w:pPr>
              <w:spacing w:before="0" w:beforeLines="0" w:line="240" w:lineRule="auto"/>
              <w:ind w:firstLine="0" w:firstLineChars="0"/>
              <w:jc w:val="right"/>
              <w:rPr>
                <w:color w:val="000000"/>
                <w:sz w:val="21"/>
              </w:rPr>
            </w:pPr>
            <w:r>
              <w:rPr>
                <w:rFonts w:hint="eastAsia"/>
                <w:color w:val="000000"/>
                <w:sz w:val="21"/>
              </w:rPr>
              <w:t>56.75</w:t>
            </w:r>
          </w:p>
        </w:tc>
        <w:tc>
          <w:tcPr>
            <w:tcW w:w="764" w:type="pct"/>
            <w:shd w:val="clear" w:color="auto" w:fill="auto"/>
            <w:vAlign w:val="center"/>
          </w:tcPr>
          <w:p w14:paraId="57899C9C">
            <w:pPr>
              <w:spacing w:before="0" w:beforeLines="0" w:line="240" w:lineRule="auto"/>
              <w:ind w:firstLine="0" w:firstLineChars="0"/>
              <w:jc w:val="right"/>
              <w:rPr>
                <w:color w:val="000000"/>
                <w:sz w:val="21"/>
              </w:rPr>
            </w:pPr>
            <w:r>
              <w:rPr>
                <w:rFonts w:hint="eastAsia"/>
                <w:color w:val="000000"/>
                <w:sz w:val="21"/>
              </w:rPr>
              <w:t>-4,955.28</w:t>
            </w:r>
          </w:p>
        </w:tc>
        <w:tc>
          <w:tcPr>
            <w:tcW w:w="764" w:type="pct"/>
            <w:shd w:val="clear" w:color="auto" w:fill="auto"/>
            <w:vAlign w:val="center"/>
          </w:tcPr>
          <w:p w14:paraId="3170EDB5">
            <w:pPr>
              <w:spacing w:before="0" w:beforeLines="0" w:line="240" w:lineRule="auto"/>
              <w:ind w:firstLine="0" w:firstLineChars="0"/>
              <w:jc w:val="right"/>
              <w:rPr>
                <w:color w:val="000000"/>
                <w:sz w:val="21"/>
              </w:rPr>
            </w:pPr>
            <w:r>
              <w:rPr>
                <w:rFonts w:hint="eastAsia"/>
                <w:color w:val="000000"/>
                <w:sz w:val="21"/>
              </w:rPr>
              <w:t>638.90</w:t>
            </w:r>
          </w:p>
        </w:tc>
        <w:tc>
          <w:tcPr>
            <w:tcW w:w="764" w:type="pct"/>
            <w:shd w:val="clear" w:color="auto" w:fill="auto"/>
            <w:vAlign w:val="center"/>
          </w:tcPr>
          <w:p w14:paraId="05CEAE84">
            <w:pPr>
              <w:spacing w:before="0" w:beforeLines="0" w:line="240" w:lineRule="auto"/>
              <w:ind w:firstLine="0" w:firstLineChars="0"/>
              <w:jc w:val="right"/>
              <w:rPr>
                <w:color w:val="000000"/>
                <w:sz w:val="21"/>
              </w:rPr>
            </w:pPr>
            <w:r>
              <w:rPr>
                <w:rFonts w:hint="eastAsia"/>
                <w:color w:val="000000"/>
                <w:sz w:val="21"/>
              </w:rPr>
              <w:t>3,956.27</w:t>
            </w:r>
          </w:p>
        </w:tc>
      </w:tr>
    </w:tbl>
    <w:p w14:paraId="3CCA2946">
      <w:pPr>
        <w:spacing w:before="120"/>
        <w:ind w:firstLine="420"/>
        <w:jc w:val="both"/>
        <w:rPr>
          <w:rFonts w:cs="Arial"/>
          <w:bCs/>
          <w:kern w:val="2"/>
          <w:sz w:val="21"/>
          <w:szCs w:val="22"/>
        </w:rPr>
      </w:pPr>
      <w:r>
        <w:rPr>
          <w:rFonts w:hint="eastAsia" w:cs="Arial"/>
          <w:bCs/>
          <w:kern w:val="2"/>
          <w:sz w:val="21"/>
          <w:szCs w:val="22"/>
        </w:rPr>
        <w:t>注：2</w:t>
      </w:r>
      <w:r>
        <w:rPr>
          <w:rFonts w:cs="Arial"/>
          <w:bCs/>
          <w:kern w:val="2"/>
          <w:sz w:val="21"/>
          <w:szCs w:val="22"/>
        </w:rPr>
        <w:t>02</w:t>
      </w:r>
      <w:r>
        <w:rPr>
          <w:rFonts w:hint="eastAsia" w:cs="Arial"/>
          <w:bCs/>
          <w:kern w:val="2"/>
          <w:sz w:val="21"/>
          <w:szCs w:val="22"/>
        </w:rPr>
        <w:t>5年1-3月的财务数据未经审计，其余数据已经审计。</w:t>
      </w:r>
    </w:p>
    <w:p w14:paraId="551FE7E4">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（三）现金流量表主要数据</w:t>
      </w:r>
    </w:p>
    <w:p w14:paraId="0E28CCCB">
      <w:pPr>
        <w:adjustRightInd w:val="0"/>
        <w:snapToGrid w:val="0"/>
        <w:spacing w:before="0" w:beforeLines="0" w:line="240" w:lineRule="auto"/>
        <w:ind w:firstLine="0" w:firstLineChars="0"/>
        <w:jc w:val="right"/>
        <w:rPr>
          <w:sz w:val="21"/>
          <w:szCs w:val="21"/>
        </w:rPr>
      </w:pPr>
      <w:r>
        <w:rPr>
          <w:sz w:val="21"/>
          <w:szCs w:val="21"/>
        </w:rPr>
        <w:t>单位：万元</w:t>
      </w:r>
    </w:p>
    <w:tbl>
      <w:tblPr>
        <w:tblStyle w:val="76"/>
        <w:tblW w:w="5000" w:type="pct"/>
        <w:jc w:val="center"/>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Layout w:type="autofit"/>
        <w:tblCellMar>
          <w:top w:w="0" w:type="dxa"/>
          <w:left w:w="108" w:type="dxa"/>
          <w:bottom w:w="0" w:type="dxa"/>
          <w:right w:w="108" w:type="dxa"/>
        </w:tblCellMar>
      </w:tblPr>
      <w:tblGrid>
        <w:gridCol w:w="2991"/>
        <w:gridCol w:w="1653"/>
        <w:gridCol w:w="1293"/>
        <w:gridCol w:w="1309"/>
        <w:gridCol w:w="1282"/>
      </w:tblGrid>
      <w:tr w14:paraId="55B58D32">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tblHeader/>
          <w:jc w:val="center"/>
        </w:trPr>
        <w:tc>
          <w:tcPr>
            <w:tcW w:w="1753" w:type="pct"/>
            <w:shd w:val="clear" w:color="auto" w:fill="auto"/>
            <w:vAlign w:val="center"/>
          </w:tcPr>
          <w:p w14:paraId="61A23F1C">
            <w:pPr>
              <w:keepNext/>
              <w:spacing w:before="0" w:beforeLines="0" w:line="240" w:lineRule="auto"/>
              <w:ind w:firstLine="0" w:firstLineChars="0"/>
              <w:jc w:val="center"/>
              <w:rPr>
                <w:b/>
                <w:color w:val="000000"/>
                <w:sz w:val="21"/>
              </w:rPr>
            </w:pPr>
            <w:r>
              <w:rPr>
                <w:b/>
                <w:color w:val="000000"/>
                <w:sz w:val="21"/>
              </w:rPr>
              <w:t>项目</w:t>
            </w:r>
          </w:p>
        </w:tc>
        <w:tc>
          <w:tcPr>
            <w:tcW w:w="969" w:type="pct"/>
            <w:shd w:val="clear" w:color="auto" w:fill="auto"/>
            <w:vAlign w:val="center"/>
          </w:tcPr>
          <w:p w14:paraId="5720396A">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5年1-3月</w:t>
            </w:r>
          </w:p>
        </w:tc>
        <w:tc>
          <w:tcPr>
            <w:tcW w:w="758" w:type="pct"/>
            <w:shd w:val="clear" w:color="auto" w:fill="auto"/>
            <w:vAlign w:val="center"/>
          </w:tcPr>
          <w:p w14:paraId="7D3203E3">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4年度</w:t>
            </w:r>
          </w:p>
        </w:tc>
        <w:tc>
          <w:tcPr>
            <w:tcW w:w="767" w:type="pct"/>
            <w:shd w:val="clear" w:color="auto" w:fill="auto"/>
            <w:vAlign w:val="center"/>
          </w:tcPr>
          <w:p w14:paraId="3C3BF42C">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3年度</w:t>
            </w:r>
          </w:p>
        </w:tc>
        <w:tc>
          <w:tcPr>
            <w:tcW w:w="751" w:type="pct"/>
            <w:shd w:val="clear" w:color="auto" w:fill="auto"/>
            <w:vAlign w:val="center"/>
          </w:tcPr>
          <w:p w14:paraId="3AA0CECD">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2年度</w:t>
            </w:r>
          </w:p>
        </w:tc>
      </w:tr>
      <w:tr w14:paraId="7C0034A3">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753" w:type="pct"/>
            <w:shd w:val="clear" w:color="auto" w:fill="auto"/>
            <w:vAlign w:val="center"/>
          </w:tcPr>
          <w:p w14:paraId="344135C6">
            <w:pPr>
              <w:spacing w:before="0" w:beforeLines="0" w:line="240" w:lineRule="auto"/>
              <w:ind w:firstLine="0" w:firstLineChars="0"/>
              <w:rPr>
                <w:color w:val="000000"/>
                <w:sz w:val="21"/>
              </w:rPr>
            </w:pPr>
            <w:r>
              <w:rPr>
                <w:color w:val="000000"/>
                <w:sz w:val="21"/>
              </w:rPr>
              <w:t>经营活动产生的现金流量净额</w:t>
            </w:r>
          </w:p>
        </w:tc>
        <w:tc>
          <w:tcPr>
            <w:tcW w:w="969" w:type="pct"/>
            <w:shd w:val="clear" w:color="auto" w:fill="auto"/>
            <w:vAlign w:val="center"/>
          </w:tcPr>
          <w:p w14:paraId="6FAE15EA">
            <w:pPr>
              <w:spacing w:before="0" w:beforeLines="0" w:line="240" w:lineRule="auto"/>
              <w:ind w:firstLine="0" w:firstLineChars="0"/>
              <w:jc w:val="right"/>
              <w:rPr>
                <w:color w:val="000000"/>
                <w:sz w:val="21"/>
              </w:rPr>
            </w:pPr>
            <w:r>
              <w:rPr>
                <w:rFonts w:hint="eastAsia"/>
                <w:color w:val="000000"/>
                <w:sz w:val="21"/>
              </w:rPr>
              <w:t>-1,356.02</w:t>
            </w:r>
          </w:p>
        </w:tc>
        <w:tc>
          <w:tcPr>
            <w:tcW w:w="758" w:type="pct"/>
            <w:shd w:val="clear" w:color="auto" w:fill="auto"/>
            <w:vAlign w:val="center"/>
          </w:tcPr>
          <w:p w14:paraId="37FC0678">
            <w:pPr>
              <w:spacing w:before="0" w:beforeLines="0" w:line="240" w:lineRule="auto"/>
              <w:ind w:firstLine="0" w:firstLineChars="0"/>
              <w:jc w:val="right"/>
              <w:rPr>
                <w:color w:val="000000"/>
                <w:sz w:val="21"/>
              </w:rPr>
            </w:pPr>
            <w:r>
              <w:rPr>
                <w:rFonts w:hint="eastAsia"/>
                <w:color w:val="000000"/>
                <w:sz w:val="21"/>
              </w:rPr>
              <w:t>-5,423.95</w:t>
            </w:r>
          </w:p>
        </w:tc>
        <w:tc>
          <w:tcPr>
            <w:tcW w:w="767" w:type="pct"/>
            <w:shd w:val="clear" w:color="auto" w:fill="auto"/>
            <w:vAlign w:val="center"/>
          </w:tcPr>
          <w:p w14:paraId="1DBA610A">
            <w:pPr>
              <w:spacing w:before="0" w:beforeLines="0" w:line="240" w:lineRule="auto"/>
              <w:ind w:firstLine="0" w:firstLineChars="0"/>
              <w:jc w:val="right"/>
              <w:rPr>
                <w:color w:val="000000"/>
                <w:sz w:val="21"/>
              </w:rPr>
            </w:pPr>
            <w:r>
              <w:rPr>
                <w:rFonts w:hint="eastAsia"/>
                <w:color w:val="000000"/>
                <w:sz w:val="21"/>
              </w:rPr>
              <w:t>838.07</w:t>
            </w:r>
          </w:p>
        </w:tc>
        <w:tc>
          <w:tcPr>
            <w:tcW w:w="751" w:type="pct"/>
            <w:shd w:val="clear" w:color="auto" w:fill="auto"/>
            <w:vAlign w:val="center"/>
          </w:tcPr>
          <w:p w14:paraId="298EE2A4">
            <w:pPr>
              <w:spacing w:before="0" w:beforeLines="0" w:line="240" w:lineRule="auto"/>
              <w:ind w:firstLine="0" w:firstLineChars="0"/>
              <w:jc w:val="right"/>
              <w:rPr>
                <w:color w:val="000000"/>
                <w:sz w:val="21"/>
              </w:rPr>
            </w:pPr>
            <w:r>
              <w:rPr>
                <w:rFonts w:hint="eastAsia"/>
                <w:color w:val="000000"/>
                <w:sz w:val="21"/>
              </w:rPr>
              <w:t>-6,414.31</w:t>
            </w:r>
          </w:p>
        </w:tc>
      </w:tr>
      <w:tr w14:paraId="5A597EA2">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753" w:type="pct"/>
            <w:shd w:val="clear" w:color="auto" w:fill="auto"/>
            <w:vAlign w:val="center"/>
          </w:tcPr>
          <w:p w14:paraId="322F532B">
            <w:pPr>
              <w:spacing w:before="0" w:beforeLines="0" w:line="240" w:lineRule="auto"/>
              <w:ind w:firstLine="0" w:firstLineChars="0"/>
              <w:rPr>
                <w:color w:val="000000"/>
                <w:sz w:val="21"/>
              </w:rPr>
            </w:pPr>
            <w:r>
              <w:rPr>
                <w:color w:val="000000"/>
                <w:sz w:val="21"/>
              </w:rPr>
              <w:t>投资活动产生的现金流量净额</w:t>
            </w:r>
          </w:p>
        </w:tc>
        <w:tc>
          <w:tcPr>
            <w:tcW w:w="969" w:type="pct"/>
            <w:shd w:val="clear" w:color="auto" w:fill="auto"/>
            <w:vAlign w:val="center"/>
          </w:tcPr>
          <w:p w14:paraId="2C9DCB72">
            <w:pPr>
              <w:spacing w:before="0" w:beforeLines="0" w:line="240" w:lineRule="auto"/>
              <w:ind w:firstLine="0" w:firstLineChars="0"/>
              <w:jc w:val="right"/>
              <w:rPr>
                <w:color w:val="000000"/>
                <w:sz w:val="21"/>
              </w:rPr>
            </w:pPr>
            <w:r>
              <w:rPr>
                <w:rFonts w:hint="eastAsia"/>
                <w:color w:val="000000"/>
                <w:sz w:val="21"/>
              </w:rPr>
              <w:t>-33,290.61</w:t>
            </w:r>
          </w:p>
        </w:tc>
        <w:tc>
          <w:tcPr>
            <w:tcW w:w="758" w:type="pct"/>
            <w:shd w:val="clear" w:color="auto" w:fill="auto"/>
            <w:vAlign w:val="center"/>
          </w:tcPr>
          <w:p w14:paraId="75085B94">
            <w:pPr>
              <w:spacing w:before="0" w:beforeLines="0" w:line="240" w:lineRule="auto"/>
              <w:ind w:firstLine="0" w:firstLineChars="0"/>
              <w:jc w:val="right"/>
              <w:rPr>
                <w:color w:val="000000"/>
                <w:sz w:val="21"/>
              </w:rPr>
            </w:pPr>
            <w:r>
              <w:rPr>
                <w:rFonts w:hint="eastAsia"/>
                <w:color w:val="000000"/>
                <w:sz w:val="21"/>
              </w:rPr>
              <w:t>5,349.96</w:t>
            </w:r>
          </w:p>
        </w:tc>
        <w:tc>
          <w:tcPr>
            <w:tcW w:w="767" w:type="pct"/>
            <w:shd w:val="clear" w:color="auto" w:fill="auto"/>
            <w:vAlign w:val="center"/>
          </w:tcPr>
          <w:p w14:paraId="7A5AE752">
            <w:pPr>
              <w:spacing w:before="0" w:beforeLines="0" w:line="240" w:lineRule="auto"/>
              <w:ind w:firstLine="0" w:firstLineChars="0"/>
              <w:jc w:val="right"/>
              <w:rPr>
                <w:color w:val="000000"/>
                <w:sz w:val="21"/>
              </w:rPr>
            </w:pPr>
            <w:r>
              <w:rPr>
                <w:rFonts w:hint="eastAsia"/>
                <w:color w:val="000000"/>
                <w:sz w:val="21"/>
              </w:rPr>
              <w:t>-34,818.17</w:t>
            </w:r>
          </w:p>
        </w:tc>
        <w:tc>
          <w:tcPr>
            <w:tcW w:w="751" w:type="pct"/>
            <w:shd w:val="clear" w:color="auto" w:fill="auto"/>
            <w:vAlign w:val="center"/>
          </w:tcPr>
          <w:p w14:paraId="5386AF43">
            <w:pPr>
              <w:spacing w:before="0" w:beforeLines="0" w:line="240" w:lineRule="auto"/>
              <w:ind w:firstLine="0" w:firstLineChars="0"/>
              <w:jc w:val="right"/>
              <w:rPr>
                <w:color w:val="000000"/>
                <w:sz w:val="21"/>
              </w:rPr>
            </w:pPr>
            <w:r>
              <w:rPr>
                <w:rFonts w:hint="eastAsia"/>
                <w:color w:val="000000"/>
                <w:sz w:val="21"/>
              </w:rPr>
              <w:t>-2,022.56</w:t>
            </w:r>
          </w:p>
        </w:tc>
      </w:tr>
      <w:tr w14:paraId="304A35BF">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753" w:type="pct"/>
            <w:shd w:val="clear" w:color="auto" w:fill="auto"/>
            <w:vAlign w:val="center"/>
          </w:tcPr>
          <w:p w14:paraId="57A24257">
            <w:pPr>
              <w:spacing w:before="0" w:beforeLines="0" w:line="240" w:lineRule="auto"/>
              <w:ind w:firstLine="0" w:firstLineChars="0"/>
              <w:rPr>
                <w:color w:val="000000"/>
                <w:sz w:val="21"/>
              </w:rPr>
            </w:pPr>
            <w:r>
              <w:rPr>
                <w:color w:val="000000"/>
                <w:sz w:val="21"/>
              </w:rPr>
              <w:t>筹资活动产生的现金流量净额</w:t>
            </w:r>
          </w:p>
        </w:tc>
        <w:tc>
          <w:tcPr>
            <w:tcW w:w="969" w:type="pct"/>
            <w:shd w:val="clear" w:color="auto" w:fill="auto"/>
            <w:vAlign w:val="center"/>
          </w:tcPr>
          <w:p w14:paraId="253BF040">
            <w:pPr>
              <w:spacing w:before="0" w:beforeLines="0" w:line="240" w:lineRule="auto"/>
              <w:ind w:firstLine="0" w:firstLineChars="0"/>
              <w:jc w:val="right"/>
              <w:rPr>
                <w:color w:val="000000"/>
                <w:sz w:val="21"/>
              </w:rPr>
            </w:pPr>
            <w:r>
              <w:rPr>
                <w:rFonts w:hint="eastAsia"/>
                <w:color w:val="000000"/>
                <w:sz w:val="21"/>
              </w:rPr>
              <w:t>26,490.49</w:t>
            </w:r>
          </w:p>
        </w:tc>
        <w:tc>
          <w:tcPr>
            <w:tcW w:w="758" w:type="pct"/>
            <w:shd w:val="clear" w:color="auto" w:fill="auto"/>
            <w:vAlign w:val="center"/>
          </w:tcPr>
          <w:p w14:paraId="617A62AD">
            <w:pPr>
              <w:spacing w:before="0" w:beforeLines="0" w:line="240" w:lineRule="auto"/>
              <w:ind w:firstLine="0" w:firstLineChars="0"/>
              <w:jc w:val="right"/>
              <w:rPr>
                <w:color w:val="000000"/>
                <w:sz w:val="21"/>
              </w:rPr>
            </w:pPr>
            <w:r>
              <w:rPr>
                <w:rFonts w:hint="eastAsia"/>
                <w:color w:val="000000"/>
                <w:sz w:val="21"/>
              </w:rPr>
              <w:t>5,783.88</w:t>
            </w:r>
          </w:p>
        </w:tc>
        <w:tc>
          <w:tcPr>
            <w:tcW w:w="767" w:type="pct"/>
            <w:shd w:val="clear" w:color="auto" w:fill="auto"/>
            <w:vAlign w:val="center"/>
          </w:tcPr>
          <w:p w14:paraId="57F73DC1">
            <w:pPr>
              <w:spacing w:before="0" w:beforeLines="0" w:line="240" w:lineRule="auto"/>
              <w:ind w:firstLine="0" w:firstLineChars="0"/>
              <w:jc w:val="right"/>
              <w:rPr>
                <w:color w:val="000000"/>
                <w:sz w:val="21"/>
              </w:rPr>
            </w:pPr>
            <w:r>
              <w:rPr>
                <w:rFonts w:hint="eastAsia"/>
                <w:color w:val="000000"/>
                <w:sz w:val="21"/>
              </w:rPr>
              <w:t>85.85</w:t>
            </w:r>
          </w:p>
        </w:tc>
        <w:tc>
          <w:tcPr>
            <w:tcW w:w="751" w:type="pct"/>
            <w:shd w:val="clear" w:color="auto" w:fill="auto"/>
            <w:vAlign w:val="center"/>
          </w:tcPr>
          <w:p w14:paraId="6785C608">
            <w:pPr>
              <w:spacing w:before="0" w:beforeLines="0" w:line="240" w:lineRule="auto"/>
              <w:ind w:firstLine="0" w:firstLineChars="0"/>
              <w:jc w:val="right"/>
              <w:rPr>
                <w:color w:val="000000"/>
                <w:sz w:val="21"/>
              </w:rPr>
            </w:pPr>
            <w:r>
              <w:rPr>
                <w:rFonts w:hint="eastAsia"/>
                <w:color w:val="000000"/>
                <w:sz w:val="21"/>
              </w:rPr>
              <w:t>-1,267.19</w:t>
            </w:r>
          </w:p>
        </w:tc>
      </w:tr>
      <w:tr w14:paraId="107A666B">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1753" w:type="pct"/>
            <w:shd w:val="clear" w:color="auto" w:fill="auto"/>
            <w:vAlign w:val="center"/>
          </w:tcPr>
          <w:p w14:paraId="23451272">
            <w:pPr>
              <w:spacing w:before="0" w:beforeLines="0" w:line="240" w:lineRule="auto"/>
              <w:ind w:firstLine="0" w:firstLineChars="0"/>
              <w:rPr>
                <w:color w:val="000000"/>
                <w:sz w:val="21"/>
              </w:rPr>
            </w:pPr>
            <w:r>
              <w:rPr>
                <w:color w:val="000000"/>
                <w:sz w:val="21"/>
              </w:rPr>
              <w:t>现金及现金等价物净增加额</w:t>
            </w:r>
          </w:p>
        </w:tc>
        <w:tc>
          <w:tcPr>
            <w:tcW w:w="969" w:type="pct"/>
            <w:shd w:val="clear" w:color="auto" w:fill="auto"/>
            <w:vAlign w:val="center"/>
          </w:tcPr>
          <w:p w14:paraId="73A9EF1E">
            <w:pPr>
              <w:spacing w:before="0" w:beforeLines="0" w:line="240" w:lineRule="auto"/>
              <w:ind w:firstLine="0" w:firstLineChars="0"/>
              <w:jc w:val="right"/>
              <w:rPr>
                <w:color w:val="000000"/>
                <w:sz w:val="21"/>
              </w:rPr>
            </w:pPr>
            <w:r>
              <w:rPr>
                <w:rFonts w:hint="eastAsia"/>
                <w:color w:val="000000"/>
                <w:sz w:val="21"/>
              </w:rPr>
              <w:t>-8,156.69</w:t>
            </w:r>
          </w:p>
        </w:tc>
        <w:tc>
          <w:tcPr>
            <w:tcW w:w="758" w:type="pct"/>
            <w:shd w:val="clear" w:color="auto" w:fill="auto"/>
            <w:vAlign w:val="center"/>
          </w:tcPr>
          <w:p w14:paraId="5F1C5973">
            <w:pPr>
              <w:spacing w:before="0" w:beforeLines="0" w:line="240" w:lineRule="auto"/>
              <w:ind w:firstLine="0" w:firstLineChars="0"/>
              <w:jc w:val="right"/>
              <w:rPr>
                <w:color w:val="000000"/>
                <w:sz w:val="21"/>
              </w:rPr>
            </w:pPr>
            <w:r>
              <w:rPr>
                <w:rFonts w:hint="eastAsia"/>
                <w:color w:val="000000"/>
                <w:sz w:val="21"/>
              </w:rPr>
              <w:t>5,717.76</w:t>
            </w:r>
          </w:p>
        </w:tc>
        <w:tc>
          <w:tcPr>
            <w:tcW w:w="767" w:type="pct"/>
            <w:shd w:val="clear" w:color="auto" w:fill="auto"/>
            <w:vAlign w:val="center"/>
          </w:tcPr>
          <w:p w14:paraId="69422AB6">
            <w:pPr>
              <w:spacing w:before="0" w:beforeLines="0" w:line="240" w:lineRule="auto"/>
              <w:ind w:firstLine="0" w:firstLineChars="0"/>
              <w:jc w:val="right"/>
              <w:rPr>
                <w:color w:val="000000"/>
                <w:sz w:val="21"/>
              </w:rPr>
            </w:pPr>
            <w:r>
              <w:rPr>
                <w:rFonts w:hint="eastAsia"/>
                <w:color w:val="000000"/>
                <w:sz w:val="21"/>
              </w:rPr>
              <w:t>-33,892.67</w:t>
            </w:r>
          </w:p>
        </w:tc>
        <w:tc>
          <w:tcPr>
            <w:tcW w:w="751" w:type="pct"/>
            <w:shd w:val="clear" w:color="auto" w:fill="auto"/>
            <w:vAlign w:val="center"/>
          </w:tcPr>
          <w:p w14:paraId="3F683B00">
            <w:pPr>
              <w:spacing w:before="0" w:beforeLines="0" w:line="240" w:lineRule="auto"/>
              <w:ind w:firstLine="0" w:firstLineChars="0"/>
              <w:jc w:val="right"/>
              <w:rPr>
                <w:color w:val="000000"/>
                <w:sz w:val="21"/>
              </w:rPr>
            </w:pPr>
            <w:r>
              <w:rPr>
                <w:rFonts w:hint="eastAsia"/>
                <w:color w:val="000000"/>
                <w:sz w:val="21"/>
              </w:rPr>
              <w:t>-9,694.97</w:t>
            </w:r>
          </w:p>
        </w:tc>
      </w:tr>
    </w:tbl>
    <w:p w14:paraId="3483CB4C">
      <w:pPr>
        <w:spacing w:before="120"/>
        <w:ind w:firstLine="420"/>
        <w:jc w:val="both"/>
        <w:rPr>
          <w:rFonts w:cs="Arial"/>
          <w:bCs/>
          <w:kern w:val="2"/>
          <w:sz w:val="21"/>
          <w:szCs w:val="22"/>
        </w:rPr>
      </w:pPr>
      <w:r>
        <w:rPr>
          <w:rFonts w:hint="eastAsia" w:cs="Arial"/>
          <w:bCs/>
          <w:kern w:val="2"/>
          <w:sz w:val="21"/>
          <w:szCs w:val="22"/>
        </w:rPr>
        <w:t>注：2</w:t>
      </w:r>
      <w:r>
        <w:rPr>
          <w:rFonts w:cs="Arial"/>
          <w:bCs/>
          <w:kern w:val="2"/>
          <w:sz w:val="21"/>
          <w:szCs w:val="22"/>
        </w:rPr>
        <w:t>02</w:t>
      </w:r>
      <w:r>
        <w:rPr>
          <w:rFonts w:hint="eastAsia" w:cs="Arial"/>
          <w:bCs/>
          <w:kern w:val="2"/>
          <w:sz w:val="21"/>
          <w:szCs w:val="22"/>
        </w:rPr>
        <w:t>5年1-3月的财务数据未经审计，其余数据已经审计。</w:t>
      </w:r>
    </w:p>
    <w:p w14:paraId="22FA12D3">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（四）主要财务指标</w:t>
      </w:r>
    </w:p>
    <w:tbl>
      <w:tblPr>
        <w:tblStyle w:val="76"/>
        <w:tblW w:w="5000" w:type="pct"/>
        <w:jc w:val="center"/>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Layout w:type="autofit"/>
        <w:tblCellMar>
          <w:top w:w="0" w:type="dxa"/>
          <w:left w:w="108" w:type="dxa"/>
          <w:bottom w:w="0" w:type="dxa"/>
          <w:right w:w="108" w:type="dxa"/>
        </w:tblCellMar>
      </w:tblPr>
      <w:tblGrid>
        <w:gridCol w:w="1655"/>
        <w:gridCol w:w="1794"/>
        <w:gridCol w:w="1693"/>
        <w:gridCol w:w="1693"/>
        <w:gridCol w:w="1693"/>
      </w:tblGrid>
      <w:tr w14:paraId="69B17C2B">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tblHeader/>
          <w:jc w:val="center"/>
        </w:trPr>
        <w:tc>
          <w:tcPr>
            <w:tcW w:w="970" w:type="pct"/>
            <w:shd w:val="clear" w:color="auto" w:fill="auto"/>
            <w:vAlign w:val="center"/>
          </w:tcPr>
          <w:p w14:paraId="49424627">
            <w:pPr>
              <w:keepNext/>
              <w:spacing w:before="0" w:beforeLines="0" w:line="240" w:lineRule="auto"/>
              <w:ind w:firstLine="0" w:firstLineChars="0"/>
              <w:jc w:val="center"/>
              <w:rPr>
                <w:b/>
                <w:color w:val="000000"/>
                <w:sz w:val="21"/>
              </w:rPr>
            </w:pPr>
            <w:r>
              <w:rPr>
                <w:b/>
                <w:color w:val="000000"/>
                <w:sz w:val="21"/>
              </w:rPr>
              <w:t>项目</w:t>
            </w:r>
          </w:p>
        </w:tc>
        <w:tc>
          <w:tcPr>
            <w:tcW w:w="1051" w:type="pct"/>
            <w:shd w:val="clear" w:color="auto" w:fill="auto"/>
            <w:vAlign w:val="center"/>
          </w:tcPr>
          <w:p w14:paraId="422107D1">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5年3月31日/2</w:t>
            </w:r>
            <w:r>
              <w:rPr>
                <w:b/>
                <w:color w:val="000000"/>
                <w:sz w:val="21"/>
              </w:rPr>
              <w:t>02</w:t>
            </w:r>
            <w:r>
              <w:rPr>
                <w:rFonts w:hint="eastAsia"/>
                <w:b/>
                <w:color w:val="000000"/>
                <w:sz w:val="21"/>
              </w:rPr>
              <w:t>5年1-3月</w:t>
            </w:r>
          </w:p>
        </w:tc>
        <w:tc>
          <w:tcPr>
            <w:tcW w:w="992" w:type="pct"/>
            <w:shd w:val="clear" w:color="auto" w:fill="auto"/>
            <w:vAlign w:val="center"/>
          </w:tcPr>
          <w:p w14:paraId="5153A6ED">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4年1</w:t>
            </w:r>
            <w:r>
              <w:rPr>
                <w:b/>
                <w:color w:val="000000"/>
                <w:sz w:val="21"/>
              </w:rPr>
              <w:t>2</w:t>
            </w:r>
            <w:r>
              <w:rPr>
                <w:rFonts w:hint="eastAsia"/>
                <w:b/>
                <w:color w:val="000000"/>
                <w:sz w:val="21"/>
              </w:rPr>
              <w:t>月3</w:t>
            </w:r>
            <w:r>
              <w:rPr>
                <w:b/>
                <w:color w:val="000000"/>
                <w:sz w:val="21"/>
              </w:rPr>
              <w:t>1</w:t>
            </w:r>
            <w:r>
              <w:rPr>
                <w:rFonts w:hint="eastAsia"/>
                <w:b/>
                <w:color w:val="000000"/>
                <w:sz w:val="21"/>
              </w:rPr>
              <w:t>日/2</w:t>
            </w:r>
            <w:r>
              <w:rPr>
                <w:b/>
                <w:color w:val="000000"/>
                <w:sz w:val="21"/>
              </w:rPr>
              <w:t>02</w:t>
            </w:r>
            <w:r>
              <w:rPr>
                <w:rFonts w:hint="eastAsia"/>
                <w:b/>
                <w:color w:val="000000"/>
                <w:sz w:val="21"/>
              </w:rPr>
              <w:t>4年度</w:t>
            </w:r>
          </w:p>
        </w:tc>
        <w:tc>
          <w:tcPr>
            <w:tcW w:w="992" w:type="pct"/>
            <w:shd w:val="clear" w:color="auto" w:fill="auto"/>
            <w:vAlign w:val="center"/>
          </w:tcPr>
          <w:p w14:paraId="2F942ECB">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3年1</w:t>
            </w:r>
            <w:r>
              <w:rPr>
                <w:b/>
                <w:color w:val="000000"/>
                <w:sz w:val="21"/>
              </w:rPr>
              <w:t>2</w:t>
            </w:r>
            <w:r>
              <w:rPr>
                <w:rFonts w:hint="eastAsia"/>
                <w:b/>
                <w:color w:val="000000"/>
                <w:sz w:val="21"/>
              </w:rPr>
              <w:t>月3</w:t>
            </w:r>
            <w:r>
              <w:rPr>
                <w:b/>
                <w:color w:val="000000"/>
                <w:sz w:val="21"/>
              </w:rPr>
              <w:t>1</w:t>
            </w:r>
            <w:r>
              <w:rPr>
                <w:rFonts w:hint="eastAsia"/>
                <w:b/>
                <w:color w:val="000000"/>
                <w:sz w:val="21"/>
              </w:rPr>
              <w:t>日/2</w:t>
            </w:r>
            <w:r>
              <w:rPr>
                <w:b/>
                <w:color w:val="000000"/>
                <w:sz w:val="21"/>
              </w:rPr>
              <w:t>02</w:t>
            </w:r>
            <w:r>
              <w:rPr>
                <w:rFonts w:hint="eastAsia"/>
                <w:b/>
                <w:color w:val="000000"/>
                <w:sz w:val="21"/>
              </w:rPr>
              <w:t>3年度</w:t>
            </w:r>
          </w:p>
        </w:tc>
        <w:tc>
          <w:tcPr>
            <w:tcW w:w="992" w:type="pct"/>
            <w:shd w:val="clear" w:color="auto" w:fill="auto"/>
            <w:vAlign w:val="center"/>
          </w:tcPr>
          <w:p w14:paraId="3C6D6531">
            <w:pPr>
              <w:keepNext/>
              <w:spacing w:before="0" w:beforeLines="0" w:line="240" w:lineRule="auto"/>
              <w:ind w:firstLine="0" w:firstLineChars="0"/>
              <w:jc w:val="center"/>
              <w:rPr>
                <w:b/>
                <w:color w:val="000000"/>
                <w:sz w:val="21"/>
              </w:rPr>
            </w:pPr>
            <w:r>
              <w:rPr>
                <w:rFonts w:hint="eastAsia"/>
                <w:b/>
                <w:color w:val="000000"/>
                <w:sz w:val="21"/>
              </w:rPr>
              <w:t>2</w:t>
            </w:r>
            <w:r>
              <w:rPr>
                <w:b/>
                <w:color w:val="000000"/>
                <w:sz w:val="21"/>
              </w:rPr>
              <w:t>02</w:t>
            </w:r>
            <w:r>
              <w:rPr>
                <w:rFonts w:hint="eastAsia"/>
                <w:b/>
                <w:color w:val="000000"/>
                <w:sz w:val="21"/>
              </w:rPr>
              <w:t>2年1</w:t>
            </w:r>
            <w:r>
              <w:rPr>
                <w:b/>
                <w:color w:val="000000"/>
                <w:sz w:val="21"/>
              </w:rPr>
              <w:t>2</w:t>
            </w:r>
            <w:r>
              <w:rPr>
                <w:rFonts w:hint="eastAsia"/>
                <w:b/>
                <w:color w:val="000000"/>
                <w:sz w:val="21"/>
              </w:rPr>
              <w:t>月3</w:t>
            </w:r>
            <w:r>
              <w:rPr>
                <w:b/>
                <w:color w:val="000000"/>
                <w:sz w:val="21"/>
              </w:rPr>
              <w:t>1</w:t>
            </w:r>
            <w:r>
              <w:rPr>
                <w:rFonts w:hint="eastAsia"/>
                <w:b/>
                <w:color w:val="000000"/>
                <w:sz w:val="21"/>
              </w:rPr>
              <w:t>日/</w:t>
            </w:r>
            <w:r>
              <w:rPr>
                <w:b/>
                <w:color w:val="000000"/>
                <w:sz w:val="21"/>
              </w:rPr>
              <w:t>202</w:t>
            </w:r>
            <w:r>
              <w:rPr>
                <w:rFonts w:hint="eastAsia"/>
                <w:b/>
                <w:color w:val="000000"/>
                <w:sz w:val="21"/>
              </w:rPr>
              <w:t>2年度</w:t>
            </w:r>
          </w:p>
        </w:tc>
      </w:tr>
      <w:tr w14:paraId="620952F7">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970" w:type="pct"/>
            <w:shd w:val="clear" w:color="auto" w:fill="auto"/>
            <w:vAlign w:val="center"/>
          </w:tcPr>
          <w:p w14:paraId="01B60B86">
            <w:pPr>
              <w:spacing w:before="0" w:beforeLines="0" w:line="240" w:lineRule="auto"/>
              <w:ind w:firstLine="0" w:firstLineChars="0"/>
              <w:rPr>
                <w:color w:val="000000"/>
                <w:sz w:val="21"/>
              </w:rPr>
            </w:pPr>
            <w:r>
              <w:rPr>
                <w:color w:val="000000"/>
                <w:sz w:val="21"/>
              </w:rPr>
              <w:t>资产负债率（%）</w:t>
            </w:r>
          </w:p>
        </w:tc>
        <w:tc>
          <w:tcPr>
            <w:tcW w:w="1051" w:type="pct"/>
            <w:shd w:val="clear" w:color="auto" w:fill="auto"/>
            <w:vAlign w:val="center"/>
          </w:tcPr>
          <w:p w14:paraId="5BAF45CD">
            <w:pPr>
              <w:spacing w:before="0" w:beforeLines="0" w:line="240" w:lineRule="auto"/>
              <w:ind w:firstLine="0" w:firstLineChars="0"/>
              <w:jc w:val="right"/>
              <w:rPr>
                <w:color w:val="000000"/>
                <w:sz w:val="21"/>
              </w:rPr>
            </w:pPr>
            <w:r>
              <w:rPr>
                <w:rFonts w:hint="eastAsia"/>
                <w:color w:val="000000"/>
                <w:sz w:val="21"/>
              </w:rPr>
              <w:t>44.40</w:t>
            </w:r>
          </w:p>
        </w:tc>
        <w:tc>
          <w:tcPr>
            <w:tcW w:w="992" w:type="pct"/>
            <w:shd w:val="clear" w:color="auto" w:fill="auto"/>
            <w:vAlign w:val="center"/>
          </w:tcPr>
          <w:p w14:paraId="15FA09B5">
            <w:pPr>
              <w:spacing w:before="0" w:beforeLines="0" w:line="240" w:lineRule="auto"/>
              <w:ind w:firstLine="0" w:firstLineChars="0"/>
              <w:jc w:val="right"/>
              <w:rPr>
                <w:color w:val="000000"/>
                <w:sz w:val="21"/>
              </w:rPr>
            </w:pPr>
            <w:r>
              <w:rPr>
                <w:rFonts w:hint="eastAsia"/>
                <w:color w:val="000000"/>
                <w:sz w:val="21"/>
              </w:rPr>
              <w:t>42.54</w:t>
            </w:r>
          </w:p>
        </w:tc>
        <w:tc>
          <w:tcPr>
            <w:tcW w:w="992" w:type="pct"/>
            <w:shd w:val="clear" w:color="auto" w:fill="auto"/>
            <w:vAlign w:val="center"/>
          </w:tcPr>
          <w:p w14:paraId="64F93CCC">
            <w:pPr>
              <w:spacing w:before="0" w:beforeLines="0" w:line="240" w:lineRule="auto"/>
              <w:ind w:firstLine="0" w:firstLineChars="0"/>
              <w:jc w:val="right"/>
              <w:rPr>
                <w:color w:val="000000"/>
                <w:sz w:val="21"/>
              </w:rPr>
            </w:pPr>
            <w:r>
              <w:rPr>
                <w:rFonts w:hint="eastAsia"/>
                <w:color w:val="000000"/>
                <w:sz w:val="21"/>
              </w:rPr>
              <w:t>19.92</w:t>
            </w:r>
          </w:p>
        </w:tc>
        <w:tc>
          <w:tcPr>
            <w:tcW w:w="992" w:type="pct"/>
            <w:shd w:val="clear" w:color="auto" w:fill="auto"/>
            <w:vAlign w:val="center"/>
          </w:tcPr>
          <w:p w14:paraId="6668A15E">
            <w:pPr>
              <w:spacing w:before="0" w:beforeLines="0" w:line="240" w:lineRule="auto"/>
              <w:ind w:firstLine="0" w:firstLineChars="0"/>
              <w:jc w:val="right"/>
              <w:rPr>
                <w:color w:val="000000"/>
                <w:sz w:val="21"/>
              </w:rPr>
            </w:pPr>
            <w:r>
              <w:rPr>
                <w:rFonts w:hint="eastAsia"/>
                <w:color w:val="000000"/>
                <w:sz w:val="21"/>
              </w:rPr>
              <w:t>17.32</w:t>
            </w:r>
          </w:p>
        </w:tc>
      </w:tr>
      <w:tr w14:paraId="177B1677">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970" w:type="pct"/>
            <w:shd w:val="clear" w:color="auto" w:fill="auto"/>
            <w:vAlign w:val="center"/>
          </w:tcPr>
          <w:p w14:paraId="1C25862F">
            <w:pPr>
              <w:spacing w:before="0" w:beforeLines="0" w:line="240" w:lineRule="auto"/>
              <w:ind w:firstLine="0" w:firstLineChars="0"/>
              <w:rPr>
                <w:color w:val="000000"/>
                <w:sz w:val="21"/>
              </w:rPr>
            </w:pPr>
            <w:r>
              <w:rPr>
                <w:rFonts w:hint="eastAsia"/>
                <w:color w:val="000000"/>
                <w:sz w:val="21"/>
              </w:rPr>
              <w:t>毛利率（%）</w:t>
            </w:r>
          </w:p>
        </w:tc>
        <w:tc>
          <w:tcPr>
            <w:tcW w:w="1051" w:type="pct"/>
            <w:shd w:val="clear" w:color="auto" w:fill="auto"/>
            <w:vAlign w:val="center"/>
          </w:tcPr>
          <w:p w14:paraId="4FFF6CEE">
            <w:pPr>
              <w:spacing w:before="0" w:beforeLines="0" w:line="240" w:lineRule="auto"/>
              <w:ind w:firstLine="0" w:firstLineChars="0"/>
              <w:jc w:val="right"/>
              <w:rPr>
                <w:color w:val="000000"/>
                <w:sz w:val="21"/>
              </w:rPr>
            </w:pPr>
            <w:r>
              <w:rPr>
                <w:rFonts w:hint="eastAsia"/>
                <w:color w:val="000000"/>
                <w:sz w:val="21"/>
              </w:rPr>
              <w:t>26.82</w:t>
            </w:r>
          </w:p>
        </w:tc>
        <w:tc>
          <w:tcPr>
            <w:tcW w:w="992" w:type="pct"/>
            <w:shd w:val="clear" w:color="auto" w:fill="auto"/>
            <w:vAlign w:val="center"/>
          </w:tcPr>
          <w:p w14:paraId="61D2DE36">
            <w:pPr>
              <w:spacing w:before="0" w:beforeLines="0" w:line="240" w:lineRule="auto"/>
              <w:ind w:firstLine="0" w:firstLineChars="0"/>
              <w:jc w:val="right"/>
              <w:rPr>
                <w:color w:val="000000"/>
                <w:sz w:val="21"/>
              </w:rPr>
            </w:pPr>
            <w:r>
              <w:rPr>
                <w:rFonts w:hint="eastAsia"/>
                <w:color w:val="000000"/>
                <w:sz w:val="21"/>
              </w:rPr>
              <w:t>13.18</w:t>
            </w:r>
          </w:p>
        </w:tc>
        <w:tc>
          <w:tcPr>
            <w:tcW w:w="992" w:type="pct"/>
            <w:shd w:val="clear" w:color="auto" w:fill="auto"/>
            <w:vAlign w:val="center"/>
          </w:tcPr>
          <w:p w14:paraId="7877D5EA">
            <w:pPr>
              <w:spacing w:before="0" w:beforeLines="0" w:line="240" w:lineRule="auto"/>
              <w:ind w:firstLine="0" w:firstLineChars="0"/>
              <w:jc w:val="right"/>
              <w:rPr>
                <w:color w:val="000000"/>
                <w:sz w:val="21"/>
              </w:rPr>
            </w:pPr>
            <w:r>
              <w:rPr>
                <w:rFonts w:hint="eastAsia"/>
                <w:color w:val="000000"/>
                <w:sz w:val="21"/>
              </w:rPr>
              <w:t>20.24</w:t>
            </w:r>
          </w:p>
        </w:tc>
        <w:tc>
          <w:tcPr>
            <w:tcW w:w="992" w:type="pct"/>
            <w:shd w:val="clear" w:color="auto" w:fill="auto"/>
            <w:vAlign w:val="center"/>
          </w:tcPr>
          <w:p w14:paraId="3C64609E">
            <w:pPr>
              <w:spacing w:before="0" w:beforeLines="0" w:line="240" w:lineRule="auto"/>
              <w:ind w:firstLine="0" w:firstLineChars="0"/>
              <w:jc w:val="right"/>
              <w:rPr>
                <w:color w:val="000000"/>
                <w:sz w:val="21"/>
              </w:rPr>
            </w:pPr>
            <w:r>
              <w:rPr>
                <w:rFonts w:hint="eastAsia"/>
                <w:color w:val="000000"/>
                <w:sz w:val="21"/>
              </w:rPr>
              <w:t>22.53</w:t>
            </w:r>
          </w:p>
        </w:tc>
      </w:tr>
      <w:tr w14:paraId="17E9962A">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970" w:type="pct"/>
            <w:shd w:val="clear" w:color="auto" w:fill="auto"/>
            <w:vAlign w:val="center"/>
          </w:tcPr>
          <w:p w14:paraId="34D0E57F">
            <w:pPr>
              <w:spacing w:before="0" w:beforeLines="0" w:line="240" w:lineRule="auto"/>
              <w:ind w:firstLine="0" w:firstLineChars="0"/>
              <w:rPr>
                <w:color w:val="000000"/>
                <w:sz w:val="21"/>
              </w:rPr>
            </w:pPr>
            <w:r>
              <w:rPr>
                <w:color w:val="000000"/>
                <w:sz w:val="21"/>
              </w:rPr>
              <w:t>基本每股收益（元/股）</w:t>
            </w:r>
          </w:p>
        </w:tc>
        <w:tc>
          <w:tcPr>
            <w:tcW w:w="1051" w:type="pct"/>
            <w:shd w:val="clear" w:color="auto" w:fill="auto"/>
            <w:vAlign w:val="center"/>
          </w:tcPr>
          <w:p w14:paraId="66AFB919">
            <w:pPr>
              <w:spacing w:before="0" w:beforeLines="0" w:line="240" w:lineRule="auto"/>
              <w:ind w:firstLine="0" w:firstLineChars="0"/>
              <w:jc w:val="right"/>
              <w:rPr>
                <w:color w:val="000000"/>
                <w:sz w:val="21"/>
              </w:rPr>
            </w:pPr>
            <w:r>
              <w:rPr>
                <w:rFonts w:hint="eastAsia"/>
                <w:color w:val="000000"/>
                <w:sz w:val="21"/>
              </w:rPr>
              <w:t>0.01</w:t>
            </w:r>
          </w:p>
        </w:tc>
        <w:tc>
          <w:tcPr>
            <w:tcW w:w="992" w:type="pct"/>
            <w:shd w:val="clear" w:color="auto" w:fill="auto"/>
            <w:vAlign w:val="center"/>
          </w:tcPr>
          <w:p w14:paraId="0CAFAEA2">
            <w:pPr>
              <w:spacing w:before="0" w:beforeLines="0" w:line="240" w:lineRule="auto"/>
              <w:ind w:firstLine="0" w:firstLineChars="0"/>
              <w:jc w:val="right"/>
              <w:rPr>
                <w:color w:val="000000"/>
                <w:sz w:val="21"/>
              </w:rPr>
            </w:pPr>
            <w:r>
              <w:rPr>
                <w:rFonts w:hint="eastAsia"/>
                <w:color w:val="000000"/>
                <w:sz w:val="21"/>
              </w:rPr>
              <w:t>-0.74</w:t>
            </w:r>
          </w:p>
        </w:tc>
        <w:tc>
          <w:tcPr>
            <w:tcW w:w="992" w:type="pct"/>
            <w:shd w:val="clear" w:color="auto" w:fill="auto"/>
            <w:vAlign w:val="center"/>
          </w:tcPr>
          <w:p w14:paraId="6C5A3123">
            <w:pPr>
              <w:spacing w:before="0" w:beforeLines="0" w:line="240" w:lineRule="auto"/>
              <w:ind w:firstLine="0" w:firstLineChars="0"/>
              <w:jc w:val="right"/>
              <w:rPr>
                <w:color w:val="000000"/>
                <w:sz w:val="21"/>
              </w:rPr>
            </w:pPr>
            <w:r>
              <w:rPr>
                <w:rFonts w:hint="eastAsia"/>
                <w:color w:val="000000"/>
                <w:sz w:val="21"/>
              </w:rPr>
              <w:t>0.10</w:t>
            </w:r>
          </w:p>
        </w:tc>
        <w:tc>
          <w:tcPr>
            <w:tcW w:w="992" w:type="pct"/>
            <w:shd w:val="clear" w:color="auto" w:fill="auto"/>
            <w:vAlign w:val="center"/>
          </w:tcPr>
          <w:p w14:paraId="61614625">
            <w:pPr>
              <w:spacing w:before="0" w:beforeLines="0" w:line="240" w:lineRule="auto"/>
              <w:ind w:firstLine="0" w:firstLineChars="0"/>
              <w:jc w:val="right"/>
              <w:rPr>
                <w:color w:val="000000"/>
                <w:sz w:val="21"/>
              </w:rPr>
            </w:pPr>
            <w:r>
              <w:rPr>
                <w:rFonts w:hint="eastAsia"/>
                <w:color w:val="000000"/>
                <w:sz w:val="21"/>
              </w:rPr>
              <w:t>0.60</w:t>
            </w:r>
          </w:p>
        </w:tc>
      </w:tr>
      <w:tr w14:paraId="197E2E53">
        <w:tblPrEx>
          <w:tblBorders>
            <w:top w:val="single" w:color="010000" w:sz="12" w:space="0"/>
            <w:left w:val="single" w:color="010000" w:sz="12" w:space="0"/>
            <w:bottom w:val="single" w:color="010000" w:sz="12" w:space="0"/>
            <w:right w:val="single" w:color="010000" w:sz="12" w:space="0"/>
            <w:insideH w:val="single" w:color="010000" w:sz="4" w:space="0"/>
            <w:insideV w:val="single" w:color="010000" w:sz="4" w:space="0"/>
          </w:tblBorders>
          <w:tblCellMar>
            <w:top w:w="0" w:type="dxa"/>
            <w:left w:w="108" w:type="dxa"/>
            <w:bottom w:w="0" w:type="dxa"/>
            <w:right w:w="108" w:type="dxa"/>
          </w:tblCellMar>
        </w:tblPrEx>
        <w:trPr>
          <w:cantSplit/>
          <w:trHeight w:val="397" w:hRule="atLeast"/>
          <w:jc w:val="center"/>
        </w:trPr>
        <w:tc>
          <w:tcPr>
            <w:tcW w:w="970" w:type="pct"/>
            <w:shd w:val="clear" w:color="auto" w:fill="auto"/>
            <w:vAlign w:val="center"/>
          </w:tcPr>
          <w:p w14:paraId="7519159D">
            <w:pPr>
              <w:spacing w:before="0" w:beforeLines="0" w:line="240" w:lineRule="auto"/>
              <w:ind w:firstLine="0" w:firstLineChars="0"/>
              <w:rPr>
                <w:color w:val="000000"/>
                <w:sz w:val="21"/>
              </w:rPr>
            </w:pPr>
            <w:r>
              <w:rPr>
                <w:color w:val="000000"/>
                <w:sz w:val="21"/>
              </w:rPr>
              <w:t>加权</w:t>
            </w:r>
            <w:r>
              <w:rPr>
                <w:rFonts w:hint="eastAsia"/>
                <w:color w:val="000000"/>
                <w:sz w:val="21"/>
              </w:rPr>
              <w:t>平均</w:t>
            </w:r>
            <w:r>
              <w:rPr>
                <w:color w:val="000000"/>
                <w:sz w:val="21"/>
              </w:rPr>
              <w:t>净资产收益率（%）</w:t>
            </w:r>
          </w:p>
        </w:tc>
        <w:tc>
          <w:tcPr>
            <w:tcW w:w="1051" w:type="pct"/>
            <w:shd w:val="clear" w:color="auto" w:fill="auto"/>
            <w:vAlign w:val="center"/>
          </w:tcPr>
          <w:p w14:paraId="77EDA87E">
            <w:pPr>
              <w:spacing w:before="0" w:beforeLines="0" w:line="240" w:lineRule="auto"/>
              <w:ind w:firstLine="0" w:firstLineChars="0"/>
              <w:jc w:val="right"/>
              <w:rPr>
                <w:color w:val="000000"/>
                <w:sz w:val="21"/>
              </w:rPr>
            </w:pPr>
            <w:r>
              <w:rPr>
                <w:rFonts w:hint="eastAsia"/>
                <w:color w:val="000000"/>
                <w:sz w:val="21"/>
              </w:rPr>
              <w:t>0.07</w:t>
            </w:r>
          </w:p>
        </w:tc>
        <w:tc>
          <w:tcPr>
            <w:tcW w:w="992" w:type="pct"/>
            <w:shd w:val="clear" w:color="auto" w:fill="auto"/>
            <w:vAlign w:val="center"/>
          </w:tcPr>
          <w:p w14:paraId="4C135153">
            <w:pPr>
              <w:spacing w:before="0" w:beforeLines="0" w:line="240" w:lineRule="auto"/>
              <w:ind w:firstLine="0" w:firstLineChars="0"/>
              <w:jc w:val="right"/>
              <w:rPr>
                <w:color w:val="000000"/>
                <w:sz w:val="21"/>
              </w:rPr>
            </w:pPr>
            <w:r>
              <w:rPr>
                <w:rFonts w:hint="eastAsia"/>
                <w:color w:val="000000"/>
                <w:sz w:val="21"/>
              </w:rPr>
              <w:t>-6.28</w:t>
            </w:r>
          </w:p>
        </w:tc>
        <w:tc>
          <w:tcPr>
            <w:tcW w:w="992" w:type="pct"/>
            <w:shd w:val="clear" w:color="auto" w:fill="auto"/>
            <w:vAlign w:val="center"/>
          </w:tcPr>
          <w:p w14:paraId="085E4323">
            <w:pPr>
              <w:spacing w:before="0" w:beforeLines="0" w:line="240" w:lineRule="auto"/>
              <w:ind w:firstLine="0" w:firstLineChars="0"/>
              <w:jc w:val="right"/>
              <w:rPr>
                <w:color w:val="000000"/>
                <w:sz w:val="21"/>
              </w:rPr>
            </w:pPr>
            <w:r>
              <w:rPr>
                <w:rFonts w:hint="eastAsia"/>
                <w:color w:val="000000"/>
                <w:sz w:val="21"/>
              </w:rPr>
              <w:t>0.77</w:t>
            </w:r>
          </w:p>
        </w:tc>
        <w:tc>
          <w:tcPr>
            <w:tcW w:w="992" w:type="pct"/>
            <w:shd w:val="clear" w:color="auto" w:fill="auto"/>
            <w:vAlign w:val="center"/>
          </w:tcPr>
          <w:p w14:paraId="05842D27">
            <w:pPr>
              <w:spacing w:before="0" w:beforeLines="0" w:line="240" w:lineRule="auto"/>
              <w:ind w:firstLine="0" w:firstLineChars="0"/>
              <w:jc w:val="right"/>
              <w:rPr>
                <w:color w:val="000000"/>
                <w:sz w:val="21"/>
              </w:rPr>
            </w:pPr>
            <w:r>
              <w:rPr>
                <w:rFonts w:hint="eastAsia"/>
                <w:color w:val="000000"/>
                <w:sz w:val="21"/>
              </w:rPr>
              <w:t>4.72</w:t>
            </w:r>
          </w:p>
        </w:tc>
      </w:tr>
    </w:tbl>
    <w:p w14:paraId="6D813AA8">
      <w:pPr>
        <w:spacing w:before="120"/>
        <w:ind w:firstLine="420"/>
        <w:jc w:val="both"/>
        <w:rPr>
          <w:rFonts w:cs="Arial"/>
          <w:bCs/>
          <w:kern w:val="2"/>
          <w:sz w:val="21"/>
          <w:szCs w:val="22"/>
        </w:rPr>
      </w:pPr>
      <w:r>
        <w:rPr>
          <w:rFonts w:cs="Arial"/>
          <w:bCs/>
          <w:kern w:val="2"/>
          <w:sz w:val="21"/>
          <w:szCs w:val="22"/>
        </w:rPr>
        <w:t>注：202</w:t>
      </w:r>
      <w:r>
        <w:rPr>
          <w:rFonts w:hint="eastAsia" w:cs="Arial"/>
          <w:bCs/>
          <w:kern w:val="2"/>
          <w:sz w:val="21"/>
          <w:szCs w:val="22"/>
        </w:rPr>
        <w:t>5年3月31日/2025年1-3月的财务指标由未经审计的财务数据计算得出，其余财务指标由已经审计的财务数据计算得出。</w:t>
      </w:r>
    </w:p>
    <w:p w14:paraId="132F6214">
      <w:pPr>
        <w:pStyle w:val="860"/>
        <w:spacing w:before="120" w:after="120"/>
      </w:pPr>
      <w:bookmarkStart w:id="112" w:name="_Toc75250059"/>
      <w:bookmarkStart w:id="113" w:name="_Toc6961"/>
      <w:bookmarkStart w:id="114" w:name="_Toc86099282"/>
      <w:bookmarkStart w:id="115" w:name="_Toc184373650"/>
      <w:r>
        <w:rPr>
          <w:rFonts w:hint="eastAsia"/>
        </w:rPr>
        <w:t>七、最近三年重大资产重组情况</w:t>
      </w:r>
      <w:bookmarkEnd w:id="112"/>
      <w:bookmarkEnd w:id="113"/>
      <w:bookmarkEnd w:id="114"/>
      <w:bookmarkEnd w:id="115"/>
    </w:p>
    <w:p w14:paraId="16BD9C99">
      <w:pPr>
        <w:tabs>
          <w:tab w:val="left" w:pos="868"/>
        </w:tabs>
        <w:spacing w:before="120" w:after="120" w:afterLines="50"/>
        <w:ind w:firstLine="480"/>
        <w:jc w:val="both"/>
        <w:rPr>
          <w:color w:val="000000"/>
        </w:rPr>
      </w:pPr>
      <w:r>
        <w:rPr>
          <w:rFonts w:hint="eastAsia"/>
          <w:color w:val="000000"/>
        </w:rPr>
        <w:t>最近三年，公司不存在《重组管理办法》中规定的构成重大资产重组的情况。</w:t>
      </w:r>
    </w:p>
    <w:p w14:paraId="1158103F">
      <w:pPr>
        <w:pStyle w:val="860"/>
        <w:spacing w:before="120" w:after="120"/>
      </w:pPr>
      <w:bookmarkStart w:id="116" w:name="_Toc184373651"/>
      <w:bookmarkStart w:id="117" w:name="_Toc1601"/>
      <w:r>
        <w:rPr>
          <w:rFonts w:hint="eastAsia"/>
        </w:rPr>
        <w:t>八、上市公司因本次交易导致的股权控制结构的预计变化情况</w:t>
      </w:r>
      <w:bookmarkEnd w:id="116"/>
      <w:bookmarkEnd w:id="117"/>
    </w:p>
    <w:p w14:paraId="370EE49F">
      <w:pPr>
        <w:tabs>
          <w:tab w:val="left" w:pos="868"/>
        </w:tabs>
        <w:spacing w:before="120" w:after="120" w:afterLines="50"/>
        <w:ind w:firstLine="480"/>
        <w:jc w:val="both"/>
        <w:rPr>
          <w:color w:val="000000"/>
        </w:rPr>
      </w:pPr>
      <w:r>
        <w:rPr>
          <w:rFonts w:hint="eastAsia"/>
          <w:color w:val="000000"/>
        </w:rPr>
        <w:t>本次交易前后，公司的控股股东、实际控制人均未发生变化，本次交易不会导致公司控制权发生变更。</w:t>
      </w:r>
    </w:p>
    <w:p w14:paraId="2B931B07">
      <w:pPr>
        <w:pStyle w:val="860"/>
        <w:spacing w:before="120" w:after="120"/>
      </w:pPr>
      <w:bookmarkStart w:id="118" w:name="_Toc24266"/>
      <w:bookmarkStart w:id="119" w:name="_Toc184373652"/>
      <w:r>
        <w:rPr>
          <w:rFonts w:hint="eastAsia"/>
        </w:rPr>
        <w:t>九、上市公司合规经营情况</w:t>
      </w:r>
      <w:bookmarkEnd w:id="118"/>
      <w:bookmarkEnd w:id="119"/>
    </w:p>
    <w:p w14:paraId="0BB1FB5F">
      <w:pPr>
        <w:tabs>
          <w:tab w:val="left" w:pos="868"/>
        </w:tabs>
        <w:spacing w:before="120" w:after="120" w:afterLines="50"/>
        <w:ind w:firstLine="480"/>
        <w:jc w:val="both"/>
        <w:rPr>
          <w:color w:val="000000"/>
        </w:rPr>
      </w:pPr>
      <w:r>
        <w:rPr>
          <w:rFonts w:hint="eastAsia"/>
          <w:color w:val="000000"/>
        </w:rPr>
        <w:t>截至本预案签署日，公司及其现任董事、监事、高级管理人员不存在因涉嫌犯罪被司法机关立案侦查或涉嫌违法违规被中国证监会立案调查的情况；公司现任董事、监事、高级管理人员不存在最近三年内受到中国证监会行政处罚，或者最近一年内受到交易所公开谴责的情况；公司控股股东、实际控制人不存在最近三年严重损害公司利益或者投资者合法权益的重大违法行为；公司最近三年不存在严重损害投资者合法权益或者社会公共利益的重大违法行为。</w:t>
      </w:r>
    </w:p>
    <w:p w14:paraId="15C70BB8">
      <w:pPr>
        <w:tabs>
          <w:tab w:val="left" w:pos="868"/>
        </w:tabs>
        <w:spacing w:before="120" w:after="120" w:afterLines="50"/>
        <w:ind w:firstLine="480"/>
        <w:jc w:val="both"/>
        <w:rPr>
          <w:color w:val="000000"/>
        </w:rPr>
      </w:pPr>
    </w:p>
    <w:bookmarkEnd w:id="88"/>
    <w:p w14:paraId="2986B378">
      <w:pPr>
        <w:spacing w:before="120" w:after="120" w:afterLines="50"/>
        <w:ind w:firstLine="480"/>
        <w:jc w:val="both"/>
        <w:rPr>
          <w:rFonts w:cs="Times New Roman"/>
          <w:kern w:val="2"/>
          <w:szCs w:val="28"/>
        </w:rPr>
      </w:pPr>
    </w:p>
    <w:p w14:paraId="3098C94C">
      <w:pPr>
        <w:pStyle w:val="817"/>
        <w:spacing w:before="120" w:after="120"/>
      </w:pPr>
      <w:bookmarkStart w:id="120" w:name="_Toc2608"/>
      <w:r>
        <w:t>第</w:t>
      </w:r>
      <w:r>
        <w:rPr>
          <w:rFonts w:hint="eastAsia"/>
        </w:rPr>
        <w:t>三</w:t>
      </w:r>
      <w:r>
        <w:t>节</w:t>
      </w:r>
      <w:r>
        <w:rPr>
          <w:rFonts w:hint="eastAsia"/>
          <w:lang w:val="en-US"/>
        </w:rPr>
        <w:t xml:space="preserve"> </w:t>
      </w:r>
      <w:r>
        <w:rPr>
          <w:rFonts w:hint="eastAsia"/>
        </w:rPr>
        <w:t>交易对方基本情况</w:t>
      </w:r>
      <w:bookmarkEnd w:id="3"/>
      <w:bookmarkEnd w:id="4"/>
      <w:bookmarkEnd w:id="120"/>
    </w:p>
    <w:p w14:paraId="79360E8B">
      <w:pPr>
        <w:pStyle w:val="860"/>
        <w:spacing w:before="120" w:after="120"/>
      </w:pPr>
      <w:bookmarkStart w:id="121" w:name="_Toc8816"/>
      <w:bookmarkStart w:id="122" w:name="_Toc184373654"/>
      <w:r>
        <w:rPr>
          <w:rFonts w:hint="eastAsia"/>
        </w:rPr>
        <w:t>一、发行股份及支付现金购买资产的自然人交易对方</w:t>
      </w:r>
      <w:bookmarkEnd w:id="121"/>
    </w:p>
    <w:tbl>
      <w:tblPr>
        <w:tblStyle w:val="76"/>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1771"/>
        <w:gridCol w:w="1772"/>
        <w:gridCol w:w="1772"/>
        <w:gridCol w:w="2118"/>
      </w:tblGrid>
      <w:tr w14:paraId="7406F9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638" w:type="pct"/>
            <w:tcBorders>
              <w:tl2br w:val="nil"/>
              <w:tr2bl w:val="nil"/>
            </w:tcBorders>
            <w:tcMar>
              <w:top w:w="0" w:type="dxa"/>
              <w:left w:w="108" w:type="dxa"/>
              <w:bottom w:w="0" w:type="dxa"/>
              <w:right w:w="108" w:type="dxa"/>
            </w:tcMar>
            <w:vAlign w:val="center"/>
          </w:tcPr>
          <w:p w14:paraId="167A3BE7">
            <w:pPr>
              <w:spacing w:before="0" w:beforeLines="0" w:line="240" w:lineRule="auto"/>
              <w:ind w:firstLine="0" w:firstLineChars="0"/>
              <w:jc w:val="center"/>
              <w:rPr>
                <w:rFonts w:cs="Times New Roman"/>
                <w:b/>
                <w:sz w:val="21"/>
                <w:szCs w:val="21"/>
              </w:rPr>
            </w:pPr>
            <w:r>
              <w:rPr>
                <w:rFonts w:hint="eastAsia" w:cs="Times New Roman"/>
                <w:b/>
                <w:sz w:val="21"/>
                <w:szCs w:val="21"/>
              </w:rPr>
              <w:t>序号</w:t>
            </w:r>
          </w:p>
        </w:tc>
        <w:tc>
          <w:tcPr>
            <w:tcW w:w="1039" w:type="pct"/>
            <w:tcBorders>
              <w:tl2br w:val="nil"/>
              <w:tr2bl w:val="nil"/>
            </w:tcBorders>
            <w:vAlign w:val="center"/>
          </w:tcPr>
          <w:p w14:paraId="4A17CBCD">
            <w:pPr>
              <w:spacing w:before="0" w:beforeLines="0" w:line="240" w:lineRule="auto"/>
              <w:ind w:firstLine="0" w:firstLineChars="0"/>
              <w:jc w:val="center"/>
              <w:rPr>
                <w:rFonts w:cs="Times New Roman"/>
                <w:b/>
                <w:sz w:val="21"/>
                <w:szCs w:val="21"/>
              </w:rPr>
            </w:pPr>
            <w:r>
              <w:rPr>
                <w:rFonts w:hint="eastAsia" w:cs="Times New Roman"/>
                <w:b/>
                <w:sz w:val="21"/>
                <w:szCs w:val="21"/>
              </w:rPr>
              <w:t>姓名</w:t>
            </w:r>
          </w:p>
        </w:tc>
        <w:tc>
          <w:tcPr>
            <w:tcW w:w="1039" w:type="pct"/>
            <w:tcBorders>
              <w:tl2br w:val="nil"/>
              <w:tr2bl w:val="nil"/>
            </w:tcBorders>
            <w:vAlign w:val="center"/>
          </w:tcPr>
          <w:p w14:paraId="35C06825">
            <w:pPr>
              <w:spacing w:before="0" w:beforeLines="0" w:line="240" w:lineRule="auto"/>
              <w:ind w:firstLine="0" w:firstLineChars="0"/>
              <w:jc w:val="center"/>
              <w:rPr>
                <w:rFonts w:cs="Times New Roman"/>
                <w:b/>
                <w:sz w:val="21"/>
                <w:szCs w:val="21"/>
              </w:rPr>
            </w:pPr>
            <w:r>
              <w:rPr>
                <w:rFonts w:hint="eastAsia" w:cs="Times New Roman"/>
                <w:b/>
                <w:sz w:val="21"/>
                <w:szCs w:val="21"/>
              </w:rPr>
              <w:t>性别</w:t>
            </w:r>
          </w:p>
        </w:tc>
        <w:tc>
          <w:tcPr>
            <w:tcW w:w="1039" w:type="pct"/>
            <w:tcBorders>
              <w:tl2br w:val="nil"/>
              <w:tr2bl w:val="nil"/>
            </w:tcBorders>
            <w:vAlign w:val="center"/>
          </w:tcPr>
          <w:p w14:paraId="6B108E4F">
            <w:pPr>
              <w:spacing w:before="0" w:beforeLines="0" w:line="240" w:lineRule="auto"/>
              <w:ind w:firstLine="0" w:firstLineChars="0"/>
              <w:jc w:val="center"/>
              <w:rPr>
                <w:rFonts w:cs="Times New Roman"/>
                <w:b/>
                <w:sz w:val="21"/>
                <w:szCs w:val="21"/>
              </w:rPr>
            </w:pPr>
            <w:r>
              <w:rPr>
                <w:rFonts w:hint="eastAsia" w:cs="Times New Roman"/>
                <w:b/>
                <w:sz w:val="21"/>
                <w:szCs w:val="21"/>
              </w:rPr>
              <w:t>国籍</w:t>
            </w:r>
          </w:p>
        </w:tc>
        <w:tc>
          <w:tcPr>
            <w:tcW w:w="1242" w:type="pct"/>
            <w:tcBorders>
              <w:tl2br w:val="nil"/>
              <w:tr2bl w:val="nil"/>
            </w:tcBorders>
            <w:tcMar>
              <w:top w:w="0" w:type="dxa"/>
              <w:left w:w="108" w:type="dxa"/>
              <w:bottom w:w="0" w:type="dxa"/>
              <w:right w:w="108" w:type="dxa"/>
            </w:tcMar>
            <w:vAlign w:val="center"/>
          </w:tcPr>
          <w:p w14:paraId="5F1B13E5">
            <w:pPr>
              <w:spacing w:before="0" w:beforeLines="0" w:line="240" w:lineRule="auto"/>
              <w:ind w:firstLine="0" w:firstLineChars="0"/>
              <w:jc w:val="center"/>
              <w:rPr>
                <w:rFonts w:cs="Times New Roman"/>
                <w:b/>
                <w:sz w:val="21"/>
                <w:szCs w:val="21"/>
              </w:rPr>
            </w:pPr>
            <w:r>
              <w:rPr>
                <w:rFonts w:hint="eastAsia" w:cs="Times New Roman"/>
                <w:b/>
                <w:sz w:val="21"/>
                <w:szCs w:val="21"/>
              </w:rPr>
              <w:t>是否取得其他国家或者地区的居留权</w:t>
            </w:r>
          </w:p>
        </w:tc>
      </w:tr>
      <w:tr w14:paraId="0DC683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8" w:type="pct"/>
            <w:tcBorders>
              <w:tl2br w:val="nil"/>
              <w:tr2bl w:val="nil"/>
            </w:tcBorders>
            <w:tcMar>
              <w:top w:w="0" w:type="dxa"/>
              <w:left w:w="108" w:type="dxa"/>
              <w:bottom w:w="0" w:type="dxa"/>
              <w:right w:w="108" w:type="dxa"/>
            </w:tcMar>
            <w:vAlign w:val="center"/>
          </w:tcPr>
          <w:p w14:paraId="7F0AE547">
            <w:pPr>
              <w:spacing w:before="120" w:line="240" w:lineRule="auto"/>
              <w:ind w:firstLine="0" w:firstLineChars="0"/>
              <w:jc w:val="center"/>
              <w:rPr>
                <w:rFonts w:cs="Times New Roman"/>
                <w:bCs/>
                <w:sz w:val="21"/>
                <w:szCs w:val="21"/>
              </w:rPr>
            </w:pPr>
            <w:r>
              <w:rPr>
                <w:rFonts w:cs="Times New Roman"/>
                <w:bCs/>
                <w:sz w:val="21"/>
                <w:szCs w:val="21"/>
                <w:lang w:bidi="ar"/>
              </w:rPr>
              <w:t>1</w:t>
            </w:r>
          </w:p>
        </w:tc>
        <w:tc>
          <w:tcPr>
            <w:tcW w:w="1039" w:type="pct"/>
            <w:tcBorders>
              <w:tl2br w:val="nil"/>
              <w:tr2bl w:val="nil"/>
            </w:tcBorders>
            <w:vAlign w:val="center"/>
          </w:tcPr>
          <w:p w14:paraId="7DB8BFC9">
            <w:pPr>
              <w:spacing w:before="120" w:line="240" w:lineRule="auto"/>
              <w:ind w:firstLine="0" w:firstLineChars="0"/>
              <w:jc w:val="center"/>
              <w:rPr>
                <w:rFonts w:cs="Times New Roman"/>
                <w:sz w:val="21"/>
                <w:szCs w:val="21"/>
              </w:rPr>
            </w:pPr>
            <w:r>
              <w:rPr>
                <w:rFonts w:hint="eastAsia" w:cs="Times New Roman"/>
                <w:sz w:val="21"/>
                <w:szCs w:val="21"/>
                <w:lang w:bidi="ar"/>
              </w:rPr>
              <w:t>陈耿豪</w:t>
            </w:r>
          </w:p>
        </w:tc>
        <w:tc>
          <w:tcPr>
            <w:tcW w:w="1039" w:type="pct"/>
            <w:tcBorders>
              <w:tl2br w:val="nil"/>
              <w:tr2bl w:val="nil"/>
            </w:tcBorders>
            <w:vAlign w:val="center"/>
          </w:tcPr>
          <w:p w14:paraId="0FD0F18B">
            <w:pPr>
              <w:spacing w:before="120" w:line="240" w:lineRule="auto"/>
              <w:ind w:firstLine="0" w:firstLineChars="0"/>
              <w:jc w:val="center"/>
              <w:rPr>
                <w:rFonts w:cs="Times New Roman"/>
                <w:sz w:val="21"/>
                <w:szCs w:val="21"/>
              </w:rPr>
            </w:pPr>
            <w:r>
              <w:rPr>
                <w:rFonts w:hint="eastAsia" w:cs="Times New Roman"/>
                <w:sz w:val="21"/>
                <w:szCs w:val="21"/>
                <w:lang w:bidi="ar"/>
              </w:rPr>
              <w:t>男</w:t>
            </w:r>
          </w:p>
        </w:tc>
        <w:tc>
          <w:tcPr>
            <w:tcW w:w="1039" w:type="pct"/>
            <w:tcBorders>
              <w:tl2br w:val="nil"/>
              <w:tr2bl w:val="nil"/>
            </w:tcBorders>
            <w:vAlign w:val="center"/>
          </w:tcPr>
          <w:p w14:paraId="3B724598">
            <w:pPr>
              <w:spacing w:before="120" w:line="240" w:lineRule="auto"/>
              <w:ind w:firstLine="0" w:firstLineChars="0"/>
              <w:jc w:val="center"/>
              <w:rPr>
                <w:rFonts w:cs="Times New Roman"/>
                <w:sz w:val="21"/>
                <w:szCs w:val="21"/>
              </w:rPr>
            </w:pPr>
            <w:r>
              <w:rPr>
                <w:rFonts w:hint="eastAsia" w:cs="Times New Roman"/>
                <w:sz w:val="21"/>
                <w:szCs w:val="21"/>
                <w:lang w:bidi="ar"/>
              </w:rPr>
              <w:t>中国</w:t>
            </w:r>
          </w:p>
        </w:tc>
        <w:tc>
          <w:tcPr>
            <w:tcW w:w="1242" w:type="pct"/>
            <w:tcBorders>
              <w:tl2br w:val="nil"/>
              <w:tr2bl w:val="nil"/>
            </w:tcBorders>
            <w:tcMar>
              <w:top w:w="0" w:type="dxa"/>
              <w:left w:w="108" w:type="dxa"/>
              <w:bottom w:w="0" w:type="dxa"/>
              <w:right w:w="108" w:type="dxa"/>
            </w:tcMar>
            <w:vAlign w:val="center"/>
          </w:tcPr>
          <w:p w14:paraId="309B6814">
            <w:pPr>
              <w:spacing w:before="120" w:line="240" w:lineRule="auto"/>
              <w:ind w:firstLine="0" w:firstLineChars="0"/>
              <w:jc w:val="center"/>
              <w:rPr>
                <w:rFonts w:cs="Times New Roman"/>
                <w:sz w:val="21"/>
                <w:szCs w:val="21"/>
              </w:rPr>
            </w:pPr>
            <w:r>
              <w:rPr>
                <w:rFonts w:hint="eastAsia" w:cs="Times New Roman"/>
                <w:sz w:val="21"/>
                <w:szCs w:val="21"/>
                <w:lang w:bidi="ar"/>
              </w:rPr>
              <w:t>否</w:t>
            </w:r>
          </w:p>
        </w:tc>
      </w:tr>
      <w:tr w14:paraId="7CBFDD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8" w:type="pct"/>
            <w:tcBorders>
              <w:tl2br w:val="nil"/>
              <w:tr2bl w:val="nil"/>
            </w:tcBorders>
            <w:shd w:val="clear" w:color="auto" w:fill="auto"/>
            <w:tcMar>
              <w:top w:w="0" w:type="dxa"/>
              <w:left w:w="108" w:type="dxa"/>
              <w:bottom w:w="0" w:type="dxa"/>
              <w:right w:w="108" w:type="dxa"/>
            </w:tcMar>
            <w:vAlign w:val="center"/>
          </w:tcPr>
          <w:p w14:paraId="0CFDA65E">
            <w:pPr>
              <w:spacing w:before="120" w:line="240" w:lineRule="auto"/>
              <w:ind w:firstLine="0" w:firstLineChars="0"/>
              <w:jc w:val="center"/>
              <w:rPr>
                <w:rFonts w:cs="Times New Roman"/>
                <w:bCs/>
                <w:sz w:val="21"/>
                <w:szCs w:val="21"/>
              </w:rPr>
            </w:pPr>
            <w:r>
              <w:rPr>
                <w:rFonts w:cs="Times New Roman"/>
                <w:bCs/>
                <w:sz w:val="21"/>
                <w:szCs w:val="21"/>
                <w:lang w:bidi="ar"/>
              </w:rPr>
              <w:t>2</w:t>
            </w:r>
          </w:p>
        </w:tc>
        <w:tc>
          <w:tcPr>
            <w:tcW w:w="1039" w:type="pct"/>
            <w:tcBorders>
              <w:tl2br w:val="nil"/>
              <w:tr2bl w:val="nil"/>
            </w:tcBorders>
            <w:vAlign w:val="center"/>
          </w:tcPr>
          <w:p w14:paraId="58E135E5">
            <w:pPr>
              <w:spacing w:before="120" w:line="240" w:lineRule="auto"/>
              <w:ind w:firstLine="0" w:firstLineChars="0"/>
              <w:jc w:val="center"/>
              <w:rPr>
                <w:rFonts w:cs="Times New Roman"/>
                <w:sz w:val="21"/>
                <w:szCs w:val="21"/>
              </w:rPr>
            </w:pPr>
            <w:r>
              <w:rPr>
                <w:rFonts w:hint="eastAsia" w:cs="Times New Roman"/>
                <w:sz w:val="21"/>
                <w:szCs w:val="21"/>
                <w:lang w:bidi="ar"/>
              </w:rPr>
              <w:t>杨凯然</w:t>
            </w:r>
          </w:p>
        </w:tc>
        <w:tc>
          <w:tcPr>
            <w:tcW w:w="1039" w:type="pct"/>
            <w:tcBorders>
              <w:tl2br w:val="nil"/>
              <w:tr2bl w:val="nil"/>
            </w:tcBorders>
            <w:vAlign w:val="center"/>
          </w:tcPr>
          <w:p w14:paraId="1FA72FE0">
            <w:pPr>
              <w:spacing w:before="120" w:line="240" w:lineRule="auto"/>
              <w:ind w:firstLine="0" w:firstLineChars="0"/>
              <w:jc w:val="center"/>
              <w:rPr>
                <w:rFonts w:cs="Times New Roman"/>
                <w:sz w:val="21"/>
                <w:szCs w:val="21"/>
              </w:rPr>
            </w:pPr>
            <w:r>
              <w:rPr>
                <w:rFonts w:hint="eastAsia" w:cs="Times New Roman"/>
                <w:sz w:val="21"/>
                <w:szCs w:val="21"/>
                <w:lang w:bidi="ar"/>
              </w:rPr>
              <w:t>男</w:t>
            </w:r>
          </w:p>
        </w:tc>
        <w:tc>
          <w:tcPr>
            <w:tcW w:w="1039" w:type="pct"/>
            <w:tcBorders>
              <w:tl2br w:val="nil"/>
              <w:tr2bl w:val="nil"/>
            </w:tcBorders>
            <w:vAlign w:val="center"/>
          </w:tcPr>
          <w:p w14:paraId="2FBBD7E6">
            <w:pPr>
              <w:spacing w:before="120" w:line="240" w:lineRule="auto"/>
              <w:ind w:firstLine="0" w:firstLineChars="0"/>
              <w:jc w:val="center"/>
              <w:rPr>
                <w:rFonts w:cs="Times New Roman"/>
                <w:sz w:val="21"/>
                <w:szCs w:val="21"/>
              </w:rPr>
            </w:pPr>
            <w:r>
              <w:rPr>
                <w:rFonts w:hint="eastAsia" w:cs="Times New Roman"/>
                <w:sz w:val="21"/>
                <w:szCs w:val="21"/>
                <w:lang w:bidi="ar"/>
              </w:rPr>
              <w:t>中国</w:t>
            </w:r>
          </w:p>
        </w:tc>
        <w:tc>
          <w:tcPr>
            <w:tcW w:w="1242" w:type="pct"/>
            <w:tcBorders>
              <w:tl2br w:val="nil"/>
              <w:tr2bl w:val="nil"/>
            </w:tcBorders>
            <w:tcMar>
              <w:top w:w="0" w:type="dxa"/>
              <w:left w:w="108" w:type="dxa"/>
              <w:bottom w:w="0" w:type="dxa"/>
              <w:right w:w="108" w:type="dxa"/>
            </w:tcMar>
            <w:vAlign w:val="center"/>
          </w:tcPr>
          <w:p w14:paraId="79EF53E4">
            <w:pPr>
              <w:spacing w:before="120" w:line="240" w:lineRule="auto"/>
              <w:ind w:firstLine="0" w:firstLineChars="0"/>
              <w:jc w:val="center"/>
              <w:rPr>
                <w:rFonts w:cs="Times New Roman"/>
                <w:sz w:val="21"/>
                <w:szCs w:val="21"/>
              </w:rPr>
            </w:pPr>
            <w:r>
              <w:rPr>
                <w:rFonts w:hint="eastAsia" w:cs="Times New Roman"/>
                <w:sz w:val="21"/>
                <w:szCs w:val="21"/>
                <w:lang w:bidi="ar"/>
              </w:rPr>
              <w:t>否</w:t>
            </w:r>
          </w:p>
        </w:tc>
      </w:tr>
      <w:tr w14:paraId="0B87E4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8" w:type="pct"/>
            <w:tcBorders>
              <w:tl2br w:val="nil"/>
              <w:tr2bl w:val="nil"/>
            </w:tcBorders>
            <w:shd w:val="clear" w:color="auto" w:fill="auto"/>
            <w:tcMar>
              <w:top w:w="0" w:type="dxa"/>
              <w:left w:w="108" w:type="dxa"/>
              <w:bottom w:w="0" w:type="dxa"/>
              <w:right w:w="108" w:type="dxa"/>
            </w:tcMar>
            <w:vAlign w:val="center"/>
          </w:tcPr>
          <w:p w14:paraId="2863EDF5">
            <w:pPr>
              <w:spacing w:before="120" w:line="240" w:lineRule="auto"/>
              <w:ind w:firstLine="0" w:firstLineChars="0"/>
              <w:jc w:val="center"/>
              <w:rPr>
                <w:rFonts w:cs="Times New Roman"/>
                <w:bCs/>
                <w:sz w:val="21"/>
                <w:szCs w:val="21"/>
              </w:rPr>
            </w:pPr>
            <w:r>
              <w:rPr>
                <w:rFonts w:cs="Times New Roman"/>
                <w:bCs/>
                <w:sz w:val="21"/>
                <w:szCs w:val="21"/>
                <w:lang w:bidi="ar"/>
              </w:rPr>
              <w:t>3</w:t>
            </w:r>
          </w:p>
        </w:tc>
        <w:tc>
          <w:tcPr>
            <w:tcW w:w="1039" w:type="pct"/>
            <w:tcBorders>
              <w:tl2br w:val="nil"/>
              <w:tr2bl w:val="nil"/>
            </w:tcBorders>
            <w:vAlign w:val="center"/>
          </w:tcPr>
          <w:p w14:paraId="5E99CF40">
            <w:pPr>
              <w:spacing w:before="120" w:line="240" w:lineRule="auto"/>
              <w:ind w:firstLine="0" w:firstLineChars="0"/>
              <w:jc w:val="center"/>
              <w:rPr>
                <w:rFonts w:cs="Times New Roman"/>
                <w:sz w:val="21"/>
                <w:szCs w:val="21"/>
              </w:rPr>
            </w:pPr>
            <w:r>
              <w:rPr>
                <w:rFonts w:hint="eastAsia" w:cs="Times New Roman"/>
                <w:sz w:val="21"/>
                <w:szCs w:val="21"/>
                <w:lang w:bidi="ar"/>
              </w:rPr>
              <w:t>张杰波</w:t>
            </w:r>
          </w:p>
        </w:tc>
        <w:tc>
          <w:tcPr>
            <w:tcW w:w="1039" w:type="pct"/>
            <w:tcBorders>
              <w:tl2br w:val="nil"/>
              <w:tr2bl w:val="nil"/>
            </w:tcBorders>
            <w:vAlign w:val="center"/>
          </w:tcPr>
          <w:p w14:paraId="5170E319">
            <w:pPr>
              <w:spacing w:before="120" w:line="240" w:lineRule="auto"/>
              <w:ind w:firstLine="0" w:firstLineChars="0"/>
              <w:jc w:val="center"/>
              <w:rPr>
                <w:rFonts w:cs="Times New Roman"/>
                <w:sz w:val="21"/>
                <w:szCs w:val="21"/>
              </w:rPr>
            </w:pPr>
            <w:r>
              <w:rPr>
                <w:rFonts w:hint="eastAsia" w:cs="Times New Roman"/>
                <w:sz w:val="21"/>
                <w:szCs w:val="21"/>
                <w:lang w:bidi="ar"/>
              </w:rPr>
              <w:t>男</w:t>
            </w:r>
          </w:p>
        </w:tc>
        <w:tc>
          <w:tcPr>
            <w:tcW w:w="1039" w:type="pct"/>
            <w:tcBorders>
              <w:tl2br w:val="nil"/>
              <w:tr2bl w:val="nil"/>
            </w:tcBorders>
            <w:vAlign w:val="center"/>
          </w:tcPr>
          <w:p w14:paraId="3C9B15CC">
            <w:pPr>
              <w:spacing w:before="120" w:line="240" w:lineRule="auto"/>
              <w:ind w:firstLine="0" w:firstLineChars="0"/>
              <w:jc w:val="center"/>
              <w:rPr>
                <w:rFonts w:cs="Times New Roman"/>
                <w:sz w:val="21"/>
                <w:szCs w:val="21"/>
              </w:rPr>
            </w:pPr>
            <w:r>
              <w:rPr>
                <w:rFonts w:hint="eastAsia" w:cs="Times New Roman"/>
                <w:sz w:val="21"/>
                <w:szCs w:val="21"/>
                <w:lang w:bidi="ar"/>
              </w:rPr>
              <w:t>中国</w:t>
            </w:r>
          </w:p>
        </w:tc>
        <w:tc>
          <w:tcPr>
            <w:tcW w:w="1242" w:type="pct"/>
            <w:tcBorders>
              <w:tl2br w:val="nil"/>
              <w:tr2bl w:val="nil"/>
            </w:tcBorders>
            <w:tcMar>
              <w:top w:w="0" w:type="dxa"/>
              <w:left w:w="108" w:type="dxa"/>
              <w:bottom w:w="0" w:type="dxa"/>
              <w:right w:w="108" w:type="dxa"/>
            </w:tcMar>
            <w:vAlign w:val="center"/>
          </w:tcPr>
          <w:p w14:paraId="52729495">
            <w:pPr>
              <w:spacing w:before="120" w:line="240" w:lineRule="auto"/>
              <w:ind w:firstLine="0" w:firstLineChars="0"/>
              <w:jc w:val="center"/>
              <w:rPr>
                <w:rFonts w:cs="Times New Roman"/>
                <w:sz w:val="21"/>
                <w:szCs w:val="21"/>
              </w:rPr>
            </w:pPr>
            <w:r>
              <w:rPr>
                <w:rFonts w:hint="eastAsia" w:cs="Times New Roman"/>
                <w:sz w:val="21"/>
                <w:szCs w:val="21"/>
                <w:lang w:bidi="ar"/>
              </w:rPr>
              <w:t>否</w:t>
            </w:r>
          </w:p>
        </w:tc>
      </w:tr>
      <w:tr w14:paraId="28F8F6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8" w:type="pct"/>
            <w:tcBorders>
              <w:tl2br w:val="nil"/>
              <w:tr2bl w:val="nil"/>
            </w:tcBorders>
            <w:shd w:val="clear" w:color="auto" w:fill="auto"/>
            <w:tcMar>
              <w:top w:w="0" w:type="dxa"/>
              <w:left w:w="108" w:type="dxa"/>
              <w:bottom w:w="0" w:type="dxa"/>
              <w:right w:w="108" w:type="dxa"/>
            </w:tcMar>
            <w:vAlign w:val="center"/>
          </w:tcPr>
          <w:p w14:paraId="6C94E8FF">
            <w:pPr>
              <w:spacing w:before="120" w:line="240" w:lineRule="auto"/>
              <w:ind w:firstLine="0" w:firstLineChars="0"/>
              <w:jc w:val="center"/>
              <w:rPr>
                <w:rFonts w:cs="Times New Roman"/>
                <w:bCs/>
                <w:sz w:val="21"/>
                <w:szCs w:val="21"/>
              </w:rPr>
            </w:pPr>
            <w:r>
              <w:rPr>
                <w:rFonts w:cs="Times New Roman"/>
                <w:bCs/>
                <w:sz w:val="21"/>
                <w:szCs w:val="21"/>
                <w:lang w:bidi="ar"/>
              </w:rPr>
              <w:t>4</w:t>
            </w:r>
          </w:p>
        </w:tc>
        <w:tc>
          <w:tcPr>
            <w:tcW w:w="1039" w:type="pct"/>
            <w:tcBorders>
              <w:tl2br w:val="nil"/>
              <w:tr2bl w:val="nil"/>
            </w:tcBorders>
            <w:vAlign w:val="center"/>
          </w:tcPr>
          <w:p w14:paraId="5B725E1F">
            <w:pPr>
              <w:spacing w:before="120" w:line="240" w:lineRule="auto"/>
              <w:ind w:firstLine="0" w:firstLineChars="0"/>
              <w:jc w:val="center"/>
              <w:rPr>
                <w:rFonts w:cs="Times New Roman"/>
                <w:sz w:val="21"/>
                <w:szCs w:val="21"/>
              </w:rPr>
            </w:pPr>
            <w:r>
              <w:rPr>
                <w:rFonts w:hint="eastAsia" w:cs="Times New Roman"/>
                <w:sz w:val="21"/>
                <w:szCs w:val="21"/>
                <w:lang w:bidi="ar"/>
              </w:rPr>
              <w:t>胡俊</w:t>
            </w:r>
          </w:p>
        </w:tc>
        <w:tc>
          <w:tcPr>
            <w:tcW w:w="1039" w:type="pct"/>
            <w:tcBorders>
              <w:tl2br w:val="nil"/>
              <w:tr2bl w:val="nil"/>
            </w:tcBorders>
            <w:vAlign w:val="center"/>
          </w:tcPr>
          <w:p w14:paraId="5BBB101C">
            <w:pPr>
              <w:spacing w:before="120" w:line="240" w:lineRule="auto"/>
              <w:ind w:firstLine="0" w:firstLineChars="0"/>
              <w:jc w:val="center"/>
              <w:rPr>
                <w:rFonts w:cs="Times New Roman"/>
                <w:sz w:val="21"/>
                <w:szCs w:val="21"/>
              </w:rPr>
            </w:pPr>
            <w:r>
              <w:rPr>
                <w:rFonts w:hint="eastAsia" w:cs="Times New Roman"/>
                <w:sz w:val="21"/>
                <w:szCs w:val="21"/>
                <w:lang w:bidi="ar"/>
              </w:rPr>
              <w:t>男</w:t>
            </w:r>
          </w:p>
        </w:tc>
        <w:tc>
          <w:tcPr>
            <w:tcW w:w="1039" w:type="pct"/>
            <w:tcBorders>
              <w:tl2br w:val="nil"/>
              <w:tr2bl w:val="nil"/>
            </w:tcBorders>
            <w:vAlign w:val="center"/>
          </w:tcPr>
          <w:p w14:paraId="31CF545F">
            <w:pPr>
              <w:spacing w:before="120" w:line="240" w:lineRule="auto"/>
              <w:ind w:firstLine="0" w:firstLineChars="0"/>
              <w:jc w:val="center"/>
              <w:rPr>
                <w:rFonts w:cs="Times New Roman"/>
                <w:sz w:val="21"/>
                <w:szCs w:val="21"/>
              </w:rPr>
            </w:pPr>
            <w:r>
              <w:rPr>
                <w:rFonts w:hint="eastAsia" w:cs="Times New Roman"/>
                <w:sz w:val="21"/>
                <w:szCs w:val="21"/>
                <w:lang w:bidi="ar"/>
              </w:rPr>
              <w:t>中国</w:t>
            </w:r>
          </w:p>
        </w:tc>
        <w:tc>
          <w:tcPr>
            <w:tcW w:w="1242" w:type="pct"/>
            <w:tcBorders>
              <w:tl2br w:val="nil"/>
              <w:tr2bl w:val="nil"/>
            </w:tcBorders>
            <w:tcMar>
              <w:top w:w="0" w:type="dxa"/>
              <w:left w:w="108" w:type="dxa"/>
              <w:bottom w:w="0" w:type="dxa"/>
              <w:right w:w="108" w:type="dxa"/>
            </w:tcMar>
            <w:vAlign w:val="center"/>
          </w:tcPr>
          <w:p w14:paraId="4C1C2E50">
            <w:pPr>
              <w:spacing w:before="120" w:line="240" w:lineRule="auto"/>
              <w:ind w:firstLine="0" w:firstLineChars="0"/>
              <w:jc w:val="center"/>
              <w:rPr>
                <w:rFonts w:cs="Times New Roman"/>
                <w:sz w:val="21"/>
                <w:szCs w:val="21"/>
              </w:rPr>
            </w:pPr>
            <w:r>
              <w:rPr>
                <w:rFonts w:hint="eastAsia" w:cs="Times New Roman"/>
                <w:sz w:val="21"/>
                <w:szCs w:val="21"/>
                <w:lang w:bidi="ar"/>
              </w:rPr>
              <w:t>否</w:t>
            </w:r>
          </w:p>
        </w:tc>
      </w:tr>
      <w:tr w14:paraId="66A46C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8" w:type="pct"/>
            <w:tcBorders>
              <w:tl2br w:val="nil"/>
              <w:tr2bl w:val="nil"/>
            </w:tcBorders>
            <w:shd w:val="clear" w:color="auto" w:fill="auto"/>
            <w:tcMar>
              <w:top w:w="0" w:type="dxa"/>
              <w:left w:w="108" w:type="dxa"/>
              <w:bottom w:w="0" w:type="dxa"/>
              <w:right w:w="108" w:type="dxa"/>
            </w:tcMar>
            <w:vAlign w:val="center"/>
          </w:tcPr>
          <w:p w14:paraId="472B1065">
            <w:pPr>
              <w:spacing w:before="120" w:line="240" w:lineRule="auto"/>
              <w:ind w:firstLine="0" w:firstLineChars="0"/>
              <w:jc w:val="center"/>
              <w:rPr>
                <w:rFonts w:cs="Times New Roman"/>
                <w:bCs/>
                <w:sz w:val="21"/>
                <w:szCs w:val="21"/>
              </w:rPr>
            </w:pPr>
            <w:r>
              <w:rPr>
                <w:rFonts w:cs="Times New Roman"/>
                <w:bCs/>
                <w:sz w:val="21"/>
                <w:szCs w:val="21"/>
                <w:lang w:bidi="ar"/>
              </w:rPr>
              <w:t>5</w:t>
            </w:r>
          </w:p>
        </w:tc>
        <w:tc>
          <w:tcPr>
            <w:tcW w:w="1039" w:type="pct"/>
            <w:tcBorders>
              <w:tl2br w:val="nil"/>
              <w:tr2bl w:val="nil"/>
            </w:tcBorders>
            <w:vAlign w:val="center"/>
          </w:tcPr>
          <w:p w14:paraId="43628F49">
            <w:pPr>
              <w:spacing w:before="120" w:line="240" w:lineRule="auto"/>
              <w:ind w:firstLine="0" w:firstLineChars="0"/>
              <w:jc w:val="center"/>
              <w:rPr>
                <w:rFonts w:cs="Times New Roman"/>
                <w:sz w:val="21"/>
                <w:szCs w:val="21"/>
              </w:rPr>
            </w:pPr>
            <w:r>
              <w:rPr>
                <w:rFonts w:hint="eastAsia" w:cs="Times New Roman"/>
                <w:sz w:val="21"/>
                <w:szCs w:val="21"/>
                <w:lang w:bidi="ar"/>
              </w:rPr>
              <w:t>王佳</w:t>
            </w:r>
          </w:p>
        </w:tc>
        <w:tc>
          <w:tcPr>
            <w:tcW w:w="1039" w:type="pct"/>
            <w:tcBorders>
              <w:tl2br w:val="nil"/>
              <w:tr2bl w:val="nil"/>
            </w:tcBorders>
            <w:vAlign w:val="center"/>
          </w:tcPr>
          <w:p w14:paraId="7F0FD80E">
            <w:pPr>
              <w:spacing w:before="120" w:line="240" w:lineRule="auto"/>
              <w:ind w:firstLine="0" w:firstLineChars="0"/>
              <w:jc w:val="center"/>
              <w:rPr>
                <w:rFonts w:cs="Times New Roman"/>
                <w:sz w:val="21"/>
                <w:szCs w:val="21"/>
              </w:rPr>
            </w:pPr>
            <w:r>
              <w:rPr>
                <w:rFonts w:hint="eastAsia" w:cs="Times New Roman"/>
                <w:sz w:val="21"/>
                <w:szCs w:val="21"/>
                <w:lang w:bidi="ar"/>
              </w:rPr>
              <w:t>女</w:t>
            </w:r>
          </w:p>
        </w:tc>
        <w:tc>
          <w:tcPr>
            <w:tcW w:w="1039" w:type="pct"/>
            <w:tcBorders>
              <w:tl2br w:val="nil"/>
              <w:tr2bl w:val="nil"/>
            </w:tcBorders>
            <w:vAlign w:val="center"/>
          </w:tcPr>
          <w:p w14:paraId="438F2117">
            <w:pPr>
              <w:spacing w:before="120" w:line="240" w:lineRule="auto"/>
              <w:ind w:firstLine="0" w:firstLineChars="0"/>
              <w:jc w:val="center"/>
              <w:rPr>
                <w:rFonts w:cs="Times New Roman"/>
                <w:sz w:val="21"/>
                <w:szCs w:val="21"/>
              </w:rPr>
            </w:pPr>
            <w:r>
              <w:rPr>
                <w:rFonts w:hint="eastAsia" w:cs="Times New Roman"/>
                <w:sz w:val="21"/>
                <w:szCs w:val="21"/>
                <w:lang w:bidi="ar"/>
              </w:rPr>
              <w:t>中国</w:t>
            </w:r>
          </w:p>
        </w:tc>
        <w:tc>
          <w:tcPr>
            <w:tcW w:w="1242" w:type="pct"/>
            <w:tcBorders>
              <w:tl2br w:val="nil"/>
              <w:tr2bl w:val="nil"/>
            </w:tcBorders>
            <w:tcMar>
              <w:top w:w="0" w:type="dxa"/>
              <w:left w:w="108" w:type="dxa"/>
              <w:bottom w:w="0" w:type="dxa"/>
              <w:right w:w="108" w:type="dxa"/>
            </w:tcMar>
            <w:vAlign w:val="center"/>
          </w:tcPr>
          <w:p w14:paraId="762F63EC">
            <w:pPr>
              <w:spacing w:before="120" w:line="240" w:lineRule="auto"/>
              <w:ind w:firstLine="0" w:firstLineChars="0"/>
              <w:jc w:val="center"/>
              <w:rPr>
                <w:rFonts w:cs="Times New Roman"/>
                <w:sz w:val="21"/>
                <w:szCs w:val="21"/>
              </w:rPr>
            </w:pPr>
            <w:r>
              <w:rPr>
                <w:rFonts w:hint="eastAsia" w:cs="Times New Roman"/>
                <w:sz w:val="21"/>
                <w:szCs w:val="21"/>
                <w:lang w:bidi="ar"/>
              </w:rPr>
              <w:t>否</w:t>
            </w:r>
          </w:p>
        </w:tc>
      </w:tr>
      <w:tr w14:paraId="641A19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8" w:type="pct"/>
            <w:tcBorders>
              <w:tl2br w:val="nil"/>
              <w:tr2bl w:val="nil"/>
            </w:tcBorders>
            <w:shd w:val="clear" w:color="auto" w:fill="auto"/>
            <w:tcMar>
              <w:top w:w="0" w:type="dxa"/>
              <w:left w:w="108" w:type="dxa"/>
              <w:bottom w:w="0" w:type="dxa"/>
              <w:right w:w="108" w:type="dxa"/>
            </w:tcMar>
            <w:vAlign w:val="center"/>
          </w:tcPr>
          <w:p w14:paraId="5F5B32AD">
            <w:pPr>
              <w:spacing w:before="120" w:line="240" w:lineRule="auto"/>
              <w:ind w:firstLine="0" w:firstLineChars="0"/>
              <w:jc w:val="center"/>
              <w:rPr>
                <w:rFonts w:cs="Times New Roman"/>
                <w:bCs/>
                <w:sz w:val="21"/>
                <w:szCs w:val="21"/>
              </w:rPr>
            </w:pPr>
            <w:r>
              <w:rPr>
                <w:rFonts w:cs="Times New Roman"/>
                <w:bCs/>
                <w:sz w:val="21"/>
                <w:szCs w:val="21"/>
                <w:lang w:bidi="ar"/>
              </w:rPr>
              <w:t>6</w:t>
            </w:r>
          </w:p>
        </w:tc>
        <w:tc>
          <w:tcPr>
            <w:tcW w:w="1039" w:type="pct"/>
            <w:tcBorders>
              <w:tl2br w:val="nil"/>
              <w:tr2bl w:val="nil"/>
            </w:tcBorders>
            <w:shd w:val="clear" w:color="auto" w:fill="auto"/>
            <w:vAlign w:val="center"/>
          </w:tcPr>
          <w:p w14:paraId="7E5246EB">
            <w:pPr>
              <w:spacing w:before="120" w:line="240" w:lineRule="auto"/>
              <w:ind w:firstLine="0" w:firstLineChars="0"/>
              <w:jc w:val="center"/>
              <w:rPr>
                <w:rFonts w:cs="Times New Roman"/>
                <w:sz w:val="21"/>
                <w:szCs w:val="21"/>
              </w:rPr>
            </w:pPr>
            <w:r>
              <w:rPr>
                <w:rFonts w:hint="eastAsia" w:cs="Times New Roman"/>
                <w:sz w:val="21"/>
                <w:szCs w:val="21"/>
                <w:lang w:bidi="ar"/>
              </w:rPr>
              <w:t>杨裕雄</w:t>
            </w:r>
          </w:p>
        </w:tc>
        <w:tc>
          <w:tcPr>
            <w:tcW w:w="1039" w:type="pct"/>
            <w:tcBorders>
              <w:tl2br w:val="nil"/>
              <w:tr2bl w:val="nil"/>
            </w:tcBorders>
            <w:shd w:val="clear" w:color="auto" w:fill="auto"/>
            <w:vAlign w:val="center"/>
          </w:tcPr>
          <w:p w14:paraId="3F6DADAA">
            <w:pPr>
              <w:spacing w:before="120" w:line="240" w:lineRule="auto"/>
              <w:ind w:firstLine="0" w:firstLineChars="0"/>
              <w:jc w:val="center"/>
              <w:rPr>
                <w:rFonts w:cs="Times New Roman"/>
                <w:sz w:val="21"/>
                <w:szCs w:val="21"/>
              </w:rPr>
            </w:pPr>
            <w:r>
              <w:rPr>
                <w:rFonts w:hint="eastAsia" w:cs="Times New Roman"/>
                <w:sz w:val="21"/>
                <w:szCs w:val="21"/>
                <w:lang w:bidi="ar"/>
              </w:rPr>
              <w:t>男</w:t>
            </w:r>
          </w:p>
        </w:tc>
        <w:tc>
          <w:tcPr>
            <w:tcW w:w="1039" w:type="pct"/>
            <w:tcBorders>
              <w:tl2br w:val="nil"/>
              <w:tr2bl w:val="nil"/>
            </w:tcBorders>
            <w:shd w:val="clear" w:color="auto" w:fill="auto"/>
            <w:vAlign w:val="center"/>
          </w:tcPr>
          <w:p w14:paraId="6B2F6C15">
            <w:pPr>
              <w:spacing w:before="120" w:line="240" w:lineRule="auto"/>
              <w:ind w:firstLine="0" w:firstLineChars="0"/>
              <w:jc w:val="center"/>
              <w:rPr>
                <w:rFonts w:cs="Times New Roman"/>
                <w:sz w:val="21"/>
                <w:szCs w:val="21"/>
              </w:rPr>
            </w:pPr>
            <w:r>
              <w:rPr>
                <w:rFonts w:hint="eastAsia" w:cs="Times New Roman"/>
                <w:sz w:val="21"/>
                <w:szCs w:val="21"/>
                <w:lang w:bidi="ar"/>
              </w:rPr>
              <w:t>中国</w:t>
            </w:r>
          </w:p>
        </w:tc>
        <w:tc>
          <w:tcPr>
            <w:tcW w:w="1242" w:type="pct"/>
            <w:tcBorders>
              <w:tl2br w:val="nil"/>
              <w:tr2bl w:val="nil"/>
            </w:tcBorders>
            <w:shd w:val="clear" w:color="auto" w:fill="auto"/>
            <w:tcMar>
              <w:top w:w="0" w:type="dxa"/>
              <w:left w:w="108" w:type="dxa"/>
              <w:bottom w:w="0" w:type="dxa"/>
              <w:right w:w="108" w:type="dxa"/>
            </w:tcMar>
            <w:vAlign w:val="center"/>
          </w:tcPr>
          <w:p w14:paraId="61FBB59A">
            <w:pPr>
              <w:spacing w:before="120" w:line="240" w:lineRule="auto"/>
              <w:ind w:firstLine="0" w:firstLineChars="0"/>
              <w:jc w:val="center"/>
              <w:rPr>
                <w:rFonts w:cs="Times New Roman"/>
                <w:sz w:val="21"/>
                <w:szCs w:val="21"/>
              </w:rPr>
            </w:pPr>
            <w:r>
              <w:rPr>
                <w:rFonts w:hint="eastAsia" w:cs="Times New Roman"/>
                <w:sz w:val="21"/>
                <w:szCs w:val="21"/>
                <w:lang w:bidi="ar"/>
              </w:rPr>
              <w:t>否</w:t>
            </w:r>
          </w:p>
        </w:tc>
      </w:tr>
      <w:bookmarkEnd w:id="122"/>
    </w:tbl>
    <w:p w14:paraId="3D7398EE">
      <w:pPr>
        <w:pStyle w:val="860"/>
        <w:spacing w:before="120" w:after="120"/>
      </w:pPr>
      <w:bookmarkStart w:id="123" w:name="_Toc7692"/>
      <w:r>
        <w:rPr>
          <w:rFonts w:hint="eastAsia"/>
        </w:rPr>
        <w:t>二、发行股份及支付现金购买资产的非自然人交易对方</w:t>
      </w:r>
      <w:bookmarkEnd w:id="123"/>
    </w:p>
    <w:p w14:paraId="04BFF468">
      <w:pPr>
        <w:keepNext/>
        <w:keepLines/>
        <w:spacing w:before="120" w:after="120" w:afterLines="50"/>
        <w:ind w:firstLine="0" w:firstLineChars="0"/>
        <w:jc w:val="both"/>
        <w:outlineLvl w:val="2"/>
        <w:rPr>
          <w:rFonts w:eastAsia="黑体" w:cs="Times New Roman"/>
          <w:b/>
          <w:bCs/>
          <w:kern w:val="2"/>
          <w:szCs w:val="28"/>
        </w:rPr>
      </w:pPr>
      <w:bookmarkStart w:id="124" w:name="_Toc184373662"/>
      <w:bookmarkStart w:id="125" w:name="_Toc86099291"/>
      <w:r>
        <w:rPr>
          <w:rFonts w:hint="eastAsia" w:eastAsia="黑体" w:cs="Times New Roman"/>
          <w:b/>
          <w:bCs/>
          <w:kern w:val="2"/>
          <w:szCs w:val="28"/>
          <w:lang w:bidi="ar"/>
        </w:rPr>
        <w:t>（一）南通成为常青股权投资合伙企业（有限合伙）</w:t>
      </w:r>
    </w:p>
    <w:p w14:paraId="43A96DF7">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2A40DD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7D3F47BE">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28517324">
            <w:pPr>
              <w:spacing w:before="120" w:line="240" w:lineRule="auto"/>
              <w:ind w:firstLine="0" w:firstLineChars="0"/>
              <w:jc w:val="both"/>
              <w:rPr>
                <w:rFonts w:cs="Times New Roman"/>
                <w:sz w:val="21"/>
                <w:szCs w:val="21"/>
              </w:rPr>
            </w:pPr>
            <w:r>
              <w:rPr>
                <w:rFonts w:hint="eastAsia" w:cs="Times New Roman"/>
                <w:sz w:val="21"/>
                <w:szCs w:val="21"/>
                <w:lang w:bidi="ar"/>
              </w:rPr>
              <w:t>南通成为常青股权投资合伙企业（有限合伙）</w:t>
            </w:r>
          </w:p>
        </w:tc>
      </w:tr>
      <w:tr w14:paraId="7D753D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BD5E685">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51BFA800">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2858BA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16F36311">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12AEE49B">
            <w:pPr>
              <w:spacing w:before="120" w:line="240" w:lineRule="auto"/>
              <w:ind w:firstLine="0" w:firstLineChars="0"/>
              <w:jc w:val="both"/>
              <w:rPr>
                <w:rFonts w:cs="Times New Roman"/>
                <w:sz w:val="21"/>
                <w:szCs w:val="21"/>
              </w:rPr>
            </w:pPr>
            <w:r>
              <w:rPr>
                <w:rFonts w:hint="eastAsia" w:cs="Times New Roman"/>
                <w:sz w:val="21"/>
                <w:szCs w:val="21"/>
                <w:lang w:bidi="ar"/>
              </w:rPr>
              <w:t>江苏省南通市南通经济技术开发区宏兴路</w:t>
            </w:r>
            <w:r>
              <w:rPr>
                <w:rFonts w:cs="Times New Roman"/>
                <w:sz w:val="21"/>
                <w:szCs w:val="21"/>
                <w:lang w:bidi="ar"/>
              </w:rPr>
              <w:t>9</w:t>
            </w:r>
            <w:r>
              <w:rPr>
                <w:rFonts w:hint="eastAsia" w:cs="Times New Roman"/>
                <w:sz w:val="21"/>
                <w:szCs w:val="21"/>
                <w:lang w:bidi="ar"/>
              </w:rPr>
              <w:t>号能达大厦</w:t>
            </w:r>
            <w:r>
              <w:rPr>
                <w:rFonts w:cs="Times New Roman"/>
                <w:sz w:val="21"/>
                <w:szCs w:val="21"/>
                <w:lang w:bidi="ar"/>
              </w:rPr>
              <w:t>617</w:t>
            </w:r>
          </w:p>
        </w:tc>
      </w:tr>
      <w:tr w14:paraId="5EC445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76313232">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76962AA2">
            <w:pPr>
              <w:spacing w:before="120" w:line="240" w:lineRule="auto"/>
              <w:ind w:firstLine="0" w:firstLineChars="0"/>
              <w:jc w:val="both"/>
              <w:rPr>
                <w:rFonts w:cs="Times New Roman"/>
                <w:sz w:val="21"/>
                <w:szCs w:val="21"/>
              </w:rPr>
            </w:pPr>
            <w:r>
              <w:rPr>
                <w:rFonts w:cs="Times New Roman"/>
                <w:sz w:val="21"/>
                <w:szCs w:val="21"/>
                <w:lang w:bidi="ar"/>
              </w:rPr>
              <w:t>2016</w:t>
            </w:r>
            <w:r>
              <w:rPr>
                <w:rFonts w:hint="eastAsia" w:cs="Times New Roman"/>
                <w:sz w:val="21"/>
                <w:szCs w:val="21"/>
                <w:lang w:bidi="ar"/>
              </w:rPr>
              <w:t>年</w:t>
            </w:r>
            <w:r>
              <w:rPr>
                <w:rFonts w:cs="Times New Roman"/>
                <w:sz w:val="21"/>
                <w:szCs w:val="21"/>
                <w:lang w:bidi="ar"/>
              </w:rPr>
              <w:t>10</w:t>
            </w:r>
            <w:r>
              <w:rPr>
                <w:rFonts w:hint="eastAsia" w:cs="Times New Roman"/>
                <w:sz w:val="21"/>
                <w:szCs w:val="21"/>
                <w:lang w:bidi="ar"/>
              </w:rPr>
              <w:t>月</w:t>
            </w:r>
            <w:r>
              <w:rPr>
                <w:rFonts w:cs="Times New Roman"/>
                <w:sz w:val="21"/>
                <w:szCs w:val="21"/>
                <w:lang w:bidi="ar"/>
              </w:rPr>
              <w:t>28</w:t>
            </w:r>
            <w:r>
              <w:rPr>
                <w:rFonts w:hint="eastAsia" w:cs="Times New Roman"/>
                <w:sz w:val="21"/>
                <w:szCs w:val="21"/>
                <w:lang w:bidi="ar"/>
              </w:rPr>
              <w:t>日</w:t>
            </w:r>
          </w:p>
        </w:tc>
      </w:tr>
      <w:tr w14:paraId="2D0CDE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01657B9B">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88AB253">
            <w:pPr>
              <w:spacing w:before="120" w:line="240" w:lineRule="auto"/>
              <w:ind w:firstLine="0" w:firstLineChars="0"/>
              <w:jc w:val="both"/>
              <w:rPr>
                <w:rFonts w:cs="Times New Roman"/>
                <w:sz w:val="21"/>
                <w:szCs w:val="21"/>
              </w:rPr>
            </w:pPr>
            <w:r>
              <w:rPr>
                <w:rFonts w:cs="Times New Roman"/>
                <w:sz w:val="21"/>
                <w:szCs w:val="21"/>
                <w:lang w:bidi="ar"/>
              </w:rPr>
              <w:t>130,000.00</w:t>
            </w:r>
            <w:r>
              <w:rPr>
                <w:rFonts w:hint="eastAsia" w:cs="Times New Roman"/>
                <w:sz w:val="21"/>
                <w:szCs w:val="21"/>
                <w:lang w:bidi="ar"/>
              </w:rPr>
              <w:t>万元</w:t>
            </w:r>
          </w:p>
        </w:tc>
      </w:tr>
      <w:tr w14:paraId="0D0623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DB0EF03">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634833F2">
            <w:pPr>
              <w:spacing w:before="120" w:line="240" w:lineRule="auto"/>
              <w:ind w:firstLine="0" w:firstLineChars="0"/>
              <w:jc w:val="both"/>
              <w:rPr>
                <w:rFonts w:cs="Times New Roman"/>
                <w:sz w:val="21"/>
                <w:szCs w:val="21"/>
              </w:rPr>
            </w:pPr>
            <w:r>
              <w:rPr>
                <w:rFonts w:hint="eastAsia" w:cs="Times New Roman"/>
                <w:sz w:val="21"/>
                <w:szCs w:val="21"/>
                <w:lang w:bidi="ar"/>
              </w:rPr>
              <w:t>上海成为常青私募基金管理有限公司</w:t>
            </w:r>
          </w:p>
        </w:tc>
      </w:tr>
      <w:tr w14:paraId="59F61C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9E40310">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5649122F">
            <w:pPr>
              <w:spacing w:before="120" w:line="240" w:lineRule="auto"/>
              <w:ind w:firstLine="0" w:firstLineChars="0"/>
              <w:jc w:val="both"/>
              <w:rPr>
                <w:rFonts w:cs="Times New Roman"/>
                <w:sz w:val="21"/>
                <w:szCs w:val="21"/>
              </w:rPr>
            </w:pPr>
            <w:r>
              <w:rPr>
                <w:rFonts w:cs="Times New Roman"/>
                <w:sz w:val="21"/>
                <w:szCs w:val="21"/>
                <w:lang w:bidi="ar"/>
              </w:rPr>
              <w:t>91320600MA1MXTGL1D</w:t>
            </w:r>
          </w:p>
        </w:tc>
      </w:tr>
      <w:tr w14:paraId="625FE7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137A4ECF">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621F3F6D">
            <w:pPr>
              <w:spacing w:before="120" w:line="240" w:lineRule="auto"/>
              <w:ind w:firstLine="0" w:firstLineChars="0"/>
              <w:jc w:val="both"/>
              <w:rPr>
                <w:rFonts w:cs="Times New Roman"/>
                <w:sz w:val="21"/>
                <w:szCs w:val="21"/>
              </w:rPr>
            </w:pPr>
            <w:r>
              <w:rPr>
                <w:rFonts w:hint="eastAsia" w:cs="Times New Roman"/>
                <w:sz w:val="21"/>
                <w:szCs w:val="21"/>
                <w:lang w:bidi="ar"/>
              </w:rPr>
              <w:t>股权投资。（不得以公开方式募集资金；不得公开交易证券类产品和金融衍生品；不得发放贷款；不得从事融资性担保；不得向投资者承诺投资本金不受损失或者承诺最低收益；依法须经批准的项目，经相关部门批准后方可开展经营活动）一般项目：创业投资（限投资未上市企业）（除依法须经批准的项目外，凭营业执照依法自主开展经营活动）</w:t>
            </w:r>
          </w:p>
        </w:tc>
      </w:tr>
    </w:tbl>
    <w:p w14:paraId="3584F093">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1577A4B3">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截至本预案签署日，南通成为常青的合伙人情况如下表所示：</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806"/>
        <w:gridCol w:w="2244"/>
        <w:gridCol w:w="1898"/>
        <w:gridCol w:w="1747"/>
        <w:gridCol w:w="1833"/>
      </w:tblGrid>
      <w:tr w14:paraId="71BBEC6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783"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4715FE94">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序号</w:t>
            </w:r>
          </w:p>
        </w:tc>
        <w:tc>
          <w:tcPr>
            <w:tcW w:w="2179"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49537ADC">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股东名称</w:t>
            </w:r>
          </w:p>
        </w:tc>
        <w:tc>
          <w:tcPr>
            <w:tcW w:w="1843"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47482326">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合伙人类型</w:t>
            </w:r>
          </w:p>
        </w:tc>
        <w:tc>
          <w:tcPr>
            <w:tcW w:w="1697"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32480FCA">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认缴出资额</w:t>
            </w:r>
          </w:p>
          <w:p w14:paraId="02232E3B">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（万元）</w:t>
            </w:r>
          </w:p>
        </w:tc>
        <w:tc>
          <w:tcPr>
            <w:tcW w:w="1780"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18838A5F">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出资比例（</w:t>
            </w:r>
            <w:r>
              <w:rPr>
                <w:rFonts w:ascii="Times New Roman" w:hAnsi="Times New Roman"/>
                <w:b/>
                <w:bCs/>
                <w:kern w:val="2"/>
                <w:sz w:val="21"/>
                <w:szCs w:val="21"/>
                <w:lang w:val="en-US" w:bidi="ar"/>
              </w:rPr>
              <w:t>%</w:t>
            </w:r>
            <w:r>
              <w:rPr>
                <w:rFonts w:hint="eastAsia" w:ascii="Times New Roman" w:hAnsi="Times New Roman" w:cs="宋体"/>
                <w:b/>
                <w:bCs/>
                <w:kern w:val="2"/>
                <w:sz w:val="21"/>
                <w:szCs w:val="21"/>
                <w:lang w:val="en-US" w:bidi="ar"/>
              </w:rPr>
              <w:t>）</w:t>
            </w:r>
          </w:p>
        </w:tc>
      </w:tr>
      <w:tr w14:paraId="437EC2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0D0B93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0"/>
                <w:szCs w:val="20"/>
                <w:lang w:val="en-US" w:bidi="ar"/>
              </w:rPr>
              <w:t>1</w:t>
            </w:r>
          </w:p>
        </w:tc>
        <w:tc>
          <w:tcPr>
            <w:tcW w:w="21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921A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0"/>
                <w:szCs w:val="20"/>
                <w:lang w:val="en-US" w:bidi="ar"/>
              </w:rPr>
              <w:t>上海成为常青私募基金管理有限公司</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0631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执行事务合伙人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EF51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0"/>
                <w:szCs w:val="20"/>
                <w:lang w:val="en-US" w:bidi="ar"/>
              </w:rPr>
              <w:t>150.00</w:t>
            </w:r>
          </w:p>
        </w:tc>
        <w:tc>
          <w:tcPr>
            <w:tcW w:w="178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BAF5D2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0"/>
                <w:szCs w:val="20"/>
                <w:lang w:val="en-US" w:bidi="ar"/>
              </w:rPr>
              <w:t>0.12%</w:t>
            </w:r>
          </w:p>
        </w:tc>
      </w:tr>
      <w:tr w14:paraId="3B650A5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D2CCFE3">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0"/>
                <w:szCs w:val="20"/>
                <w:lang w:val="en-US" w:bidi="ar"/>
              </w:rPr>
              <w:t>2</w:t>
            </w:r>
          </w:p>
        </w:tc>
        <w:tc>
          <w:tcPr>
            <w:tcW w:w="21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6DD8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0"/>
                <w:szCs w:val="20"/>
                <w:lang w:val="en-US" w:bidi="ar"/>
              </w:rPr>
              <w:t>蒋劭清</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0A570">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B901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0"/>
                <w:szCs w:val="20"/>
                <w:lang w:val="en-US" w:bidi="ar"/>
              </w:rPr>
              <w:t>78,000.00</w:t>
            </w:r>
          </w:p>
        </w:tc>
        <w:tc>
          <w:tcPr>
            <w:tcW w:w="178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6D2D44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0"/>
                <w:szCs w:val="20"/>
                <w:lang w:val="en-US" w:bidi="ar"/>
              </w:rPr>
              <w:t>60.00%</w:t>
            </w:r>
          </w:p>
        </w:tc>
      </w:tr>
      <w:tr w14:paraId="57CD337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487CDB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0"/>
                <w:szCs w:val="20"/>
                <w:lang w:val="en-US" w:bidi="ar"/>
              </w:rPr>
              <w:t>3</w:t>
            </w:r>
          </w:p>
        </w:tc>
        <w:tc>
          <w:tcPr>
            <w:tcW w:w="21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8D74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0"/>
                <w:szCs w:val="20"/>
                <w:lang w:val="en-US" w:bidi="ar"/>
              </w:rPr>
              <w:t>吴敏慧</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tcPr>
          <w:p w14:paraId="6CD51D9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AE09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0"/>
                <w:szCs w:val="20"/>
                <w:lang w:val="en-US" w:bidi="ar"/>
              </w:rPr>
              <w:t>44,700.00</w:t>
            </w:r>
          </w:p>
        </w:tc>
        <w:tc>
          <w:tcPr>
            <w:tcW w:w="178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52A789D">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0"/>
                <w:szCs w:val="20"/>
                <w:lang w:val="en-US" w:bidi="ar"/>
              </w:rPr>
              <w:t>34.38%</w:t>
            </w:r>
          </w:p>
        </w:tc>
      </w:tr>
      <w:tr w14:paraId="7F81C72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AC4B0C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0"/>
                <w:szCs w:val="20"/>
                <w:lang w:val="en-US" w:bidi="ar"/>
              </w:rPr>
              <w:t>4</w:t>
            </w:r>
          </w:p>
        </w:tc>
        <w:tc>
          <w:tcPr>
            <w:tcW w:w="21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EB05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0"/>
                <w:szCs w:val="20"/>
                <w:lang w:val="en-US" w:bidi="ar"/>
              </w:rPr>
              <w:t>苏蕾</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tcPr>
          <w:p w14:paraId="0E596E1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603A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0"/>
                <w:szCs w:val="20"/>
                <w:lang w:val="en-US" w:bidi="ar"/>
              </w:rPr>
              <w:t>7,150.00</w:t>
            </w:r>
          </w:p>
        </w:tc>
        <w:tc>
          <w:tcPr>
            <w:tcW w:w="178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61FCFB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0"/>
                <w:szCs w:val="20"/>
                <w:lang w:val="en-US" w:bidi="ar"/>
              </w:rPr>
              <w:t>5.50%</w:t>
            </w:r>
          </w:p>
        </w:tc>
      </w:tr>
      <w:tr w14:paraId="162D81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4805"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627612C8">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合计</w:t>
            </w:r>
          </w:p>
        </w:tc>
        <w:tc>
          <w:tcPr>
            <w:tcW w:w="1697"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3FB4EEFA">
            <w:pPr>
              <w:pStyle w:val="69"/>
              <w:spacing w:before="120" w:beforeAutospacing="0" w:after="0" w:afterAutospacing="0"/>
              <w:ind w:firstLine="0" w:firstLineChars="0"/>
              <w:jc w:val="center"/>
              <w:rPr>
                <w:rFonts w:hint="eastAsia"/>
                <w:b/>
                <w:bCs/>
                <w:sz w:val="21"/>
                <w:szCs w:val="21"/>
                <w:lang w:val="en-US"/>
              </w:rPr>
            </w:pPr>
            <w:r>
              <w:rPr>
                <w:rFonts w:ascii="Times New Roman" w:hAnsi="Times New Roman"/>
                <w:b/>
                <w:bCs/>
                <w:kern w:val="2"/>
                <w:sz w:val="21"/>
                <w:szCs w:val="21"/>
                <w:lang w:val="en-US" w:bidi="ar"/>
              </w:rPr>
              <w:t>130,000.00</w:t>
            </w:r>
          </w:p>
        </w:tc>
        <w:tc>
          <w:tcPr>
            <w:tcW w:w="1780"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1F11F72D">
            <w:pPr>
              <w:pStyle w:val="69"/>
              <w:spacing w:before="120" w:beforeAutospacing="0" w:after="0" w:afterAutospacing="0"/>
              <w:ind w:firstLine="0" w:firstLineChars="0"/>
              <w:jc w:val="center"/>
              <w:rPr>
                <w:rFonts w:hint="eastAsia"/>
                <w:b/>
                <w:bCs/>
                <w:sz w:val="21"/>
                <w:szCs w:val="21"/>
                <w:lang w:val="en-US"/>
              </w:rPr>
            </w:pPr>
            <w:r>
              <w:rPr>
                <w:rFonts w:ascii="Times New Roman" w:hAnsi="Times New Roman"/>
                <w:b/>
                <w:bCs/>
                <w:kern w:val="2"/>
                <w:sz w:val="21"/>
                <w:szCs w:val="21"/>
                <w:lang w:val="en-US" w:bidi="ar"/>
              </w:rPr>
              <w:t>100.00%</w:t>
            </w:r>
          </w:p>
        </w:tc>
      </w:tr>
    </w:tbl>
    <w:p w14:paraId="075396AE">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截至本预案签署日，南通成为常青的执行事务合伙人为上海成为常青私募基金管理有限公司，产权控制关系如下：</w:t>
      </w:r>
    </w:p>
    <w:p w14:paraId="539BE437">
      <w:pPr>
        <w:keepNext/>
        <w:keepLines/>
        <w:spacing w:before="120" w:after="120" w:afterLines="50"/>
        <w:ind w:firstLine="0" w:firstLineChars="0"/>
        <w:jc w:val="both"/>
      </w:pPr>
      <w:r>
        <w:drawing>
          <wp:inline distT="0" distB="0" distL="114300" distR="114300">
            <wp:extent cx="5289550" cy="2776220"/>
            <wp:effectExtent l="0" t="0" r="13970" b="1270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7"/>
                    <a:stretch>
                      <a:fillRect/>
                    </a:stretch>
                  </pic:blipFill>
                  <pic:spPr>
                    <a:xfrm>
                      <a:off x="0" y="0"/>
                      <a:ext cx="5289550" cy="2776220"/>
                    </a:xfrm>
                    <a:prstGeom prst="rect">
                      <a:avLst/>
                    </a:prstGeom>
                    <a:noFill/>
                    <a:ln>
                      <a:noFill/>
                    </a:ln>
                  </pic:spPr>
                </pic:pic>
              </a:graphicData>
            </a:graphic>
          </wp:inline>
        </w:drawing>
      </w:r>
    </w:p>
    <w:p w14:paraId="2CBB87CD">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（二）珠海广发信德科文创业投资基金（有限合伙）</w:t>
      </w:r>
    </w:p>
    <w:p w14:paraId="26EB2AEA">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1E26B1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62F43FE5">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114F6115">
            <w:pPr>
              <w:spacing w:before="120" w:line="240" w:lineRule="auto"/>
              <w:ind w:firstLine="0" w:firstLineChars="0"/>
              <w:jc w:val="both"/>
              <w:rPr>
                <w:rFonts w:cs="Times New Roman"/>
                <w:sz w:val="21"/>
                <w:szCs w:val="21"/>
              </w:rPr>
            </w:pPr>
            <w:r>
              <w:rPr>
                <w:rFonts w:hint="eastAsia" w:cs="Times New Roman"/>
                <w:sz w:val="21"/>
                <w:szCs w:val="21"/>
                <w:lang w:bidi="ar"/>
              </w:rPr>
              <w:t>珠海广发信德科文创业投资基金（有限合伙）</w:t>
            </w:r>
          </w:p>
        </w:tc>
      </w:tr>
      <w:tr w14:paraId="3754CB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0EA56368">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70EF2657">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2BB299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1862B0EC">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2EF3E1B7">
            <w:pPr>
              <w:spacing w:before="120" w:line="240" w:lineRule="auto"/>
              <w:ind w:firstLine="0" w:firstLineChars="0"/>
              <w:jc w:val="both"/>
              <w:rPr>
                <w:rFonts w:cs="Times New Roman"/>
                <w:sz w:val="21"/>
                <w:szCs w:val="21"/>
              </w:rPr>
            </w:pPr>
            <w:r>
              <w:rPr>
                <w:rFonts w:hint="eastAsia" w:cs="Times New Roman"/>
                <w:sz w:val="21"/>
                <w:szCs w:val="21"/>
                <w:lang w:bidi="ar"/>
              </w:rPr>
              <w:t>珠海市横琴新区宝华路</w:t>
            </w:r>
            <w:r>
              <w:rPr>
                <w:rFonts w:cs="Times New Roman"/>
                <w:sz w:val="21"/>
                <w:szCs w:val="21"/>
                <w:lang w:bidi="ar"/>
              </w:rPr>
              <w:t>6</w:t>
            </w:r>
            <w:r>
              <w:rPr>
                <w:rFonts w:hint="eastAsia" w:cs="Times New Roman"/>
                <w:sz w:val="21"/>
                <w:szCs w:val="21"/>
                <w:lang w:bidi="ar"/>
              </w:rPr>
              <w:t>号</w:t>
            </w:r>
            <w:r>
              <w:rPr>
                <w:rFonts w:cs="Times New Roman"/>
                <w:sz w:val="21"/>
                <w:szCs w:val="21"/>
                <w:lang w:bidi="ar"/>
              </w:rPr>
              <w:t>105</w:t>
            </w:r>
            <w:r>
              <w:rPr>
                <w:rFonts w:hint="eastAsia" w:cs="Times New Roman"/>
                <w:sz w:val="21"/>
                <w:szCs w:val="21"/>
                <w:lang w:bidi="ar"/>
              </w:rPr>
              <w:t>室</w:t>
            </w:r>
            <w:r>
              <w:rPr>
                <w:rFonts w:cs="Times New Roman"/>
                <w:sz w:val="21"/>
                <w:szCs w:val="21"/>
                <w:lang w:bidi="ar"/>
              </w:rPr>
              <w:t>-15412</w:t>
            </w:r>
            <w:r>
              <w:rPr>
                <w:rFonts w:hint="eastAsia" w:cs="Times New Roman"/>
                <w:sz w:val="21"/>
                <w:szCs w:val="21"/>
                <w:lang w:bidi="ar"/>
              </w:rPr>
              <w:t>（集中办公区）</w:t>
            </w:r>
          </w:p>
        </w:tc>
      </w:tr>
      <w:tr w14:paraId="69CB9A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10616200">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0924B50">
            <w:pPr>
              <w:spacing w:before="120" w:line="240" w:lineRule="auto"/>
              <w:ind w:firstLine="0" w:firstLineChars="0"/>
              <w:jc w:val="both"/>
              <w:rPr>
                <w:rFonts w:cs="Times New Roman"/>
                <w:sz w:val="21"/>
                <w:szCs w:val="21"/>
              </w:rPr>
            </w:pPr>
            <w:r>
              <w:rPr>
                <w:rFonts w:cs="Times New Roman"/>
                <w:sz w:val="21"/>
                <w:szCs w:val="21"/>
                <w:lang w:bidi="ar"/>
              </w:rPr>
              <w:t>2016</w:t>
            </w:r>
            <w:r>
              <w:rPr>
                <w:rFonts w:hint="eastAsia" w:cs="Times New Roman"/>
                <w:sz w:val="21"/>
                <w:szCs w:val="21"/>
                <w:lang w:bidi="ar"/>
              </w:rPr>
              <w:t>年</w:t>
            </w:r>
            <w:r>
              <w:rPr>
                <w:rFonts w:cs="Times New Roman"/>
                <w:sz w:val="21"/>
                <w:szCs w:val="21"/>
                <w:lang w:bidi="ar"/>
              </w:rPr>
              <w:t>6</w:t>
            </w:r>
            <w:r>
              <w:rPr>
                <w:rFonts w:hint="eastAsia" w:cs="Times New Roman"/>
                <w:sz w:val="21"/>
                <w:szCs w:val="21"/>
                <w:lang w:bidi="ar"/>
              </w:rPr>
              <w:t>月</w:t>
            </w:r>
            <w:r>
              <w:rPr>
                <w:rFonts w:cs="Times New Roman"/>
                <w:sz w:val="21"/>
                <w:szCs w:val="21"/>
                <w:lang w:bidi="ar"/>
              </w:rPr>
              <w:t>7</w:t>
            </w:r>
            <w:r>
              <w:rPr>
                <w:rFonts w:hint="eastAsia" w:cs="Times New Roman"/>
                <w:sz w:val="21"/>
                <w:szCs w:val="21"/>
                <w:lang w:bidi="ar"/>
              </w:rPr>
              <w:t>日</w:t>
            </w:r>
          </w:p>
        </w:tc>
      </w:tr>
      <w:tr w14:paraId="2B3F1C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06933798">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5611DB5">
            <w:pPr>
              <w:spacing w:before="120" w:line="240" w:lineRule="auto"/>
              <w:ind w:firstLine="0" w:firstLineChars="0"/>
              <w:jc w:val="both"/>
              <w:rPr>
                <w:rFonts w:cs="Times New Roman"/>
                <w:sz w:val="21"/>
                <w:szCs w:val="21"/>
              </w:rPr>
            </w:pPr>
            <w:r>
              <w:rPr>
                <w:rFonts w:cs="Times New Roman"/>
                <w:sz w:val="21"/>
                <w:szCs w:val="21"/>
                <w:lang w:bidi="ar"/>
              </w:rPr>
              <w:t>56,000</w:t>
            </w:r>
            <w:r>
              <w:rPr>
                <w:rFonts w:hint="eastAsia" w:cs="Times New Roman"/>
                <w:sz w:val="21"/>
                <w:szCs w:val="21"/>
                <w:lang w:bidi="ar"/>
              </w:rPr>
              <w:t>万元</w:t>
            </w:r>
          </w:p>
        </w:tc>
      </w:tr>
      <w:tr w14:paraId="78E128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348B9468">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2A0FAFD9">
            <w:pPr>
              <w:spacing w:before="120" w:line="240" w:lineRule="auto"/>
              <w:ind w:firstLine="0" w:firstLineChars="0"/>
              <w:jc w:val="both"/>
              <w:rPr>
                <w:rFonts w:cs="Times New Roman"/>
                <w:sz w:val="21"/>
                <w:szCs w:val="21"/>
              </w:rPr>
            </w:pPr>
            <w:r>
              <w:rPr>
                <w:rFonts w:hint="eastAsia" w:cs="Times New Roman"/>
                <w:sz w:val="21"/>
                <w:szCs w:val="21"/>
                <w:lang w:bidi="ar"/>
              </w:rPr>
              <w:t>广东信德投资管理有限公司</w:t>
            </w:r>
          </w:p>
        </w:tc>
      </w:tr>
      <w:tr w14:paraId="080807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919C64C">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03B55A15">
            <w:pPr>
              <w:spacing w:before="120" w:line="240" w:lineRule="auto"/>
              <w:ind w:firstLine="0" w:firstLineChars="0"/>
              <w:jc w:val="both"/>
              <w:rPr>
                <w:rFonts w:cs="Times New Roman"/>
                <w:sz w:val="21"/>
                <w:szCs w:val="21"/>
              </w:rPr>
            </w:pPr>
            <w:r>
              <w:rPr>
                <w:rFonts w:cs="Times New Roman"/>
                <w:sz w:val="21"/>
                <w:szCs w:val="21"/>
                <w:lang w:bidi="ar"/>
              </w:rPr>
              <w:t>91440400MA4UQCWF2A</w:t>
            </w:r>
          </w:p>
        </w:tc>
      </w:tr>
      <w:tr w14:paraId="47EB40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2D17C57D">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59CC3816">
            <w:pPr>
              <w:spacing w:before="120" w:line="240" w:lineRule="auto"/>
              <w:ind w:firstLine="0" w:firstLineChars="0"/>
              <w:jc w:val="both"/>
              <w:rPr>
                <w:rFonts w:cs="Times New Roman"/>
                <w:sz w:val="21"/>
                <w:szCs w:val="21"/>
              </w:rPr>
            </w:pPr>
            <w:r>
              <w:rPr>
                <w:rFonts w:hint="eastAsia" w:cs="Times New Roman"/>
                <w:sz w:val="21"/>
                <w:szCs w:val="21"/>
                <w:lang w:bidi="ar"/>
              </w:rPr>
              <w:t>一般项目：以私募基金从事股权投资、投资管理、资产管理等活动（须在中国证券投资基金业协会完成登记备案后方可从事经营活动）。（除依法须经批准的项目外，凭营业执照依法自主开展经营活动）</w:t>
            </w:r>
          </w:p>
        </w:tc>
      </w:tr>
    </w:tbl>
    <w:p w14:paraId="443D3833">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1AE6C8D8">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截至本预案签署日，广发信德科文的合伙人情况如下表所示：</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806"/>
        <w:gridCol w:w="2973"/>
        <w:gridCol w:w="1752"/>
        <w:gridCol w:w="1459"/>
        <w:gridCol w:w="1538"/>
      </w:tblGrid>
      <w:tr w14:paraId="25F595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783"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0BB2E6A8">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序号</w:t>
            </w:r>
          </w:p>
        </w:tc>
        <w:tc>
          <w:tcPr>
            <w:tcW w:w="2888"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72C7585E">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股东名称</w:t>
            </w:r>
          </w:p>
        </w:tc>
        <w:tc>
          <w:tcPr>
            <w:tcW w:w="1702"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2AD9B1E0">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合伙人类型</w:t>
            </w:r>
          </w:p>
        </w:tc>
        <w:tc>
          <w:tcPr>
            <w:tcW w:w="1417"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6F897DBB">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认缴出资额（万元）</w:t>
            </w:r>
          </w:p>
        </w:tc>
        <w:tc>
          <w:tcPr>
            <w:tcW w:w="1493"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6EBD6BA7">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出资比例（</w:t>
            </w:r>
            <w:r>
              <w:rPr>
                <w:rFonts w:ascii="Times New Roman" w:hAnsi="Times New Roman"/>
                <w:b/>
                <w:bCs/>
                <w:kern w:val="2"/>
                <w:sz w:val="21"/>
                <w:szCs w:val="21"/>
                <w:lang w:val="en-US" w:bidi="ar"/>
              </w:rPr>
              <w:t>%</w:t>
            </w:r>
            <w:r>
              <w:rPr>
                <w:rFonts w:hint="eastAsia" w:ascii="Times New Roman" w:hAnsi="Times New Roman" w:cs="宋体"/>
                <w:b/>
                <w:bCs/>
                <w:kern w:val="2"/>
                <w:sz w:val="21"/>
                <w:szCs w:val="21"/>
                <w:lang w:val="en-US" w:bidi="ar"/>
              </w:rPr>
              <w:t>）</w:t>
            </w:r>
          </w:p>
        </w:tc>
      </w:tr>
      <w:tr w14:paraId="0F95F29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1FA1FBC">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504A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广发信德投资管理有限公司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F7F1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执行事务合伙人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820F5">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10,570.00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42957A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18.88%</w:t>
            </w:r>
          </w:p>
        </w:tc>
      </w:tr>
      <w:tr w14:paraId="162E32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71EE21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1B54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广东省基础设施投资基金管理有限责任公司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1BC3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5AA20">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15,000.00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9BB0D36">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26.79%</w:t>
            </w:r>
          </w:p>
        </w:tc>
      </w:tr>
      <w:tr w14:paraId="44C8C08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AB8424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1358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广东省中小微企业发展基金合伙企业（有限合伙）</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45C3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D797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5,000.00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82EE41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8.93%</w:t>
            </w:r>
          </w:p>
        </w:tc>
      </w:tr>
      <w:tr w14:paraId="39B716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F80EE6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F343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朱兵</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6037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A74B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5,000.00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0CFE4A6">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8.93%</w:t>
            </w:r>
          </w:p>
        </w:tc>
      </w:tr>
      <w:tr w14:paraId="5F1ABF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F20521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0ED4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吴幸光</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B831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25A2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1,500.00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B0FDF8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2.68%</w:t>
            </w:r>
          </w:p>
        </w:tc>
      </w:tr>
      <w:tr w14:paraId="6B19475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9DD19BD">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6</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9096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常彬</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2C06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8FF26">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1,100.00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27B5CF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1.96%</w:t>
            </w:r>
          </w:p>
        </w:tc>
      </w:tr>
      <w:tr w14:paraId="00F7C77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9F7041C">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7</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3D5C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上海景贤投资有限公司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88BC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09F8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1,030.00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61BC525">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1.84%</w:t>
            </w:r>
          </w:p>
        </w:tc>
      </w:tr>
      <w:tr w14:paraId="7A4C5CC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68D86A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8</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14E3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米林县集益投资有限公司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A0E8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C23B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1,000.00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29B3A3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1.79%</w:t>
            </w:r>
          </w:p>
        </w:tc>
      </w:tr>
      <w:tr w14:paraId="0BE6588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08253E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9</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3460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陈贤频</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931E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CBF3D">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1,000.00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28D98B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1.79%</w:t>
            </w:r>
          </w:p>
        </w:tc>
      </w:tr>
      <w:tr w14:paraId="055141F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2D8BFE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10</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E441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梁艳新</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4563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40365">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700.00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0E9E52D">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1.25%</w:t>
            </w:r>
          </w:p>
        </w:tc>
      </w:tr>
      <w:tr w14:paraId="1AC041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BE9701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11</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5060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黄润进</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3F55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EB8F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600.00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E51490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1.07%</w:t>
            </w:r>
          </w:p>
        </w:tc>
      </w:tr>
      <w:tr w14:paraId="6AACBD6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4F3CEAC">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12</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B349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王松</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29F1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D849D">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600.00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0066E9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1.07%</w:t>
            </w:r>
          </w:p>
        </w:tc>
      </w:tr>
      <w:tr w14:paraId="5C62CF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373545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13</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EC39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林兰兴</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AEF2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2A05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550.00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D2BCA3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0.98%</w:t>
            </w:r>
          </w:p>
        </w:tc>
      </w:tr>
      <w:tr w14:paraId="007B4D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52D608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14</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0EA6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上海东宝生物医药有限公司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2808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BA5A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282372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0.89%</w:t>
            </w:r>
          </w:p>
        </w:tc>
      </w:tr>
      <w:tr w14:paraId="1F72CF4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EDA2735">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15</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BED8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孙谱</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181A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3655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C30A96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0.89%</w:t>
            </w:r>
          </w:p>
        </w:tc>
      </w:tr>
      <w:tr w14:paraId="3049A5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FDD626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16</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FC80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温文滔</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053B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96C3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1AD462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0.89%</w:t>
            </w:r>
          </w:p>
        </w:tc>
      </w:tr>
      <w:tr w14:paraId="75447D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38E253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17</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8563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陶中敏</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4B49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8FFB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0A115B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0.89%</w:t>
            </w:r>
          </w:p>
        </w:tc>
      </w:tr>
      <w:tr w14:paraId="0ADC7A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BBC3C8C">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18</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A40D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李兆琦</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EF7E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80F0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68D8A30">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0.89%</w:t>
            </w:r>
          </w:p>
        </w:tc>
      </w:tr>
      <w:tr w14:paraId="0C1D39B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6016A1C">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19</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61AC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陈子荣</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9792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D78A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ACDBD1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0.89%</w:t>
            </w:r>
          </w:p>
        </w:tc>
      </w:tr>
      <w:tr w14:paraId="766D56B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0B7F4BC">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20</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7559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王秀明</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99CC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586C0">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BA17D0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0.89%</w:t>
            </w:r>
          </w:p>
        </w:tc>
      </w:tr>
      <w:tr w14:paraId="4443F91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7778A2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21</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4D08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樊剑云</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D8DF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146C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40A19C3">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0.71%</w:t>
            </w:r>
          </w:p>
        </w:tc>
      </w:tr>
      <w:tr w14:paraId="2C73D58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0761F3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22</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7962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黄铮</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8355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72E76">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68AABC3">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0.71%</w:t>
            </w:r>
          </w:p>
        </w:tc>
      </w:tr>
      <w:tr w14:paraId="5FC2799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7E14685">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23</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A10E0">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林勇</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4955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51C9C">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B0EF7EC">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0.71%</w:t>
            </w:r>
          </w:p>
        </w:tc>
      </w:tr>
      <w:tr w14:paraId="6872169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DD6D1D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24</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18B9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周勇</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0BFC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17C90">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A31EA0D">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0.71%</w:t>
            </w:r>
          </w:p>
        </w:tc>
      </w:tr>
      <w:tr w14:paraId="6535E7B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C3C3426">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25</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5BB4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张明</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DE9D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D3EE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350.00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82D604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0.63%</w:t>
            </w:r>
          </w:p>
        </w:tc>
      </w:tr>
      <w:tr w14:paraId="4B397F8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8175AD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26</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C7D8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陶婕</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A946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EF7CC">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1831915">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136669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CCB365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27</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AE88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陈鸾</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AEDB0">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AF973">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AD2E7FD">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4B1A71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EF0D24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28</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8DAF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聂瑞</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9E37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F280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CD4377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4F1D10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FD8783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29</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F052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邓建新</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1E2B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13D1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FDCFB9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3C64342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16FFDE5">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3603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邱玉萍</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9DAD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77B7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34A5FD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3AFEEDB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1AB1B8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31</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40B3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王维圳</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CE3B0">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E7B2C">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A916B25">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5B98861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E5ED725">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32</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9EEE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冯静开</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28CE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0EEF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FBD7A7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2FFAE58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D915E9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33</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AE3C0">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江叔良</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90F5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E892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B835A7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0FA4D8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3775A3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34</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CFBA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叶绍平</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CDC0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2B2A6">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6B795F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31128D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2C16DC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35</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4F82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田军</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ECEA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95B1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04160A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3C7D2BE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F5E46E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36</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9786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欧阳瑞欢</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2EF3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D952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AD73CE6">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0136E18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4D7E0D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37</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728A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王志坚</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0238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03875">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C13AB1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6AB6B60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474E97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38</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CA17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俞连贵</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B779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24470">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07D9F5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6D31B8F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84B15ED">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39</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26200">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吴文武</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F1E9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A945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56A4FF3">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0000C06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E7F7C2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40</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2552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朱灏</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70A8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488A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5888ED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1A32E76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A3F8656">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41</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4F57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张锡坤</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3C61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4374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C9D2E3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56A37E4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8CAC8A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42</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F300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邓文忠</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464E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AD69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5394DD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2BF392E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C9EB806">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43</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83E4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周炼红</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82E7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18BD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6E27ED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3C25DF4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ECB138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44</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39B0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彭玉海</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7F73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FB61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9FECA1D">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5B313B1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3861FC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45</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F400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何惠燕</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166F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E4ABD">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3E2380C">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2E9761C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EF41A70">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46</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E636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邓杰豪</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F097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FE04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5E81DB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6D902F9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5FF618B">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47</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98FF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冯庆聪</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6A06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6132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FCB744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582AD5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BFE531B">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48</w:t>
            </w:r>
          </w:p>
        </w:tc>
        <w:tc>
          <w:tcPr>
            <w:tcW w:w="28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3161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孙代花</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8465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DDF0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300.00</w:t>
            </w:r>
          </w:p>
        </w:tc>
        <w:tc>
          <w:tcPr>
            <w:tcW w:w="149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1458E3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0.54%</w:t>
            </w:r>
          </w:p>
        </w:tc>
      </w:tr>
      <w:tr w14:paraId="35CF5D6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372"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5D95C917">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合计</w:t>
            </w:r>
          </w:p>
        </w:tc>
        <w:tc>
          <w:tcPr>
            <w:tcW w:w="1417"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095F4DA8">
            <w:pPr>
              <w:pStyle w:val="69"/>
              <w:spacing w:before="120" w:beforeAutospacing="0" w:after="0" w:afterAutospacing="0"/>
              <w:ind w:firstLine="0" w:firstLineChars="0"/>
              <w:jc w:val="center"/>
              <w:rPr>
                <w:rFonts w:hint="eastAsia"/>
                <w:b/>
                <w:bCs/>
                <w:sz w:val="21"/>
                <w:szCs w:val="21"/>
                <w:lang w:val="en-US"/>
              </w:rPr>
            </w:pPr>
            <w:r>
              <w:rPr>
                <w:rFonts w:ascii="Times New Roman" w:hAnsi="Times New Roman"/>
                <w:b/>
                <w:bCs/>
                <w:kern w:val="2"/>
                <w:sz w:val="21"/>
                <w:szCs w:val="21"/>
                <w:lang w:val="en-US" w:bidi="ar"/>
              </w:rPr>
              <w:t>56,000.00</w:t>
            </w:r>
          </w:p>
        </w:tc>
        <w:tc>
          <w:tcPr>
            <w:tcW w:w="1493"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5C0C7D25">
            <w:pPr>
              <w:pStyle w:val="69"/>
              <w:spacing w:before="120" w:beforeAutospacing="0" w:after="0" w:afterAutospacing="0"/>
              <w:ind w:firstLine="0" w:firstLineChars="0"/>
              <w:jc w:val="center"/>
              <w:rPr>
                <w:rFonts w:hint="eastAsia"/>
                <w:b/>
                <w:bCs/>
                <w:sz w:val="21"/>
                <w:szCs w:val="21"/>
                <w:lang w:val="en-US"/>
              </w:rPr>
            </w:pPr>
            <w:r>
              <w:rPr>
                <w:rFonts w:ascii="Times New Roman" w:hAnsi="Times New Roman"/>
                <w:b/>
                <w:bCs/>
                <w:kern w:val="2"/>
                <w:sz w:val="21"/>
                <w:szCs w:val="21"/>
                <w:lang w:val="en-US" w:bidi="ar"/>
              </w:rPr>
              <w:t>100.00%</w:t>
            </w:r>
          </w:p>
        </w:tc>
      </w:tr>
    </w:tbl>
    <w:p w14:paraId="52D6EFD7">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截至本预案签署日，广发信德科文的执行事务合伙人为广东信德投资管理有限公司，产权控制关系如下：</w:t>
      </w:r>
    </w:p>
    <w:p w14:paraId="29BD42A0">
      <w:pPr>
        <w:keepNext/>
        <w:keepLines/>
        <w:spacing w:before="120" w:after="120" w:afterLines="50"/>
        <w:ind w:firstLine="0" w:firstLineChars="0"/>
        <w:jc w:val="both"/>
      </w:pPr>
      <w:r>
        <w:drawing>
          <wp:inline distT="0" distB="0" distL="114300" distR="114300">
            <wp:extent cx="5269230" cy="1801495"/>
            <wp:effectExtent l="0" t="0" r="381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8"/>
                    <a:stretch>
                      <a:fillRect/>
                    </a:stretch>
                  </pic:blipFill>
                  <pic:spPr>
                    <a:xfrm>
                      <a:off x="0" y="0"/>
                      <a:ext cx="5269230" cy="1801495"/>
                    </a:xfrm>
                    <a:prstGeom prst="rect">
                      <a:avLst/>
                    </a:prstGeom>
                    <a:noFill/>
                    <a:ln>
                      <a:noFill/>
                    </a:ln>
                  </pic:spPr>
                </pic:pic>
              </a:graphicData>
            </a:graphic>
          </wp:inline>
        </w:drawing>
      </w:r>
    </w:p>
    <w:p w14:paraId="7B67133A">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（三）苏州市德同合心创业投资合伙企业（有限合伙）</w:t>
      </w:r>
    </w:p>
    <w:p w14:paraId="64F0FB58">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4AE748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5E91D86F">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23541EC9">
            <w:pPr>
              <w:spacing w:before="120" w:line="240" w:lineRule="auto"/>
              <w:ind w:firstLine="0" w:firstLineChars="0"/>
              <w:jc w:val="both"/>
              <w:rPr>
                <w:rFonts w:cs="Times New Roman"/>
                <w:sz w:val="21"/>
                <w:szCs w:val="21"/>
              </w:rPr>
            </w:pPr>
            <w:r>
              <w:rPr>
                <w:rFonts w:hint="eastAsia" w:cs="Times New Roman"/>
                <w:sz w:val="21"/>
                <w:szCs w:val="21"/>
                <w:lang w:bidi="ar"/>
              </w:rPr>
              <w:t>苏州市德同合心创业投资合伙企业（有限合伙）</w:t>
            </w:r>
          </w:p>
        </w:tc>
      </w:tr>
      <w:tr w14:paraId="4CCFAA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7418232C">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10CDCEA">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4F72A7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2CE0C3DA">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5DB36A7">
            <w:pPr>
              <w:spacing w:before="120" w:line="240" w:lineRule="auto"/>
              <w:ind w:firstLine="0" w:firstLineChars="0"/>
              <w:jc w:val="both"/>
              <w:rPr>
                <w:rFonts w:cs="Times New Roman"/>
                <w:sz w:val="21"/>
                <w:szCs w:val="21"/>
              </w:rPr>
            </w:pPr>
            <w:r>
              <w:rPr>
                <w:rFonts w:hint="eastAsia" w:cs="Times New Roman"/>
                <w:sz w:val="21"/>
                <w:szCs w:val="21"/>
                <w:lang w:bidi="ar"/>
              </w:rPr>
              <w:t>苏州市吴江区黎里镇南新街</w:t>
            </w:r>
            <w:r>
              <w:rPr>
                <w:rFonts w:cs="Times New Roman"/>
                <w:sz w:val="21"/>
                <w:szCs w:val="21"/>
                <w:lang w:bidi="ar"/>
              </w:rPr>
              <w:t>118</w:t>
            </w:r>
            <w:r>
              <w:rPr>
                <w:rFonts w:hint="eastAsia" w:cs="Times New Roman"/>
                <w:sz w:val="21"/>
                <w:szCs w:val="21"/>
                <w:lang w:bidi="ar"/>
              </w:rPr>
              <w:t>号</w:t>
            </w:r>
          </w:p>
        </w:tc>
      </w:tr>
      <w:tr w14:paraId="3281E3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06771689">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5B14597">
            <w:pPr>
              <w:spacing w:before="120" w:line="240" w:lineRule="auto"/>
              <w:ind w:firstLine="0" w:firstLineChars="0"/>
              <w:jc w:val="both"/>
              <w:rPr>
                <w:rFonts w:cs="Times New Roman"/>
                <w:sz w:val="21"/>
                <w:szCs w:val="21"/>
              </w:rPr>
            </w:pPr>
            <w:r>
              <w:rPr>
                <w:rFonts w:cs="Times New Roman"/>
                <w:sz w:val="21"/>
                <w:szCs w:val="21"/>
                <w:lang w:bidi="ar"/>
              </w:rPr>
              <w:t>2017</w:t>
            </w:r>
            <w:r>
              <w:rPr>
                <w:rFonts w:hint="eastAsia" w:cs="Times New Roman"/>
                <w:sz w:val="21"/>
                <w:szCs w:val="21"/>
                <w:lang w:bidi="ar"/>
              </w:rPr>
              <w:t>年</w:t>
            </w:r>
            <w:r>
              <w:rPr>
                <w:rFonts w:cs="Times New Roman"/>
                <w:sz w:val="21"/>
                <w:szCs w:val="21"/>
                <w:lang w:bidi="ar"/>
              </w:rPr>
              <w:t>6</w:t>
            </w:r>
            <w:r>
              <w:rPr>
                <w:rFonts w:hint="eastAsia" w:cs="Times New Roman"/>
                <w:sz w:val="21"/>
                <w:szCs w:val="21"/>
                <w:lang w:bidi="ar"/>
              </w:rPr>
              <w:t>月</w:t>
            </w:r>
            <w:r>
              <w:rPr>
                <w:rFonts w:cs="Times New Roman"/>
                <w:sz w:val="21"/>
                <w:szCs w:val="21"/>
                <w:lang w:bidi="ar"/>
              </w:rPr>
              <w:t>12</w:t>
            </w:r>
            <w:r>
              <w:rPr>
                <w:rFonts w:hint="eastAsia" w:cs="Times New Roman"/>
                <w:sz w:val="21"/>
                <w:szCs w:val="21"/>
                <w:lang w:bidi="ar"/>
              </w:rPr>
              <w:t>日</w:t>
            </w:r>
          </w:p>
        </w:tc>
      </w:tr>
      <w:tr w14:paraId="3F552A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303E381A">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123FA5D">
            <w:pPr>
              <w:spacing w:before="120" w:line="240" w:lineRule="auto"/>
              <w:ind w:firstLine="0" w:firstLineChars="0"/>
              <w:jc w:val="both"/>
              <w:rPr>
                <w:rFonts w:cs="Times New Roman"/>
                <w:sz w:val="21"/>
                <w:szCs w:val="21"/>
              </w:rPr>
            </w:pPr>
            <w:r>
              <w:rPr>
                <w:rFonts w:cs="Times New Roman"/>
                <w:sz w:val="21"/>
                <w:szCs w:val="21"/>
                <w:lang w:bidi="ar"/>
              </w:rPr>
              <w:t>200,000.00</w:t>
            </w:r>
            <w:r>
              <w:rPr>
                <w:rFonts w:hint="eastAsia" w:cs="Times New Roman"/>
                <w:sz w:val="21"/>
                <w:szCs w:val="21"/>
                <w:lang w:bidi="ar"/>
              </w:rPr>
              <w:t>万元</w:t>
            </w:r>
          </w:p>
        </w:tc>
      </w:tr>
      <w:tr w14:paraId="1F882D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9F16A35">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05C602D1">
            <w:pPr>
              <w:spacing w:before="120" w:line="240" w:lineRule="auto"/>
              <w:ind w:firstLine="0" w:firstLineChars="0"/>
              <w:jc w:val="both"/>
              <w:rPr>
                <w:rFonts w:cs="Times New Roman"/>
                <w:sz w:val="21"/>
                <w:szCs w:val="21"/>
              </w:rPr>
            </w:pPr>
            <w:r>
              <w:rPr>
                <w:rFonts w:hint="eastAsia" w:cs="Times New Roman"/>
                <w:sz w:val="21"/>
                <w:szCs w:val="21"/>
                <w:lang w:bidi="ar"/>
              </w:rPr>
              <w:t>西藏德同企业管理有限公司</w:t>
            </w:r>
          </w:p>
        </w:tc>
      </w:tr>
      <w:tr w14:paraId="7114E0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6A2116C4">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647CD8A6">
            <w:pPr>
              <w:spacing w:before="120" w:line="240" w:lineRule="auto"/>
              <w:ind w:firstLine="0" w:firstLineChars="0"/>
              <w:jc w:val="both"/>
              <w:rPr>
                <w:rFonts w:cs="Times New Roman"/>
                <w:sz w:val="21"/>
                <w:szCs w:val="21"/>
              </w:rPr>
            </w:pPr>
            <w:r>
              <w:rPr>
                <w:rFonts w:cs="Times New Roman"/>
                <w:sz w:val="21"/>
                <w:szCs w:val="21"/>
                <w:lang w:bidi="ar"/>
              </w:rPr>
              <w:t>91310000MA1FL43230</w:t>
            </w:r>
          </w:p>
        </w:tc>
      </w:tr>
      <w:tr w14:paraId="599CA4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408DB342">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0D049CDA">
            <w:pPr>
              <w:spacing w:before="120" w:line="240" w:lineRule="auto"/>
              <w:ind w:firstLine="0" w:firstLineChars="0"/>
              <w:jc w:val="both"/>
              <w:rPr>
                <w:rFonts w:cs="Times New Roman"/>
                <w:sz w:val="21"/>
                <w:szCs w:val="21"/>
              </w:rPr>
            </w:pPr>
            <w:r>
              <w:rPr>
                <w:rFonts w:hint="eastAsia" w:cs="Times New Roman"/>
                <w:sz w:val="21"/>
                <w:szCs w:val="21"/>
                <w:lang w:bidi="ar"/>
              </w:rPr>
              <w:t>一般项目：创业投资；以私募基金从事股权投资、投资管理、资产管理等活动（须在中国证券投资基金业协会完成备案登记后方可从事经营活动）；以自有资金从事投资活动（除依法须经批准的项目外，凭营业执照依法自主开展经营活动）</w:t>
            </w:r>
          </w:p>
        </w:tc>
      </w:tr>
    </w:tbl>
    <w:p w14:paraId="06A093F5">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7AAA84DC">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截至本预案签署日，苏州德同合心的合伙人情况如下表所示：</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776"/>
        <w:gridCol w:w="3290"/>
        <w:gridCol w:w="1771"/>
        <w:gridCol w:w="1298"/>
        <w:gridCol w:w="1392"/>
      </w:tblGrid>
      <w:tr w14:paraId="45FB60A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771"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5DDF53E3">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序号</w:t>
            </w:r>
          </w:p>
        </w:tc>
        <w:tc>
          <w:tcPr>
            <w:tcW w:w="3298"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73883CB9">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股东名称</w:t>
            </w:r>
          </w:p>
        </w:tc>
        <w:tc>
          <w:tcPr>
            <w:tcW w:w="1771"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0CF7DB73">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合伙人类型</w:t>
            </w:r>
          </w:p>
        </w:tc>
        <w:tc>
          <w:tcPr>
            <w:tcW w:w="1297"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01004770">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认缴出资额（万元）</w:t>
            </w:r>
          </w:p>
        </w:tc>
        <w:tc>
          <w:tcPr>
            <w:tcW w:w="1391"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65306226">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出资比例（</w:t>
            </w:r>
            <w:r>
              <w:rPr>
                <w:rFonts w:ascii="Times New Roman" w:hAnsi="Times New Roman"/>
                <w:b/>
                <w:bCs/>
                <w:kern w:val="2"/>
                <w:sz w:val="21"/>
                <w:szCs w:val="21"/>
                <w:lang w:val="en-US" w:bidi="ar"/>
              </w:rPr>
              <w:t>%</w:t>
            </w:r>
            <w:r>
              <w:rPr>
                <w:rFonts w:hint="eastAsia" w:ascii="Times New Roman" w:hAnsi="Times New Roman" w:cs="宋体"/>
                <w:b/>
                <w:bCs/>
                <w:kern w:val="2"/>
                <w:sz w:val="21"/>
                <w:szCs w:val="21"/>
                <w:lang w:val="en-US" w:bidi="ar"/>
              </w:rPr>
              <w:t>）</w:t>
            </w:r>
          </w:p>
        </w:tc>
      </w:tr>
      <w:tr w14:paraId="46EBC6E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8E2DD03">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03DF6">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西藏德同企业管理有限公司</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D595B">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执行事务合伙人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37E6B">
            <w:pPr>
              <w:widowControl/>
              <w:spacing w:before="120"/>
              <w:ind w:firstLine="0" w:firstLineChars="0"/>
              <w:jc w:val="right"/>
              <w:textAlignment w:val="center"/>
              <w:rPr>
                <w:rFonts w:cs="Times New Roman"/>
                <w:sz w:val="21"/>
                <w:szCs w:val="21"/>
              </w:rPr>
            </w:pPr>
            <w:r>
              <w:rPr>
                <w:rFonts w:cs="Times New Roman"/>
                <w:color w:val="000000"/>
                <w:sz w:val="21"/>
                <w:szCs w:val="21"/>
                <w:lang w:bidi="ar"/>
              </w:rPr>
              <w:t>5,000.00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2E04D8D">
            <w:pPr>
              <w:widowControl/>
              <w:spacing w:before="120"/>
              <w:ind w:firstLine="0" w:firstLineChars="0"/>
              <w:jc w:val="right"/>
              <w:textAlignment w:val="center"/>
              <w:rPr>
                <w:rFonts w:cs="Times New Roman"/>
                <w:sz w:val="21"/>
                <w:szCs w:val="21"/>
              </w:rPr>
            </w:pPr>
            <w:r>
              <w:rPr>
                <w:rFonts w:cs="Times New Roman"/>
                <w:color w:val="000000"/>
                <w:sz w:val="21"/>
                <w:szCs w:val="21"/>
                <w:lang w:bidi="ar"/>
              </w:rPr>
              <w:t>2.50%</w:t>
            </w:r>
          </w:p>
        </w:tc>
      </w:tr>
      <w:tr w14:paraId="0BD807F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DBA2BB0">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F6F12">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国投创合国家新兴产业创业投资引导基金（有限合伙）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FE1E6">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E7217">
            <w:pPr>
              <w:widowControl/>
              <w:spacing w:before="120"/>
              <w:ind w:firstLine="0" w:firstLineChars="0"/>
              <w:jc w:val="right"/>
              <w:textAlignment w:val="center"/>
              <w:rPr>
                <w:rFonts w:cs="Times New Roman"/>
                <w:sz w:val="21"/>
                <w:szCs w:val="21"/>
              </w:rPr>
            </w:pPr>
            <w:r>
              <w:rPr>
                <w:rFonts w:cs="Times New Roman"/>
                <w:color w:val="000000"/>
                <w:sz w:val="21"/>
                <w:szCs w:val="21"/>
                <w:lang w:bidi="ar"/>
              </w:rPr>
              <w:t>20,000.00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0BBABB6">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10.00%</w:t>
            </w:r>
          </w:p>
        </w:tc>
      </w:tr>
      <w:tr w14:paraId="706D81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79CA85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EF7D4">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上海科创中心一期股权投资基金合伙企业（有限合伙）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FF945">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2EFB2">
            <w:pPr>
              <w:widowControl/>
              <w:spacing w:before="120"/>
              <w:ind w:firstLine="0" w:firstLineChars="0"/>
              <w:jc w:val="right"/>
              <w:textAlignment w:val="center"/>
              <w:rPr>
                <w:rFonts w:cs="Times New Roman"/>
                <w:sz w:val="21"/>
                <w:szCs w:val="21"/>
              </w:rPr>
            </w:pPr>
            <w:r>
              <w:rPr>
                <w:rFonts w:cs="Times New Roman"/>
                <w:color w:val="000000"/>
                <w:sz w:val="21"/>
                <w:szCs w:val="21"/>
                <w:lang w:bidi="ar"/>
              </w:rPr>
              <w:t>20,000.00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D9B30FE">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10.00%</w:t>
            </w:r>
          </w:p>
        </w:tc>
      </w:tr>
      <w:tr w14:paraId="0148A01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BAECBD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5A548">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苏州市吴江产业投资有限公司</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0B011">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EC420">
            <w:pPr>
              <w:widowControl/>
              <w:spacing w:before="120"/>
              <w:ind w:firstLine="0" w:firstLineChars="0"/>
              <w:jc w:val="right"/>
              <w:textAlignment w:val="center"/>
              <w:rPr>
                <w:rFonts w:cs="Times New Roman"/>
                <w:sz w:val="21"/>
                <w:szCs w:val="21"/>
              </w:rPr>
            </w:pPr>
            <w:r>
              <w:rPr>
                <w:rFonts w:cs="Times New Roman"/>
                <w:color w:val="000000"/>
                <w:sz w:val="21"/>
                <w:szCs w:val="21"/>
                <w:lang w:bidi="ar"/>
              </w:rPr>
              <w:t>20,000.00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E0DDF3E">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10.00%</w:t>
            </w:r>
          </w:p>
        </w:tc>
      </w:tr>
      <w:tr w14:paraId="07A51E9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8066CC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6CE47">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前海股权投资基金（有限合伙）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4B4D6">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1EA2A">
            <w:pPr>
              <w:widowControl/>
              <w:spacing w:before="120"/>
              <w:ind w:firstLine="0" w:firstLineChars="0"/>
              <w:jc w:val="right"/>
              <w:textAlignment w:val="center"/>
              <w:rPr>
                <w:rFonts w:cs="Times New Roman"/>
                <w:sz w:val="21"/>
                <w:szCs w:val="21"/>
              </w:rPr>
            </w:pPr>
            <w:r>
              <w:rPr>
                <w:rFonts w:cs="Times New Roman"/>
                <w:color w:val="000000"/>
                <w:sz w:val="21"/>
                <w:szCs w:val="21"/>
                <w:lang w:bidi="ar"/>
              </w:rPr>
              <w:t>15,000.00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4887F99">
            <w:pPr>
              <w:widowControl/>
              <w:spacing w:before="120"/>
              <w:ind w:firstLine="0" w:firstLineChars="0"/>
              <w:jc w:val="right"/>
              <w:textAlignment w:val="center"/>
              <w:rPr>
                <w:rFonts w:cs="Times New Roman"/>
                <w:sz w:val="21"/>
                <w:szCs w:val="21"/>
              </w:rPr>
            </w:pPr>
            <w:r>
              <w:rPr>
                <w:rFonts w:cs="Times New Roman"/>
                <w:color w:val="000000"/>
                <w:sz w:val="21"/>
                <w:szCs w:val="21"/>
                <w:lang w:bidi="ar"/>
              </w:rPr>
              <w:t>7.50%</w:t>
            </w:r>
          </w:p>
        </w:tc>
      </w:tr>
      <w:tr w14:paraId="45A854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A60693C">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6</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CFA84">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苏州工业园区元禾招商股权投资基金合伙企业（有限合伙）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842D5">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21FD2">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4B9D24A">
            <w:pPr>
              <w:widowControl/>
              <w:spacing w:before="120"/>
              <w:ind w:firstLine="0" w:firstLineChars="0"/>
              <w:jc w:val="right"/>
              <w:textAlignment w:val="center"/>
              <w:rPr>
                <w:rFonts w:cs="Times New Roman"/>
                <w:sz w:val="21"/>
                <w:szCs w:val="21"/>
              </w:rPr>
            </w:pPr>
            <w:r>
              <w:rPr>
                <w:rFonts w:cs="Times New Roman"/>
                <w:color w:val="000000"/>
                <w:sz w:val="21"/>
                <w:szCs w:val="21"/>
                <w:lang w:bidi="ar"/>
              </w:rPr>
              <w:t>5.00%</w:t>
            </w:r>
          </w:p>
        </w:tc>
      </w:tr>
      <w:tr w14:paraId="29E0679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380B89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7</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C962F">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上海青浦投资有限公司</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83877">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9FB6B">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DCECE25">
            <w:pPr>
              <w:widowControl/>
              <w:spacing w:before="120"/>
              <w:ind w:firstLine="0" w:firstLineChars="0"/>
              <w:jc w:val="right"/>
              <w:textAlignment w:val="center"/>
              <w:rPr>
                <w:rFonts w:cs="Times New Roman"/>
                <w:sz w:val="21"/>
                <w:szCs w:val="21"/>
              </w:rPr>
            </w:pPr>
            <w:r>
              <w:rPr>
                <w:rFonts w:cs="Times New Roman"/>
                <w:color w:val="000000"/>
                <w:sz w:val="21"/>
                <w:szCs w:val="21"/>
                <w:lang w:bidi="ar"/>
              </w:rPr>
              <w:t>5.00%</w:t>
            </w:r>
          </w:p>
        </w:tc>
      </w:tr>
      <w:tr w14:paraId="3DD1BC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7D2C153">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8</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B796A">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江西省发展升级引导基金(有限合伙)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2DDC0">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4CB53">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D49D377">
            <w:pPr>
              <w:widowControl/>
              <w:spacing w:before="120"/>
              <w:ind w:firstLine="0" w:firstLineChars="0"/>
              <w:jc w:val="right"/>
              <w:textAlignment w:val="center"/>
              <w:rPr>
                <w:rFonts w:cs="Times New Roman"/>
                <w:sz w:val="21"/>
                <w:szCs w:val="21"/>
              </w:rPr>
            </w:pPr>
            <w:r>
              <w:rPr>
                <w:rFonts w:cs="Times New Roman"/>
                <w:color w:val="000000"/>
                <w:sz w:val="21"/>
                <w:szCs w:val="21"/>
                <w:lang w:bidi="ar"/>
              </w:rPr>
              <w:t>5.00%</w:t>
            </w:r>
          </w:p>
        </w:tc>
      </w:tr>
      <w:tr w14:paraId="779BA17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3163C6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9</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89748">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上海德心股权投资基金管理有限公司</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415A9">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1B2DC">
            <w:pPr>
              <w:widowControl/>
              <w:spacing w:before="120"/>
              <w:ind w:firstLine="0" w:firstLineChars="0"/>
              <w:jc w:val="right"/>
              <w:textAlignment w:val="center"/>
              <w:rPr>
                <w:rFonts w:cs="Times New Roman"/>
                <w:sz w:val="21"/>
                <w:szCs w:val="21"/>
              </w:rPr>
            </w:pPr>
            <w:r>
              <w:rPr>
                <w:rFonts w:cs="Times New Roman"/>
                <w:color w:val="000000"/>
                <w:sz w:val="21"/>
                <w:szCs w:val="21"/>
                <w:lang w:bidi="ar"/>
              </w:rPr>
              <w:t>8,370.00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E3DD749">
            <w:pPr>
              <w:widowControl/>
              <w:spacing w:before="120"/>
              <w:ind w:firstLine="0" w:firstLineChars="0"/>
              <w:jc w:val="right"/>
              <w:textAlignment w:val="center"/>
              <w:rPr>
                <w:rFonts w:cs="Times New Roman"/>
                <w:sz w:val="21"/>
                <w:szCs w:val="21"/>
              </w:rPr>
            </w:pPr>
            <w:r>
              <w:rPr>
                <w:rFonts w:cs="Times New Roman"/>
                <w:color w:val="000000"/>
                <w:sz w:val="21"/>
                <w:szCs w:val="21"/>
                <w:lang w:bidi="ar"/>
              </w:rPr>
              <w:t>4.19%</w:t>
            </w:r>
          </w:p>
        </w:tc>
      </w:tr>
      <w:tr w14:paraId="479011A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1A398E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10</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B456F">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国联人寿保险股份有限公司</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DD6BF">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E9797">
            <w:pPr>
              <w:widowControl/>
              <w:spacing w:before="120"/>
              <w:ind w:firstLine="0" w:firstLineChars="0"/>
              <w:jc w:val="right"/>
              <w:textAlignment w:val="center"/>
              <w:rPr>
                <w:rFonts w:cs="Times New Roman"/>
                <w:sz w:val="21"/>
                <w:szCs w:val="21"/>
              </w:rPr>
            </w:pPr>
            <w:r>
              <w:rPr>
                <w:rFonts w:cs="Times New Roman"/>
                <w:color w:val="000000"/>
                <w:sz w:val="21"/>
                <w:szCs w:val="21"/>
                <w:lang w:bidi="ar"/>
              </w:rPr>
              <w:t>7,500.00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9B7329F">
            <w:pPr>
              <w:widowControl/>
              <w:spacing w:before="120"/>
              <w:ind w:firstLine="0" w:firstLineChars="0"/>
              <w:jc w:val="right"/>
              <w:textAlignment w:val="center"/>
              <w:rPr>
                <w:rFonts w:cs="Times New Roman"/>
                <w:sz w:val="21"/>
                <w:szCs w:val="21"/>
              </w:rPr>
            </w:pPr>
            <w:r>
              <w:rPr>
                <w:rFonts w:cs="Times New Roman"/>
                <w:color w:val="000000"/>
                <w:sz w:val="21"/>
                <w:szCs w:val="21"/>
                <w:lang w:bidi="ar"/>
              </w:rPr>
              <w:t>3.75%</w:t>
            </w:r>
          </w:p>
        </w:tc>
      </w:tr>
      <w:tr w14:paraId="3ADC61A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4320F3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11</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D90A5">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新余市晟创投资管理有限公司</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65ACB">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F74A7">
            <w:pPr>
              <w:widowControl/>
              <w:spacing w:before="120"/>
              <w:ind w:firstLine="0" w:firstLineChars="0"/>
              <w:jc w:val="right"/>
              <w:textAlignment w:val="center"/>
              <w:rPr>
                <w:rFonts w:cs="Times New Roman"/>
                <w:sz w:val="21"/>
                <w:szCs w:val="21"/>
              </w:rPr>
            </w:pPr>
            <w:r>
              <w:rPr>
                <w:rFonts w:cs="Times New Roman"/>
                <w:color w:val="000000"/>
                <w:sz w:val="21"/>
                <w:szCs w:val="21"/>
                <w:lang w:bidi="ar"/>
              </w:rPr>
              <w:t>7,000.00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678708D">
            <w:pPr>
              <w:widowControl/>
              <w:spacing w:before="120"/>
              <w:ind w:firstLine="0" w:firstLineChars="0"/>
              <w:jc w:val="right"/>
              <w:textAlignment w:val="center"/>
              <w:rPr>
                <w:rFonts w:cs="Times New Roman"/>
                <w:sz w:val="21"/>
                <w:szCs w:val="21"/>
              </w:rPr>
            </w:pPr>
            <w:r>
              <w:rPr>
                <w:rFonts w:cs="Times New Roman"/>
                <w:color w:val="000000"/>
                <w:sz w:val="21"/>
                <w:szCs w:val="21"/>
                <w:lang w:bidi="ar"/>
              </w:rPr>
              <w:t>3.50%</w:t>
            </w:r>
          </w:p>
        </w:tc>
      </w:tr>
      <w:tr w14:paraId="404E274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431DA2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12</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861F3">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远海明晟（苏州）股权投资合伙企业（有限合伙）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1086E">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FA0E5">
            <w:pPr>
              <w:widowControl/>
              <w:spacing w:before="120"/>
              <w:ind w:firstLine="0" w:firstLineChars="0"/>
              <w:jc w:val="right"/>
              <w:textAlignment w:val="center"/>
              <w:rPr>
                <w:rFonts w:cs="Times New Roman"/>
                <w:sz w:val="21"/>
                <w:szCs w:val="21"/>
              </w:rPr>
            </w:pPr>
            <w:r>
              <w:rPr>
                <w:rFonts w:cs="Times New Roman"/>
                <w:color w:val="000000"/>
                <w:sz w:val="21"/>
                <w:szCs w:val="21"/>
                <w:lang w:bidi="ar"/>
              </w:rPr>
              <w:t>7,000.00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24FA898">
            <w:pPr>
              <w:widowControl/>
              <w:spacing w:before="120"/>
              <w:ind w:firstLine="0" w:firstLineChars="0"/>
              <w:jc w:val="right"/>
              <w:textAlignment w:val="center"/>
              <w:rPr>
                <w:rFonts w:cs="Times New Roman"/>
                <w:sz w:val="21"/>
                <w:szCs w:val="21"/>
              </w:rPr>
            </w:pPr>
            <w:r>
              <w:rPr>
                <w:rFonts w:cs="Times New Roman"/>
                <w:color w:val="000000"/>
                <w:sz w:val="21"/>
                <w:szCs w:val="21"/>
                <w:lang w:bidi="ar"/>
              </w:rPr>
              <w:t>3.50%</w:t>
            </w:r>
          </w:p>
        </w:tc>
      </w:tr>
      <w:tr w14:paraId="324E995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7F452B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13</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F7C94">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平潭坤盛鼎兴股权投资基金合伙企业（有限合伙）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4668F">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8D601">
            <w:pPr>
              <w:widowControl/>
              <w:spacing w:before="120"/>
              <w:ind w:firstLine="0" w:firstLineChars="0"/>
              <w:jc w:val="right"/>
              <w:textAlignment w:val="center"/>
              <w:rPr>
                <w:rFonts w:cs="Times New Roman"/>
                <w:sz w:val="21"/>
                <w:szCs w:val="21"/>
              </w:rPr>
            </w:pPr>
            <w:r>
              <w:rPr>
                <w:rFonts w:cs="Times New Roman"/>
                <w:color w:val="000000"/>
                <w:sz w:val="21"/>
                <w:szCs w:val="21"/>
                <w:lang w:bidi="ar"/>
              </w:rPr>
              <w:t>5,900.00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93BAC47">
            <w:pPr>
              <w:widowControl/>
              <w:spacing w:before="120"/>
              <w:ind w:firstLine="0" w:firstLineChars="0"/>
              <w:jc w:val="right"/>
              <w:textAlignment w:val="center"/>
              <w:rPr>
                <w:rFonts w:cs="Times New Roman"/>
                <w:sz w:val="21"/>
                <w:szCs w:val="21"/>
              </w:rPr>
            </w:pPr>
            <w:r>
              <w:rPr>
                <w:rFonts w:cs="Times New Roman"/>
                <w:color w:val="000000"/>
                <w:sz w:val="21"/>
                <w:szCs w:val="21"/>
                <w:lang w:bidi="ar"/>
              </w:rPr>
              <w:t>2.95%</w:t>
            </w:r>
          </w:p>
        </w:tc>
      </w:tr>
      <w:tr w14:paraId="680803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AF5B65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14</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7A620">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深圳市丰源昌意投资中心（有限合伙）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390E1">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2586F">
            <w:pPr>
              <w:widowControl/>
              <w:spacing w:before="120"/>
              <w:ind w:firstLine="0" w:firstLineChars="0"/>
              <w:jc w:val="right"/>
              <w:textAlignment w:val="center"/>
              <w:rPr>
                <w:rFonts w:cs="Times New Roman"/>
                <w:sz w:val="21"/>
                <w:szCs w:val="21"/>
              </w:rPr>
            </w:pPr>
            <w:r>
              <w:rPr>
                <w:rFonts w:cs="Times New Roman"/>
                <w:color w:val="000000"/>
                <w:sz w:val="21"/>
                <w:szCs w:val="21"/>
                <w:lang w:bidi="ar"/>
              </w:rPr>
              <w:t>5,800.00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53C2B4F">
            <w:pPr>
              <w:widowControl/>
              <w:spacing w:before="120"/>
              <w:ind w:firstLine="0" w:firstLineChars="0"/>
              <w:jc w:val="right"/>
              <w:textAlignment w:val="center"/>
              <w:rPr>
                <w:rFonts w:cs="Times New Roman"/>
                <w:sz w:val="21"/>
                <w:szCs w:val="21"/>
              </w:rPr>
            </w:pPr>
            <w:r>
              <w:rPr>
                <w:rFonts w:cs="Times New Roman"/>
                <w:color w:val="000000"/>
                <w:sz w:val="21"/>
                <w:szCs w:val="21"/>
                <w:lang w:bidi="ar"/>
              </w:rPr>
              <w:t>2.90%</w:t>
            </w:r>
          </w:p>
        </w:tc>
      </w:tr>
      <w:tr w14:paraId="4EE3589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3DC8E2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15</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9CC79">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南通江海产业发展投资基金（有限合伙）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27C20">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D3576">
            <w:pPr>
              <w:widowControl/>
              <w:spacing w:before="120"/>
              <w:ind w:firstLine="0" w:firstLineChars="0"/>
              <w:jc w:val="right"/>
              <w:textAlignment w:val="center"/>
              <w:rPr>
                <w:rFonts w:cs="Times New Roman"/>
                <w:sz w:val="21"/>
                <w:szCs w:val="21"/>
              </w:rPr>
            </w:pPr>
            <w:r>
              <w:rPr>
                <w:rFonts w:cs="Times New Roman"/>
                <w:color w:val="000000"/>
                <w:sz w:val="21"/>
                <w:szCs w:val="21"/>
                <w:lang w:bidi="ar"/>
              </w:rPr>
              <w:t>5,000.00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FEFBEDA">
            <w:pPr>
              <w:widowControl/>
              <w:spacing w:before="120"/>
              <w:ind w:firstLine="0" w:firstLineChars="0"/>
              <w:jc w:val="right"/>
              <w:textAlignment w:val="center"/>
              <w:rPr>
                <w:rFonts w:cs="Times New Roman"/>
                <w:sz w:val="21"/>
                <w:szCs w:val="21"/>
              </w:rPr>
            </w:pPr>
            <w:r>
              <w:rPr>
                <w:rFonts w:cs="Times New Roman"/>
                <w:color w:val="000000"/>
                <w:sz w:val="21"/>
                <w:szCs w:val="21"/>
                <w:lang w:bidi="ar"/>
              </w:rPr>
              <w:t>2.50%</w:t>
            </w:r>
          </w:p>
        </w:tc>
      </w:tr>
      <w:tr w14:paraId="48BF8B0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7395EC3">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16</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50503">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嘉善县金融投资有限公司</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F0CD4">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75AB3">
            <w:pPr>
              <w:widowControl/>
              <w:spacing w:before="120"/>
              <w:ind w:firstLine="0" w:firstLineChars="0"/>
              <w:jc w:val="right"/>
              <w:textAlignment w:val="center"/>
              <w:rPr>
                <w:rFonts w:cs="Times New Roman"/>
                <w:sz w:val="21"/>
                <w:szCs w:val="21"/>
              </w:rPr>
            </w:pPr>
            <w:r>
              <w:rPr>
                <w:rFonts w:cs="Times New Roman"/>
                <w:color w:val="000000"/>
                <w:sz w:val="21"/>
                <w:szCs w:val="21"/>
                <w:lang w:bidi="ar"/>
              </w:rPr>
              <w:t>5,000.00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94B56D6">
            <w:pPr>
              <w:widowControl/>
              <w:spacing w:before="120"/>
              <w:ind w:firstLine="0" w:firstLineChars="0"/>
              <w:jc w:val="right"/>
              <w:textAlignment w:val="center"/>
              <w:rPr>
                <w:rFonts w:cs="Times New Roman"/>
                <w:sz w:val="21"/>
                <w:szCs w:val="21"/>
              </w:rPr>
            </w:pPr>
            <w:r>
              <w:rPr>
                <w:rFonts w:cs="Times New Roman"/>
                <w:color w:val="000000"/>
                <w:sz w:val="21"/>
                <w:szCs w:val="21"/>
                <w:lang w:bidi="ar"/>
              </w:rPr>
              <w:t>2.50%</w:t>
            </w:r>
          </w:p>
        </w:tc>
      </w:tr>
      <w:tr w14:paraId="4CC4DF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91B064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17</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63747">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招商证券投资有限公司</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32E0F">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A9B3C">
            <w:pPr>
              <w:widowControl/>
              <w:spacing w:before="120"/>
              <w:ind w:firstLine="0" w:firstLineChars="0"/>
              <w:jc w:val="right"/>
              <w:textAlignment w:val="center"/>
              <w:rPr>
                <w:rFonts w:cs="Times New Roman"/>
                <w:sz w:val="21"/>
                <w:szCs w:val="21"/>
              </w:rPr>
            </w:pPr>
            <w:r>
              <w:rPr>
                <w:rFonts w:cs="Times New Roman"/>
                <w:color w:val="000000"/>
                <w:sz w:val="21"/>
                <w:szCs w:val="21"/>
                <w:lang w:bidi="ar"/>
              </w:rPr>
              <w:t>5,000.00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AF82140">
            <w:pPr>
              <w:widowControl/>
              <w:spacing w:before="120"/>
              <w:ind w:firstLine="0" w:firstLineChars="0"/>
              <w:jc w:val="right"/>
              <w:textAlignment w:val="center"/>
              <w:rPr>
                <w:rFonts w:cs="Times New Roman"/>
                <w:sz w:val="21"/>
                <w:szCs w:val="21"/>
              </w:rPr>
            </w:pPr>
            <w:r>
              <w:rPr>
                <w:rFonts w:cs="Times New Roman"/>
                <w:color w:val="000000"/>
                <w:sz w:val="21"/>
                <w:szCs w:val="21"/>
                <w:lang w:bidi="ar"/>
              </w:rPr>
              <w:t>2.50%</w:t>
            </w:r>
          </w:p>
        </w:tc>
      </w:tr>
      <w:tr w14:paraId="4A6B0B2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FCE6A4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18</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A118B">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横琴宏帷股权投资基金合伙企业（有限合伙）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FBE92">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7B7CE">
            <w:pPr>
              <w:widowControl/>
              <w:spacing w:before="120"/>
              <w:ind w:firstLine="0" w:firstLineChars="0"/>
              <w:jc w:val="right"/>
              <w:textAlignment w:val="center"/>
              <w:rPr>
                <w:rFonts w:cs="Times New Roman"/>
                <w:sz w:val="21"/>
                <w:szCs w:val="21"/>
              </w:rPr>
            </w:pPr>
            <w:r>
              <w:rPr>
                <w:rFonts w:cs="Times New Roman"/>
                <w:color w:val="000000"/>
                <w:sz w:val="21"/>
                <w:szCs w:val="21"/>
                <w:lang w:bidi="ar"/>
              </w:rPr>
              <w:t>4,550.00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BCCED4F">
            <w:pPr>
              <w:widowControl/>
              <w:spacing w:before="120"/>
              <w:ind w:firstLine="0" w:firstLineChars="0"/>
              <w:jc w:val="right"/>
              <w:textAlignment w:val="center"/>
              <w:rPr>
                <w:rFonts w:cs="Times New Roman"/>
                <w:sz w:val="21"/>
                <w:szCs w:val="21"/>
              </w:rPr>
            </w:pPr>
            <w:r>
              <w:rPr>
                <w:rFonts w:cs="Times New Roman"/>
                <w:color w:val="000000"/>
                <w:sz w:val="21"/>
                <w:szCs w:val="21"/>
                <w:lang w:bidi="ar"/>
              </w:rPr>
              <w:t>2.28%</w:t>
            </w:r>
          </w:p>
        </w:tc>
      </w:tr>
      <w:tr w14:paraId="69CC8F9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025847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19</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6B1B9">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共青城乾堃荣福投资合伙企业（有限合伙）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CCE3F">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C345A">
            <w:pPr>
              <w:widowControl/>
              <w:spacing w:before="120"/>
              <w:ind w:firstLine="0" w:firstLineChars="0"/>
              <w:jc w:val="right"/>
              <w:textAlignment w:val="center"/>
              <w:rPr>
                <w:rFonts w:cs="Times New Roman"/>
                <w:sz w:val="21"/>
                <w:szCs w:val="21"/>
              </w:rPr>
            </w:pPr>
            <w:r>
              <w:rPr>
                <w:rFonts w:cs="Times New Roman"/>
                <w:color w:val="000000"/>
                <w:sz w:val="21"/>
                <w:szCs w:val="21"/>
                <w:lang w:bidi="ar"/>
              </w:rPr>
              <w:t>3,750.00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ECDCBC0">
            <w:pPr>
              <w:widowControl/>
              <w:spacing w:before="120"/>
              <w:ind w:firstLine="0" w:firstLineChars="0"/>
              <w:jc w:val="right"/>
              <w:textAlignment w:val="center"/>
              <w:rPr>
                <w:rFonts w:cs="Times New Roman"/>
                <w:sz w:val="21"/>
                <w:szCs w:val="21"/>
              </w:rPr>
            </w:pPr>
            <w:r>
              <w:rPr>
                <w:rFonts w:cs="Times New Roman"/>
                <w:color w:val="000000"/>
                <w:sz w:val="21"/>
                <w:szCs w:val="21"/>
                <w:lang w:bidi="ar"/>
              </w:rPr>
              <w:t>1.88%</w:t>
            </w:r>
          </w:p>
        </w:tc>
      </w:tr>
      <w:tr w14:paraId="430100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699AC80">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20</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E9F46">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深圳涵鑫六号投资中心（有限合伙）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D49D1">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40F4A">
            <w:pPr>
              <w:widowControl/>
              <w:spacing w:before="120"/>
              <w:ind w:firstLine="0" w:firstLineChars="0"/>
              <w:jc w:val="right"/>
              <w:textAlignment w:val="center"/>
              <w:rPr>
                <w:rFonts w:cs="Times New Roman"/>
                <w:sz w:val="21"/>
                <w:szCs w:val="21"/>
              </w:rPr>
            </w:pPr>
            <w:r>
              <w:rPr>
                <w:rFonts w:cs="Times New Roman"/>
                <w:color w:val="000000"/>
                <w:sz w:val="21"/>
                <w:szCs w:val="21"/>
                <w:lang w:bidi="ar"/>
              </w:rPr>
              <w:t>3,000.00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390BF8E">
            <w:pPr>
              <w:widowControl/>
              <w:spacing w:before="120"/>
              <w:ind w:firstLine="0" w:firstLineChars="0"/>
              <w:jc w:val="right"/>
              <w:textAlignment w:val="center"/>
              <w:rPr>
                <w:rFonts w:cs="Times New Roman"/>
                <w:sz w:val="21"/>
                <w:szCs w:val="21"/>
              </w:rPr>
            </w:pPr>
            <w:r>
              <w:rPr>
                <w:rFonts w:cs="Times New Roman"/>
                <w:color w:val="000000"/>
                <w:sz w:val="21"/>
                <w:szCs w:val="21"/>
                <w:lang w:bidi="ar"/>
              </w:rPr>
              <w:t>1.50%</w:t>
            </w:r>
          </w:p>
        </w:tc>
      </w:tr>
      <w:tr w14:paraId="18F37B3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C50678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21</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8F01F">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苏州娄城国发高新技术产业投资企业（有限合伙）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682F0">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AD0D6">
            <w:pPr>
              <w:widowControl/>
              <w:spacing w:before="120"/>
              <w:ind w:firstLine="0" w:firstLineChars="0"/>
              <w:jc w:val="right"/>
              <w:textAlignment w:val="center"/>
              <w:rPr>
                <w:rFonts w:cs="Times New Roman"/>
                <w:sz w:val="21"/>
                <w:szCs w:val="21"/>
              </w:rPr>
            </w:pPr>
            <w:r>
              <w:rPr>
                <w:rFonts w:cs="Times New Roman"/>
                <w:color w:val="000000"/>
                <w:sz w:val="21"/>
                <w:szCs w:val="21"/>
                <w:lang w:bidi="ar"/>
              </w:rPr>
              <w:t>3,000.00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ADE4380">
            <w:pPr>
              <w:widowControl/>
              <w:spacing w:before="120"/>
              <w:ind w:firstLine="0" w:firstLineChars="0"/>
              <w:jc w:val="right"/>
              <w:textAlignment w:val="center"/>
              <w:rPr>
                <w:rFonts w:cs="Times New Roman"/>
                <w:sz w:val="21"/>
                <w:szCs w:val="21"/>
              </w:rPr>
            </w:pPr>
            <w:r>
              <w:rPr>
                <w:rFonts w:cs="Times New Roman"/>
                <w:color w:val="000000"/>
                <w:sz w:val="21"/>
                <w:szCs w:val="21"/>
                <w:lang w:bidi="ar"/>
              </w:rPr>
              <w:t>1.50%</w:t>
            </w:r>
          </w:p>
        </w:tc>
      </w:tr>
      <w:tr w14:paraId="1F3235F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5BE5EC0">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22</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6B4B8">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上海灿辉投资发展有限公司</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4F35B">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EC0D9">
            <w:pPr>
              <w:widowControl/>
              <w:spacing w:before="120"/>
              <w:ind w:firstLine="0" w:firstLineChars="0"/>
              <w:jc w:val="right"/>
              <w:textAlignment w:val="center"/>
              <w:rPr>
                <w:rFonts w:cs="Times New Roman"/>
                <w:sz w:val="21"/>
                <w:szCs w:val="21"/>
              </w:rPr>
            </w:pPr>
            <w:r>
              <w:rPr>
                <w:rFonts w:cs="Times New Roman"/>
                <w:color w:val="000000"/>
                <w:sz w:val="21"/>
                <w:szCs w:val="21"/>
                <w:lang w:bidi="ar"/>
              </w:rPr>
              <w:t>2,500.00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77AD574">
            <w:pPr>
              <w:widowControl/>
              <w:spacing w:before="120"/>
              <w:ind w:firstLine="0" w:firstLineChars="0"/>
              <w:jc w:val="right"/>
              <w:textAlignment w:val="center"/>
              <w:rPr>
                <w:rFonts w:cs="Times New Roman"/>
                <w:sz w:val="21"/>
                <w:szCs w:val="21"/>
              </w:rPr>
            </w:pPr>
            <w:r>
              <w:rPr>
                <w:rFonts w:cs="Times New Roman"/>
                <w:color w:val="000000"/>
                <w:sz w:val="21"/>
                <w:szCs w:val="21"/>
                <w:lang w:bidi="ar"/>
              </w:rPr>
              <w:t>1.25%</w:t>
            </w:r>
          </w:p>
        </w:tc>
      </w:tr>
      <w:tr w14:paraId="7DB0F0F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D1A065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23</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2B1EB">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平阳箴言德同投资管理合伙企业（有限合伙）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7408B">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37BDC">
            <w:pPr>
              <w:widowControl/>
              <w:spacing w:before="120"/>
              <w:ind w:firstLine="0" w:firstLineChars="0"/>
              <w:jc w:val="right"/>
              <w:textAlignment w:val="center"/>
              <w:rPr>
                <w:rFonts w:cs="Times New Roman"/>
                <w:sz w:val="21"/>
                <w:szCs w:val="21"/>
              </w:rPr>
            </w:pPr>
            <w:r>
              <w:rPr>
                <w:rFonts w:cs="Times New Roman"/>
                <w:color w:val="000000"/>
                <w:sz w:val="21"/>
                <w:szCs w:val="21"/>
                <w:lang w:bidi="ar"/>
              </w:rPr>
              <w:t>2,000.00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8EC0653">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1.00%</w:t>
            </w:r>
          </w:p>
        </w:tc>
      </w:tr>
      <w:tr w14:paraId="3B7128A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4C65D3D">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24</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861A5">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辉县市豫辉哈工产业引导基金合伙企业（有限合伙）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30184">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F5795">
            <w:pPr>
              <w:widowControl/>
              <w:spacing w:before="120"/>
              <w:ind w:firstLine="0" w:firstLineChars="0"/>
              <w:jc w:val="right"/>
              <w:textAlignment w:val="center"/>
              <w:rPr>
                <w:rFonts w:cs="Times New Roman"/>
                <w:sz w:val="21"/>
                <w:szCs w:val="21"/>
              </w:rPr>
            </w:pPr>
            <w:r>
              <w:rPr>
                <w:rFonts w:cs="Times New Roman"/>
                <w:color w:val="000000"/>
                <w:sz w:val="21"/>
                <w:szCs w:val="21"/>
                <w:lang w:bidi="ar"/>
              </w:rPr>
              <w:t>2,000.00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4D8AE4B">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1.00%</w:t>
            </w:r>
          </w:p>
        </w:tc>
      </w:tr>
      <w:tr w14:paraId="61BDD3D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B625AE0">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25</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30399">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共青城函数厚颐投资管理合伙企业（有限合伙）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78734">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8B732">
            <w:pPr>
              <w:widowControl/>
              <w:spacing w:before="120"/>
              <w:ind w:firstLine="0" w:firstLineChars="0"/>
              <w:jc w:val="right"/>
              <w:textAlignment w:val="center"/>
              <w:rPr>
                <w:rFonts w:cs="Times New Roman"/>
                <w:sz w:val="21"/>
                <w:szCs w:val="21"/>
              </w:rPr>
            </w:pPr>
            <w:r>
              <w:rPr>
                <w:rFonts w:cs="Times New Roman"/>
                <w:color w:val="000000"/>
                <w:sz w:val="21"/>
                <w:szCs w:val="21"/>
                <w:lang w:bidi="ar"/>
              </w:rPr>
              <w:t>1,505.00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C33D1E6">
            <w:pPr>
              <w:widowControl/>
              <w:spacing w:before="120"/>
              <w:ind w:firstLine="0" w:firstLineChars="0"/>
              <w:jc w:val="right"/>
              <w:textAlignment w:val="center"/>
              <w:rPr>
                <w:rFonts w:cs="Times New Roman"/>
                <w:sz w:val="21"/>
                <w:szCs w:val="21"/>
              </w:rPr>
            </w:pPr>
            <w:r>
              <w:rPr>
                <w:rFonts w:cs="Times New Roman"/>
                <w:color w:val="000000"/>
                <w:sz w:val="21"/>
                <w:szCs w:val="21"/>
                <w:lang w:bidi="ar"/>
              </w:rPr>
              <w:t>0.75%</w:t>
            </w:r>
          </w:p>
        </w:tc>
      </w:tr>
      <w:tr w14:paraId="0F6CE4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E2053CA">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26</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21365">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南昌辰景咨询管理有限公司</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35080">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C9464">
            <w:pPr>
              <w:widowControl/>
              <w:spacing w:before="120"/>
              <w:ind w:firstLine="0" w:firstLineChars="0"/>
              <w:jc w:val="right"/>
              <w:textAlignment w:val="center"/>
              <w:rPr>
                <w:rFonts w:cs="Times New Roman"/>
                <w:sz w:val="21"/>
                <w:szCs w:val="21"/>
              </w:rPr>
            </w:pPr>
            <w:r>
              <w:rPr>
                <w:rFonts w:cs="Times New Roman"/>
                <w:color w:val="000000"/>
                <w:sz w:val="21"/>
                <w:szCs w:val="21"/>
                <w:lang w:bidi="ar"/>
              </w:rPr>
              <w:t>1,500.00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0220CCF">
            <w:pPr>
              <w:widowControl/>
              <w:spacing w:before="120"/>
              <w:ind w:firstLine="0" w:firstLineChars="0"/>
              <w:jc w:val="right"/>
              <w:textAlignment w:val="center"/>
              <w:rPr>
                <w:rFonts w:cs="Times New Roman"/>
                <w:sz w:val="21"/>
                <w:szCs w:val="21"/>
              </w:rPr>
            </w:pPr>
            <w:r>
              <w:rPr>
                <w:rFonts w:cs="Times New Roman"/>
                <w:color w:val="000000"/>
                <w:sz w:val="21"/>
                <w:szCs w:val="21"/>
                <w:lang w:bidi="ar"/>
              </w:rPr>
              <w:t>0.75%</w:t>
            </w:r>
          </w:p>
        </w:tc>
      </w:tr>
      <w:tr w14:paraId="35DB46F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4ED736F">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27</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8E741">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上海德紫企业管理合伙企业（有限合伙）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92081">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D5D90">
            <w:pPr>
              <w:widowControl/>
              <w:spacing w:before="120"/>
              <w:ind w:firstLine="0" w:firstLineChars="0"/>
              <w:jc w:val="right"/>
              <w:textAlignment w:val="center"/>
              <w:rPr>
                <w:rFonts w:cs="Times New Roman"/>
                <w:sz w:val="21"/>
                <w:szCs w:val="21"/>
              </w:rPr>
            </w:pPr>
            <w:r>
              <w:rPr>
                <w:rFonts w:cs="Times New Roman"/>
                <w:color w:val="000000"/>
                <w:sz w:val="21"/>
                <w:szCs w:val="21"/>
                <w:lang w:bidi="ar"/>
              </w:rPr>
              <w:t>1,500.00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89C4BFD">
            <w:pPr>
              <w:widowControl/>
              <w:spacing w:before="120"/>
              <w:ind w:firstLine="0" w:firstLineChars="0"/>
              <w:jc w:val="right"/>
              <w:textAlignment w:val="center"/>
              <w:rPr>
                <w:rFonts w:cs="Times New Roman"/>
                <w:sz w:val="21"/>
                <w:szCs w:val="21"/>
              </w:rPr>
            </w:pPr>
            <w:r>
              <w:rPr>
                <w:rFonts w:cs="Times New Roman"/>
                <w:color w:val="000000"/>
                <w:sz w:val="21"/>
                <w:szCs w:val="21"/>
                <w:lang w:bidi="ar"/>
              </w:rPr>
              <w:t>0.75%</w:t>
            </w:r>
          </w:p>
        </w:tc>
      </w:tr>
      <w:tr w14:paraId="44CF6E4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4CC7348">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28</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CC45">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共青城函数泽源投资管理合伙企业（有限合伙）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12EEE">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E5FAB">
            <w:pPr>
              <w:widowControl/>
              <w:spacing w:before="120"/>
              <w:ind w:firstLine="0" w:firstLineChars="0"/>
              <w:jc w:val="right"/>
              <w:textAlignment w:val="center"/>
              <w:rPr>
                <w:rFonts w:cs="Times New Roman"/>
                <w:sz w:val="21"/>
                <w:szCs w:val="21"/>
              </w:rPr>
            </w:pPr>
            <w:r>
              <w:rPr>
                <w:rFonts w:cs="Times New Roman"/>
                <w:color w:val="000000"/>
                <w:sz w:val="21"/>
                <w:szCs w:val="21"/>
                <w:lang w:bidi="ar"/>
              </w:rPr>
              <w:t>1,495.00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5F2A1B4">
            <w:pPr>
              <w:widowControl/>
              <w:spacing w:before="120"/>
              <w:ind w:firstLine="0" w:firstLineChars="0"/>
              <w:jc w:val="right"/>
              <w:textAlignment w:val="center"/>
              <w:rPr>
                <w:rFonts w:cs="Times New Roman"/>
                <w:sz w:val="21"/>
                <w:szCs w:val="21"/>
              </w:rPr>
            </w:pPr>
            <w:r>
              <w:rPr>
                <w:rFonts w:cs="Times New Roman"/>
                <w:color w:val="000000"/>
                <w:sz w:val="21"/>
                <w:szCs w:val="21"/>
                <w:lang w:bidi="ar"/>
              </w:rPr>
              <w:t>0.75%</w:t>
            </w:r>
          </w:p>
        </w:tc>
      </w:tr>
      <w:tr w14:paraId="3373051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88AAF6D">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29</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EBCA0">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东渡丰汇投资发展集团有限公司</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7102B">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47A30">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F39A59D">
            <w:pPr>
              <w:widowControl/>
              <w:spacing w:before="120"/>
              <w:ind w:firstLine="0" w:firstLineChars="0"/>
              <w:jc w:val="right"/>
              <w:textAlignment w:val="center"/>
              <w:rPr>
                <w:rFonts w:cs="Times New Roman"/>
                <w:sz w:val="21"/>
                <w:szCs w:val="21"/>
              </w:rPr>
            </w:pPr>
            <w:r>
              <w:rPr>
                <w:rFonts w:cs="Times New Roman"/>
                <w:color w:val="000000"/>
                <w:sz w:val="21"/>
                <w:szCs w:val="21"/>
                <w:lang w:bidi="ar"/>
              </w:rPr>
              <w:t>0.50%</w:t>
            </w:r>
          </w:p>
        </w:tc>
      </w:tr>
      <w:tr w14:paraId="7439173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B42F3CE">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30</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264F6">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北京京北时代投资中心（有限合伙）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D679E">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65D0D">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FE1503E">
            <w:pPr>
              <w:widowControl/>
              <w:spacing w:before="120"/>
              <w:ind w:firstLine="0" w:firstLineChars="0"/>
              <w:jc w:val="right"/>
              <w:textAlignment w:val="center"/>
              <w:rPr>
                <w:rFonts w:cs="Times New Roman"/>
                <w:sz w:val="21"/>
                <w:szCs w:val="21"/>
              </w:rPr>
            </w:pPr>
            <w:r>
              <w:rPr>
                <w:rFonts w:cs="Times New Roman"/>
                <w:color w:val="000000"/>
                <w:sz w:val="21"/>
                <w:szCs w:val="21"/>
                <w:lang w:bidi="ar"/>
              </w:rPr>
              <w:t>0.50%</w:t>
            </w:r>
          </w:p>
        </w:tc>
      </w:tr>
      <w:tr w14:paraId="2562C8C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3A8C50E">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31</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FE36C">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宁波京北未来成功投资中心（有限合伙）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32A22">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D825F">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4E3C586">
            <w:pPr>
              <w:widowControl/>
              <w:spacing w:before="120"/>
              <w:ind w:firstLine="0" w:firstLineChars="0"/>
              <w:jc w:val="right"/>
              <w:textAlignment w:val="center"/>
              <w:rPr>
                <w:rFonts w:cs="Times New Roman"/>
                <w:sz w:val="21"/>
                <w:szCs w:val="21"/>
              </w:rPr>
            </w:pPr>
            <w:r>
              <w:rPr>
                <w:rFonts w:cs="Times New Roman"/>
                <w:color w:val="000000"/>
                <w:sz w:val="21"/>
                <w:szCs w:val="21"/>
                <w:lang w:bidi="ar"/>
              </w:rPr>
              <w:t>0.50%</w:t>
            </w:r>
          </w:p>
        </w:tc>
      </w:tr>
      <w:tr w14:paraId="0BC456A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3DAC088">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32</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621E6">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宁波海威同心股权投资中心（有限合伙）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F53F0">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42EB">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EB4BAC5">
            <w:pPr>
              <w:widowControl/>
              <w:spacing w:before="120"/>
              <w:ind w:firstLine="0" w:firstLineChars="0"/>
              <w:jc w:val="right"/>
              <w:textAlignment w:val="center"/>
              <w:rPr>
                <w:rFonts w:cs="Times New Roman"/>
                <w:sz w:val="21"/>
                <w:szCs w:val="21"/>
              </w:rPr>
            </w:pPr>
            <w:r>
              <w:rPr>
                <w:rFonts w:cs="Times New Roman"/>
                <w:color w:val="000000"/>
                <w:sz w:val="21"/>
                <w:szCs w:val="21"/>
                <w:lang w:bidi="ar"/>
              </w:rPr>
              <w:t>0.50%</w:t>
            </w:r>
          </w:p>
        </w:tc>
      </w:tr>
      <w:tr w14:paraId="5EB88E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63"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96AC5B6">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33</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19370">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杭州易盛投资合伙企业（有限合伙）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C9BBC">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168C7">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141E617">
            <w:pPr>
              <w:widowControl/>
              <w:spacing w:before="120"/>
              <w:ind w:firstLine="0" w:firstLineChars="0"/>
              <w:jc w:val="right"/>
              <w:textAlignment w:val="center"/>
              <w:rPr>
                <w:rFonts w:cs="Times New Roman"/>
                <w:sz w:val="21"/>
                <w:szCs w:val="21"/>
              </w:rPr>
            </w:pPr>
            <w:r>
              <w:rPr>
                <w:rFonts w:cs="Times New Roman"/>
                <w:color w:val="000000"/>
                <w:sz w:val="21"/>
                <w:szCs w:val="21"/>
                <w:lang w:bidi="ar"/>
              </w:rPr>
              <w:t>0.50%</w:t>
            </w:r>
          </w:p>
        </w:tc>
      </w:tr>
      <w:tr w14:paraId="421618E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F3C41E6">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34</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2375B">
            <w:pPr>
              <w:widowControl/>
              <w:spacing w:before="120"/>
              <w:ind w:firstLine="0" w:firstLineChars="0"/>
              <w:jc w:val="center"/>
              <w:textAlignment w:val="bottom"/>
              <w:rPr>
                <w:rFonts w:cs="Times New Roman"/>
                <w:sz w:val="21"/>
                <w:szCs w:val="21"/>
              </w:rPr>
            </w:pPr>
            <w:r>
              <w:rPr>
                <w:rFonts w:hint="eastAsia" w:ascii="宋体" w:hAnsi="宋体"/>
                <w:color w:val="000000"/>
                <w:sz w:val="22"/>
                <w:szCs w:val="22"/>
                <w:lang w:bidi="ar"/>
              </w:rPr>
              <w:t>惠州市润博信息咨询部（有限合伙）</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DD6BC">
            <w:pPr>
              <w:widowControl/>
              <w:spacing w:before="120"/>
              <w:ind w:firstLine="0" w:firstLineChars="0"/>
              <w:jc w:val="center"/>
              <w:textAlignment w:val="center"/>
              <w:rPr>
                <w:rFonts w:cs="Times New Roman"/>
                <w:sz w:val="21"/>
                <w:szCs w:val="21"/>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1E463">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1,000.00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98E594C">
            <w:pPr>
              <w:widowControl/>
              <w:spacing w:before="120"/>
              <w:ind w:firstLine="0" w:firstLineChars="0"/>
              <w:jc w:val="right"/>
              <w:textAlignment w:val="center"/>
              <w:rPr>
                <w:rFonts w:cs="Times New Roman"/>
                <w:sz w:val="21"/>
                <w:szCs w:val="21"/>
              </w:rPr>
            </w:pPr>
            <w:r>
              <w:rPr>
                <w:rFonts w:cs="Times New Roman"/>
                <w:color w:val="000000"/>
                <w:sz w:val="21"/>
                <w:szCs w:val="21"/>
                <w:lang w:bidi="ar"/>
              </w:rPr>
              <w:t>0.50%</w:t>
            </w:r>
          </w:p>
        </w:tc>
      </w:tr>
      <w:tr w14:paraId="5B7650D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7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5F09A64">
            <w:pPr>
              <w:pStyle w:val="69"/>
              <w:spacing w:before="120" w:beforeAutospacing="0" w:after="0" w:afterAutospacing="0"/>
              <w:ind w:firstLine="0" w:firstLineChars="0"/>
              <w:jc w:val="center"/>
              <w:rPr>
                <w:rFonts w:ascii="Times New Roman" w:hAnsi="Times New Roman"/>
                <w:color w:val="000000"/>
                <w:kern w:val="2"/>
                <w:sz w:val="21"/>
                <w:szCs w:val="21"/>
                <w:lang w:val="en-US" w:bidi="ar"/>
              </w:rPr>
            </w:pPr>
            <w:r>
              <w:rPr>
                <w:rFonts w:hint="eastAsia" w:ascii="Times New Roman" w:hAnsi="Times New Roman"/>
                <w:color w:val="000000"/>
                <w:kern w:val="2"/>
                <w:sz w:val="21"/>
                <w:szCs w:val="21"/>
                <w:lang w:val="en-US" w:bidi="ar"/>
              </w:rPr>
              <w:t>35</w:t>
            </w:r>
          </w:p>
        </w:tc>
        <w:tc>
          <w:tcPr>
            <w:tcW w:w="3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4948B">
            <w:pPr>
              <w:widowControl/>
              <w:spacing w:before="120"/>
              <w:ind w:firstLine="0" w:firstLineChars="0"/>
              <w:jc w:val="center"/>
              <w:textAlignment w:val="bottom"/>
              <w:rPr>
                <w:rFonts w:cs="Times New Roman"/>
                <w:color w:val="000000"/>
                <w:kern w:val="2"/>
                <w:sz w:val="21"/>
                <w:szCs w:val="21"/>
                <w:lang w:bidi="ar"/>
              </w:rPr>
            </w:pPr>
            <w:r>
              <w:rPr>
                <w:rFonts w:hint="eastAsia" w:ascii="宋体" w:hAnsi="宋体"/>
                <w:color w:val="000000"/>
                <w:sz w:val="22"/>
                <w:szCs w:val="22"/>
                <w:lang w:bidi="ar"/>
              </w:rPr>
              <w:t>上海德槃资产管理有限公司</w:t>
            </w:r>
          </w:p>
        </w:tc>
        <w:tc>
          <w:tcPr>
            <w:tcW w:w="1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55A54">
            <w:pPr>
              <w:widowControl/>
              <w:spacing w:before="120"/>
              <w:ind w:firstLine="0" w:firstLineChars="0"/>
              <w:jc w:val="center"/>
              <w:textAlignment w:val="center"/>
              <w:rPr>
                <w:rFonts w:cs="Times New Roman"/>
                <w:kern w:val="2"/>
                <w:sz w:val="21"/>
                <w:szCs w:val="21"/>
                <w:lang w:bidi="ar"/>
              </w:rPr>
            </w:pPr>
            <w:r>
              <w:rPr>
                <w:rStyle w:val="3188"/>
                <w:rFonts w:hint="default" w:ascii="Times New Roman" w:hAnsi="Times New Roman" w:cs="Times New Roman"/>
                <w:b w:val="0"/>
                <w:bCs w:val="0"/>
                <w:lang w:bidi="ar"/>
              </w:rPr>
              <w:t>有限合伙人</w:t>
            </w:r>
          </w:p>
        </w:tc>
        <w:tc>
          <w:tcPr>
            <w:tcW w:w="1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2E97D">
            <w:pPr>
              <w:widowControl/>
              <w:spacing w:before="120"/>
              <w:ind w:firstLine="0" w:firstLineChars="0"/>
              <w:jc w:val="right"/>
              <w:textAlignment w:val="center"/>
              <w:rPr>
                <w:rFonts w:cs="Times New Roman"/>
                <w:color w:val="000000"/>
                <w:kern w:val="2"/>
                <w:sz w:val="21"/>
                <w:szCs w:val="21"/>
                <w:lang w:bidi="ar"/>
              </w:rPr>
            </w:pPr>
            <w:r>
              <w:rPr>
                <w:rFonts w:cs="Times New Roman"/>
                <w:color w:val="000000"/>
                <w:sz w:val="21"/>
                <w:szCs w:val="21"/>
                <w:lang w:bidi="ar"/>
              </w:rPr>
              <w:t>630.00</w:t>
            </w:r>
          </w:p>
        </w:tc>
        <w:tc>
          <w:tcPr>
            <w:tcW w:w="139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80383AA">
            <w:pPr>
              <w:widowControl/>
              <w:spacing w:before="120"/>
              <w:ind w:firstLine="0" w:firstLineChars="0"/>
              <w:jc w:val="right"/>
              <w:textAlignment w:val="center"/>
              <w:rPr>
                <w:rFonts w:cs="Times New Roman"/>
                <w:color w:val="000000"/>
                <w:kern w:val="2"/>
                <w:sz w:val="21"/>
                <w:szCs w:val="21"/>
                <w:lang w:bidi="ar"/>
              </w:rPr>
            </w:pPr>
            <w:r>
              <w:rPr>
                <w:rFonts w:cs="Times New Roman"/>
                <w:color w:val="000000"/>
                <w:sz w:val="21"/>
                <w:szCs w:val="21"/>
                <w:lang w:bidi="ar"/>
              </w:rPr>
              <w:t>0.32%</w:t>
            </w:r>
          </w:p>
        </w:tc>
      </w:tr>
      <w:tr w14:paraId="62A41FC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840"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0CF5B89F">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合计</w:t>
            </w:r>
          </w:p>
        </w:tc>
        <w:tc>
          <w:tcPr>
            <w:tcW w:w="1297"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0C0EB212">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200,000.00</w:t>
            </w:r>
          </w:p>
        </w:tc>
        <w:tc>
          <w:tcPr>
            <w:tcW w:w="1391"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121CDBCE">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100.00%</w:t>
            </w:r>
          </w:p>
        </w:tc>
      </w:tr>
    </w:tbl>
    <w:p w14:paraId="59F4059E">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截至本预案签署日，苏州德同合心的执行事务合伙人为西藏德同企业管理有限公司，产权控制关系如下：</w:t>
      </w:r>
    </w:p>
    <w:p w14:paraId="51381F1F">
      <w:pPr>
        <w:keepNext/>
        <w:keepLines/>
        <w:spacing w:before="120" w:after="120" w:afterLines="50"/>
        <w:ind w:firstLine="0" w:firstLineChars="0"/>
        <w:jc w:val="both"/>
      </w:pPr>
      <w:r>
        <w:drawing>
          <wp:inline distT="0" distB="0" distL="114300" distR="114300">
            <wp:extent cx="5274945" cy="2684780"/>
            <wp:effectExtent l="0" t="0" r="13335" b="1270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9"/>
                    <a:stretch>
                      <a:fillRect/>
                    </a:stretch>
                  </pic:blipFill>
                  <pic:spPr>
                    <a:xfrm>
                      <a:off x="0" y="0"/>
                      <a:ext cx="5274945" cy="2684780"/>
                    </a:xfrm>
                    <a:prstGeom prst="rect">
                      <a:avLst/>
                    </a:prstGeom>
                    <a:noFill/>
                    <a:ln>
                      <a:noFill/>
                    </a:ln>
                  </pic:spPr>
                </pic:pic>
              </a:graphicData>
            </a:graphic>
          </wp:inline>
        </w:drawing>
      </w:r>
    </w:p>
    <w:p w14:paraId="6B94B8BB">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（四）珠海乐陶陶投资合伙企业（有限合伙）</w:t>
      </w:r>
    </w:p>
    <w:p w14:paraId="3C053705">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4FF609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74D59802">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75252CE3">
            <w:pPr>
              <w:spacing w:before="120" w:line="240" w:lineRule="auto"/>
              <w:ind w:firstLine="0" w:firstLineChars="0"/>
              <w:jc w:val="both"/>
              <w:rPr>
                <w:rFonts w:cs="Times New Roman"/>
                <w:sz w:val="21"/>
                <w:szCs w:val="21"/>
              </w:rPr>
            </w:pPr>
            <w:r>
              <w:rPr>
                <w:rFonts w:hint="eastAsia" w:cs="Times New Roman"/>
                <w:sz w:val="21"/>
                <w:szCs w:val="21"/>
                <w:lang w:bidi="ar"/>
              </w:rPr>
              <w:t>珠海乐陶陶投资合伙企业（有限合伙）</w:t>
            </w:r>
          </w:p>
        </w:tc>
      </w:tr>
      <w:tr w14:paraId="68064B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70ABE0A2">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E260CA9">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6F26A2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09235293">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5E53E600">
            <w:pPr>
              <w:spacing w:before="120" w:line="240" w:lineRule="auto"/>
              <w:ind w:firstLine="0" w:firstLineChars="0"/>
              <w:jc w:val="both"/>
              <w:rPr>
                <w:rFonts w:cs="Times New Roman"/>
                <w:sz w:val="21"/>
                <w:szCs w:val="21"/>
              </w:rPr>
            </w:pPr>
            <w:r>
              <w:rPr>
                <w:rFonts w:hint="eastAsia" w:cs="Times New Roman"/>
                <w:sz w:val="21"/>
                <w:szCs w:val="21"/>
                <w:lang w:bidi="ar"/>
              </w:rPr>
              <w:t>珠海市横琴新区下村</w:t>
            </w:r>
            <w:r>
              <w:rPr>
                <w:rFonts w:cs="Times New Roman"/>
                <w:sz w:val="21"/>
                <w:szCs w:val="21"/>
                <w:lang w:bidi="ar"/>
              </w:rPr>
              <w:t>132</w:t>
            </w:r>
            <w:r>
              <w:rPr>
                <w:rFonts w:hint="eastAsia" w:cs="Times New Roman"/>
                <w:sz w:val="21"/>
                <w:szCs w:val="21"/>
                <w:lang w:bidi="ar"/>
              </w:rPr>
              <w:t>号</w:t>
            </w:r>
            <w:r>
              <w:rPr>
                <w:rFonts w:cs="Times New Roman"/>
                <w:sz w:val="21"/>
                <w:szCs w:val="21"/>
                <w:lang w:bidi="ar"/>
              </w:rPr>
              <w:t>6</w:t>
            </w:r>
            <w:r>
              <w:rPr>
                <w:rFonts w:hint="eastAsia" w:cs="Times New Roman"/>
                <w:sz w:val="21"/>
                <w:szCs w:val="21"/>
                <w:lang w:bidi="ar"/>
              </w:rPr>
              <w:t>楼</w:t>
            </w:r>
          </w:p>
        </w:tc>
      </w:tr>
      <w:tr w14:paraId="2239BA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6AB3014A">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0913F6BC">
            <w:pPr>
              <w:spacing w:before="120" w:line="240" w:lineRule="auto"/>
              <w:ind w:firstLine="0" w:firstLineChars="0"/>
              <w:jc w:val="both"/>
              <w:rPr>
                <w:rFonts w:cs="Times New Roman"/>
                <w:sz w:val="21"/>
                <w:szCs w:val="21"/>
              </w:rPr>
            </w:pPr>
            <w:r>
              <w:rPr>
                <w:rFonts w:cs="Times New Roman"/>
                <w:sz w:val="21"/>
                <w:szCs w:val="21"/>
                <w:lang w:bidi="ar"/>
              </w:rPr>
              <w:t>2020</w:t>
            </w:r>
            <w:r>
              <w:rPr>
                <w:rFonts w:hint="eastAsia" w:cs="Times New Roman"/>
                <w:sz w:val="21"/>
                <w:szCs w:val="21"/>
                <w:lang w:bidi="ar"/>
              </w:rPr>
              <w:t>年</w:t>
            </w:r>
            <w:r>
              <w:rPr>
                <w:rFonts w:cs="Times New Roman"/>
                <w:sz w:val="21"/>
                <w:szCs w:val="21"/>
                <w:lang w:bidi="ar"/>
              </w:rPr>
              <w:t>8</w:t>
            </w:r>
            <w:r>
              <w:rPr>
                <w:rFonts w:hint="eastAsia" w:cs="Times New Roman"/>
                <w:sz w:val="21"/>
                <w:szCs w:val="21"/>
                <w:lang w:bidi="ar"/>
              </w:rPr>
              <w:t>月</w:t>
            </w:r>
            <w:r>
              <w:rPr>
                <w:rFonts w:cs="Times New Roman"/>
                <w:sz w:val="21"/>
                <w:szCs w:val="21"/>
                <w:lang w:bidi="ar"/>
              </w:rPr>
              <w:t>5</w:t>
            </w:r>
            <w:r>
              <w:rPr>
                <w:rFonts w:hint="eastAsia" w:cs="Times New Roman"/>
                <w:sz w:val="21"/>
                <w:szCs w:val="21"/>
                <w:lang w:bidi="ar"/>
              </w:rPr>
              <w:t>日</w:t>
            </w:r>
          </w:p>
        </w:tc>
      </w:tr>
      <w:tr w14:paraId="2E0730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63DF95E7">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7973ADD6">
            <w:pPr>
              <w:spacing w:before="120" w:line="240" w:lineRule="auto"/>
              <w:ind w:firstLine="0" w:firstLineChars="0"/>
              <w:jc w:val="both"/>
              <w:rPr>
                <w:rFonts w:cs="Times New Roman"/>
                <w:sz w:val="21"/>
                <w:szCs w:val="21"/>
              </w:rPr>
            </w:pPr>
            <w:r>
              <w:rPr>
                <w:rFonts w:hint="eastAsia" w:cs="Times New Roman"/>
                <w:sz w:val="21"/>
                <w:szCs w:val="21"/>
                <w:lang w:bidi="ar"/>
              </w:rPr>
              <w:t>267.3283万元</w:t>
            </w:r>
          </w:p>
        </w:tc>
      </w:tr>
      <w:tr w14:paraId="65BC80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4B71AC21">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1CFC3FBE">
            <w:pPr>
              <w:spacing w:before="120" w:line="240" w:lineRule="auto"/>
              <w:ind w:firstLine="0" w:firstLineChars="0"/>
              <w:jc w:val="both"/>
              <w:rPr>
                <w:rFonts w:cs="Times New Roman"/>
                <w:sz w:val="21"/>
                <w:szCs w:val="21"/>
              </w:rPr>
            </w:pPr>
            <w:r>
              <w:rPr>
                <w:rFonts w:hint="eastAsia" w:cs="Times New Roman"/>
                <w:sz w:val="21"/>
                <w:szCs w:val="21"/>
                <w:lang w:bidi="ar"/>
              </w:rPr>
              <w:t>陈耿豪</w:t>
            </w:r>
          </w:p>
        </w:tc>
      </w:tr>
      <w:tr w14:paraId="69CD9E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1FFF576C">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5FD9F3F5">
            <w:pPr>
              <w:spacing w:before="120" w:line="240" w:lineRule="auto"/>
              <w:ind w:firstLine="0" w:firstLineChars="0"/>
              <w:jc w:val="both"/>
              <w:rPr>
                <w:rFonts w:cs="Times New Roman"/>
                <w:sz w:val="21"/>
                <w:szCs w:val="21"/>
              </w:rPr>
            </w:pPr>
            <w:r>
              <w:rPr>
                <w:rFonts w:cs="Times New Roman"/>
                <w:sz w:val="21"/>
                <w:szCs w:val="21"/>
                <w:lang w:bidi="ar"/>
              </w:rPr>
              <w:t>91440400MA553MN97D</w:t>
            </w:r>
          </w:p>
        </w:tc>
      </w:tr>
      <w:tr w14:paraId="3B6C4C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58A85D09">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1037DF99">
            <w:pPr>
              <w:spacing w:before="120" w:line="240" w:lineRule="auto"/>
              <w:ind w:firstLine="0" w:firstLineChars="0"/>
              <w:jc w:val="both"/>
              <w:rPr>
                <w:rFonts w:cs="Times New Roman"/>
                <w:sz w:val="21"/>
                <w:szCs w:val="21"/>
              </w:rPr>
            </w:pPr>
            <w:r>
              <w:rPr>
                <w:rFonts w:hint="eastAsia" w:cs="Times New Roman"/>
                <w:sz w:val="21"/>
                <w:szCs w:val="21"/>
                <w:lang w:bidi="ar"/>
              </w:rPr>
              <w:t>一般项目：以自有资金从事投资活动，社会经济咨询服务，软件开发，网络技术服务，信息技术咨询服务，技术服务、技术开发、技术咨询、技术交流、技术转让、技术推广，市场营销策划，广告制作，广告设计、代理，广告发布（非广播电台、电视台、报刊出版单位），知识产权服务，软件销售，电子元器件零售（依法须经批准的项目，经相关部门批准后方可开展经营活动。）</w:t>
            </w:r>
          </w:p>
        </w:tc>
      </w:tr>
    </w:tbl>
    <w:p w14:paraId="5F681447">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2EBC72BF">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截至本预案签署日，陈耿豪为珠海乐陶陶执行事务合伙人，珠海乐陶陶的合伙人及产权控制关系如下表所示</w:t>
      </w:r>
      <w:r>
        <w:rPr>
          <w:rFonts w:ascii="Times New Roman" w:hAnsi="Times New Roman"/>
          <w:kern w:val="2"/>
          <w:szCs w:val="22"/>
          <w:lang w:val="en-US" w:bidi="ar"/>
        </w:rPr>
        <w:t>:</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813"/>
        <w:gridCol w:w="2109"/>
        <w:gridCol w:w="1903"/>
        <w:gridCol w:w="1870"/>
        <w:gridCol w:w="1833"/>
      </w:tblGrid>
      <w:tr w14:paraId="7AC9F44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809"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25A91C1E">
            <w:pPr>
              <w:pStyle w:val="69"/>
              <w:spacing w:before="120" w:beforeAutospacing="0" w:after="0" w:afterAutospacing="0"/>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序号</w:t>
            </w:r>
          </w:p>
        </w:tc>
        <w:tc>
          <w:tcPr>
            <w:tcW w:w="2111"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6F8086DE">
            <w:pPr>
              <w:pStyle w:val="69"/>
              <w:spacing w:before="120" w:beforeAutospacing="0" w:after="0" w:afterAutospacing="0"/>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股东名称</w:t>
            </w:r>
          </w:p>
        </w:tc>
        <w:tc>
          <w:tcPr>
            <w:tcW w:w="1904"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25EA162D">
            <w:pPr>
              <w:pStyle w:val="69"/>
              <w:spacing w:before="120" w:beforeAutospacing="0" w:after="0" w:afterAutospacing="0"/>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合伙人类型</w:t>
            </w:r>
          </w:p>
        </w:tc>
        <w:tc>
          <w:tcPr>
            <w:tcW w:w="1871"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16EB6250">
            <w:pPr>
              <w:pStyle w:val="69"/>
              <w:spacing w:before="120" w:beforeAutospacing="0" w:after="0" w:afterAutospacing="0"/>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认缴出资额（元）</w:t>
            </w:r>
          </w:p>
        </w:tc>
        <w:tc>
          <w:tcPr>
            <w:tcW w:w="1833"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16AE7288">
            <w:pPr>
              <w:pStyle w:val="69"/>
              <w:spacing w:before="120" w:beforeAutospacing="0" w:after="0" w:afterAutospacing="0"/>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出资比例（%）</w:t>
            </w:r>
          </w:p>
        </w:tc>
      </w:tr>
      <w:tr w14:paraId="44F105C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9"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70484EC">
            <w:pPr>
              <w:pStyle w:val="69"/>
              <w:spacing w:before="120" w:beforeAutospacing="0" w:after="0" w:afterAutospacing="0"/>
              <w:ind w:firstLine="0" w:firstLineChars="0"/>
              <w:jc w:val="center"/>
              <w:rPr>
                <w:rFonts w:ascii="Times New Roman" w:hAnsi="Times New Roman"/>
                <w:sz w:val="21"/>
                <w:szCs w:val="21"/>
                <w:lang w:val="en-US"/>
              </w:rPr>
            </w:pPr>
            <w:r>
              <w:rPr>
                <w:rFonts w:ascii="Times New Roman" w:hAnsi="Times New Roman"/>
                <w:kern w:val="2"/>
                <w:sz w:val="21"/>
                <w:szCs w:val="21"/>
                <w:lang w:val="en-US" w:bidi="ar"/>
              </w:rPr>
              <w:t>1</w:t>
            </w:r>
          </w:p>
        </w:tc>
        <w:tc>
          <w:tcPr>
            <w:tcW w:w="21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17DC7">
            <w:pPr>
              <w:pStyle w:val="69"/>
              <w:spacing w:before="120" w:beforeAutospacing="0" w:after="0" w:afterAutospacing="0"/>
              <w:ind w:firstLine="0" w:firstLineChars="0"/>
              <w:jc w:val="center"/>
              <w:rPr>
                <w:rFonts w:ascii="Times New Roman" w:hAnsi="Times New Roman"/>
                <w:sz w:val="21"/>
                <w:szCs w:val="21"/>
                <w:lang w:val="en-US"/>
              </w:rPr>
            </w:pPr>
            <w:r>
              <w:rPr>
                <w:rFonts w:ascii="Times New Roman" w:hAnsi="Times New Roman"/>
                <w:kern w:val="2"/>
                <w:sz w:val="21"/>
                <w:szCs w:val="21"/>
                <w:lang w:val="en-US" w:bidi="ar"/>
              </w:rPr>
              <w:t>陈耿豪</w:t>
            </w:r>
          </w:p>
        </w:tc>
        <w:tc>
          <w:tcPr>
            <w:tcW w:w="1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607F1">
            <w:pPr>
              <w:pStyle w:val="69"/>
              <w:spacing w:before="120" w:beforeAutospacing="0" w:after="0" w:afterAutospacing="0"/>
              <w:ind w:firstLine="0" w:firstLineChars="0"/>
              <w:jc w:val="center"/>
              <w:rPr>
                <w:rFonts w:ascii="Times New Roman" w:hAnsi="Times New Roman"/>
                <w:sz w:val="21"/>
                <w:szCs w:val="21"/>
                <w:lang w:val="en-US"/>
              </w:rPr>
            </w:pPr>
            <w:r>
              <w:rPr>
                <w:rFonts w:ascii="Times New Roman" w:hAnsi="Times New Roman"/>
                <w:kern w:val="2"/>
                <w:sz w:val="21"/>
                <w:szCs w:val="21"/>
                <w:lang w:val="en-US" w:bidi="ar"/>
              </w:rPr>
              <w:t>执行事务合伙人</w:t>
            </w: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7795D">
            <w:pPr>
              <w:widowControl/>
              <w:spacing w:before="120"/>
              <w:ind w:firstLine="420"/>
              <w:jc w:val="center"/>
              <w:textAlignment w:val="center"/>
              <w:rPr>
                <w:rFonts w:cs="Times New Roman"/>
                <w:sz w:val="21"/>
                <w:szCs w:val="21"/>
              </w:rPr>
            </w:pPr>
            <w:r>
              <w:rPr>
                <w:rFonts w:cs="Times New Roman"/>
                <w:color w:val="000000"/>
                <w:sz w:val="21"/>
                <w:szCs w:val="21"/>
                <w:lang w:bidi="ar"/>
              </w:rPr>
              <w:t>258.00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81F7205">
            <w:pPr>
              <w:widowControl/>
              <w:spacing w:before="120"/>
              <w:ind w:firstLine="0" w:firstLineChars="0"/>
              <w:jc w:val="center"/>
              <w:textAlignment w:val="center"/>
              <w:rPr>
                <w:rFonts w:cs="Times New Roman"/>
                <w:sz w:val="21"/>
                <w:szCs w:val="21"/>
              </w:rPr>
            </w:pPr>
            <w:r>
              <w:rPr>
                <w:rFonts w:cs="Times New Roman"/>
                <w:color w:val="000000"/>
                <w:sz w:val="21"/>
                <w:szCs w:val="21"/>
                <w:lang w:bidi="ar"/>
              </w:rPr>
              <w:t>0.01%</w:t>
            </w:r>
          </w:p>
        </w:tc>
      </w:tr>
      <w:tr w14:paraId="3F5FAB2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9"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3359958">
            <w:pPr>
              <w:pStyle w:val="69"/>
              <w:spacing w:before="120" w:beforeAutospacing="0" w:after="0" w:afterAutospacing="0"/>
              <w:ind w:firstLine="0" w:firstLineChars="0"/>
              <w:jc w:val="center"/>
              <w:rPr>
                <w:rFonts w:ascii="Times New Roman" w:hAnsi="Times New Roman"/>
                <w:sz w:val="21"/>
                <w:szCs w:val="21"/>
                <w:lang w:val="en-US"/>
              </w:rPr>
            </w:pPr>
            <w:r>
              <w:rPr>
                <w:rFonts w:hint="eastAsia" w:ascii="Times New Roman" w:hAnsi="Times New Roman"/>
                <w:sz w:val="21"/>
                <w:szCs w:val="21"/>
                <w:lang w:val="en-US"/>
              </w:rPr>
              <w:t>2</w:t>
            </w:r>
          </w:p>
        </w:tc>
        <w:tc>
          <w:tcPr>
            <w:tcW w:w="21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95E7C">
            <w:pPr>
              <w:widowControl/>
              <w:spacing w:before="120"/>
              <w:ind w:firstLine="0" w:firstLineChars="0"/>
              <w:jc w:val="center"/>
              <w:textAlignment w:val="center"/>
              <w:rPr>
                <w:rFonts w:cs="Times New Roman"/>
                <w:sz w:val="21"/>
                <w:szCs w:val="21"/>
              </w:rPr>
            </w:pPr>
            <w:r>
              <w:rPr>
                <w:rFonts w:cs="Times New Roman"/>
                <w:color w:val="000000"/>
                <w:sz w:val="21"/>
                <w:szCs w:val="21"/>
                <w:lang w:bidi="ar"/>
              </w:rPr>
              <w:t>陈岳政</w:t>
            </w:r>
          </w:p>
        </w:tc>
        <w:tc>
          <w:tcPr>
            <w:tcW w:w="1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6AD5A">
            <w:pPr>
              <w:spacing w:before="120"/>
              <w:ind w:firstLine="0" w:firstLineChars="0"/>
              <w:jc w:val="center"/>
              <w:rPr>
                <w:rFonts w:cs="Times New Roman"/>
                <w:sz w:val="21"/>
                <w:szCs w:val="21"/>
              </w:rPr>
            </w:pPr>
            <w:r>
              <w:rPr>
                <w:rFonts w:cs="Times New Roman"/>
                <w:sz w:val="21"/>
                <w:szCs w:val="21"/>
              </w:rPr>
              <w:t>有限合伙人</w:t>
            </w: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78FFD">
            <w:pPr>
              <w:widowControl/>
              <w:spacing w:before="120"/>
              <w:ind w:firstLine="420"/>
              <w:jc w:val="center"/>
              <w:textAlignment w:val="center"/>
              <w:rPr>
                <w:rFonts w:cs="Times New Roman"/>
                <w:sz w:val="21"/>
                <w:szCs w:val="21"/>
              </w:rPr>
            </w:pPr>
            <w:r>
              <w:rPr>
                <w:rFonts w:cs="Times New Roman"/>
                <w:color w:val="000000"/>
                <w:sz w:val="21"/>
                <w:szCs w:val="21"/>
                <w:lang w:bidi="ar"/>
              </w:rPr>
              <w:t>859,926.00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4A52C51">
            <w:pPr>
              <w:widowControl/>
              <w:spacing w:before="120"/>
              <w:ind w:firstLine="0" w:firstLineChars="0"/>
              <w:jc w:val="center"/>
              <w:textAlignment w:val="center"/>
              <w:rPr>
                <w:rFonts w:cs="Times New Roman"/>
                <w:sz w:val="21"/>
                <w:szCs w:val="21"/>
              </w:rPr>
            </w:pPr>
            <w:r>
              <w:rPr>
                <w:rFonts w:cs="Times New Roman"/>
                <w:color w:val="000000"/>
                <w:sz w:val="21"/>
                <w:szCs w:val="21"/>
                <w:lang w:bidi="ar"/>
              </w:rPr>
              <w:t>32.17%</w:t>
            </w:r>
          </w:p>
        </w:tc>
      </w:tr>
      <w:tr w14:paraId="3BAC548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9"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23F1DBE">
            <w:pPr>
              <w:pStyle w:val="69"/>
              <w:spacing w:before="120" w:beforeAutospacing="0" w:after="0" w:afterAutospacing="0"/>
              <w:ind w:firstLine="0" w:firstLineChars="0"/>
              <w:jc w:val="center"/>
              <w:rPr>
                <w:rFonts w:ascii="Times New Roman" w:hAnsi="Times New Roman"/>
                <w:sz w:val="21"/>
                <w:szCs w:val="21"/>
                <w:lang w:val="en-US"/>
              </w:rPr>
            </w:pPr>
            <w:r>
              <w:rPr>
                <w:rFonts w:hint="eastAsia" w:ascii="Times New Roman" w:hAnsi="Times New Roman"/>
                <w:sz w:val="21"/>
                <w:szCs w:val="21"/>
                <w:lang w:val="en-US"/>
              </w:rPr>
              <w:t>3</w:t>
            </w:r>
          </w:p>
        </w:tc>
        <w:tc>
          <w:tcPr>
            <w:tcW w:w="21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5EC6D">
            <w:pPr>
              <w:widowControl/>
              <w:spacing w:before="120"/>
              <w:ind w:firstLine="0" w:firstLineChars="0"/>
              <w:jc w:val="center"/>
              <w:textAlignment w:val="center"/>
              <w:rPr>
                <w:rFonts w:cs="Times New Roman"/>
                <w:sz w:val="21"/>
                <w:szCs w:val="21"/>
              </w:rPr>
            </w:pPr>
            <w:r>
              <w:rPr>
                <w:rFonts w:cs="Times New Roman"/>
                <w:color w:val="000000"/>
                <w:sz w:val="21"/>
                <w:szCs w:val="21"/>
                <w:lang w:bidi="ar"/>
              </w:rPr>
              <w:t>黄俊波</w:t>
            </w:r>
          </w:p>
        </w:tc>
        <w:tc>
          <w:tcPr>
            <w:tcW w:w="1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92D07">
            <w:pPr>
              <w:spacing w:before="120"/>
              <w:ind w:firstLine="0" w:firstLineChars="0"/>
              <w:jc w:val="center"/>
              <w:rPr>
                <w:rFonts w:cs="Times New Roman"/>
                <w:sz w:val="21"/>
                <w:szCs w:val="21"/>
              </w:rPr>
            </w:pPr>
            <w:r>
              <w:rPr>
                <w:rFonts w:cs="Times New Roman"/>
                <w:sz w:val="21"/>
                <w:szCs w:val="21"/>
              </w:rPr>
              <w:t>有限合伙人</w:t>
            </w: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285E8">
            <w:pPr>
              <w:widowControl/>
              <w:spacing w:before="120"/>
              <w:ind w:firstLine="420"/>
              <w:jc w:val="center"/>
              <w:textAlignment w:val="center"/>
              <w:rPr>
                <w:rFonts w:cs="Times New Roman"/>
                <w:sz w:val="21"/>
                <w:szCs w:val="21"/>
              </w:rPr>
            </w:pPr>
            <w:r>
              <w:rPr>
                <w:rFonts w:cs="Times New Roman"/>
                <w:color w:val="000000"/>
                <w:sz w:val="21"/>
                <w:szCs w:val="21"/>
                <w:lang w:bidi="ar"/>
              </w:rPr>
              <w:t>837,048.00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D9FB26B">
            <w:pPr>
              <w:widowControl/>
              <w:spacing w:before="120"/>
              <w:ind w:firstLine="0" w:firstLineChars="0"/>
              <w:jc w:val="center"/>
              <w:textAlignment w:val="center"/>
              <w:rPr>
                <w:rFonts w:cs="Times New Roman"/>
                <w:sz w:val="21"/>
                <w:szCs w:val="21"/>
              </w:rPr>
            </w:pPr>
            <w:r>
              <w:rPr>
                <w:rFonts w:cs="Times New Roman"/>
                <w:color w:val="000000"/>
                <w:sz w:val="21"/>
                <w:szCs w:val="21"/>
                <w:lang w:bidi="ar"/>
              </w:rPr>
              <w:t>31.31%</w:t>
            </w:r>
          </w:p>
        </w:tc>
      </w:tr>
      <w:tr w14:paraId="525AD5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9"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D7CDDC6">
            <w:pPr>
              <w:pStyle w:val="69"/>
              <w:spacing w:before="120" w:beforeAutospacing="0" w:after="0" w:afterAutospacing="0"/>
              <w:ind w:firstLine="0" w:firstLineChars="0"/>
              <w:jc w:val="center"/>
              <w:rPr>
                <w:rFonts w:ascii="Times New Roman" w:hAnsi="Times New Roman"/>
                <w:sz w:val="21"/>
                <w:szCs w:val="21"/>
                <w:lang w:val="en-US"/>
              </w:rPr>
            </w:pPr>
            <w:r>
              <w:rPr>
                <w:rFonts w:hint="eastAsia" w:ascii="Times New Roman" w:hAnsi="Times New Roman"/>
                <w:sz w:val="21"/>
                <w:szCs w:val="21"/>
                <w:lang w:val="en-US"/>
              </w:rPr>
              <w:t>4</w:t>
            </w:r>
          </w:p>
        </w:tc>
        <w:tc>
          <w:tcPr>
            <w:tcW w:w="21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AD730">
            <w:pPr>
              <w:widowControl/>
              <w:spacing w:before="120"/>
              <w:ind w:firstLine="0" w:firstLineChars="0"/>
              <w:jc w:val="center"/>
              <w:textAlignment w:val="center"/>
              <w:rPr>
                <w:rFonts w:cs="Times New Roman"/>
                <w:sz w:val="21"/>
                <w:szCs w:val="21"/>
              </w:rPr>
            </w:pPr>
            <w:r>
              <w:rPr>
                <w:rFonts w:cs="Times New Roman"/>
                <w:color w:val="000000"/>
                <w:sz w:val="21"/>
                <w:szCs w:val="21"/>
                <w:lang w:bidi="ar"/>
              </w:rPr>
              <w:t>宁波圣哲管理咨询合伙企业（有限合伙）</w:t>
            </w:r>
          </w:p>
        </w:tc>
        <w:tc>
          <w:tcPr>
            <w:tcW w:w="1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9C53B">
            <w:pPr>
              <w:spacing w:before="120"/>
              <w:ind w:firstLine="0" w:firstLineChars="0"/>
              <w:jc w:val="center"/>
              <w:rPr>
                <w:rFonts w:cs="Times New Roman"/>
                <w:sz w:val="21"/>
                <w:szCs w:val="21"/>
              </w:rPr>
            </w:pPr>
            <w:r>
              <w:rPr>
                <w:rFonts w:cs="Times New Roman"/>
                <w:sz w:val="21"/>
                <w:szCs w:val="21"/>
              </w:rPr>
              <w:t>有限合伙人</w:t>
            </w: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FA91F">
            <w:pPr>
              <w:widowControl/>
              <w:spacing w:before="120"/>
              <w:ind w:firstLine="420"/>
              <w:jc w:val="center"/>
              <w:textAlignment w:val="center"/>
              <w:rPr>
                <w:rFonts w:cs="Times New Roman"/>
                <w:sz w:val="21"/>
                <w:szCs w:val="21"/>
              </w:rPr>
            </w:pPr>
            <w:r>
              <w:rPr>
                <w:rFonts w:cs="Times New Roman"/>
                <w:color w:val="000000"/>
                <w:sz w:val="21"/>
                <w:szCs w:val="21"/>
                <w:lang w:bidi="ar"/>
              </w:rPr>
              <w:t>488,906.00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79A5D6C">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18.29%</w:t>
            </w:r>
          </w:p>
        </w:tc>
      </w:tr>
      <w:tr w14:paraId="73FBE48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9"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501CEFB">
            <w:pPr>
              <w:pStyle w:val="69"/>
              <w:spacing w:before="120" w:beforeAutospacing="0" w:after="0" w:afterAutospacing="0"/>
              <w:ind w:firstLine="0" w:firstLineChars="0"/>
              <w:jc w:val="center"/>
              <w:rPr>
                <w:rFonts w:ascii="Times New Roman" w:hAnsi="Times New Roman"/>
                <w:sz w:val="21"/>
                <w:szCs w:val="21"/>
                <w:lang w:val="en-US"/>
              </w:rPr>
            </w:pPr>
            <w:r>
              <w:rPr>
                <w:rFonts w:hint="eastAsia" w:ascii="Times New Roman" w:hAnsi="Times New Roman"/>
                <w:sz w:val="21"/>
                <w:szCs w:val="21"/>
                <w:lang w:val="en-US"/>
              </w:rPr>
              <w:t>5</w:t>
            </w:r>
          </w:p>
        </w:tc>
        <w:tc>
          <w:tcPr>
            <w:tcW w:w="21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61663">
            <w:pPr>
              <w:widowControl/>
              <w:spacing w:before="120"/>
              <w:ind w:firstLine="0" w:firstLineChars="0"/>
              <w:jc w:val="center"/>
              <w:textAlignment w:val="center"/>
              <w:rPr>
                <w:rFonts w:cs="Times New Roman"/>
                <w:color w:val="000000"/>
                <w:sz w:val="21"/>
                <w:szCs w:val="21"/>
                <w:lang w:bidi="ar"/>
              </w:rPr>
            </w:pPr>
            <w:r>
              <w:rPr>
                <w:rFonts w:cs="Times New Roman"/>
                <w:color w:val="000000"/>
                <w:sz w:val="21"/>
                <w:szCs w:val="21"/>
                <w:lang w:bidi="ar"/>
              </w:rPr>
              <w:t>徐德强</w:t>
            </w:r>
          </w:p>
        </w:tc>
        <w:tc>
          <w:tcPr>
            <w:tcW w:w="1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43373">
            <w:pPr>
              <w:pStyle w:val="69"/>
              <w:spacing w:before="120" w:beforeAutospacing="0" w:after="0" w:afterAutospacing="0"/>
              <w:ind w:firstLine="0" w:firstLineChars="0"/>
              <w:jc w:val="center"/>
              <w:rPr>
                <w:rFonts w:hint="eastAsia"/>
                <w:sz w:val="21"/>
                <w:szCs w:val="21"/>
              </w:rPr>
            </w:pPr>
            <w:r>
              <w:rPr>
                <w:rFonts w:ascii="Times New Roman" w:hAnsi="Times New Roman"/>
                <w:sz w:val="21"/>
                <w:szCs w:val="21"/>
                <w:lang w:val="en-US"/>
              </w:rPr>
              <w:t>有限合伙人</w:t>
            </w: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390B9">
            <w:pPr>
              <w:widowControl/>
              <w:spacing w:before="120"/>
              <w:ind w:firstLine="420"/>
              <w:jc w:val="center"/>
              <w:textAlignment w:val="center"/>
              <w:rPr>
                <w:rFonts w:cs="Times New Roman"/>
                <w:color w:val="000000"/>
                <w:sz w:val="21"/>
                <w:szCs w:val="21"/>
                <w:lang w:bidi="ar"/>
              </w:rPr>
            </w:pPr>
            <w:r>
              <w:rPr>
                <w:rFonts w:cs="Times New Roman"/>
                <w:color w:val="000000"/>
                <w:sz w:val="21"/>
                <w:szCs w:val="21"/>
                <w:lang w:bidi="ar"/>
              </w:rPr>
              <w:t>369,523.00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18197EE">
            <w:pPr>
              <w:widowControl/>
              <w:spacing w:before="120"/>
              <w:ind w:firstLine="0" w:firstLineChars="0"/>
              <w:jc w:val="center"/>
              <w:textAlignment w:val="center"/>
              <w:rPr>
                <w:rFonts w:cs="Times New Roman"/>
                <w:color w:val="000000"/>
                <w:sz w:val="21"/>
                <w:szCs w:val="21"/>
                <w:lang w:bidi="ar"/>
              </w:rPr>
            </w:pPr>
            <w:r>
              <w:rPr>
                <w:rFonts w:cs="Times New Roman"/>
                <w:color w:val="000000"/>
                <w:sz w:val="21"/>
                <w:szCs w:val="21"/>
                <w:lang w:bidi="ar"/>
              </w:rPr>
              <w:t>13.82%</w:t>
            </w:r>
          </w:p>
        </w:tc>
      </w:tr>
      <w:tr w14:paraId="2842FD5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9"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953BB27">
            <w:pPr>
              <w:pStyle w:val="69"/>
              <w:spacing w:before="120" w:beforeAutospacing="0" w:after="0" w:afterAutospacing="0"/>
              <w:ind w:firstLine="0" w:firstLineChars="0"/>
              <w:jc w:val="center"/>
              <w:rPr>
                <w:rFonts w:ascii="Times New Roman" w:hAnsi="Times New Roman"/>
                <w:sz w:val="21"/>
                <w:szCs w:val="21"/>
                <w:lang w:val="en-US"/>
              </w:rPr>
            </w:pPr>
            <w:r>
              <w:rPr>
                <w:rFonts w:hint="eastAsia" w:ascii="Times New Roman" w:hAnsi="Times New Roman"/>
                <w:sz w:val="21"/>
                <w:szCs w:val="21"/>
                <w:lang w:val="en-US"/>
              </w:rPr>
              <w:t>6</w:t>
            </w:r>
          </w:p>
        </w:tc>
        <w:tc>
          <w:tcPr>
            <w:tcW w:w="21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44D24">
            <w:pPr>
              <w:widowControl/>
              <w:spacing w:before="120"/>
              <w:ind w:firstLine="0" w:firstLineChars="0"/>
              <w:jc w:val="center"/>
              <w:textAlignment w:val="center"/>
              <w:rPr>
                <w:rFonts w:cs="Times New Roman"/>
                <w:color w:val="000000"/>
                <w:sz w:val="21"/>
                <w:szCs w:val="21"/>
                <w:lang w:bidi="ar"/>
              </w:rPr>
            </w:pPr>
            <w:r>
              <w:rPr>
                <w:rFonts w:cs="Times New Roman"/>
                <w:color w:val="000000"/>
                <w:sz w:val="21"/>
                <w:szCs w:val="21"/>
                <w:lang w:bidi="ar"/>
              </w:rPr>
              <w:t>杨凯然</w:t>
            </w:r>
          </w:p>
        </w:tc>
        <w:tc>
          <w:tcPr>
            <w:tcW w:w="1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A0D4F">
            <w:pPr>
              <w:spacing w:before="120"/>
              <w:ind w:firstLine="0" w:firstLineChars="0"/>
              <w:jc w:val="center"/>
              <w:rPr>
                <w:sz w:val="21"/>
                <w:szCs w:val="21"/>
              </w:rPr>
            </w:pPr>
            <w:r>
              <w:rPr>
                <w:rFonts w:cs="Times New Roman"/>
                <w:sz w:val="21"/>
                <w:szCs w:val="21"/>
              </w:rPr>
              <w:t>有限合伙人</w:t>
            </w:r>
          </w:p>
        </w:tc>
        <w:tc>
          <w:tcPr>
            <w:tcW w:w="18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2C998">
            <w:pPr>
              <w:widowControl/>
              <w:spacing w:before="120"/>
              <w:ind w:firstLine="420"/>
              <w:jc w:val="center"/>
              <w:textAlignment w:val="center"/>
              <w:rPr>
                <w:rFonts w:cs="Times New Roman"/>
                <w:color w:val="000000"/>
                <w:sz w:val="21"/>
                <w:szCs w:val="21"/>
                <w:lang w:bidi="ar"/>
              </w:rPr>
            </w:pPr>
            <w:r>
              <w:rPr>
                <w:rFonts w:cs="Times New Roman"/>
                <w:color w:val="000000"/>
                <w:sz w:val="21"/>
                <w:szCs w:val="21"/>
                <w:lang w:bidi="ar"/>
              </w:rPr>
              <w:t>117,622.00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0C10799">
            <w:pPr>
              <w:widowControl/>
              <w:spacing w:before="120"/>
              <w:ind w:firstLine="0" w:firstLineChars="0"/>
              <w:jc w:val="center"/>
              <w:textAlignment w:val="center"/>
              <w:rPr>
                <w:rFonts w:cs="Times New Roman"/>
                <w:color w:val="000000"/>
                <w:sz w:val="21"/>
                <w:szCs w:val="21"/>
                <w:lang w:bidi="ar"/>
              </w:rPr>
            </w:pPr>
            <w:r>
              <w:rPr>
                <w:rFonts w:cs="Times New Roman"/>
                <w:color w:val="000000"/>
                <w:sz w:val="21"/>
                <w:szCs w:val="21"/>
                <w:lang w:bidi="ar"/>
              </w:rPr>
              <w:t>4.40%</w:t>
            </w:r>
          </w:p>
        </w:tc>
      </w:tr>
      <w:tr w14:paraId="019D66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4824"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3AE2258A">
            <w:pPr>
              <w:pStyle w:val="69"/>
              <w:spacing w:before="120" w:beforeAutospacing="0" w:after="0" w:afterAutospacing="0"/>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合计</w:t>
            </w:r>
          </w:p>
        </w:tc>
        <w:tc>
          <w:tcPr>
            <w:tcW w:w="1871"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09B19449">
            <w:pPr>
              <w:widowControl/>
              <w:spacing w:before="120"/>
              <w:ind w:firstLine="422"/>
              <w:jc w:val="center"/>
              <w:textAlignment w:val="center"/>
              <w:rPr>
                <w:rFonts w:cs="Times New Roman"/>
                <w:color w:val="000000"/>
                <w:sz w:val="21"/>
                <w:szCs w:val="21"/>
              </w:rPr>
            </w:pPr>
            <w:r>
              <w:rPr>
                <w:rFonts w:cs="Times New Roman"/>
                <w:b/>
                <w:bCs/>
                <w:color w:val="000000"/>
                <w:sz w:val="21"/>
                <w:szCs w:val="21"/>
                <w:lang w:bidi="ar"/>
              </w:rPr>
              <w:t>2,673,283.00</w:t>
            </w:r>
          </w:p>
        </w:tc>
        <w:tc>
          <w:tcPr>
            <w:tcW w:w="1833"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2FA4E925">
            <w:pPr>
              <w:pStyle w:val="69"/>
              <w:spacing w:before="120" w:beforeAutospacing="0" w:after="0" w:afterAutospacing="0"/>
              <w:ind w:firstLine="0" w:firstLineChars="0"/>
              <w:jc w:val="center"/>
              <w:rPr>
                <w:rFonts w:ascii="Times New Roman" w:hAnsi="Times New Roman"/>
                <w:b/>
                <w:bCs/>
                <w:sz w:val="21"/>
                <w:szCs w:val="21"/>
                <w:lang w:val="en-US"/>
              </w:rPr>
            </w:pPr>
            <w:r>
              <w:rPr>
                <w:rFonts w:ascii="Times New Roman" w:hAnsi="Times New Roman"/>
                <w:b/>
                <w:bCs/>
                <w:sz w:val="21"/>
                <w:szCs w:val="21"/>
                <w:lang w:val="en-US"/>
              </w:rPr>
              <w:t>100.00%</w:t>
            </w:r>
          </w:p>
        </w:tc>
      </w:tr>
    </w:tbl>
    <w:p w14:paraId="1D10DB73">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（五）林芝利新信息技术有限公司</w:t>
      </w:r>
    </w:p>
    <w:p w14:paraId="016CA106">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26DD73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051A5F8E">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7BCB74E0">
            <w:pPr>
              <w:spacing w:before="120" w:line="240" w:lineRule="auto"/>
              <w:ind w:firstLine="0" w:firstLineChars="0"/>
              <w:jc w:val="both"/>
              <w:rPr>
                <w:rFonts w:cs="Times New Roman"/>
                <w:sz w:val="21"/>
                <w:szCs w:val="21"/>
              </w:rPr>
            </w:pPr>
            <w:r>
              <w:rPr>
                <w:rFonts w:hint="eastAsia" w:cs="Times New Roman"/>
                <w:sz w:val="21"/>
                <w:szCs w:val="21"/>
                <w:lang w:bidi="ar"/>
              </w:rPr>
              <w:t>林芝利新信息技术有限公司</w:t>
            </w:r>
          </w:p>
        </w:tc>
      </w:tr>
      <w:tr w14:paraId="7E6E9A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214B2D47">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60D7D0C9">
            <w:pPr>
              <w:spacing w:before="120" w:line="240" w:lineRule="auto"/>
              <w:ind w:firstLine="0" w:firstLineChars="0"/>
              <w:jc w:val="both"/>
              <w:rPr>
                <w:rFonts w:cs="Times New Roman"/>
                <w:sz w:val="21"/>
                <w:szCs w:val="21"/>
              </w:rPr>
            </w:pPr>
            <w:r>
              <w:rPr>
                <w:rFonts w:hint="eastAsia" w:cs="Times New Roman"/>
                <w:sz w:val="21"/>
                <w:szCs w:val="21"/>
                <w:lang w:bidi="ar"/>
              </w:rPr>
              <w:t>有限责任公司（非自然人投资或控股的法人独资）</w:t>
            </w:r>
          </w:p>
        </w:tc>
      </w:tr>
      <w:tr w14:paraId="065677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105F33D2">
            <w:pPr>
              <w:spacing w:before="120" w:line="240" w:lineRule="auto"/>
              <w:ind w:firstLine="0" w:firstLineChars="0"/>
              <w:jc w:val="both"/>
              <w:rPr>
                <w:rFonts w:cs="Times New Roman"/>
                <w:b/>
                <w:sz w:val="21"/>
                <w:szCs w:val="21"/>
              </w:rPr>
            </w:pPr>
            <w:r>
              <w:rPr>
                <w:rFonts w:hint="eastAsia" w:cs="Times New Roman"/>
                <w:b/>
                <w:sz w:val="21"/>
                <w:szCs w:val="21"/>
                <w:lang w:bidi="ar"/>
              </w:rPr>
              <w:t>注册地址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522857A3">
            <w:pPr>
              <w:spacing w:before="120" w:line="240" w:lineRule="auto"/>
              <w:ind w:firstLine="0" w:firstLineChars="0"/>
              <w:jc w:val="both"/>
              <w:rPr>
                <w:rFonts w:cs="Times New Roman"/>
                <w:sz w:val="21"/>
                <w:szCs w:val="21"/>
              </w:rPr>
            </w:pPr>
            <w:r>
              <w:rPr>
                <w:rFonts w:hint="eastAsia" w:cs="Times New Roman"/>
                <w:sz w:val="21"/>
                <w:szCs w:val="21"/>
                <w:lang w:bidi="ar"/>
              </w:rPr>
              <w:t>西藏自治区林芝市巴宜区八一镇广东路</w:t>
            </w:r>
            <w:r>
              <w:rPr>
                <w:rFonts w:cs="Times New Roman"/>
                <w:sz w:val="21"/>
                <w:szCs w:val="21"/>
                <w:lang w:bidi="ar"/>
              </w:rPr>
              <w:t>58</w:t>
            </w:r>
            <w:r>
              <w:rPr>
                <w:rFonts w:hint="eastAsia" w:cs="Times New Roman"/>
                <w:sz w:val="21"/>
                <w:szCs w:val="21"/>
                <w:lang w:bidi="ar"/>
              </w:rPr>
              <w:t>号星程酒店</w:t>
            </w:r>
            <w:r>
              <w:rPr>
                <w:rFonts w:cs="Times New Roman"/>
                <w:sz w:val="21"/>
                <w:szCs w:val="21"/>
                <w:lang w:bidi="ar"/>
              </w:rPr>
              <w:t>8102</w:t>
            </w:r>
            <w:r>
              <w:rPr>
                <w:rFonts w:hint="eastAsia" w:cs="Times New Roman"/>
                <w:sz w:val="21"/>
                <w:szCs w:val="21"/>
                <w:lang w:bidi="ar"/>
              </w:rPr>
              <w:t>房</w:t>
            </w:r>
          </w:p>
        </w:tc>
      </w:tr>
      <w:tr w14:paraId="7109C5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7C2841ED">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5F58F5DE">
            <w:pPr>
              <w:spacing w:before="120" w:line="240" w:lineRule="auto"/>
              <w:ind w:firstLine="0" w:firstLineChars="0"/>
              <w:jc w:val="both"/>
              <w:rPr>
                <w:rFonts w:cs="Times New Roman"/>
                <w:sz w:val="21"/>
                <w:szCs w:val="21"/>
              </w:rPr>
            </w:pPr>
            <w:r>
              <w:rPr>
                <w:rFonts w:cs="Times New Roman"/>
                <w:sz w:val="21"/>
                <w:szCs w:val="21"/>
                <w:lang w:bidi="ar"/>
              </w:rPr>
              <w:t>2015</w:t>
            </w:r>
            <w:r>
              <w:rPr>
                <w:rFonts w:hint="eastAsia" w:cs="Times New Roman"/>
                <w:sz w:val="21"/>
                <w:szCs w:val="21"/>
                <w:lang w:bidi="ar"/>
              </w:rPr>
              <w:t>年</w:t>
            </w:r>
            <w:r>
              <w:rPr>
                <w:rFonts w:cs="Times New Roman"/>
                <w:sz w:val="21"/>
                <w:szCs w:val="21"/>
                <w:lang w:bidi="ar"/>
              </w:rPr>
              <w:t>10</w:t>
            </w:r>
            <w:r>
              <w:rPr>
                <w:rFonts w:hint="eastAsia" w:cs="Times New Roman"/>
                <w:sz w:val="21"/>
                <w:szCs w:val="21"/>
                <w:lang w:bidi="ar"/>
              </w:rPr>
              <w:t>月</w:t>
            </w:r>
            <w:r>
              <w:rPr>
                <w:rFonts w:cs="Times New Roman"/>
                <w:sz w:val="21"/>
                <w:szCs w:val="21"/>
                <w:lang w:bidi="ar"/>
              </w:rPr>
              <w:t>26</w:t>
            </w:r>
            <w:r>
              <w:rPr>
                <w:rFonts w:hint="eastAsia" w:cs="Times New Roman"/>
                <w:sz w:val="21"/>
                <w:szCs w:val="21"/>
                <w:lang w:bidi="ar"/>
              </w:rPr>
              <w:t>日</w:t>
            </w:r>
          </w:p>
        </w:tc>
      </w:tr>
      <w:tr w14:paraId="0DE0C8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6FFD8579">
            <w:pPr>
              <w:spacing w:before="120" w:line="240" w:lineRule="auto"/>
              <w:ind w:firstLine="0" w:firstLineChars="0"/>
              <w:jc w:val="both"/>
              <w:rPr>
                <w:rFonts w:cs="Times New Roman"/>
                <w:b/>
                <w:sz w:val="21"/>
                <w:szCs w:val="21"/>
              </w:rPr>
            </w:pPr>
            <w:r>
              <w:rPr>
                <w:rFonts w:hint="eastAsia" w:cs="Times New Roman"/>
                <w:b/>
                <w:sz w:val="21"/>
                <w:szCs w:val="21"/>
                <w:lang w:bidi="ar"/>
              </w:rPr>
              <w:t>注册资本</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481E464">
            <w:pPr>
              <w:spacing w:before="120" w:line="240" w:lineRule="auto"/>
              <w:ind w:firstLine="0" w:firstLineChars="0"/>
              <w:jc w:val="both"/>
              <w:rPr>
                <w:rFonts w:cs="Times New Roman"/>
                <w:sz w:val="21"/>
                <w:szCs w:val="21"/>
              </w:rPr>
            </w:pPr>
            <w:r>
              <w:rPr>
                <w:rFonts w:cs="Times New Roman"/>
                <w:sz w:val="21"/>
                <w:szCs w:val="21"/>
                <w:lang w:bidi="ar"/>
              </w:rPr>
              <w:t>230,000</w:t>
            </w:r>
            <w:r>
              <w:rPr>
                <w:rFonts w:hint="eastAsia" w:cs="Times New Roman"/>
                <w:sz w:val="21"/>
                <w:szCs w:val="21"/>
                <w:lang w:bidi="ar"/>
              </w:rPr>
              <w:t>万元</w:t>
            </w:r>
          </w:p>
        </w:tc>
      </w:tr>
      <w:tr w14:paraId="68E18C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6A7FF3B4">
            <w:pPr>
              <w:spacing w:before="120" w:line="240" w:lineRule="auto"/>
              <w:ind w:firstLine="0" w:firstLineChars="0"/>
              <w:jc w:val="both"/>
              <w:rPr>
                <w:rFonts w:cs="Times New Roman"/>
                <w:b/>
                <w:sz w:val="21"/>
                <w:szCs w:val="21"/>
              </w:rPr>
            </w:pPr>
            <w:r>
              <w:rPr>
                <w:rFonts w:hint="eastAsia" w:cs="Times New Roman"/>
                <w:b/>
                <w:sz w:val="21"/>
                <w:szCs w:val="21"/>
                <w:lang w:bidi="ar"/>
              </w:rPr>
              <w:t>法定代表人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00FAA2FC">
            <w:pPr>
              <w:spacing w:before="120" w:line="240" w:lineRule="auto"/>
              <w:ind w:firstLine="0" w:firstLineChars="0"/>
              <w:jc w:val="both"/>
              <w:rPr>
                <w:rFonts w:cs="Times New Roman"/>
                <w:sz w:val="21"/>
                <w:szCs w:val="21"/>
              </w:rPr>
            </w:pPr>
            <w:r>
              <w:rPr>
                <w:rFonts w:hint="eastAsia" w:cs="Times New Roman"/>
                <w:sz w:val="21"/>
                <w:szCs w:val="21"/>
                <w:lang w:bidi="ar"/>
              </w:rPr>
              <w:t>余海洋</w:t>
            </w:r>
          </w:p>
        </w:tc>
      </w:tr>
      <w:tr w14:paraId="2FE04A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454F9F5">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2E76D93D">
            <w:pPr>
              <w:spacing w:before="120" w:line="240" w:lineRule="auto"/>
              <w:ind w:firstLine="0" w:firstLineChars="0"/>
              <w:jc w:val="both"/>
              <w:rPr>
                <w:rFonts w:cs="Times New Roman"/>
                <w:sz w:val="21"/>
                <w:szCs w:val="21"/>
              </w:rPr>
            </w:pPr>
            <w:r>
              <w:rPr>
                <w:rFonts w:cs="Times New Roman"/>
                <w:sz w:val="21"/>
                <w:szCs w:val="21"/>
                <w:lang w:bidi="ar"/>
              </w:rPr>
              <w:t>91540400MA6T10MF2A</w:t>
            </w:r>
          </w:p>
        </w:tc>
      </w:tr>
      <w:tr w14:paraId="457884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6CBB214F">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64835973">
            <w:pPr>
              <w:spacing w:before="120" w:line="240" w:lineRule="auto"/>
              <w:ind w:firstLine="0" w:firstLineChars="0"/>
              <w:jc w:val="both"/>
              <w:rPr>
                <w:rFonts w:cs="Times New Roman"/>
                <w:sz w:val="21"/>
                <w:szCs w:val="21"/>
              </w:rPr>
            </w:pPr>
            <w:r>
              <w:rPr>
                <w:rFonts w:hint="eastAsia" w:cs="Times New Roman"/>
                <w:sz w:val="21"/>
                <w:szCs w:val="21"/>
                <w:lang w:bidi="ar"/>
              </w:rPr>
              <w:t>计算机软硬件技术开发、销售；经济信息咨询、企业管理咨询；国内贸易；投资兴办实业。【依法须经批准的项目，经相关部门批准后方可开展经营活动】</w:t>
            </w:r>
          </w:p>
        </w:tc>
      </w:tr>
    </w:tbl>
    <w:p w14:paraId="697D52F2">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61B8260E">
      <w:pPr>
        <w:pStyle w:val="69"/>
        <w:keepNext/>
        <w:keepLines/>
        <w:adjustRightInd w:val="0"/>
        <w:snapToGrid w:val="0"/>
        <w:spacing w:before="120" w:beforeAutospacing="0" w:after="120" w:afterLines="50" w:afterAutospacing="0"/>
        <w:jc w:val="both"/>
        <w:rPr>
          <w:rFonts w:hint="eastAsia"/>
          <w:szCs w:val="28"/>
          <w:lang w:val="en-US"/>
        </w:rPr>
      </w:pPr>
      <w:r>
        <w:rPr>
          <w:rFonts w:hint="eastAsia" w:ascii="Times New Roman" w:hAnsi="Times New Roman" w:cs="宋体"/>
          <w:kern w:val="2"/>
          <w:szCs w:val="28"/>
          <w:lang w:val="en-US" w:bidi="ar"/>
        </w:rPr>
        <w:t>林芝利新的股东情况具体如下：</w:t>
      </w:r>
    </w:p>
    <w:tbl>
      <w:tblPr>
        <w:tblStyle w:val="7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3686"/>
        <w:gridCol w:w="2126"/>
        <w:gridCol w:w="1776"/>
      </w:tblGrid>
      <w:tr w14:paraId="4A139D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4" w:type="dxa"/>
            <w:tcBorders>
              <w:top w:val="single" w:color="auto" w:sz="12" w:space="0"/>
              <w:left w:val="single" w:color="auto" w:sz="12" w:space="0"/>
              <w:bottom w:val="single" w:color="auto" w:sz="4" w:space="0"/>
              <w:right w:val="single" w:color="auto" w:sz="4" w:space="0"/>
            </w:tcBorders>
            <w:shd w:val="clear" w:color="auto" w:fill="auto"/>
            <w:vAlign w:val="center"/>
          </w:tcPr>
          <w:p w14:paraId="1D28D52B">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序号</w:t>
            </w:r>
          </w:p>
        </w:tc>
        <w:tc>
          <w:tcPr>
            <w:tcW w:w="3686" w:type="dxa"/>
            <w:tcBorders>
              <w:top w:val="single" w:color="auto" w:sz="12" w:space="0"/>
              <w:left w:val="single" w:color="auto" w:sz="4" w:space="0"/>
              <w:bottom w:val="single" w:color="auto" w:sz="4" w:space="0"/>
              <w:right w:val="single" w:color="auto" w:sz="4" w:space="0"/>
            </w:tcBorders>
            <w:shd w:val="clear" w:color="auto" w:fill="auto"/>
            <w:vAlign w:val="center"/>
          </w:tcPr>
          <w:p w14:paraId="0B534F36">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股东名称</w:t>
            </w:r>
          </w:p>
        </w:tc>
        <w:tc>
          <w:tcPr>
            <w:tcW w:w="2126" w:type="dxa"/>
            <w:tcBorders>
              <w:top w:val="single" w:color="auto" w:sz="12" w:space="0"/>
              <w:left w:val="single" w:color="auto" w:sz="4" w:space="0"/>
              <w:bottom w:val="single" w:color="auto" w:sz="4" w:space="0"/>
              <w:right w:val="single" w:color="auto" w:sz="4" w:space="0"/>
            </w:tcBorders>
            <w:shd w:val="clear" w:color="auto" w:fill="auto"/>
            <w:vAlign w:val="center"/>
          </w:tcPr>
          <w:p w14:paraId="7B7748D3">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认缴出资额（万元）</w:t>
            </w:r>
          </w:p>
        </w:tc>
        <w:tc>
          <w:tcPr>
            <w:tcW w:w="1776" w:type="dxa"/>
            <w:tcBorders>
              <w:top w:val="single" w:color="auto" w:sz="12" w:space="0"/>
              <w:left w:val="single" w:color="auto" w:sz="4" w:space="0"/>
              <w:bottom w:val="single" w:color="auto" w:sz="4" w:space="0"/>
              <w:right w:val="single" w:color="auto" w:sz="12" w:space="0"/>
            </w:tcBorders>
            <w:shd w:val="clear" w:color="auto" w:fill="auto"/>
            <w:vAlign w:val="center"/>
          </w:tcPr>
          <w:p w14:paraId="3E24F85E">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持股比例（</w:t>
            </w:r>
            <w:r>
              <w:rPr>
                <w:rFonts w:ascii="Times New Roman" w:hAnsi="Times New Roman"/>
                <w:b/>
                <w:bCs/>
                <w:kern w:val="2"/>
                <w:sz w:val="21"/>
                <w:szCs w:val="21"/>
                <w:lang w:val="en-US" w:bidi="ar"/>
              </w:rPr>
              <w:t>%</w:t>
            </w:r>
            <w:r>
              <w:rPr>
                <w:rFonts w:hint="eastAsia" w:ascii="Times New Roman" w:hAnsi="Times New Roman" w:cs="宋体"/>
                <w:b/>
                <w:bCs/>
                <w:kern w:val="2"/>
                <w:sz w:val="21"/>
                <w:szCs w:val="21"/>
                <w:lang w:val="en-US" w:bidi="ar"/>
              </w:rPr>
              <w:t>）</w:t>
            </w:r>
          </w:p>
        </w:tc>
      </w:tr>
      <w:tr w14:paraId="7ADD77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94" w:type="dxa"/>
            <w:tcBorders>
              <w:top w:val="single" w:color="auto" w:sz="4" w:space="0"/>
              <w:left w:val="single" w:color="auto" w:sz="12" w:space="0"/>
              <w:bottom w:val="single" w:color="auto" w:sz="4" w:space="0"/>
              <w:right w:val="single" w:color="auto" w:sz="4" w:space="0"/>
            </w:tcBorders>
            <w:shd w:val="clear" w:color="auto" w:fill="auto"/>
            <w:vAlign w:val="center"/>
          </w:tcPr>
          <w:p w14:paraId="7B9F54C8">
            <w:pPr>
              <w:pStyle w:val="69"/>
              <w:spacing w:before="120" w:beforeAutospacing="0" w:after="0" w:afterAutospacing="0"/>
              <w:ind w:firstLine="0" w:firstLineChars="0"/>
              <w:jc w:val="center"/>
              <w:rPr>
                <w:rFonts w:hint="eastAsia"/>
                <w:sz w:val="21"/>
                <w:szCs w:val="21"/>
                <w:lang w:val="en-US"/>
              </w:rPr>
            </w:pPr>
            <w:r>
              <w:rPr>
                <w:rFonts w:ascii="Times New Roman" w:hAnsi="Times New Roman"/>
                <w:kern w:val="2"/>
                <w:sz w:val="21"/>
                <w:szCs w:val="21"/>
                <w:lang w:val="en-US" w:bidi="ar"/>
              </w:rPr>
              <w:t>1</w:t>
            </w:r>
          </w:p>
        </w:tc>
        <w:tc>
          <w:tcPr>
            <w:tcW w:w="3686" w:type="dxa"/>
            <w:tcBorders>
              <w:top w:val="single" w:color="auto" w:sz="4" w:space="0"/>
              <w:left w:val="single" w:color="auto" w:sz="4" w:space="0"/>
              <w:bottom w:val="single" w:color="auto" w:sz="4" w:space="0"/>
              <w:right w:val="single" w:color="auto" w:sz="4" w:space="0"/>
            </w:tcBorders>
            <w:shd w:val="clear" w:color="auto" w:fill="auto"/>
            <w:vAlign w:val="center"/>
          </w:tcPr>
          <w:p w14:paraId="06876266">
            <w:pPr>
              <w:pStyle w:val="69"/>
              <w:spacing w:before="120" w:beforeAutospacing="0" w:after="0" w:afterAutospacing="0"/>
              <w:ind w:firstLine="0" w:firstLineChars="0"/>
              <w:rPr>
                <w:rFonts w:hint="eastAsia"/>
                <w:sz w:val="21"/>
                <w:szCs w:val="21"/>
                <w:lang w:val="en-US"/>
              </w:rPr>
            </w:pPr>
            <w:r>
              <w:rPr>
                <w:rFonts w:hint="eastAsia" w:ascii="Times New Roman" w:hAnsi="Times New Roman" w:cs="宋体"/>
                <w:kern w:val="2"/>
                <w:sz w:val="21"/>
                <w:szCs w:val="21"/>
                <w:lang w:val="en-US" w:bidi="ar"/>
              </w:rPr>
              <w:t>深圳市腾讯睿见投资有限公司</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14:paraId="6027CE83">
            <w:pPr>
              <w:pStyle w:val="69"/>
              <w:spacing w:before="120" w:beforeAutospacing="0" w:after="0" w:afterAutospacing="0"/>
              <w:ind w:firstLine="0" w:firstLineChars="0"/>
              <w:jc w:val="right"/>
              <w:rPr>
                <w:rFonts w:hint="eastAsia"/>
                <w:sz w:val="21"/>
                <w:szCs w:val="21"/>
                <w:lang w:val="en-US"/>
              </w:rPr>
            </w:pPr>
            <w:r>
              <w:rPr>
                <w:rFonts w:ascii="Times New Roman" w:hAnsi="Times New Roman"/>
                <w:kern w:val="2"/>
                <w:sz w:val="21"/>
                <w:szCs w:val="21"/>
                <w:lang w:val="en-US" w:bidi="ar"/>
              </w:rPr>
              <w:t>230,000.00</w:t>
            </w:r>
          </w:p>
        </w:tc>
        <w:tc>
          <w:tcPr>
            <w:tcW w:w="1776" w:type="dxa"/>
            <w:tcBorders>
              <w:top w:val="single" w:color="auto" w:sz="4" w:space="0"/>
              <w:left w:val="single" w:color="auto" w:sz="4" w:space="0"/>
              <w:bottom w:val="single" w:color="auto" w:sz="4" w:space="0"/>
              <w:right w:val="single" w:color="auto" w:sz="12" w:space="0"/>
            </w:tcBorders>
            <w:shd w:val="clear" w:color="auto" w:fill="auto"/>
            <w:vAlign w:val="center"/>
          </w:tcPr>
          <w:p w14:paraId="6FF0B3E5">
            <w:pPr>
              <w:pStyle w:val="69"/>
              <w:spacing w:before="120" w:beforeAutospacing="0" w:after="0" w:afterAutospacing="0"/>
              <w:ind w:firstLine="0" w:firstLineChars="0"/>
              <w:jc w:val="right"/>
              <w:rPr>
                <w:rFonts w:hint="eastAsia"/>
                <w:sz w:val="21"/>
                <w:szCs w:val="21"/>
                <w:lang w:val="en-US"/>
              </w:rPr>
            </w:pPr>
            <w:r>
              <w:rPr>
                <w:rFonts w:ascii="Times New Roman" w:hAnsi="Times New Roman"/>
                <w:kern w:val="2"/>
                <w:sz w:val="21"/>
                <w:szCs w:val="21"/>
                <w:lang w:val="en-US" w:bidi="ar"/>
              </w:rPr>
              <w:t>100.00</w:t>
            </w:r>
          </w:p>
        </w:tc>
      </w:tr>
      <w:tr w14:paraId="074B5A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380" w:type="dxa"/>
            <w:gridSpan w:val="2"/>
            <w:tcBorders>
              <w:top w:val="single" w:color="auto" w:sz="4" w:space="0"/>
              <w:left w:val="single" w:color="auto" w:sz="12" w:space="0"/>
              <w:bottom w:val="single" w:color="auto" w:sz="12" w:space="0"/>
              <w:right w:val="single" w:color="auto" w:sz="4" w:space="0"/>
            </w:tcBorders>
            <w:shd w:val="clear" w:color="auto" w:fill="auto"/>
            <w:vAlign w:val="center"/>
          </w:tcPr>
          <w:p w14:paraId="276ECAF0">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合计</w:t>
            </w:r>
          </w:p>
        </w:tc>
        <w:tc>
          <w:tcPr>
            <w:tcW w:w="2126" w:type="dxa"/>
            <w:tcBorders>
              <w:top w:val="single" w:color="auto" w:sz="4" w:space="0"/>
              <w:left w:val="single" w:color="auto" w:sz="4" w:space="0"/>
              <w:bottom w:val="single" w:color="auto" w:sz="12" w:space="0"/>
              <w:right w:val="single" w:color="auto" w:sz="4" w:space="0"/>
            </w:tcBorders>
            <w:shd w:val="clear" w:color="auto" w:fill="auto"/>
            <w:vAlign w:val="center"/>
          </w:tcPr>
          <w:p w14:paraId="7B446E9D">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230,000.00</w:t>
            </w:r>
          </w:p>
        </w:tc>
        <w:tc>
          <w:tcPr>
            <w:tcW w:w="1776" w:type="dxa"/>
            <w:tcBorders>
              <w:top w:val="single" w:color="auto" w:sz="4" w:space="0"/>
              <w:left w:val="single" w:color="auto" w:sz="4" w:space="0"/>
              <w:bottom w:val="single" w:color="auto" w:sz="12" w:space="0"/>
              <w:right w:val="single" w:color="auto" w:sz="12" w:space="0"/>
            </w:tcBorders>
            <w:shd w:val="clear" w:color="auto" w:fill="auto"/>
            <w:vAlign w:val="center"/>
          </w:tcPr>
          <w:p w14:paraId="100C8139">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100.00</w:t>
            </w:r>
          </w:p>
        </w:tc>
      </w:tr>
    </w:tbl>
    <w:p w14:paraId="681B319C">
      <w:pPr>
        <w:pStyle w:val="69"/>
        <w:spacing w:before="120" w:beforeAutospacing="0" w:after="120" w:afterLines="50" w:afterAutospacing="0"/>
        <w:jc w:val="center"/>
        <w:rPr>
          <w:rFonts w:ascii="Times New Roman" w:hAnsi="Times New Roman" w:cs="宋体"/>
          <w:kern w:val="2"/>
          <w:szCs w:val="22"/>
          <w:lang w:val="en-US" w:bidi="ar"/>
        </w:rPr>
      </w:pPr>
      <w:r>
        <w:rPr>
          <w:rFonts w:hint="eastAsia" w:ascii="Times New Roman" w:hAnsi="Times New Roman" w:cs="宋体"/>
          <w:kern w:val="2"/>
          <w:szCs w:val="22"/>
          <w:lang w:val="en-US" w:bidi="ar"/>
        </w:rPr>
        <w:t>截至本预案签署日，林芝利新实际控制人为马化腾，其产权结构图如下：</w:t>
      </w:r>
    </w:p>
    <w:p w14:paraId="59210B3D">
      <w:pPr>
        <w:pStyle w:val="69"/>
        <w:spacing w:before="120" w:beforeAutospacing="0" w:after="120" w:afterLines="50" w:afterAutospacing="0"/>
        <w:ind w:firstLine="0" w:firstLineChars="0"/>
        <w:jc w:val="both"/>
        <w:rPr>
          <w:rFonts w:ascii="Times New Roman" w:hAnsi="Times New Roman" w:cs="宋体"/>
          <w:kern w:val="2"/>
          <w:szCs w:val="22"/>
          <w:lang w:val="en-US" w:bidi="ar"/>
        </w:rPr>
      </w:pPr>
      <w:r>
        <w:drawing>
          <wp:inline distT="0" distB="0" distL="114300" distR="114300">
            <wp:extent cx="5273040" cy="3605530"/>
            <wp:effectExtent l="0" t="0" r="0" b="635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20"/>
                    <a:stretch>
                      <a:fillRect/>
                    </a:stretch>
                  </pic:blipFill>
                  <pic:spPr>
                    <a:xfrm>
                      <a:off x="0" y="0"/>
                      <a:ext cx="5273040" cy="3605530"/>
                    </a:xfrm>
                    <a:prstGeom prst="rect">
                      <a:avLst/>
                    </a:prstGeom>
                    <a:noFill/>
                    <a:ln>
                      <a:noFill/>
                    </a:ln>
                  </pic:spPr>
                </pic:pic>
              </a:graphicData>
            </a:graphic>
          </wp:inline>
        </w:drawing>
      </w:r>
    </w:p>
    <w:p w14:paraId="3F737FFF">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（六）璀璨远见（深圳）创业投资中心（有限合伙）</w:t>
      </w:r>
    </w:p>
    <w:p w14:paraId="3D769C43">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0333DD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33E99027">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231A05C5">
            <w:pPr>
              <w:spacing w:before="120" w:line="240" w:lineRule="auto"/>
              <w:ind w:firstLine="0" w:firstLineChars="0"/>
              <w:jc w:val="both"/>
              <w:rPr>
                <w:rFonts w:cs="Times New Roman"/>
                <w:sz w:val="21"/>
                <w:szCs w:val="21"/>
              </w:rPr>
            </w:pPr>
            <w:r>
              <w:rPr>
                <w:rFonts w:hint="eastAsia" w:cs="Times New Roman"/>
                <w:sz w:val="21"/>
                <w:szCs w:val="21"/>
                <w:lang w:bidi="ar"/>
              </w:rPr>
              <w:t>璀璨远见（深圳）创业投资中心（有限合伙）</w:t>
            </w:r>
          </w:p>
        </w:tc>
      </w:tr>
      <w:tr w14:paraId="0FE67D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19985001">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9A17F1E">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615DEB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6B21A28E">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175A6C20">
            <w:pPr>
              <w:spacing w:before="120" w:line="240" w:lineRule="auto"/>
              <w:ind w:firstLine="0" w:firstLineChars="0"/>
              <w:jc w:val="both"/>
              <w:rPr>
                <w:rFonts w:cs="Times New Roman"/>
                <w:sz w:val="21"/>
                <w:szCs w:val="21"/>
              </w:rPr>
            </w:pPr>
            <w:r>
              <w:rPr>
                <w:rFonts w:hint="eastAsia" w:cs="Times New Roman"/>
                <w:sz w:val="21"/>
                <w:szCs w:val="21"/>
                <w:lang w:bidi="ar"/>
              </w:rPr>
              <w:t>深圳市南山区粤海街道海珠社区海德三道</w:t>
            </w:r>
            <w:r>
              <w:rPr>
                <w:rFonts w:cs="Times New Roman"/>
                <w:sz w:val="21"/>
                <w:szCs w:val="21"/>
                <w:lang w:bidi="ar"/>
              </w:rPr>
              <w:t>1066</w:t>
            </w:r>
            <w:r>
              <w:rPr>
                <w:rFonts w:hint="eastAsia" w:cs="Times New Roman"/>
                <w:sz w:val="21"/>
                <w:szCs w:val="21"/>
                <w:lang w:bidi="ar"/>
              </w:rPr>
              <w:t>号深创投广场</w:t>
            </w:r>
            <w:r>
              <w:rPr>
                <w:rFonts w:cs="Times New Roman"/>
                <w:sz w:val="21"/>
                <w:szCs w:val="21"/>
                <w:lang w:bidi="ar"/>
              </w:rPr>
              <w:t>3305</w:t>
            </w:r>
          </w:p>
        </w:tc>
      </w:tr>
      <w:tr w14:paraId="5E5DD2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240C0039">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0EBF3877">
            <w:pPr>
              <w:spacing w:before="120" w:line="240" w:lineRule="auto"/>
              <w:ind w:firstLine="0" w:firstLineChars="0"/>
              <w:jc w:val="both"/>
              <w:rPr>
                <w:rFonts w:cs="Times New Roman"/>
                <w:sz w:val="21"/>
                <w:szCs w:val="21"/>
              </w:rPr>
            </w:pPr>
            <w:r>
              <w:rPr>
                <w:rFonts w:cs="Times New Roman"/>
                <w:sz w:val="21"/>
                <w:szCs w:val="21"/>
                <w:lang w:bidi="ar"/>
              </w:rPr>
              <w:t>2016</w:t>
            </w:r>
            <w:r>
              <w:rPr>
                <w:rFonts w:hint="eastAsia" w:cs="Times New Roman"/>
                <w:sz w:val="21"/>
                <w:szCs w:val="21"/>
                <w:lang w:bidi="ar"/>
              </w:rPr>
              <w:t>年</w:t>
            </w:r>
            <w:r>
              <w:rPr>
                <w:rFonts w:cs="Times New Roman"/>
                <w:sz w:val="21"/>
                <w:szCs w:val="21"/>
                <w:lang w:bidi="ar"/>
              </w:rPr>
              <w:t>11</w:t>
            </w:r>
            <w:r>
              <w:rPr>
                <w:rFonts w:hint="eastAsia" w:cs="Times New Roman"/>
                <w:sz w:val="21"/>
                <w:szCs w:val="21"/>
                <w:lang w:bidi="ar"/>
              </w:rPr>
              <w:t>月</w:t>
            </w:r>
            <w:r>
              <w:rPr>
                <w:rFonts w:cs="Times New Roman"/>
                <w:sz w:val="21"/>
                <w:szCs w:val="21"/>
                <w:lang w:bidi="ar"/>
              </w:rPr>
              <w:t>14</w:t>
            </w:r>
            <w:r>
              <w:rPr>
                <w:rFonts w:hint="eastAsia" w:cs="Times New Roman"/>
                <w:sz w:val="21"/>
                <w:szCs w:val="21"/>
                <w:lang w:bidi="ar"/>
              </w:rPr>
              <w:t>日</w:t>
            </w:r>
          </w:p>
        </w:tc>
      </w:tr>
      <w:tr w14:paraId="58E4A9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2DDF9A2">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20DEE6E0">
            <w:pPr>
              <w:spacing w:before="120" w:line="240" w:lineRule="auto"/>
              <w:ind w:firstLine="0" w:firstLineChars="0"/>
              <w:jc w:val="both"/>
              <w:rPr>
                <w:rFonts w:cs="Times New Roman"/>
                <w:sz w:val="21"/>
                <w:szCs w:val="21"/>
              </w:rPr>
            </w:pPr>
            <w:r>
              <w:rPr>
                <w:rFonts w:cs="Times New Roman"/>
                <w:sz w:val="21"/>
                <w:szCs w:val="21"/>
                <w:lang w:bidi="ar"/>
              </w:rPr>
              <w:t>3,842.09</w:t>
            </w:r>
            <w:r>
              <w:rPr>
                <w:rFonts w:hint="eastAsia" w:cs="Times New Roman"/>
                <w:sz w:val="21"/>
                <w:szCs w:val="21"/>
                <w:lang w:bidi="ar"/>
              </w:rPr>
              <w:t>万元</w:t>
            </w:r>
          </w:p>
        </w:tc>
      </w:tr>
      <w:tr w14:paraId="2FF72B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181C79C3">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002A1B3">
            <w:pPr>
              <w:spacing w:before="120" w:line="240" w:lineRule="auto"/>
              <w:ind w:firstLine="0" w:firstLineChars="0"/>
              <w:jc w:val="both"/>
              <w:rPr>
                <w:rFonts w:cs="Times New Roman"/>
                <w:sz w:val="21"/>
                <w:szCs w:val="21"/>
              </w:rPr>
            </w:pPr>
            <w:r>
              <w:rPr>
                <w:rFonts w:hint="eastAsia" w:cs="Times New Roman"/>
                <w:sz w:val="21"/>
                <w:szCs w:val="21"/>
                <w:lang w:bidi="ar"/>
              </w:rPr>
              <w:t>深圳璀璨私募股权投资管理有限公司</w:t>
            </w:r>
          </w:p>
        </w:tc>
      </w:tr>
      <w:tr w14:paraId="581DFB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46380EB0">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70BAB14B">
            <w:pPr>
              <w:spacing w:before="120" w:line="240" w:lineRule="auto"/>
              <w:ind w:firstLine="0" w:firstLineChars="0"/>
              <w:jc w:val="both"/>
              <w:rPr>
                <w:rFonts w:cs="Times New Roman"/>
                <w:sz w:val="21"/>
                <w:szCs w:val="21"/>
              </w:rPr>
            </w:pPr>
            <w:r>
              <w:rPr>
                <w:rFonts w:cs="Times New Roman"/>
                <w:sz w:val="21"/>
                <w:szCs w:val="21"/>
                <w:lang w:bidi="ar"/>
              </w:rPr>
              <w:t>91440300MA5DP3XC0T</w:t>
            </w:r>
          </w:p>
        </w:tc>
      </w:tr>
      <w:tr w14:paraId="506C03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092075C3">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12C08F61">
            <w:pPr>
              <w:spacing w:before="120" w:line="240" w:lineRule="auto"/>
              <w:ind w:firstLine="0" w:firstLineChars="0"/>
              <w:jc w:val="both"/>
              <w:rPr>
                <w:rFonts w:cs="Times New Roman"/>
                <w:sz w:val="21"/>
                <w:szCs w:val="21"/>
              </w:rPr>
            </w:pPr>
            <w:r>
              <w:rPr>
                <w:rFonts w:hint="eastAsia" w:cs="Times New Roman"/>
                <w:sz w:val="21"/>
                <w:szCs w:val="21"/>
                <w:lang w:bidi="ar"/>
              </w:rPr>
              <w:t>企业管理咨询；创业投资业务。（以上各项涉及法律、行政法规、国务院决定禁止的项目除外，限制的项目须取得许可后方可经营）</w:t>
            </w:r>
          </w:p>
        </w:tc>
      </w:tr>
    </w:tbl>
    <w:p w14:paraId="1C5D6FB5">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03E4A2BF">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截至本预案签署日，璀璨远见的合伙人情况如下表所示：</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792"/>
        <w:gridCol w:w="3134"/>
        <w:gridCol w:w="1752"/>
        <w:gridCol w:w="1459"/>
        <w:gridCol w:w="1391"/>
      </w:tblGrid>
      <w:tr w14:paraId="4D11F8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769"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5D2D82B9">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序号</w:t>
            </w:r>
          </w:p>
        </w:tc>
        <w:tc>
          <w:tcPr>
            <w:tcW w:w="3044"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4F96AA46">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股东名称</w:t>
            </w:r>
          </w:p>
        </w:tc>
        <w:tc>
          <w:tcPr>
            <w:tcW w:w="1702"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7BE96633">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合伙人类型</w:t>
            </w:r>
          </w:p>
        </w:tc>
        <w:tc>
          <w:tcPr>
            <w:tcW w:w="1417"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74DDD140">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认缴出资额（万元）</w:t>
            </w:r>
          </w:p>
        </w:tc>
        <w:tc>
          <w:tcPr>
            <w:tcW w:w="1351"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1F097AF1">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出资比例（</w:t>
            </w:r>
            <w:r>
              <w:rPr>
                <w:rFonts w:ascii="Times New Roman" w:hAnsi="Times New Roman"/>
                <w:b/>
                <w:bCs/>
                <w:kern w:val="2"/>
                <w:sz w:val="21"/>
                <w:szCs w:val="21"/>
                <w:lang w:val="en-US" w:bidi="ar"/>
              </w:rPr>
              <w:t>%</w:t>
            </w:r>
            <w:r>
              <w:rPr>
                <w:rFonts w:hint="eastAsia" w:ascii="Times New Roman" w:hAnsi="Times New Roman" w:cs="宋体"/>
                <w:b/>
                <w:bCs/>
                <w:kern w:val="2"/>
                <w:sz w:val="21"/>
                <w:szCs w:val="21"/>
                <w:lang w:val="en-US" w:bidi="ar"/>
              </w:rPr>
              <w:t>）</w:t>
            </w:r>
          </w:p>
        </w:tc>
      </w:tr>
      <w:tr w14:paraId="1ABB26E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69"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82F5B5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w:t>
            </w:r>
          </w:p>
        </w:tc>
        <w:tc>
          <w:tcPr>
            <w:tcW w:w="3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ED4E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深圳璀璨私募股权投资管理有限公司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B72B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执行事务合伙人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7299D">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225.46</w:t>
            </w:r>
          </w:p>
        </w:tc>
        <w:tc>
          <w:tcPr>
            <w:tcW w:w="135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937817C">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5.87%</w:t>
            </w:r>
          </w:p>
        </w:tc>
      </w:tr>
      <w:tr w14:paraId="4FF3B70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69"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F22507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w:t>
            </w:r>
          </w:p>
        </w:tc>
        <w:tc>
          <w:tcPr>
            <w:tcW w:w="3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B5B8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深圳欣典信息科技有限公司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D13F0">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D1A97">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2,552.10</w:t>
            </w:r>
          </w:p>
        </w:tc>
        <w:tc>
          <w:tcPr>
            <w:tcW w:w="135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DE48B89">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66.42%</w:t>
            </w:r>
          </w:p>
        </w:tc>
      </w:tr>
      <w:tr w14:paraId="1C8CBDA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69"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64F9B6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w:t>
            </w:r>
          </w:p>
        </w:tc>
        <w:tc>
          <w:tcPr>
            <w:tcW w:w="3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E5CE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西安原本俱甲企业管理咨询合伙企业（有限合伙）</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6F55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14747">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355.62</w:t>
            </w:r>
          </w:p>
        </w:tc>
        <w:tc>
          <w:tcPr>
            <w:tcW w:w="135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9BED3E3">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9.26%</w:t>
            </w:r>
          </w:p>
        </w:tc>
      </w:tr>
      <w:tr w14:paraId="288DDE9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69"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0AC7866">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w:t>
            </w:r>
          </w:p>
        </w:tc>
        <w:tc>
          <w:tcPr>
            <w:tcW w:w="3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A2F1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汕头市黄金嘉玩具有限公司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AFB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58DAA">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211.51</w:t>
            </w:r>
          </w:p>
        </w:tc>
        <w:tc>
          <w:tcPr>
            <w:tcW w:w="135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CAC99F1">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5.51%</w:t>
            </w:r>
          </w:p>
        </w:tc>
      </w:tr>
      <w:tr w14:paraId="3B4B79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69"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57327E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w:t>
            </w:r>
          </w:p>
        </w:tc>
        <w:tc>
          <w:tcPr>
            <w:tcW w:w="3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6F93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广东聚盛药业集团有限公司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0D8F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A78C0">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141.78</w:t>
            </w:r>
          </w:p>
        </w:tc>
        <w:tc>
          <w:tcPr>
            <w:tcW w:w="135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F4F5C79">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3.69%</w:t>
            </w:r>
          </w:p>
        </w:tc>
      </w:tr>
      <w:tr w14:paraId="7E18F30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69"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32B4503">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6</w:t>
            </w:r>
          </w:p>
        </w:tc>
        <w:tc>
          <w:tcPr>
            <w:tcW w:w="3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A126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深圳市天华资产管理有限公司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94A7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6B569">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141.78</w:t>
            </w:r>
          </w:p>
        </w:tc>
        <w:tc>
          <w:tcPr>
            <w:tcW w:w="135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95B620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3.69%</w:t>
            </w:r>
          </w:p>
        </w:tc>
      </w:tr>
      <w:tr w14:paraId="084FD11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69"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91124A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7</w:t>
            </w:r>
          </w:p>
        </w:tc>
        <w:tc>
          <w:tcPr>
            <w:tcW w:w="3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F43F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汕头市大业塑胶玩具有限公司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4267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7D059">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141.78</w:t>
            </w:r>
          </w:p>
        </w:tc>
        <w:tc>
          <w:tcPr>
            <w:tcW w:w="135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8EE94E6">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3.69%</w:t>
            </w:r>
          </w:p>
        </w:tc>
      </w:tr>
      <w:tr w14:paraId="0A775E1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69"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1248DB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8</w:t>
            </w:r>
          </w:p>
        </w:tc>
        <w:tc>
          <w:tcPr>
            <w:tcW w:w="30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D4CD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深圳市恒和装饰设计工程有限公司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6F85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F0112">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72.05</w:t>
            </w:r>
          </w:p>
        </w:tc>
        <w:tc>
          <w:tcPr>
            <w:tcW w:w="1351"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EF6B2B3">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1.8</w:t>
            </w:r>
            <w:r>
              <w:rPr>
                <w:rFonts w:hint="eastAsia" w:ascii="Times New Roman" w:hAnsi="Times New Roman"/>
                <w:color w:val="000000"/>
                <w:kern w:val="2"/>
                <w:sz w:val="21"/>
                <w:szCs w:val="21"/>
                <w:lang w:val="en-US" w:bidi="ar"/>
              </w:rPr>
              <w:t>7</w:t>
            </w:r>
            <w:r>
              <w:rPr>
                <w:rFonts w:ascii="Times New Roman" w:hAnsi="Times New Roman"/>
                <w:color w:val="000000"/>
                <w:kern w:val="2"/>
                <w:sz w:val="21"/>
                <w:szCs w:val="21"/>
                <w:lang w:val="en-US" w:bidi="ar"/>
              </w:rPr>
              <w:t>%</w:t>
            </w:r>
          </w:p>
        </w:tc>
      </w:tr>
      <w:tr w14:paraId="5411144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514"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1CEFECF7">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合计</w:t>
            </w:r>
          </w:p>
        </w:tc>
        <w:tc>
          <w:tcPr>
            <w:tcW w:w="1417"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086C5FCA">
            <w:pPr>
              <w:widowControl/>
              <w:spacing w:before="120"/>
              <w:ind w:firstLine="0" w:firstLineChars="0"/>
              <w:jc w:val="right"/>
              <w:rPr>
                <w:rFonts w:cs="Times New Roman"/>
                <w:b/>
                <w:bCs/>
                <w:color w:val="000000"/>
                <w:sz w:val="21"/>
                <w:szCs w:val="21"/>
              </w:rPr>
            </w:pPr>
            <w:r>
              <w:rPr>
                <w:rFonts w:cs="Times New Roman"/>
                <w:b/>
                <w:bCs/>
                <w:color w:val="000000"/>
                <w:sz w:val="21"/>
                <w:szCs w:val="21"/>
                <w:lang w:bidi="ar"/>
              </w:rPr>
              <w:t>3,842.09</w:t>
            </w:r>
          </w:p>
        </w:tc>
        <w:tc>
          <w:tcPr>
            <w:tcW w:w="1351"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2BFEEE83">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100.00%</w:t>
            </w:r>
          </w:p>
        </w:tc>
      </w:tr>
    </w:tbl>
    <w:p w14:paraId="150DC5B4">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截至本预案签署日，璀璨远见的执行事务合伙人为深圳璀璨私募股权投资管理有限公司，产权控制关系如下：</w:t>
      </w:r>
    </w:p>
    <w:p w14:paraId="205FF02C">
      <w:pPr>
        <w:keepNext/>
        <w:keepLines/>
        <w:spacing w:before="120" w:after="120" w:afterLines="50"/>
        <w:ind w:firstLine="0" w:firstLineChars="0"/>
        <w:jc w:val="both"/>
      </w:pPr>
      <w:r>
        <w:drawing>
          <wp:inline distT="0" distB="0" distL="114300" distR="114300">
            <wp:extent cx="5273040" cy="1769110"/>
            <wp:effectExtent l="0" t="0" r="0" b="1397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21"/>
                    <a:stretch>
                      <a:fillRect/>
                    </a:stretch>
                  </pic:blipFill>
                  <pic:spPr>
                    <a:xfrm>
                      <a:off x="0" y="0"/>
                      <a:ext cx="5273040" cy="1769110"/>
                    </a:xfrm>
                    <a:prstGeom prst="rect">
                      <a:avLst/>
                    </a:prstGeom>
                    <a:noFill/>
                    <a:ln>
                      <a:noFill/>
                    </a:ln>
                  </pic:spPr>
                </pic:pic>
              </a:graphicData>
            </a:graphic>
          </wp:inline>
        </w:drawing>
      </w:r>
    </w:p>
    <w:p w14:paraId="0387251D">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（七）珠海乐熙熙投资合伙企业（有限合伙）</w:t>
      </w:r>
    </w:p>
    <w:p w14:paraId="1A0CE939">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0137BB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3F1020DB">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6DB69EF0">
            <w:pPr>
              <w:spacing w:before="120" w:line="240" w:lineRule="auto"/>
              <w:ind w:firstLine="0" w:firstLineChars="0"/>
              <w:jc w:val="both"/>
              <w:rPr>
                <w:rFonts w:cs="Times New Roman"/>
                <w:sz w:val="21"/>
                <w:szCs w:val="21"/>
              </w:rPr>
            </w:pPr>
            <w:r>
              <w:rPr>
                <w:rFonts w:hint="eastAsia" w:cs="Times New Roman"/>
                <w:sz w:val="21"/>
                <w:szCs w:val="21"/>
                <w:lang w:bidi="ar"/>
              </w:rPr>
              <w:t>珠海乐熙熙投资合伙企业（有限合伙）</w:t>
            </w:r>
          </w:p>
        </w:tc>
      </w:tr>
      <w:tr w14:paraId="7CA948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2FB54469">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0F914DF4">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47FDA9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075E4505">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1BF364A2">
            <w:pPr>
              <w:spacing w:before="120" w:line="240" w:lineRule="auto"/>
              <w:ind w:firstLine="0" w:firstLineChars="0"/>
              <w:jc w:val="both"/>
              <w:rPr>
                <w:rFonts w:cs="Times New Roman"/>
                <w:sz w:val="21"/>
                <w:szCs w:val="21"/>
              </w:rPr>
            </w:pPr>
            <w:r>
              <w:rPr>
                <w:rFonts w:hint="eastAsia" w:cs="Times New Roman"/>
                <w:sz w:val="21"/>
                <w:szCs w:val="21"/>
                <w:lang w:bidi="ar"/>
              </w:rPr>
              <w:t>珠海市横琴洋环村</w:t>
            </w:r>
            <w:r>
              <w:rPr>
                <w:rFonts w:cs="Times New Roman"/>
                <w:sz w:val="21"/>
                <w:szCs w:val="21"/>
                <w:lang w:bidi="ar"/>
              </w:rPr>
              <w:t>55</w:t>
            </w:r>
            <w:r>
              <w:rPr>
                <w:rFonts w:hint="eastAsia" w:cs="Times New Roman"/>
                <w:sz w:val="21"/>
                <w:szCs w:val="21"/>
                <w:lang w:bidi="ar"/>
              </w:rPr>
              <w:t>号第五层</w:t>
            </w:r>
          </w:p>
        </w:tc>
      </w:tr>
      <w:tr w14:paraId="7E150C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6A647C3F">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633A43FF">
            <w:pPr>
              <w:spacing w:before="120" w:line="240" w:lineRule="auto"/>
              <w:ind w:firstLine="0" w:firstLineChars="0"/>
              <w:jc w:val="both"/>
              <w:rPr>
                <w:rFonts w:cs="Times New Roman"/>
                <w:sz w:val="21"/>
                <w:szCs w:val="21"/>
              </w:rPr>
            </w:pPr>
            <w:r>
              <w:rPr>
                <w:rFonts w:cs="Times New Roman"/>
                <w:sz w:val="21"/>
                <w:szCs w:val="21"/>
                <w:lang w:bidi="ar"/>
              </w:rPr>
              <w:t>2017</w:t>
            </w:r>
            <w:r>
              <w:rPr>
                <w:rFonts w:hint="eastAsia" w:cs="Times New Roman"/>
                <w:sz w:val="21"/>
                <w:szCs w:val="21"/>
                <w:lang w:bidi="ar"/>
              </w:rPr>
              <w:t>年</w:t>
            </w:r>
            <w:r>
              <w:rPr>
                <w:rFonts w:cs="Times New Roman"/>
                <w:sz w:val="21"/>
                <w:szCs w:val="21"/>
                <w:lang w:bidi="ar"/>
              </w:rPr>
              <w:t>6</w:t>
            </w:r>
            <w:r>
              <w:rPr>
                <w:rFonts w:hint="eastAsia" w:cs="Times New Roman"/>
                <w:sz w:val="21"/>
                <w:szCs w:val="21"/>
                <w:lang w:bidi="ar"/>
              </w:rPr>
              <w:t>月</w:t>
            </w:r>
            <w:r>
              <w:rPr>
                <w:rFonts w:cs="Times New Roman"/>
                <w:sz w:val="21"/>
                <w:szCs w:val="21"/>
                <w:lang w:bidi="ar"/>
              </w:rPr>
              <w:t>21</w:t>
            </w:r>
            <w:r>
              <w:rPr>
                <w:rFonts w:hint="eastAsia" w:cs="Times New Roman"/>
                <w:sz w:val="21"/>
                <w:szCs w:val="21"/>
                <w:lang w:bidi="ar"/>
              </w:rPr>
              <w:t>日</w:t>
            </w:r>
          </w:p>
        </w:tc>
      </w:tr>
      <w:tr w14:paraId="4EB9CA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3F2F75CC">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529C761A">
            <w:pPr>
              <w:spacing w:before="120" w:line="240" w:lineRule="auto"/>
              <w:ind w:firstLine="0" w:firstLineChars="0"/>
              <w:jc w:val="both"/>
              <w:rPr>
                <w:rFonts w:cs="Times New Roman"/>
                <w:sz w:val="21"/>
                <w:szCs w:val="21"/>
              </w:rPr>
            </w:pPr>
            <w:r>
              <w:rPr>
                <w:rFonts w:hint="eastAsia" w:cs="Times New Roman"/>
                <w:sz w:val="21"/>
                <w:szCs w:val="21"/>
                <w:lang w:bidi="ar"/>
              </w:rPr>
              <w:t>0.837276万元</w:t>
            </w:r>
          </w:p>
        </w:tc>
      </w:tr>
      <w:tr w14:paraId="5E3F95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605E232F">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0A0FB6A2">
            <w:pPr>
              <w:spacing w:before="120" w:line="240" w:lineRule="auto"/>
              <w:ind w:firstLine="0" w:firstLineChars="0"/>
              <w:jc w:val="both"/>
              <w:rPr>
                <w:rFonts w:cs="Times New Roman"/>
                <w:sz w:val="21"/>
                <w:szCs w:val="21"/>
              </w:rPr>
            </w:pPr>
            <w:r>
              <w:rPr>
                <w:rFonts w:hint="eastAsia" w:cs="Times New Roman"/>
                <w:sz w:val="21"/>
                <w:szCs w:val="21"/>
                <w:lang w:bidi="ar"/>
              </w:rPr>
              <w:t>陈耿豪</w:t>
            </w:r>
          </w:p>
        </w:tc>
      </w:tr>
      <w:tr w14:paraId="59EBFC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3BF125B0">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0AFC66E9">
            <w:pPr>
              <w:spacing w:before="120" w:line="240" w:lineRule="auto"/>
              <w:ind w:firstLine="0" w:firstLineChars="0"/>
              <w:jc w:val="both"/>
              <w:rPr>
                <w:rFonts w:cs="Times New Roman"/>
                <w:sz w:val="21"/>
                <w:szCs w:val="21"/>
              </w:rPr>
            </w:pPr>
            <w:r>
              <w:rPr>
                <w:rFonts w:cs="Times New Roman"/>
                <w:sz w:val="21"/>
                <w:szCs w:val="21"/>
                <w:lang w:bidi="ar"/>
              </w:rPr>
              <w:t>91360982MA3629QM97</w:t>
            </w:r>
          </w:p>
        </w:tc>
      </w:tr>
      <w:tr w14:paraId="11F248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1841FBBB">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7E3281EF">
            <w:pPr>
              <w:spacing w:before="120" w:line="240" w:lineRule="auto"/>
              <w:ind w:firstLine="0" w:firstLineChars="0"/>
              <w:jc w:val="both"/>
              <w:rPr>
                <w:rFonts w:cs="Times New Roman"/>
                <w:sz w:val="21"/>
                <w:szCs w:val="21"/>
              </w:rPr>
            </w:pPr>
            <w:r>
              <w:rPr>
                <w:rFonts w:hint="eastAsia" w:cs="Times New Roman"/>
                <w:sz w:val="21"/>
                <w:szCs w:val="21"/>
                <w:lang w:bidi="ar"/>
              </w:rPr>
              <w:t>一般项目：以自有资金从事投资活动；社会经济咨询服务；软件开发；网络技术服务；信息技术咨询服务；技术服务、技术开发、技术咨询、技术交流、技术转让、技术推广；市场营销策划；广告制作；广告设计、代理；广告发布；知识产权服务（专利代理服务除外）；软件销售；电子元器件零售。（除依法须经批准的项目外，凭营业执照依法自主开展经营活动）</w:t>
            </w:r>
          </w:p>
        </w:tc>
      </w:tr>
    </w:tbl>
    <w:p w14:paraId="282F78A9">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1EF355B2">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截至本预案签署日，陈耿豪为珠海乐熙熙执行事务合伙人，珠海乐熙熙的合伙人及产权控制关系如下表所示</w:t>
      </w:r>
      <w:r>
        <w:rPr>
          <w:rFonts w:ascii="Times New Roman" w:hAnsi="Times New Roman"/>
          <w:kern w:val="2"/>
          <w:szCs w:val="22"/>
          <w:lang w:val="en-US" w:bidi="ar"/>
        </w:rPr>
        <w:t>:</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946"/>
        <w:gridCol w:w="1413"/>
        <w:gridCol w:w="1725"/>
        <w:gridCol w:w="2644"/>
        <w:gridCol w:w="1800"/>
      </w:tblGrid>
      <w:tr w14:paraId="0C75704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946"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6A478C74">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序号</w:t>
            </w:r>
          </w:p>
        </w:tc>
        <w:tc>
          <w:tcPr>
            <w:tcW w:w="1413"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261C5067">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股东名称</w:t>
            </w:r>
          </w:p>
        </w:tc>
        <w:tc>
          <w:tcPr>
            <w:tcW w:w="1725"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4A48515E">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合伙人类型</w:t>
            </w:r>
          </w:p>
        </w:tc>
        <w:tc>
          <w:tcPr>
            <w:tcW w:w="2644"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0F379F3D">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认缴出资额（元）</w:t>
            </w:r>
          </w:p>
        </w:tc>
        <w:tc>
          <w:tcPr>
            <w:tcW w:w="1800"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0AF920AF">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出资比例（%）</w:t>
            </w:r>
          </w:p>
        </w:tc>
      </w:tr>
      <w:tr w14:paraId="4AC9F5E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081E166">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2FCB6">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陈耿豪</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D3B57">
            <w:pPr>
              <w:widowControl/>
              <w:spacing w:before="120"/>
              <w:ind w:firstLine="0" w:firstLineChars="0"/>
              <w:jc w:val="center"/>
              <w:textAlignment w:val="center"/>
              <w:rPr>
                <w:sz w:val="21"/>
                <w:szCs w:val="21"/>
              </w:rPr>
            </w:pPr>
            <w:r>
              <w:rPr>
                <w:rFonts w:hint="eastAsia" w:ascii="宋体" w:hAnsi="宋体"/>
                <w:color w:val="000000"/>
                <w:sz w:val="21"/>
                <w:szCs w:val="21"/>
                <w:lang w:bidi="ar"/>
              </w:rPr>
              <w:t>执行事务合伙人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3C362">
            <w:pPr>
              <w:widowControl/>
              <w:spacing w:before="120"/>
              <w:ind w:firstLine="0" w:firstLineChars="0"/>
              <w:jc w:val="right"/>
              <w:textAlignment w:val="center"/>
              <w:rPr>
                <w:rFonts w:cs="Times New Roman"/>
                <w:sz w:val="21"/>
                <w:szCs w:val="21"/>
              </w:rPr>
            </w:pPr>
            <w:r>
              <w:rPr>
                <w:rFonts w:cs="Times New Roman"/>
                <w:color w:val="000000"/>
                <w:sz w:val="21"/>
                <w:szCs w:val="21"/>
                <w:lang w:bidi="ar"/>
              </w:rPr>
              <w:t>52.40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F567F7F">
            <w:pPr>
              <w:widowControl/>
              <w:spacing w:before="120"/>
              <w:ind w:firstLine="0" w:firstLineChars="0"/>
              <w:jc w:val="right"/>
              <w:textAlignment w:val="center"/>
              <w:rPr>
                <w:rFonts w:cs="Times New Roman"/>
                <w:sz w:val="21"/>
                <w:szCs w:val="21"/>
              </w:rPr>
            </w:pPr>
            <w:r>
              <w:rPr>
                <w:rFonts w:cs="Times New Roman"/>
                <w:color w:val="000000"/>
                <w:sz w:val="21"/>
                <w:szCs w:val="21"/>
                <w:lang w:bidi="ar"/>
              </w:rPr>
              <w:t>0.63%</w:t>
            </w:r>
          </w:p>
        </w:tc>
      </w:tr>
      <w:tr w14:paraId="622517E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79ACE6D">
            <w:pPr>
              <w:widowControl/>
              <w:spacing w:before="120"/>
              <w:ind w:firstLine="0" w:firstLineChars="0"/>
              <w:jc w:val="center"/>
              <w:textAlignment w:val="center"/>
              <w:rPr>
                <w:rFonts w:cs="Times New Roman"/>
                <w:sz w:val="21"/>
                <w:szCs w:val="21"/>
              </w:rPr>
            </w:pPr>
            <w:r>
              <w:rPr>
                <w:rFonts w:cs="Times New Roman"/>
                <w:color w:val="000000"/>
                <w:sz w:val="21"/>
                <w:szCs w:val="21"/>
                <w:lang w:bidi="ar"/>
              </w:rPr>
              <w:t>2</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305A6">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李祥坤</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6C6E1">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437B9">
            <w:pPr>
              <w:widowControl/>
              <w:spacing w:before="120"/>
              <w:ind w:firstLine="0" w:firstLineChars="0"/>
              <w:jc w:val="right"/>
              <w:textAlignment w:val="center"/>
              <w:rPr>
                <w:rFonts w:cs="Times New Roman"/>
                <w:sz w:val="21"/>
                <w:szCs w:val="21"/>
              </w:rPr>
            </w:pPr>
            <w:r>
              <w:rPr>
                <w:rFonts w:cs="Times New Roman"/>
                <w:color w:val="000000"/>
                <w:sz w:val="21"/>
                <w:szCs w:val="21"/>
                <w:lang w:bidi="ar"/>
              </w:rPr>
              <w:t>1,243.20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DBB1297">
            <w:pPr>
              <w:widowControl/>
              <w:spacing w:before="120"/>
              <w:ind w:firstLine="0" w:firstLineChars="0"/>
              <w:jc w:val="right"/>
              <w:textAlignment w:val="center"/>
              <w:rPr>
                <w:rFonts w:cs="Times New Roman"/>
                <w:sz w:val="21"/>
                <w:szCs w:val="21"/>
              </w:rPr>
            </w:pPr>
            <w:r>
              <w:rPr>
                <w:rFonts w:cs="Times New Roman"/>
                <w:color w:val="000000"/>
                <w:sz w:val="21"/>
                <w:szCs w:val="21"/>
                <w:lang w:bidi="ar"/>
              </w:rPr>
              <w:t>14.85%</w:t>
            </w:r>
          </w:p>
        </w:tc>
      </w:tr>
      <w:tr w14:paraId="1CC65FE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C553146">
            <w:pPr>
              <w:widowControl/>
              <w:spacing w:before="120"/>
              <w:ind w:firstLine="0" w:firstLineChars="0"/>
              <w:jc w:val="center"/>
              <w:textAlignment w:val="center"/>
              <w:rPr>
                <w:rFonts w:cs="Times New Roman"/>
                <w:sz w:val="21"/>
                <w:szCs w:val="21"/>
              </w:rPr>
            </w:pPr>
            <w:r>
              <w:rPr>
                <w:rFonts w:cs="Times New Roman"/>
                <w:color w:val="000000"/>
                <w:sz w:val="21"/>
                <w:szCs w:val="21"/>
                <w:lang w:bidi="ar"/>
              </w:rPr>
              <w:t>3</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5B275">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张超</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5493E">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EC56D">
            <w:pPr>
              <w:widowControl/>
              <w:spacing w:before="120"/>
              <w:ind w:firstLine="0" w:firstLineChars="0"/>
              <w:jc w:val="right"/>
              <w:textAlignment w:val="center"/>
              <w:rPr>
                <w:rFonts w:cs="Times New Roman"/>
                <w:sz w:val="21"/>
                <w:szCs w:val="21"/>
              </w:rPr>
            </w:pPr>
            <w:r>
              <w:rPr>
                <w:rFonts w:cs="Times New Roman"/>
                <w:color w:val="000000"/>
                <w:sz w:val="21"/>
                <w:szCs w:val="21"/>
                <w:lang w:bidi="ar"/>
              </w:rPr>
              <w:t>1,166.50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66CD52A">
            <w:pPr>
              <w:widowControl/>
              <w:spacing w:before="120"/>
              <w:ind w:firstLine="0" w:firstLineChars="0"/>
              <w:jc w:val="right"/>
              <w:textAlignment w:val="center"/>
              <w:rPr>
                <w:rFonts w:cs="Times New Roman"/>
                <w:sz w:val="21"/>
                <w:szCs w:val="21"/>
              </w:rPr>
            </w:pPr>
            <w:r>
              <w:rPr>
                <w:rFonts w:cs="Times New Roman"/>
                <w:color w:val="000000"/>
                <w:sz w:val="21"/>
                <w:szCs w:val="21"/>
                <w:lang w:bidi="ar"/>
              </w:rPr>
              <w:t>13.93%</w:t>
            </w:r>
          </w:p>
        </w:tc>
      </w:tr>
      <w:tr w14:paraId="7ACD1CC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10306E8">
            <w:pPr>
              <w:widowControl/>
              <w:spacing w:before="120"/>
              <w:ind w:firstLine="0" w:firstLineChars="0"/>
              <w:jc w:val="center"/>
              <w:textAlignment w:val="center"/>
              <w:rPr>
                <w:rFonts w:cs="Times New Roman"/>
                <w:sz w:val="21"/>
                <w:szCs w:val="21"/>
              </w:rPr>
            </w:pPr>
            <w:r>
              <w:rPr>
                <w:rFonts w:cs="Times New Roman"/>
                <w:color w:val="000000"/>
                <w:sz w:val="21"/>
                <w:szCs w:val="21"/>
                <w:lang w:bidi="ar"/>
              </w:rPr>
              <w:t>4</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27EFF">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曾小连</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4FFBE">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00EE3">
            <w:pPr>
              <w:widowControl/>
              <w:spacing w:before="120"/>
              <w:ind w:firstLine="0" w:firstLineChars="0"/>
              <w:jc w:val="right"/>
              <w:textAlignment w:val="center"/>
              <w:rPr>
                <w:rFonts w:cs="Times New Roman"/>
                <w:sz w:val="21"/>
                <w:szCs w:val="21"/>
              </w:rPr>
            </w:pPr>
            <w:r>
              <w:rPr>
                <w:rFonts w:cs="Times New Roman"/>
                <w:color w:val="000000"/>
                <w:sz w:val="21"/>
                <w:szCs w:val="21"/>
                <w:lang w:bidi="ar"/>
              </w:rPr>
              <w:t>710.40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9FDC52A">
            <w:pPr>
              <w:widowControl/>
              <w:spacing w:before="120"/>
              <w:ind w:firstLine="0" w:firstLineChars="0"/>
              <w:jc w:val="right"/>
              <w:textAlignment w:val="center"/>
              <w:rPr>
                <w:rFonts w:cs="Times New Roman"/>
                <w:sz w:val="21"/>
                <w:szCs w:val="21"/>
              </w:rPr>
            </w:pPr>
            <w:r>
              <w:rPr>
                <w:rFonts w:cs="Times New Roman"/>
                <w:color w:val="000000"/>
                <w:sz w:val="21"/>
                <w:szCs w:val="21"/>
                <w:lang w:bidi="ar"/>
              </w:rPr>
              <w:t>8.48%</w:t>
            </w:r>
          </w:p>
        </w:tc>
      </w:tr>
      <w:tr w14:paraId="2185297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178523C">
            <w:pPr>
              <w:widowControl/>
              <w:spacing w:before="120"/>
              <w:ind w:firstLine="0" w:firstLineChars="0"/>
              <w:jc w:val="center"/>
              <w:textAlignment w:val="center"/>
              <w:rPr>
                <w:rFonts w:cs="Times New Roman"/>
                <w:sz w:val="21"/>
                <w:szCs w:val="21"/>
              </w:rPr>
            </w:pPr>
            <w:r>
              <w:rPr>
                <w:rFonts w:cs="Times New Roman"/>
                <w:color w:val="000000"/>
                <w:sz w:val="21"/>
                <w:szCs w:val="21"/>
                <w:lang w:bidi="ar"/>
              </w:rPr>
              <w:t>5</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FA224">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何杰毅</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E12DC">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1A181">
            <w:pPr>
              <w:widowControl/>
              <w:spacing w:before="120"/>
              <w:ind w:firstLine="0" w:firstLineChars="0"/>
              <w:jc w:val="right"/>
              <w:textAlignment w:val="center"/>
              <w:rPr>
                <w:rFonts w:cs="Times New Roman"/>
                <w:sz w:val="21"/>
                <w:szCs w:val="21"/>
              </w:rPr>
            </w:pPr>
            <w:r>
              <w:rPr>
                <w:rFonts w:cs="Times New Roman"/>
                <w:color w:val="000000"/>
                <w:sz w:val="21"/>
                <w:szCs w:val="21"/>
                <w:lang w:bidi="ar"/>
              </w:rPr>
              <w:t>666.00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C3724E0">
            <w:pPr>
              <w:widowControl/>
              <w:spacing w:before="120"/>
              <w:ind w:firstLine="0" w:firstLineChars="0"/>
              <w:jc w:val="right"/>
              <w:textAlignment w:val="center"/>
              <w:rPr>
                <w:rFonts w:cs="Times New Roman"/>
                <w:sz w:val="21"/>
                <w:szCs w:val="21"/>
              </w:rPr>
            </w:pPr>
            <w:r>
              <w:rPr>
                <w:rFonts w:cs="Times New Roman"/>
                <w:color w:val="000000"/>
                <w:sz w:val="21"/>
                <w:szCs w:val="21"/>
                <w:lang w:bidi="ar"/>
              </w:rPr>
              <w:t>7.95%</w:t>
            </w:r>
          </w:p>
        </w:tc>
      </w:tr>
      <w:tr w14:paraId="1C2FE41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8F32909">
            <w:pPr>
              <w:widowControl/>
              <w:spacing w:before="120"/>
              <w:ind w:firstLine="0" w:firstLineChars="0"/>
              <w:jc w:val="center"/>
              <w:textAlignment w:val="center"/>
              <w:rPr>
                <w:rFonts w:cs="Times New Roman"/>
                <w:sz w:val="21"/>
                <w:szCs w:val="21"/>
              </w:rPr>
            </w:pPr>
            <w:r>
              <w:rPr>
                <w:rFonts w:cs="Times New Roman"/>
                <w:color w:val="000000"/>
                <w:sz w:val="21"/>
                <w:szCs w:val="21"/>
                <w:lang w:bidi="ar"/>
              </w:rPr>
              <w:t>6</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97C51">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刘名敏</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4333C">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C77C0">
            <w:pPr>
              <w:widowControl/>
              <w:spacing w:before="120"/>
              <w:ind w:firstLine="0" w:firstLineChars="0"/>
              <w:jc w:val="right"/>
              <w:textAlignment w:val="center"/>
              <w:rPr>
                <w:rFonts w:cs="Times New Roman"/>
                <w:sz w:val="21"/>
                <w:szCs w:val="21"/>
              </w:rPr>
            </w:pPr>
            <w:r>
              <w:rPr>
                <w:rFonts w:cs="Times New Roman"/>
                <w:color w:val="000000"/>
                <w:sz w:val="21"/>
                <w:szCs w:val="21"/>
                <w:lang w:bidi="ar"/>
              </w:rPr>
              <w:t>444.00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936DB39">
            <w:pPr>
              <w:widowControl/>
              <w:spacing w:before="120"/>
              <w:ind w:firstLine="0" w:firstLineChars="0"/>
              <w:jc w:val="right"/>
              <w:textAlignment w:val="center"/>
              <w:rPr>
                <w:rFonts w:cs="Times New Roman"/>
                <w:sz w:val="21"/>
                <w:szCs w:val="21"/>
              </w:rPr>
            </w:pPr>
            <w:r>
              <w:rPr>
                <w:rFonts w:cs="Times New Roman"/>
                <w:color w:val="000000"/>
                <w:sz w:val="21"/>
                <w:szCs w:val="21"/>
                <w:lang w:bidi="ar"/>
              </w:rPr>
              <w:t>5.30%</w:t>
            </w:r>
          </w:p>
        </w:tc>
      </w:tr>
      <w:tr w14:paraId="604264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C4023E1">
            <w:pPr>
              <w:widowControl/>
              <w:spacing w:before="120"/>
              <w:ind w:firstLine="0" w:firstLineChars="0"/>
              <w:jc w:val="center"/>
              <w:textAlignment w:val="center"/>
              <w:rPr>
                <w:rFonts w:cs="Times New Roman"/>
                <w:sz w:val="21"/>
                <w:szCs w:val="21"/>
              </w:rPr>
            </w:pPr>
            <w:r>
              <w:rPr>
                <w:rFonts w:cs="Times New Roman"/>
                <w:color w:val="000000"/>
                <w:sz w:val="21"/>
                <w:szCs w:val="21"/>
                <w:lang w:bidi="ar"/>
              </w:rPr>
              <w:t>7</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CECB3">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陈伟镇</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DD905">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8772E">
            <w:pPr>
              <w:widowControl/>
              <w:spacing w:before="120"/>
              <w:ind w:firstLine="0" w:firstLineChars="0"/>
              <w:jc w:val="right"/>
              <w:textAlignment w:val="center"/>
              <w:rPr>
                <w:rFonts w:cs="Times New Roman"/>
                <w:sz w:val="21"/>
                <w:szCs w:val="21"/>
              </w:rPr>
            </w:pPr>
            <w:r>
              <w:rPr>
                <w:rFonts w:cs="Times New Roman"/>
                <w:color w:val="000000"/>
                <w:sz w:val="21"/>
                <w:szCs w:val="21"/>
                <w:lang w:bidi="ar"/>
              </w:rPr>
              <w:t>444.00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0D8F63A">
            <w:pPr>
              <w:widowControl/>
              <w:spacing w:before="120"/>
              <w:ind w:firstLine="0" w:firstLineChars="0"/>
              <w:jc w:val="right"/>
              <w:textAlignment w:val="center"/>
              <w:rPr>
                <w:rFonts w:cs="Times New Roman"/>
                <w:sz w:val="21"/>
                <w:szCs w:val="21"/>
              </w:rPr>
            </w:pPr>
            <w:r>
              <w:rPr>
                <w:rFonts w:cs="Times New Roman"/>
                <w:color w:val="000000"/>
                <w:sz w:val="21"/>
                <w:szCs w:val="21"/>
                <w:lang w:bidi="ar"/>
              </w:rPr>
              <w:t>5.30%</w:t>
            </w:r>
          </w:p>
        </w:tc>
      </w:tr>
      <w:tr w14:paraId="2E5D20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2055B53">
            <w:pPr>
              <w:widowControl/>
              <w:spacing w:before="120"/>
              <w:ind w:firstLine="0" w:firstLineChars="0"/>
              <w:jc w:val="center"/>
              <w:textAlignment w:val="center"/>
              <w:rPr>
                <w:rFonts w:cs="Times New Roman"/>
                <w:sz w:val="21"/>
                <w:szCs w:val="21"/>
              </w:rPr>
            </w:pPr>
            <w:r>
              <w:rPr>
                <w:rFonts w:cs="Times New Roman"/>
                <w:color w:val="000000"/>
                <w:sz w:val="21"/>
                <w:szCs w:val="21"/>
                <w:lang w:bidi="ar"/>
              </w:rPr>
              <w:t>8</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72868">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陈腾蛟</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BF2E3">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8150A">
            <w:pPr>
              <w:widowControl/>
              <w:spacing w:before="120"/>
              <w:ind w:firstLine="0" w:firstLineChars="0"/>
              <w:jc w:val="right"/>
              <w:textAlignment w:val="center"/>
              <w:rPr>
                <w:rFonts w:cs="Times New Roman"/>
                <w:sz w:val="21"/>
                <w:szCs w:val="21"/>
              </w:rPr>
            </w:pPr>
            <w:r>
              <w:rPr>
                <w:rFonts w:cs="Times New Roman"/>
                <w:color w:val="000000"/>
                <w:sz w:val="21"/>
                <w:szCs w:val="21"/>
                <w:lang w:bidi="ar"/>
              </w:rPr>
              <w:t>399.65</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0F27B2B">
            <w:pPr>
              <w:widowControl/>
              <w:spacing w:before="120"/>
              <w:ind w:firstLine="0" w:firstLineChars="0"/>
              <w:jc w:val="right"/>
              <w:textAlignment w:val="center"/>
              <w:rPr>
                <w:rFonts w:cs="Times New Roman"/>
                <w:sz w:val="21"/>
                <w:szCs w:val="21"/>
              </w:rPr>
            </w:pPr>
            <w:r>
              <w:rPr>
                <w:rFonts w:cs="Times New Roman"/>
                <w:color w:val="000000"/>
                <w:sz w:val="21"/>
                <w:szCs w:val="21"/>
                <w:lang w:bidi="ar"/>
              </w:rPr>
              <w:t>4.77%</w:t>
            </w:r>
          </w:p>
        </w:tc>
      </w:tr>
      <w:tr w14:paraId="339CF2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32EBD26">
            <w:pPr>
              <w:widowControl/>
              <w:spacing w:before="120"/>
              <w:ind w:firstLine="0" w:firstLineChars="0"/>
              <w:jc w:val="center"/>
              <w:textAlignment w:val="center"/>
              <w:rPr>
                <w:rFonts w:cs="Times New Roman"/>
                <w:sz w:val="21"/>
                <w:szCs w:val="21"/>
              </w:rPr>
            </w:pPr>
            <w:r>
              <w:rPr>
                <w:rFonts w:cs="Times New Roman"/>
                <w:color w:val="000000"/>
                <w:sz w:val="21"/>
                <w:szCs w:val="21"/>
                <w:lang w:bidi="ar"/>
              </w:rPr>
              <w:t>9</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5BFB2">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周修亮</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C4A42">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F9FD3">
            <w:pPr>
              <w:widowControl/>
              <w:spacing w:before="120"/>
              <w:ind w:firstLine="0" w:firstLineChars="0"/>
              <w:jc w:val="right"/>
              <w:textAlignment w:val="center"/>
              <w:rPr>
                <w:rFonts w:cs="Times New Roman"/>
                <w:sz w:val="21"/>
                <w:szCs w:val="21"/>
              </w:rPr>
            </w:pPr>
            <w:r>
              <w:rPr>
                <w:rFonts w:cs="Times New Roman"/>
                <w:color w:val="000000"/>
                <w:sz w:val="21"/>
                <w:szCs w:val="21"/>
                <w:lang w:bidi="ar"/>
              </w:rPr>
              <w:t>355.24</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4C0244D">
            <w:pPr>
              <w:widowControl/>
              <w:spacing w:before="120"/>
              <w:ind w:firstLine="0" w:firstLineChars="0"/>
              <w:jc w:val="right"/>
              <w:textAlignment w:val="center"/>
              <w:rPr>
                <w:rFonts w:cs="Times New Roman"/>
                <w:sz w:val="21"/>
                <w:szCs w:val="21"/>
              </w:rPr>
            </w:pPr>
            <w:r>
              <w:rPr>
                <w:rFonts w:cs="Times New Roman"/>
                <w:color w:val="000000"/>
                <w:sz w:val="21"/>
                <w:szCs w:val="21"/>
                <w:lang w:bidi="ar"/>
              </w:rPr>
              <w:t>4.24%</w:t>
            </w:r>
          </w:p>
        </w:tc>
      </w:tr>
      <w:tr w14:paraId="2AF26ED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90A51AD">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10</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77D3C">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刘天雄</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AAFDB">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E3240">
            <w:pPr>
              <w:widowControl/>
              <w:spacing w:before="120"/>
              <w:ind w:firstLine="0" w:firstLineChars="0"/>
              <w:jc w:val="right"/>
              <w:textAlignment w:val="center"/>
              <w:rPr>
                <w:rFonts w:cs="Times New Roman"/>
                <w:sz w:val="21"/>
                <w:szCs w:val="21"/>
              </w:rPr>
            </w:pPr>
            <w:r>
              <w:rPr>
                <w:rFonts w:cs="Times New Roman"/>
                <w:color w:val="000000"/>
                <w:sz w:val="21"/>
                <w:szCs w:val="21"/>
                <w:lang w:bidi="ar"/>
              </w:rPr>
              <w:t>310.84</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E3462B0">
            <w:pPr>
              <w:widowControl/>
              <w:spacing w:before="120"/>
              <w:ind w:firstLine="0" w:firstLineChars="0"/>
              <w:jc w:val="right"/>
              <w:textAlignment w:val="center"/>
              <w:rPr>
                <w:rFonts w:cs="Times New Roman"/>
                <w:sz w:val="21"/>
                <w:szCs w:val="21"/>
              </w:rPr>
            </w:pPr>
            <w:r>
              <w:rPr>
                <w:rFonts w:cs="Times New Roman"/>
                <w:color w:val="000000"/>
                <w:sz w:val="21"/>
                <w:szCs w:val="21"/>
                <w:lang w:bidi="ar"/>
              </w:rPr>
              <w:t>3.71%</w:t>
            </w:r>
          </w:p>
        </w:tc>
      </w:tr>
      <w:tr w14:paraId="67DB471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15CC1E7">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11</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BB9DF">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谢岳生</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C22A2">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08E4E">
            <w:pPr>
              <w:widowControl/>
              <w:spacing w:before="120"/>
              <w:ind w:firstLine="0" w:firstLineChars="0"/>
              <w:jc w:val="right"/>
              <w:textAlignment w:val="center"/>
              <w:rPr>
                <w:rFonts w:cs="Times New Roman"/>
                <w:sz w:val="21"/>
                <w:szCs w:val="21"/>
              </w:rPr>
            </w:pPr>
            <w:r>
              <w:rPr>
                <w:rFonts w:cs="Times New Roman"/>
                <w:color w:val="000000"/>
                <w:sz w:val="21"/>
                <w:szCs w:val="21"/>
                <w:lang w:bidi="ar"/>
              </w:rPr>
              <w:t>266.48</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20F949D">
            <w:pPr>
              <w:widowControl/>
              <w:spacing w:before="120"/>
              <w:ind w:firstLine="0" w:firstLineChars="0"/>
              <w:jc w:val="right"/>
              <w:textAlignment w:val="center"/>
              <w:rPr>
                <w:rFonts w:cs="Times New Roman"/>
                <w:sz w:val="21"/>
                <w:szCs w:val="21"/>
              </w:rPr>
            </w:pPr>
            <w:r>
              <w:rPr>
                <w:rFonts w:cs="Times New Roman"/>
                <w:color w:val="000000"/>
                <w:sz w:val="21"/>
                <w:szCs w:val="21"/>
                <w:lang w:bidi="ar"/>
              </w:rPr>
              <w:t>3.18%</w:t>
            </w:r>
          </w:p>
        </w:tc>
      </w:tr>
      <w:tr w14:paraId="53941D4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AFF01AB">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12</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75265">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曾琪贺</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6C264">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39535">
            <w:pPr>
              <w:widowControl/>
              <w:spacing w:before="120"/>
              <w:ind w:firstLine="0" w:firstLineChars="0"/>
              <w:jc w:val="right"/>
              <w:textAlignment w:val="center"/>
              <w:rPr>
                <w:rFonts w:cs="Times New Roman"/>
                <w:sz w:val="21"/>
                <w:szCs w:val="21"/>
              </w:rPr>
            </w:pPr>
            <w:r>
              <w:rPr>
                <w:rFonts w:cs="Times New Roman"/>
                <w:color w:val="000000"/>
                <w:sz w:val="21"/>
                <w:szCs w:val="21"/>
                <w:lang w:bidi="ar"/>
              </w:rPr>
              <w:t>266.40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AE80033">
            <w:pPr>
              <w:widowControl/>
              <w:spacing w:before="120"/>
              <w:ind w:firstLine="0" w:firstLineChars="0"/>
              <w:jc w:val="right"/>
              <w:textAlignment w:val="center"/>
              <w:rPr>
                <w:rFonts w:cs="Times New Roman"/>
                <w:sz w:val="21"/>
                <w:szCs w:val="21"/>
              </w:rPr>
            </w:pPr>
            <w:r>
              <w:rPr>
                <w:rFonts w:cs="Times New Roman"/>
                <w:color w:val="000000"/>
                <w:sz w:val="21"/>
                <w:szCs w:val="21"/>
                <w:lang w:bidi="ar"/>
              </w:rPr>
              <w:t>3.18%</w:t>
            </w:r>
          </w:p>
        </w:tc>
      </w:tr>
      <w:tr w14:paraId="504153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97285C3">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13</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B8AF6">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邓菊芬</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C7B4E">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B1E49">
            <w:pPr>
              <w:widowControl/>
              <w:spacing w:before="120"/>
              <w:ind w:firstLine="0" w:firstLineChars="0"/>
              <w:jc w:val="right"/>
              <w:textAlignment w:val="center"/>
              <w:rPr>
                <w:rFonts w:cs="Times New Roman"/>
                <w:sz w:val="21"/>
                <w:szCs w:val="21"/>
              </w:rPr>
            </w:pPr>
            <w:r>
              <w:rPr>
                <w:rFonts w:cs="Times New Roman"/>
                <w:color w:val="000000"/>
                <w:sz w:val="21"/>
                <w:szCs w:val="21"/>
                <w:lang w:bidi="ar"/>
              </w:rPr>
              <w:t>222.00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56382E7">
            <w:pPr>
              <w:widowControl/>
              <w:spacing w:before="120"/>
              <w:ind w:firstLine="0" w:firstLineChars="0"/>
              <w:jc w:val="right"/>
              <w:textAlignment w:val="center"/>
              <w:rPr>
                <w:rFonts w:cs="Times New Roman"/>
                <w:sz w:val="21"/>
                <w:szCs w:val="21"/>
              </w:rPr>
            </w:pPr>
            <w:r>
              <w:rPr>
                <w:rFonts w:cs="Times New Roman"/>
                <w:color w:val="000000"/>
                <w:sz w:val="21"/>
                <w:szCs w:val="21"/>
                <w:lang w:bidi="ar"/>
              </w:rPr>
              <w:t>2.65%</w:t>
            </w:r>
          </w:p>
        </w:tc>
      </w:tr>
      <w:tr w14:paraId="5E99499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F657302">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14</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0D38D">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朱国强</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E65D9">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77361">
            <w:pPr>
              <w:widowControl/>
              <w:spacing w:before="120"/>
              <w:ind w:firstLine="0" w:firstLineChars="0"/>
              <w:jc w:val="right"/>
              <w:textAlignment w:val="center"/>
              <w:rPr>
                <w:rFonts w:cs="Times New Roman"/>
                <w:sz w:val="21"/>
                <w:szCs w:val="21"/>
              </w:rPr>
            </w:pPr>
            <w:r>
              <w:rPr>
                <w:rFonts w:cs="Times New Roman"/>
                <w:color w:val="000000"/>
                <w:sz w:val="21"/>
                <w:szCs w:val="21"/>
                <w:lang w:bidi="ar"/>
              </w:rPr>
              <w:t>177.60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2C5A598">
            <w:pPr>
              <w:widowControl/>
              <w:spacing w:before="120"/>
              <w:ind w:firstLine="0" w:firstLineChars="0"/>
              <w:jc w:val="right"/>
              <w:textAlignment w:val="center"/>
              <w:rPr>
                <w:rFonts w:cs="Times New Roman"/>
                <w:sz w:val="21"/>
                <w:szCs w:val="21"/>
              </w:rPr>
            </w:pPr>
            <w:r>
              <w:rPr>
                <w:rFonts w:cs="Times New Roman"/>
                <w:color w:val="000000"/>
                <w:sz w:val="21"/>
                <w:szCs w:val="21"/>
                <w:lang w:bidi="ar"/>
              </w:rPr>
              <w:t>2.12%</w:t>
            </w:r>
          </w:p>
        </w:tc>
      </w:tr>
      <w:tr w14:paraId="21FA0F8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D3F9502">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15</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82315">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余李娜</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FF946">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25487">
            <w:pPr>
              <w:widowControl/>
              <w:spacing w:before="120"/>
              <w:ind w:firstLine="0" w:firstLineChars="0"/>
              <w:jc w:val="right"/>
              <w:textAlignment w:val="center"/>
              <w:rPr>
                <w:rFonts w:cs="Times New Roman"/>
                <w:sz w:val="21"/>
                <w:szCs w:val="21"/>
              </w:rPr>
            </w:pPr>
            <w:r>
              <w:rPr>
                <w:rFonts w:cs="Times New Roman"/>
                <w:color w:val="000000"/>
                <w:sz w:val="21"/>
                <w:szCs w:val="21"/>
                <w:lang w:bidi="ar"/>
              </w:rPr>
              <w:t>177.73</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434FCE8">
            <w:pPr>
              <w:widowControl/>
              <w:spacing w:before="120"/>
              <w:ind w:firstLine="0" w:firstLineChars="0"/>
              <w:jc w:val="right"/>
              <w:textAlignment w:val="center"/>
              <w:rPr>
                <w:rFonts w:cs="Times New Roman"/>
                <w:sz w:val="21"/>
                <w:szCs w:val="21"/>
              </w:rPr>
            </w:pPr>
            <w:r>
              <w:rPr>
                <w:rFonts w:cs="Times New Roman"/>
                <w:color w:val="000000"/>
                <w:sz w:val="21"/>
                <w:szCs w:val="21"/>
                <w:lang w:bidi="ar"/>
              </w:rPr>
              <w:t>2.12%</w:t>
            </w:r>
          </w:p>
        </w:tc>
      </w:tr>
      <w:tr w14:paraId="178A6A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8FFB56A">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16</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6233">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邓斌</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BC9CB">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50D18">
            <w:pPr>
              <w:widowControl/>
              <w:spacing w:before="120"/>
              <w:ind w:firstLine="0" w:firstLineChars="0"/>
              <w:jc w:val="right"/>
              <w:textAlignment w:val="center"/>
              <w:rPr>
                <w:rFonts w:cs="Times New Roman"/>
                <w:sz w:val="21"/>
                <w:szCs w:val="21"/>
              </w:rPr>
            </w:pPr>
            <w:r>
              <w:rPr>
                <w:rFonts w:cs="Times New Roman"/>
                <w:color w:val="000000"/>
                <w:sz w:val="21"/>
                <w:szCs w:val="21"/>
                <w:lang w:bidi="ar"/>
              </w:rPr>
              <w:t>177.68</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A3AA010">
            <w:pPr>
              <w:widowControl/>
              <w:spacing w:before="120"/>
              <w:ind w:firstLine="0" w:firstLineChars="0"/>
              <w:jc w:val="right"/>
              <w:textAlignment w:val="center"/>
              <w:rPr>
                <w:rFonts w:cs="Times New Roman"/>
                <w:sz w:val="21"/>
                <w:szCs w:val="21"/>
              </w:rPr>
            </w:pPr>
            <w:r>
              <w:rPr>
                <w:rFonts w:cs="Times New Roman"/>
                <w:color w:val="000000"/>
                <w:sz w:val="21"/>
                <w:szCs w:val="21"/>
                <w:lang w:bidi="ar"/>
              </w:rPr>
              <w:t>2.12%</w:t>
            </w:r>
          </w:p>
        </w:tc>
      </w:tr>
      <w:tr w14:paraId="66D2ED7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BA0AE61">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17</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DC4EC">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曾嘉宇</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9AC24">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B53DF">
            <w:pPr>
              <w:widowControl/>
              <w:spacing w:before="120"/>
              <w:ind w:firstLine="0" w:firstLineChars="0"/>
              <w:jc w:val="right"/>
              <w:textAlignment w:val="center"/>
              <w:rPr>
                <w:rFonts w:cs="Times New Roman"/>
                <w:sz w:val="21"/>
                <w:szCs w:val="21"/>
              </w:rPr>
            </w:pPr>
            <w:r>
              <w:rPr>
                <w:rFonts w:cs="Times New Roman"/>
                <w:color w:val="000000"/>
                <w:sz w:val="21"/>
                <w:szCs w:val="21"/>
                <w:lang w:bidi="ar"/>
              </w:rPr>
              <w:t>133.25</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6F58DA1">
            <w:pPr>
              <w:widowControl/>
              <w:spacing w:before="120"/>
              <w:ind w:firstLine="0" w:firstLineChars="0"/>
              <w:jc w:val="right"/>
              <w:textAlignment w:val="center"/>
              <w:rPr>
                <w:rFonts w:cs="Times New Roman"/>
                <w:sz w:val="21"/>
                <w:szCs w:val="21"/>
              </w:rPr>
            </w:pPr>
            <w:r>
              <w:rPr>
                <w:rFonts w:cs="Times New Roman"/>
                <w:color w:val="000000"/>
                <w:sz w:val="21"/>
                <w:szCs w:val="21"/>
                <w:lang w:bidi="ar"/>
              </w:rPr>
              <w:t>1.59%</w:t>
            </w:r>
          </w:p>
        </w:tc>
      </w:tr>
      <w:tr w14:paraId="5F0ECE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FCB00A6">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18</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8F266">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徐影</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7CFBF">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5751E">
            <w:pPr>
              <w:widowControl/>
              <w:spacing w:before="120"/>
              <w:ind w:firstLine="0" w:firstLineChars="0"/>
              <w:jc w:val="right"/>
              <w:textAlignment w:val="center"/>
              <w:rPr>
                <w:rFonts w:cs="Times New Roman"/>
                <w:sz w:val="21"/>
                <w:szCs w:val="21"/>
              </w:rPr>
            </w:pPr>
            <w:r>
              <w:rPr>
                <w:rFonts w:cs="Times New Roman"/>
                <w:color w:val="000000"/>
                <w:sz w:val="21"/>
                <w:szCs w:val="21"/>
                <w:lang w:bidi="ar"/>
              </w:rPr>
              <w:t>133.25</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C749925">
            <w:pPr>
              <w:widowControl/>
              <w:spacing w:before="120"/>
              <w:ind w:firstLine="0" w:firstLineChars="0"/>
              <w:jc w:val="right"/>
              <w:textAlignment w:val="center"/>
              <w:rPr>
                <w:rFonts w:cs="Times New Roman"/>
                <w:sz w:val="21"/>
                <w:szCs w:val="21"/>
              </w:rPr>
            </w:pPr>
            <w:r>
              <w:rPr>
                <w:rFonts w:cs="Times New Roman"/>
                <w:color w:val="000000"/>
                <w:sz w:val="21"/>
                <w:szCs w:val="21"/>
                <w:lang w:bidi="ar"/>
              </w:rPr>
              <w:t>1.59%</w:t>
            </w:r>
          </w:p>
        </w:tc>
      </w:tr>
      <w:tr w14:paraId="12EBE5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885E71C">
            <w:pPr>
              <w:widowControl/>
              <w:spacing w:before="120"/>
              <w:ind w:firstLine="0" w:firstLineChars="0"/>
              <w:jc w:val="center"/>
              <w:textAlignment w:val="center"/>
              <w:rPr>
                <w:rFonts w:cs="Times New Roman"/>
                <w:color w:val="000000"/>
                <w:sz w:val="21"/>
                <w:szCs w:val="21"/>
                <w:lang w:bidi="ar"/>
              </w:rPr>
            </w:pPr>
            <w:r>
              <w:rPr>
                <w:rFonts w:cs="Times New Roman"/>
                <w:color w:val="000000"/>
                <w:sz w:val="21"/>
                <w:szCs w:val="21"/>
                <w:lang w:bidi="ar"/>
              </w:rPr>
              <w:t>19</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95E1A">
            <w:pPr>
              <w:widowControl/>
              <w:spacing w:before="120"/>
              <w:ind w:firstLine="0" w:firstLineChars="0"/>
              <w:jc w:val="center"/>
              <w:textAlignment w:val="center"/>
              <w:rPr>
                <w:rFonts w:hint="eastAsia" w:ascii="宋体" w:hAnsi="宋体"/>
                <w:color w:val="000000"/>
                <w:sz w:val="21"/>
                <w:szCs w:val="21"/>
                <w:lang w:bidi="ar"/>
              </w:rPr>
            </w:pPr>
            <w:r>
              <w:rPr>
                <w:rFonts w:hint="eastAsia" w:ascii="宋体" w:hAnsi="宋体"/>
                <w:color w:val="000000"/>
                <w:sz w:val="21"/>
                <w:szCs w:val="21"/>
                <w:lang w:bidi="ar"/>
              </w:rPr>
              <w:t>朱锦艳</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80516">
            <w:pPr>
              <w:widowControl/>
              <w:spacing w:before="120"/>
              <w:ind w:firstLine="0" w:firstLineChars="0"/>
              <w:jc w:val="center"/>
              <w:textAlignment w:val="center"/>
              <w:rPr>
                <w:rFonts w:hint="eastAsia" w:ascii="宋体" w:hAnsi="宋体"/>
                <w:color w:val="000000"/>
                <w:sz w:val="21"/>
                <w:szCs w:val="21"/>
                <w:lang w:bidi="ar"/>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119A1">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133.20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5A9530C">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1.59%</w:t>
            </w:r>
          </w:p>
        </w:tc>
      </w:tr>
      <w:tr w14:paraId="290E850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A4DC469">
            <w:pPr>
              <w:widowControl/>
              <w:spacing w:before="120"/>
              <w:ind w:firstLine="0" w:firstLineChars="0"/>
              <w:jc w:val="center"/>
              <w:textAlignment w:val="center"/>
              <w:rPr>
                <w:rFonts w:cs="Times New Roman"/>
                <w:sz w:val="21"/>
                <w:szCs w:val="21"/>
              </w:rPr>
            </w:pPr>
            <w:r>
              <w:rPr>
                <w:rFonts w:cs="Times New Roman"/>
                <w:color w:val="000000"/>
                <w:sz w:val="21"/>
                <w:szCs w:val="21"/>
                <w:lang w:bidi="ar"/>
              </w:rPr>
              <w:t>20</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D17D0">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许伟杰</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5FAC9">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AFA36">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106.67</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BF702DE">
            <w:pPr>
              <w:widowControl/>
              <w:spacing w:before="120"/>
              <w:ind w:firstLine="0" w:firstLineChars="0"/>
              <w:jc w:val="right"/>
              <w:textAlignment w:val="center"/>
              <w:rPr>
                <w:rFonts w:cs="Times New Roman"/>
                <w:sz w:val="21"/>
                <w:szCs w:val="21"/>
              </w:rPr>
            </w:pPr>
            <w:r>
              <w:rPr>
                <w:rFonts w:cs="Times New Roman"/>
                <w:color w:val="000000"/>
                <w:sz w:val="21"/>
                <w:szCs w:val="21"/>
                <w:lang w:bidi="ar"/>
              </w:rPr>
              <w:t>1.27%</w:t>
            </w:r>
          </w:p>
        </w:tc>
      </w:tr>
      <w:tr w14:paraId="68979F3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29F4BB7">
            <w:pPr>
              <w:widowControl/>
              <w:spacing w:before="120"/>
              <w:ind w:firstLine="0" w:firstLineChars="0"/>
              <w:jc w:val="center"/>
              <w:textAlignment w:val="center"/>
              <w:rPr>
                <w:rFonts w:cs="Times New Roman"/>
                <w:sz w:val="21"/>
                <w:szCs w:val="21"/>
              </w:rPr>
            </w:pPr>
            <w:r>
              <w:rPr>
                <w:rFonts w:cs="Times New Roman"/>
                <w:color w:val="000000"/>
                <w:sz w:val="21"/>
                <w:szCs w:val="21"/>
                <w:lang w:bidi="ar"/>
              </w:rPr>
              <w:t>21</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D20B2">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陈伟健</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46DD0">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81F87">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106.67</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E0D8C9F">
            <w:pPr>
              <w:widowControl/>
              <w:spacing w:before="120"/>
              <w:ind w:firstLine="0" w:firstLineChars="0"/>
              <w:jc w:val="right"/>
              <w:textAlignment w:val="center"/>
              <w:rPr>
                <w:rFonts w:cs="Times New Roman"/>
                <w:sz w:val="21"/>
                <w:szCs w:val="21"/>
              </w:rPr>
            </w:pPr>
            <w:r>
              <w:rPr>
                <w:rFonts w:cs="Times New Roman"/>
                <w:color w:val="000000"/>
                <w:sz w:val="21"/>
                <w:szCs w:val="21"/>
                <w:lang w:bidi="ar"/>
              </w:rPr>
              <w:t>1.27%</w:t>
            </w:r>
          </w:p>
        </w:tc>
      </w:tr>
      <w:tr w14:paraId="53CAEF6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035D397">
            <w:pPr>
              <w:widowControl/>
              <w:spacing w:before="120"/>
              <w:ind w:firstLine="0" w:firstLineChars="0"/>
              <w:jc w:val="center"/>
              <w:textAlignment w:val="center"/>
              <w:rPr>
                <w:rFonts w:cs="Times New Roman"/>
                <w:sz w:val="21"/>
                <w:szCs w:val="21"/>
              </w:rPr>
            </w:pPr>
            <w:r>
              <w:rPr>
                <w:rFonts w:cs="Times New Roman"/>
                <w:color w:val="000000"/>
                <w:sz w:val="21"/>
                <w:szCs w:val="21"/>
                <w:lang w:bidi="ar"/>
              </w:rPr>
              <w:t>22</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4F2A3">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郑楚钊</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5DCEA">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B9CCB">
            <w:pPr>
              <w:widowControl/>
              <w:spacing w:before="120"/>
              <w:ind w:firstLine="0" w:firstLineChars="0"/>
              <w:jc w:val="right"/>
              <w:textAlignment w:val="center"/>
              <w:rPr>
                <w:rFonts w:cs="Times New Roman"/>
                <w:sz w:val="21"/>
                <w:szCs w:val="21"/>
              </w:rPr>
            </w:pPr>
            <w:r>
              <w:rPr>
                <w:rFonts w:cs="Times New Roman"/>
                <w:color w:val="000000"/>
                <w:sz w:val="21"/>
                <w:szCs w:val="21"/>
                <w:lang w:bidi="ar"/>
              </w:rPr>
              <w:t>88.80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F5FA7EB">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1.06%</w:t>
            </w:r>
          </w:p>
        </w:tc>
      </w:tr>
      <w:tr w14:paraId="0DD5DC5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0D88C92">
            <w:pPr>
              <w:widowControl/>
              <w:spacing w:before="120"/>
              <w:ind w:firstLine="0" w:firstLineChars="0"/>
              <w:jc w:val="center"/>
              <w:textAlignment w:val="center"/>
              <w:rPr>
                <w:rFonts w:cs="Times New Roman"/>
                <w:sz w:val="21"/>
                <w:szCs w:val="21"/>
              </w:rPr>
            </w:pPr>
            <w:r>
              <w:rPr>
                <w:rFonts w:cs="Times New Roman"/>
                <w:color w:val="000000"/>
                <w:sz w:val="21"/>
                <w:szCs w:val="21"/>
                <w:lang w:bidi="ar"/>
              </w:rPr>
              <w:t>23</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12EEC">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李鹏</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A8A5D">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D286B">
            <w:pPr>
              <w:widowControl/>
              <w:spacing w:before="120"/>
              <w:ind w:firstLine="0" w:firstLineChars="0"/>
              <w:jc w:val="right"/>
              <w:textAlignment w:val="center"/>
              <w:rPr>
                <w:rFonts w:cs="Times New Roman"/>
                <w:sz w:val="21"/>
                <w:szCs w:val="21"/>
              </w:rPr>
            </w:pPr>
            <w:r>
              <w:rPr>
                <w:rFonts w:cs="Times New Roman"/>
                <w:color w:val="000000"/>
                <w:sz w:val="21"/>
                <w:szCs w:val="21"/>
                <w:lang w:bidi="ar"/>
              </w:rPr>
              <w:t>88.85</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0CDF899">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1.06%</w:t>
            </w:r>
          </w:p>
        </w:tc>
      </w:tr>
      <w:tr w14:paraId="518524B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C61EA9C">
            <w:pPr>
              <w:widowControl/>
              <w:spacing w:before="120"/>
              <w:ind w:firstLine="0" w:firstLineChars="0"/>
              <w:jc w:val="center"/>
              <w:textAlignment w:val="center"/>
              <w:rPr>
                <w:rFonts w:cs="Times New Roman"/>
                <w:color w:val="000000"/>
                <w:sz w:val="21"/>
                <w:szCs w:val="21"/>
                <w:lang w:bidi="ar"/>
              </w:rPr>
            </w:pPr>
            <w:r>
              <w:rPr>
                <w:rFonts w:cs="Times New Roman"/>
                <w:color w:val="000000"/>
                <w:sz w:val="21"/>
                <w:szCs w:val="21"/>
                <w:lang w:bidi="ar"/>
              </w:rPr>
              <w:t>24</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7FC03">
            <w:pPr>
              <w:widowControl/>
              <w:spacing w:before="120"/>
              <w:ind w:firstLine="0" w:firstLineChars="0"/>
              <w:jc w:val="center"/>
              <w:textAlignment w:val="center"/>
              <w:rPr>
                <w:rFonts w:cs="Times New Roman"/>
                <w:color w:val="000000"/>
                <w:sz w:val="21"/>
                <w:szCs w:val="21"/>
                <w:lang w:bidi="ar"/>
              </w:rPr>
            </w:pPr>
            <w:r>
              <w:rPr>
                <w:rFonts w:hint="eastAsia" w:ascii="宋体" w:hAnsi="宋体"/>
                <w:color w:val="000000"/>
                <w:sz w:val="21"/>
                <w:szCs w:val="21"/>
                <w:lang w:bidi="ar"/>
              </w:rPr>
              <w:t>刘雄培</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B6762">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E4A29">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88.85</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9EE379A">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1.06%</w:t>
            </w:r>
          </w:p>
        </w:tc>
      </w:tr>
      <w:tr w14:paraId="7F8C72D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F29279D">
            <w:pPr>
              <w:widowControl/>
              <w:spacing w:before="120"/>
              <w:ind w:firstLine="0" w:firstLineChars="0"/>
              <w:jc w:val="center"/>
              <w:textAlignment w:val="center"/>
              <w:rPr>
                <w:rFonts w:cs="Times New Roman"/>
                <w:color w:val="000000"/>
                <w:sz w:val="21"/>
                <w:szCs w:val="21"/>
                <w:lang w:bidi="ar"/>
              </w:rPr>
            </w:pPr>
            <w:r>
              <w:rPr>
                <w:rFonts w:cs="Times New Roman"/>
                <w:color w:val="000000"/>
                <w:sz w:val="21"/>
                <w:szCs w:val="21"/>
                <w:lang w:bidi="ar"/>
              </w:rPr>
              <w:t>25</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26B25">
            <w:pPr>
              <w:widowControl/>
              <w:spacing w:before="120"/>
              <w:ind w:firstLine="0" w:firstLineChars="0"/>
              <w:jc w:val="center"/>
              <w:textAlignment w:val="center"/>
              <w:rPr>
                <w:rFonts w:cs="Times New Roman"/>
                <w:color w:val="000000"/>
                <w:sz w:val="21"/>
                <w:szCs w:val="21"/>
                <w:lang w:bidi="ar"/>
              </w:rPr>
            </w:pPr>
            <w:r>
              <w:rPr>
                <w:rFonts w:hint="eastAsia" w:ascii="宋体" w:hAnsi="宋体"/>
                <w:color w:val="000000"/>
                <w:sz w:val="21"/>
                <w:szCs w:val="21"/>
                <w:lang w:bidi="ar"/>
              </w:rPr>
              <w:t>沈佳琴</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6E965">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E4459">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88.85</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EB54BD1">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1.06%</w:t>
            </w:r>
          </w:p>
        </w:tc>
      </w:tr>
      <w:tr w14:paraId="4C350B0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BD0AAE6">
            <w:pPr>
              <w:widowControl/>
              <w:spacing w:before="120"/>
              <w:ind w:firstLine="0" w:firstLineChars="0"/>
              <w:jc w:val="center"/>
              <w:textAlignment w:val="center"/>
              <w:rPr>
                <w:rFonts w:cs="Times New Roman"/>
                <w:color w:val="000000"/>
                <w:sz w:val="21"/>
                <w:szCs w:val="21"/>
                <w:lang w:bidi="ar"/>
              </w:rPr>
            </w:pPr>
            <w:r>
              <w:rPr>
                <w:rFonts w:cs="Times New Roman"/>
                <w:color w:val="000000"/>
                <w:sz w:val="21"/>
                <w:szCs w:val="21"/>
                <w:lang w:bidi="ar"/>
              </w:rPr>
              <w:t>26</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01BC8">
            <w:pPr>
              <w:widowControl/>
              <w:spacing w:before="120"/>
              <w:ind w:firstLine="0" w:firstLineChars="0"/>
              <w:jc w:val="center"/>
              <w:textAlignment w:val="center"/>
              <w:rPr>
                <w:rFonts w:cs="Times New Roman"/>
                <w:color w:val="000000"/>
                <w:sz w:val="21"/>
                <w:szCs w:val="21"/>
                <w:lang w:bidi="ar"/>
              </w:rPr>
            </w:pPr>
            <w:r>
              <w:rPr>
                <w:rFonts w:hint="eastAsia" w:ascii="宋体" w:hAnsi="宋体"/>
                <w:color w:val="000000"/>
                <w:sz w:val="21"/>
                <w:szCs w:val="21"/>
                <w:lang w:bidi="ar"/>
              </w:rPr>
              <w:t>陈晓淳</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62458">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8CA2D">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88.87</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989023C">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1.06%</w:t>
            </w:r>
          </w:p>
        </w:tc>
      </w:tr>
      <w:tr w14:paraId="2B1732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22FED8E">
            <w:pPr>
              <w:widowControl/>
              <w:spacing w:before="120"/>
              <w:ind w:firstLine="0" w:firstLineChars="0"/>
              <w:jc w:val="center"/>
              <w:textAlignment w:val="center"/>
              <w:rPr>
                <w:rFonts w:cs="Times New Roman"/>
                <w:color w:val="000000"/>
                <w:sz w:val="21"/>
                <w:szCs w:val="21"/>
                <w:lang w:bidi="ar"/>
              </w:rPr>
            </w:pPr>
            <w:r>
              <w:rPr>
                <w:rFonts w:cs="Times New Roman"/>
                <w:color w:val="000000"/>
                <w:sz w:val="21"/>
                <w:szCs w:val="21"/>
                <w:lang w:bidi="ar"/>
              </w:rPr>
              <w:t>27</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2F5D8">
            <w:pPr>
              <w:widowControl/>
              <w:spacing w:before="120"/>
              <w:ind w:firstLine="0" w:firstLineChars="0"/>
              <w:jc w:val="center"/>
              <w:textAlignment w:val="center"/>
              <w:rPr>
                <w:rFonts w:cs="Times New Roman"/>
                <w:color w:val="000000"/>
                <w:sz w:val="21"/>
                <w:szCs w:val="21"/>
                <w:lang w:bidi="ar"/>
              </w:rPr>
            </w:pPr>
            <w:r>
              <w:rPr>
                <w:rFonts w:hint="eastAsia" w:ascii="宋体" w:hAnsi="宋体"/>
                <w:color w:val="000000"/>
                <w:sz w:val="21"/>
                <w:szCs w:val="21"/>
                <w:lang w:bidi="ar"/>
              </w:rPr>
              <w:t>何华文</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2C1BA">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6FCE3">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88.87</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E9D5AEB">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1.06%</w:t>
            </w:r>
          </w:p>
        </w:tc>
      </w:tr>
      <w:tr w14:paraId="4918872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ABF4922">
            <w:pPr>
              <w:widowControl/>
              <w:spacing w:before="120"/>
              <w:ind w:firstLine="0" w:firstLineChars="0"/>
              <w:jc w:val="center"/>
              <w:textAlignment w:val="center"/>
              <w:rPr>
                <w:rFonts w:cs="Times New Roman"/>
                <w:color w:val="000000"/>
                <w:sz w:val="21"/>
                <w:szCs w:val="21"/>
                <w:lang w:bidi="ar"/>
              </w:rPr>
            </w:pPr>
            <w:r>
              <w:rPr>
                <w:rFonts w:cs="Times New Roman"/>
                <w:color w:val="000000"/>
                <w:sz w:val="21"/>
                <w:szCs w:val="21"/>
                <w:lang w:bidi="ar"/>
              </w:rPr>
              <w:t>28</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DB61B">
            <w:pPr>
              <w:widowControl/>
              <w:spacing w:before="120"/>
              <w:ind w:firstLine="0" w:firstLineChars="0"/>
              <w:jc w:val="center"/>
              <w:textAlignment w:val="center"/>
              <w:rPr>
                <w:rFonts w:cs="Times New Roman"/>
                <w:color w:val="000000"/>
                <w:sz w:val="21"/>
                <w:szCs w:val="21"/>
                <w:lang w:bidi="ar"/>
              </w:rPr>
            </w:pPr>
            <w:r>
              <w:rPr>
                <w:rFonts w:hint="eastAsia" w:ascii="宋体" w:hAnsi="宋体"/>
                <w:color w:val="000000"/>
                <w:sz w:val="21"/>
                <w:szCs w:val="21"/>
                <w:lang w:bidi="ar"/>
              </w:rPr>
              <w:t>周兴林</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8FD0D">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B9D07">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44.40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55D9600">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0.53%</w:t>
            </w:r>
          </w:p>
        </w:tc>
      </w:tr>
      <w:tr w14:paraId="4BD80C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0F3C02B">
            <w:pPr>
              <w:widowControl/>
              <w:spacing w:before="120"/>
              <w:ind w:firstLine="0" w:firstLineChars="0"/>
              <w:jc w:val="center"/>
              <w:textAlignment w:val="center"/>
              <w:rPr>
                <w:rFonts w:cs="Times New Roman"/>
                <w:color w:val="000000"/>
                <w:sz w:val="21"/>
                <w:szCs w:val="21"/>
                <w:lang w:bidi="ar"/>
              </w:rPr>
            </w:pPr>
            <w:r>
              <w:rPr>
                <w:rFonts w:cs="Times New Roman"/>
                <w:color w:val="000000"/>
                <w:sz w:val="21"/>
                <w:szCs w:val="21"/>
                <w:lang w:bidi="ar"/>
              </w:rPr>
              <w:t>29</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73942">
            <w:pPr>
              <w:widowControl/>
              <w:spacing w:before="120"/>
              <w:ind w:firstLine="0" w:firstLineChars="0"/>
              <w:jc w:val="center"/>
              <w:textAlignment w:val="center"/>
              <w:rPr>
                <w:rFonts w:cs="Times New Roman"/>
                <w:color w:val="000000"/>
                <w:sz w:val="21"/>
                <w:szCs w:val="21"/>
                <w:lang w:bidi="ar"/>
              </w:rPr>
            </w:pPr>
            <w:r>
              <w:rPr>
                <w:rFonts w:hint="eastAsia" w:ascii="宋体" w:hAnsi="宋体"/>
                <w:color w:val="000000"/>
                <w:sz w:val="21"/>
                <w:szCs w:val="21"/>
                <w:lang w:bidi="ar"/>
              </w:rPr>
              <w:t>陈伟鸿</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19442">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25D3B">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44.40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D4D3078">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0.53%</w:t>
            </w:r>
          </w:p>
        </w:tc>
      </w:tr>
      <w:tr w14:paraId="64D9EA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27528BA">
            <w:pPr>
              <w:widowControl/>
              <w:spacing w:before="120"/>
              <w:ind w:firstLine="0" w:firstLineChars="0"/>
              <w:jc w:val="center"/>
              <w:textAlignment w:val="center"/>
              <w:rPr>
                <w:rFonts w:cs="Times New Roman"/>
                <w:color w:val="000000"/>
                <w:sz w:val="21"/>
                <w:szCs w:val="21"/>
                <w:lang w:bidi="ar"/>
              </w:rPr>
            </w:pPr>
            <w:r>
              <w:rPr>
                <w:rFonts w:cs="Times New Roman"/>
                <w:color w:val="000000"/>
                <w:sz w:val="21"/>
                <w:szCs w:val="21"/>
                <w:lang w:bidi="ar"/>
              </w:rPr>
              <w:t>30</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D7208">
            <w:pPr>
              <w:widowControl/>
              <w:spacing w:before="120"/>
              <w:ind w:firstLine="0" w:firstLineChars="0"/>
              <w:jc w:val="center"/>
              <w:textAlignment w:val="center"/>
              <w:rPr>
                <w:rFonts w:cs="Times New Roman"/>
                <w:color w:val="000000"/>
                <w:sz w:val="21"/>
                <w:szCs w:val="21"/>
                <w:lang w:bidi="ar"/>
              </w:rPr>
            </w:pPr>
            <w:r>
              <w:rPr>
                <w:rFonts w:hint="eastAsia" w:ascii="宋体" w:hAnsi="宋体"/>
                <w:color w:val="000000"/>
                <w:sz w:val="21"/>
                <w:szCs w:val="21"/>
                <w:lang w:bidi="ar"/>
              </w:rPr>
              <w:t>陈可健</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BCC03">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7727E">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44.40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6801D10">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0.53%</w:t>
            </w:r>
          </w:p>
        </w:tc>
      </w:tr>
      <w:tr w14:paraId="3D4E5A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8D657C5">
            <w:pPr>
              <w:widowControl/>
              <w:spacing w:before="120"/>
              <w:ind w:firstLine="0" w:firstLineChars="0"/>
              <w:jc w:val="center"/>
              <w:textAlignment w:val="center"/>
              <w:rPr>
                <w:rFonts w:cs="Times New Roman"/>
                <w:color w:val="000000"/>
                <w:sz w:val="21"/>
                <w:szCs w:val="21"/>
                <w:lang w:bidi="ar"/>
              </w:rPr>
            </w:pPr>
            <w:r>
              <w:rPr>
                <w:rFonts w:cs="Times New Roman"/>
                <w:color w:val="000000"/>
                <w:sz w:val="21"/>
                <w:szCs w:val="21"/>
                <w:lang w:bidi="ar"/>
              </w:rPr>
              <w:t>31</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B1EA4">
            <w:pPr>
              <w:widowControl/>
              <w:spacing w:before="120"/>
              <w:ind w:firstLine="0" w:firstLineChars="0"/>
              <w:jc w:val="center"/>
              <w:textAlignment w:val="center"/>
              <w:rPr>
                <w:rFonts w:cs="Times New Roman"/>
                <w:color w:val="000000"/>
                <w:sz w:val="21"/>
                <w:szCs w:val="21"/>
                <w:lang w:bidi="ar"/>
              </w:rPr>
            </w:pPr>
            <w:r>
              <w:rPr>
                <w:rFonts w:hint="eastAsia" w:ascii="宋体" w:hAnsi="宋体"/>
                <w:color w:val="000000"/>
                <w:sz w:val="21"/>
                <w:szCs w:val="21"/>
                <w:lang w:bidi="ar"/>
              </w:rPr>
              <w:t>陈文锋</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B0EAC">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C2E8B">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13.32</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1C87F3B">
            <w:pPr>
              <w:widowControl/>
              <w:spacing w:before="120"/>
              <w:ind w:firstLine="0" w:firstLineChars="0"/>
              <w:jc w:val="right"/>
              <w:textAlignment w:val="center"/>
              <w:rPr>
                <w:rFonts w:cs="Times New Roman"/>
                <w:color w:val="000000"/>
                <w:sz w:val="21"/>
                <w:szCs w:val="21"/>
                <w:lang w:bidi="ar"/>
              </w:rPr>
            </w:pPr>
            <w:r>
              <w:rPr>
                <w:rFonts w:cs="Times New Roman"/>
                <w:color w:val="000000"/>
                <w:sz w:val="21"/>
                <w:szCs w:val="21"/>
                <w:lang w:bidi="ar"/>
              </w:rPr>
              <w:t>0.16%</w:t>
            </w:r>
          </w:p>
        </w:tc>
      </w:tr>
      <w:tr w14:paraId="1158A4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4084"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1F4D5F0B">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合计</w:t>
            </w:r>
          </w:p>
        </w:tc>
        <w:tc>
          <w:tcPr>
            <w:tcW w:w="2644"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27A86026">
            <w:pPr>
              <w:widowControl/>
              <w:spacing w:before="120" w:after="120" w:afterLines="50" w:line="240" w:lineRule="auto"/>
              <w:ind w:firstLine="0" w:firstLineChars="0"/>
              <w:jc w:val="right"/>
              <w:textAlignment w:val="center"/>
              <w:rPr>
                <w:rFonts w:cs="Times New Roman"/>
                <w:color w:val="000000"/>
                <w:sz w:val="21"/>
                <w:szCs w:val="21"/>
              </w:rPr>
            </w:pPr>
            <w:r>
              <w:rPr>
                <w:rFonts w:cs="Times New Roman"/>
                <w:b/>
                <w:bCs/>
                <w:color w:val="000000"/>
                <w:sz w:val="21"/>
                <w:szCs w:val="21"/>
                <w:lang w:bidi="ar"/>
              </w:rPr>
              <w:t>8,372.76</w:t>
            </w:r>
          </w:p>
        </w:tc>
        <w:tc>
          <w:tcPr>
            <w:tcW w:w="1800"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243B7674">
            <w:pPr>
              <w:pStyle w:val="69"/>
              <w:spacing w:before="120" w:beforeAutospacing="0" w:after="120" w:afterLines="50" w:afterAutospacing="0" w:line="240" w:lineRule="auto"/>
              <w:ind w:firstLine="0" w:firstLineChars="0"/>
              <w:jc w:val="right"/>
              <w:rPr>
                <w:rFonts w:ascii="Times New Roman" w:hAnsi="Times New Roman"/>
                <w:b/>
                <w:bCs/>
                <w:sz w:val="21"/>
                <w:szCs w:val="21"/>
                <w:lang w:val="en-US"/>
              </w:rPr>
            </w:pPr>
            <w:r>
              <w:rPr>
                <w:rFonts w:ascii="Times New Roman" w:hAnsi="Times New Roman"/>
                <w:b/>
                <w:bCs/>
                <w:sz w:val="21"/>
                <w:szCs w:val="21"/>
                <w:lang w:val="en-US"/>
              </w:rPr>
              <w:t>100.00%</w:t>
            </w:r>
          </w:p>
        </w:tc>
      </w:tr>
    </w:tbl>
    <w:p w14:paraId="36969CA8">
      <w:pPr>
        <w:keepNext/>
        <w:keepLines/>
        <w:spacing w:before="0" w:beforeLines="0" w:line="240" w:lineRule="auto"/>
        <w:ind w:firstLine="0" w:firstLineChars="0"/>
        <w:jc w:val="both"/>
        <w:rPr>
          <w:sz w:val="21"/>
          <w:szCs w:val="21"/>
        </w:rPr>
      </w:pPr>
      <w:r>
        <w:rPr>
          <w:rFonts w:hint="eastAsia"/>
          <w:kern w:val="2"/>
          <w:sz w:val="21"/>
          <w:szCs w:val="20"/>
          <w:lang w:bidi="ar"/>
        </w:rPr>
        <w:t>注1：珠海乐熙熙是标的公司的员工持股平台，陈耿豪存在替部分员工代持股份的情形。</w:t>
      </w:r>
      <w:r>
        <w:rPr>
          <w:rFonts w:hint="eastAsia"/>
          <w:sz w:val="21"/>
          <w:szCs w:val="21"/>
        </w:rPr>
        <w:t>截至本预案签署之日，陈耿豪与相关员工已签署代持解除协议，</w:t>
      </w:r>
      <w:r>
        <w:rPr>
          <w:rFonts w:hint="eastAsia"/>
          <w:kern w:val="2"/>
          <w:sz w:val="21"/>
          <w:szCs w:val="20"/>
          <w:lang w:bidi="ar"/>
        </w:rPr>
        <w:t>上表为股权代持还原后珠海乐熙熙合伙人及产权控制关系情况，尚未完成工商变更。</w:t>
      </w:r>
    </w:p>
    <w:p w14:paraId="69263782">
      <w:pPr>
        <w:keepNext/>
        <w:keepLines/>
        <w:spacing w:before="0" w:beforeLines="0" w:line="240" w:lineRule="auto"/>
        <w:ind w:firstLine="0" w:firstLineChars="0"/>
        <w:jc w:val="both"/>
        <w:rPr>
          <w:sz w:val="21"/>
          <w:szCs w:val="21"/>
        </w:rPr>
      </w:pPr>
      <w:r>
        <w:rPr>
          <w:rFonts w:hint="eastAsia"/>
          <w:sz w:val="21"/>
          <w:szCs w:val="21"/>
        </w:rPr>
        <w:t>注2：杨凯然、胡俊原通过珠海乐熙熙间接持有标的公司股权，截至本预案签署之日，杨凯然、胡俊已与珠海乐熙熙签署股权转让协议，由间接持股变更为直接持有标的公司股权，</w:t>
      </w:r>
      <w:r>
        <w:rPr>
          <w:rFonts w:hint="eastAsia"/>
          <w:kern w:val="2"/>
          <w:sz w:val="21"/>
          <w:szCs w:val="20"/>
          <w:lang w:bidi="ar"/>
        </w:rPr>
        <w:t>上表为持股方式改变后珠海乐熙熙合伙人及产权控制关系情况，</w:t>
      </w:r>
      <w:r>
        <w:rPr>
          <w:rFonts w:hint="eastAsia"/>
          <w:sz w:val="21"/>
          <w:szCs w:val="21"/>
        </w:rPr>
        <w:t>目前尚未完成工商变更。</w:t>
      </w:r>
    </w:p>
    <w:p w14:paraId="6523F0C0">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（八）珠海乐腾腾投资合伙企业（有限合伙）</w:t>
      </w:r>
    </w:p>
    <w:p w14:paraId="47C2E8A2">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583DB7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59D9CAB1">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682FFD89">
            <w:pPr>
              <w:spacing w:before="120" w:line="240" w:lineRule="auto"/>
              <w:ind w:firstLine="0" w:firstLineChars="0"/>
              <w:jc w:val="both"/>
              <w:rPr>
                <w:rFonts w:cs="Times New Roman"/>
                <w:sz w:val="21"/>
                <w:szCs w:val="21"/>
              </w:rPr>
            </w:pPr>
            <w:r>
              <w:rPr>
                <w:rFonts w:hint="eastAsia" w:cs="Times New Roman"/>
                <w:sz w:val="21"/>
                <w:szCs w:val="21"/>
                <w:lang w:bidi="ar"/>
              </w:rPr>
              <w:t>珠海乐腾腾投资合伙企业（有限合伙）</w:t>
            </w:r>
          </w:p>
        </w:tc>
      </w:tr>
      <w:tr w14:paraId="24F983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7DEED3B9">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244E5AD">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122B18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12C25359">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AA571E4">
            <w:pPr>
              <w:spacing w:before="120" w:line="240" w:lineRule="auto"/>
              <w:ind w:firstLine="0" w:firstLineChars="0"/>
              <w:jc w:val="both"/>
              <w:rPr>
                <w:rFonts w:cs="Times New Roman"/>
                <w:sz w:val="21"/>
                <w:szCs w:val="21"/>
              </w:rPr>
            </w:pPr>
            <w:r>
              <w:rPr>
                <w:rFonts w:hint="eastAsia" w:cs="Times New Roman"/>
                <w:sz w:val="21"/>
                <w:szCs w:val="21"/>
                <w:lang w:bidi="ar"/>
              </w:rPr>
              <w:t>珠海市横琴新区下村</w:t>
            </w:r>
            <w:r>
              <w:rPr>
                <w:rFonts w:cs="Times New Roman"/>
                <w:sz w:val="21"/>
                <w:szCs w:val="21"/>
                <w:lang w:bidi="ar"/>
              </w:rPr>
              <w:t>18</w:t>
            </w:r>
            <w:r>
              <w:rPr>
                <w:rFonts w:hint="eastAsia" w:cs="Times New Roman"/>
                <w:sz w:val="21"/>
                <w:szCs w:val="21"/>
                <w:lang w:bidi="ar"/>
              </w:rPr>
              <w:t>号一楼</w:t>
            </w:r>
          </w:p>
        </w:tc>
      </w:tr>
      <w:tr w14:paraId="0C8C03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E17137A">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6A87F829">
            <w:pPr>
              <w:spacing w:before="120" w:line="240" w:lineRule="auto"/>
              <w:ind w:firstLine="0" w:firstLineChars="0"/>
              <w:jc w:val="both"/>
              <w:rPr>
                <w:rFonts w:cs="Times New Roman"/>
                <w:sz w:val="21"/>
                <w:szCs w:val="21"/>
              </w:rPr>
            </w:pPr>
            <w:r>
              <w:rPr>
                <w:rFonts w:cs="Times New Roman"/>
                <w:sz w:val="21"/>
                <w:szCs w:val="21"/>
                <w:lang w:bidi="ar"/>
              </w:rPr>
              <w:t>2021</w:t>
            </w:r>
            <w:r>
              <w:rPr>
                <w:rFonts w:hint="eastAsia" w:cs="Times New Roman"/>
                <w:sz w:val="21"/>
                <w:szCs w:val="21"/>
                <w:lang w:bidi="ar"/>
              </w:rPr>
              <w:t>年</w:t>
            </w:r>
            <w:r>
              <w:rPr>
                <w:rFonts w:cs="Times New Roman"/>
                <w:sz w:val="21"/>
                <w:szCs w:val="21"/>
                <w:lang w:bidi="ar"/>
              </w:rPr>
              <w:t>7</w:t>
            </w:r>
            <w:r>
              <w:rPr>
                <w:rFonts w:hint="eastAsia" w:cs="Times New Roman"/>
                <w:sz w:val="21"/>
                <w:szCs w:val="21"/>
                <w:lang w:bidi="ar"/>
              </w:rPr>
              <w:t>月</w:t>
            </w:r>
            <w:r>
              <w:rPr>
                <w:rFonts w:cs="Times New Roman"/>
                <w:sz w:val="21"/>
                <w:szCs w:val="21"/>
                <w:lang w:bidi="ar"/>
              </w:rPr>
              <w:t>13</w:t>
            </w:r>
            <w:r>
              <w:rPr>
                <w:rFonts w:hint="eastAsia" w:cs="Times New Roman"/>
                <w:sz w:val="21"/>
                <w:szCs w:val="21"/>
                <w:lang w:bidi="ar"/>
              </w:rPr>
              <w:t>日</w:t>
            </w:r>
          </w:p>
        </w:tc>
      </w:tr>
      <w:tr w14:paraId="2CAE07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611D11C0">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06AD1D99">
            <w:pPr>
              <w:spacing w:before="120" w:line="240" w:lineRule="auto"/>
              <w:ind w:firstLine="0" w:firstLineChars="0"/>
              <w:jc w:val="both"/>
              <w:rPr>
                <w:rFonts w:cs="Times New Roman"/>
                <w:sz w:val="21"/>
                <w:szCs w:val="21"/>
              </w:rPr>
            </w:pPr>
            <w:r>
              <w:rPr>
                <w:rFonts w:hint="eastAsia" w:cs="Times New Roman"/>
                <w:sz w:val="21"/>
                <w:szCs w:val="21"/>
                <w:lang w:bidi="ar"/>
              </w:rPr>
              <w:t>21.8972万元</w:t>
            </w:r>
          </w:p>
        </w:tc>
      </w:tr>
      <w:tr w14:paraId="3FC265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09FFF221">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4C374E9">
            <w:pPr>
              <w:spacing w:before="120" w:line="240" w:lineRule="auto"/>
              <w:ind w:firstLine="0" w:firstLineChars="0"/>
              <w:jc w:val="both"/>
              <w:rPr>
                <w:rFonts w:cs="Times New Roman"/>
                <w:sz w:val="21"/>
                <w:szCs w:val="21"/>
              </w:rPr>
            </w:pPr>
            <w:r>
              <w:rPr>
                <w:rFonts w:hint="eastAsia" w:cs="Times New Roman"/>
                <w:sz w:val="21"/>
                <w:szCs w:val="21"/>
                <w:lang w:bidi="ar"/>
              </w:rPr>
              <w:t>陈耿豪</w:t>
            </w:r>
          </w:p>
        </w:tc>
      </w:tr>
      <w:tr w14:paraId="4661F6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6EF922D3">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DEC833C">
            <w:pPr>
              <w:spacing w:before="120" w:line="240" w:lineRule="auto"/>
              <w:ind w:firstLine="0" w:firstLineChars="0"/>
              <w:jc w:val="both"/>
              <w:rPr>
                <w:rFonts w:cs="Times New Roman"/>
                <w:sz w:val="21"/>
                <w:szCs w:val="21"/>
              </w:rPr>
            </w:pPr>
            <w:r>
              <w:rPr>
                <w:rFonts w:cs="Times New Roman"/>
                <w:sz w:val="21"/>
                <w:szCs w:val="21"/>
                <w:lang w:bidi="ar"/>
              </w:rPr>
              <w:t>91440400MA56RDDC5A</w:t>
            </w:r>
          </w:p>
        </w:tc>
      </w:tr>
      <w:tr w14:paraId="099526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3A7250D0">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3AA476B6">
            <w:pPr>
              <w:spacing w:before="120" w:line="240" w:lineRule="auto"/>
              <w:ind w:firstLine="0" w:firstLineChars="0"/>
              <w:jc w:val="both"/>
              <w:rPr>
                <w:rFonts w:cs="Times New Roman"/>
                <w:sz w:val="21"/>
                <w:szCs w:val="21"/>
              </w:rPr>
            </w:pPr>
            <w:r>
              <w:rPr>
                <w:rFonts w:hint="eastAsia" w:cs="Times New Roman"/>
                <w:sz w:val="21"/>
                <w:szCs w:val="21"/>
                <w:lang w:bidi="ar"/>
              </w:rPr>
              <w:t>一般项目：以自有资金从事投资活动；社会经济咨询服务；软件开发；网络技术服务；信息技术咨询服务；技术服务、技术开发、技术咨询、技术交流、技术转让、技术推广；市场营销策划；广告制作；广告设计、代理；广告发布（非广播电台、电视台、报刊出版单位）；知识产权服务；软件销售；电子元器件零售。（除依法须经批准的项目外，凭营业执照依法自主开展经营活动）</w:t>
            </w:r>
          </w:p>
        </w:tc>
      </w:tr>
    </w:tbl>
    <w:p w14:paraId="0511C6D6">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381F56B5">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截至本预案签署日，陈耿豪为珠海乐腾腾执行事务合伙人，珠海乐腾腾的合伙人及产权控制关系如下表所示</w:t>
      </w:r>
      <w:r>
        <w:rPr>
          <w:rFonts w:ascii="Times New Roman" w:hAnsi="Times New Roman"/>
          <w:kern w:val="2"/>
          <w:szCs w:val="22"/>
          <w:lang w:val="en-US" w:bidi="ar"/>
        </w:rPr>
        <w:t>:</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762"/>
        <w:gridCol w:w="1602"/>
        <w:gridCol w:w="1725"/>
        <w:gridCol w:w="2639"/>
        <w:gridCol w:w="1800"/>
      </w:tblGrid>
      <w:tr w14:paraId="7841AE0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757"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3E256508">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序号</w:t>
            </w:r>
          </w:p>
        </w:tc>
        <w:tc>
          <w:tcPr>
            <w:tcW w:w="1602"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2F637362">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股东名称</w:t>
            </w:r>
          </w:p>
        </w:tc>
        <w:tc>
          <w:tcPr>
            <w:tcW w:w="1725"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0BDD6860">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合伙人类型</w:t>
            </w:r>
          </w:p>
        </w:tc>
        <w:tc>
          <w:tcPr>
            <w:tcW w:w="2644"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36025CEB">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认缴出资额（元）</w:t>
            </w:r>
          </w:p>
        </w:tc>
        <w:tc>
          <w:tcPr>
            <w:tcW w:w="1800"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7FB6AF83">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出资比例（%）</w:t>
            </w:r>
          </w:p>
        </w:tc>
      </w:tr>
      <w:tr w14:paraId="6BD9289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5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D86A268">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8E593">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陈耿豪</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29356">
            <w:pPr>
              <w:widowControl/>
              <w:spacing w:before="120"/>
              <w:ind w:firstLine="0" w:firstLineChars="0"/>
              <w:jc w:val="center"/>
              <w:textAlignment w:val="center"/>
              <w:rPr>
                <w:sz w:val="21"/>
                <w:szCs w:val="21"/>
              </w:rPr>
            </w:pPr>
            <w:r>
              <w:rPr>
                <w:rFonts w:hint="eastAsia" w:ascii="宋体" w:hAnsi="宋体"/>
                <w:color w:val="000000"/>
                <w:sz w:val="21"/>
                <w:szCs w:val="21"/>
                <w:lang w:bidi="ar"/>
              </w:rPr>
              <w:t>执行事务合伙人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AA389">
            <w:pPr>
              <w:widowControl/>
              <w:spacing w:before="120"/>
              <w:ind w:firstLine="0" w:firstLineChars="0"/>
              <w:jc w:val="center"/>
              <w:textAlignment w:val="center"/>
              <w:rPr>
                <w:rFonts w:cs="Times New Roman"/>
                <w:sz w:val="21"/>
                <w:szCs w:val="21"/>
              </w:rPr>
            </w:pPr>
            <w:r>
              <w:rPr>
                <w:rFonts w:cs="Times New Roman"/>
                <w:color w:val="000000"/>
                <w:sz w:val="21"/>
                <w:szCs w:val="21"/>
                <w:lang w:bidi="ar"/>
              </w:rPr>
              <w:t>36.00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A69AA28">
            <w:pPr>
              <w:widowControl/>
              <w:spacing w:before="120"/>
              <w:ind w:firstLine="0" w:firstLineChars="0"/>
              <w:jc w:val="center"/>
              <w:textAlignment w:val="center"/>
              <w:rPr>
                <w:rFonts w:cs="Times New Roman"/>
                <w:sz w:val="21"/>
                <w:szCs w:val="21"/>
              </w:rPr>
            </w:pPr>
            <w:r>
              <w:rPr>
                <w:rFonts w:cs="Times New Roman"/>
                <w:color w:val="000000"/>
                <w:sz w:val="21"/>
                <w:szCs w:val="21"/>
                <w:lang w:bidi="ar"/>
              </w:rPr>
              <w:t>0.02%</w:t>
            </w:r>
          </w:p>
        </w:tc>
      </w:tr>
      <w:tr w14:paraId="47632BA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5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8E1134E">
            <w:pPr>
              <w:widowControl/>
              <w:spacing w:before="120"/>
              <w:ind w:firstLine="0" w:firstLineChars="0"/>
              <w:jc w:val="center"/>
              <w:textAlignment w:val="center"/>
              <w:rPr>
                <w:rFonts w:cs="Times New Roman"/>
                <w:sz w:val="21"/>
                <w:szCs w:val="21"/>
              </w:rPr>
            </w:pPr>
            <w:r>
              <w:rPr>
                <w:rFonts w:cs="Times New Roman"/>
                <w:color w:val="000000"/>
                <w:sz w:val="21"/>
                <w:szCs w:val="21"/>
                <w:lang w:bidi="ar"/>
              </w:rPr>
              <w:t>2</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086E6">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林超越</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D1D87">
            <w:pPr>
              <w:widowControl/>
              <w:spacing w:before="120"/>
              <w:ind w:firstLine="0" w:firstLineChars="0"/>
              <w:jc w:val="center"/>
              <w:textAlignment w:val="center"/>
              <w:rPr>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5483E">
            <w:pPr>
              <w:widowControl/>
              <w:spacing w:before="120"/>
              <w:ind w:firstLine="0" w:firstLineChars="0"/>
              <w:jc w:val="center"/>
              <w:textAlignment w:val="center"/>
              <w:rPr>
                <w:rFonts w:cs="Times New Roman"/>
                <w:sz w:val="21"/>
                <w:szCs w:val="21"/>
              </w:rPr>
            </w:pPr>
            <w:r>
              <w:rPr>
                <w:rFonts w:cs="Times New Roman"/>
                <w:color w:val="000000"/>
                <w:sz w:val="21"/>
                <w:szCs w:val="21"/>
                <w:lang w:bidi="ar"/>
              </w:rPr>
              <w:t>80,556.00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3C1F3BD">
            <w:pPr>
              <w:widowControl/>
              <w:spacing w:before="120"/>
              <w:ind w:firstLine="0" w:firstLineChars="0"/>
              <w:jc w:val="center"/>
              <w:textAlignment w:val="center"/>
              <w:rPr>
                <w:rFonts w:cs="Times New Roman"/>
                <w:sz w:val="21"/>
                <w:szCs w:val="21"/>
              </w:rPr>
            </w:pPr>
            <w:r>
              <w:rPr>
                <w:rFonts w:cs="Times New Roman"/>
                <w:color w:val="000000"/>
                <w:sz w:val="21"/>
                <w:szCs w:val="21"/>
                <w:lang w:bidi="ar"/>
              </w:rPr>
              <w:t>36.79%</w:t>
            </w:r>
          </w:p>
        </w:tc>
      </w:tr>
      <w:tr w14:paraId="2014137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5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525E322">
            <w:pPr>
              <w:widowControl/>
              <w:spacing w:before="120"/>
              <w:ind w:firstLine="0" w:firstLineChars="0"/>
              <w:jc w:val="center"/>
              <w:textAlignment w:val="center"/>
              <w:rPr>
                <w:rFonts w:cs="Times New Roman"/>
                <w:sz w:val="21"/>
                <w:szCs w:val="21"/>
              </w:rPr>
            </w:pPr>
            <w:r>
              <w:rPr>
                <w:rFonts w:cs="Times New Roman"/>
                <w:color w:val="000000"/>
                <w:sz w:val="21"/>
                <w:szCs w:val="21"/>
                <w:lang w:bidi="ar"/>
              </w:rPr>
              <w:t>3</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D9573">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张超</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82BE6">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EFABA">
            <w:pPr>
              <w:widowControl/>
              <w:spacing w:before="120"/>
              <w:ind w:firstLine="0" w:firstLineChars="0"/>
              <w:jc w:val="center"/>
              <w:textAlignment w:val="center"/>
              <w:rPr>
                <w:rFonts w:cs="Times New Roman"/>
                <w:sz w:val="21"/>
                <w:szCs w:val="21"/>
              </w:rPr>
            </w:pPr>
            <w:r>
              <w:rPr>
                <w:rFonts w:cs="Times New Roman"/>
                <w:color w:val="000000"/>
                <w:sz w:val="21"/>
                <w:szCs w:val="21"/>
                <w:lang w:bidi="ar"/>
              </w:rPr>
              <w:t>43,150.00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08BAE5B">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19.71%</w:t>
            </w:r>
          </w:p>
        </w:tc>
      </w:tr>
      <w:tr w14:paraId="0E3AC3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5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90974FB">
            <w:pPr>
              <w:widowControl/>
              <w:spacing w:before="120"/>
              <w:ind w:firstLine="0" w:firstLineChars="0"/>
              <w:jc w:val="center"/>
              <w:textAlignment w:val="center"/>
              <w:rPr>
                <w:rFonts w:cs="Times New Roman"/>
                <w:sz w:val="21"/>
                <w:szCs w:val="21"/>
              </w:rPr>
            </w:pPr>
            <w:r>
              <w:rPr>
                <w:rFonts w:cs="Times New Roman"/>
                <w:color w:val="000000"/>
                <w:sz w:val="21"/>
                <w:szCs w:val="21"/>
                <w:lang w:bidi="ar"/>
              </w:rPr>
              <w:t>4</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2E349">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陈伟镇</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08E10">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8D804">
            <w:pPr>
              <w:widowControl/>
              <w:spacing w:before="120"/>
              <w:ind w:firstLine="0" w:firstLineChars="0"/>
              <w:jc w:val="center"/>
              <w:textAlignment w:val="center"/>
              <w:rPr>
                <w:rFonts w:cs="Times New Roman"/>
                <w:sz w:val="21"/>
                <w:szCs w:val="21"/>
              </w:rPr>
            </w:pPr>
            <w:r>
              <w:rPr>
                <w:rFonts w:cs="Times New Roman"/>
                <w:color w:val="000000"/>
                <w:sz w:val="21"/>
                <w:szCs w:val="21"/>
                <w:lang w:bidi="ar"/>
              </w:rPr>
              <w:t>35,209.00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CA9C12F">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16.08%</w:t>
            </w:r>
          </w:p>
        </w:tc>
      </w:tr>
      <w:tr w14:paraId="32EA0C5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5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EFA6A6F">
            <w:pPr>
              <w:widowControl/>
              <w:spacing w:before="120"/>
              <w:ind w:firstLine="0" w:firstLineChars="0"/>
              <w:jc w:val="center"/>
              <w:textAlignment w:val="center"/>
              <w:rPr>
                <w:rFonts w:cs="Times New Roman"/>
                <w:sz w:val="21"/>
                <w:szCs w:val="21"/>
              </w:rPr>
            </w:pPr>
            <w:r>
              <w:rPr>
                <w:rFonts w:cs="Times New Roman"/>
                <w:color w:val="000000"/>
                <w:sz w:val="21"/>
                <w:szCs w:val="21"/>
                <w:lang w:bidi="ar"/>
              </w:rPr>
              <w:t>5</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A8344">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霍树森</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92662">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0C890">
            <w:pPr>
              <w:widowControl/>
              <w:spacing w:before="120"/>
              <w:ind w:firstLine="0" w:firstLineChars="0"/>
              <w:jc w:val="center"/>
              <w:textAlignment w:val="center"/>
              <w:rPr>
                <w:rFonts w:cs="Times New Roman"/>
                <w:sz w:val="21"/>
                <w:szCs w:val="21"/>
              </w:rPr>
            </w:pPr>
            <w:r>
              <w:rPr>
                <w:rFonts w:cs="Times New Roman"/>
                <w:color w:val="000000"/>
                <w:sz w:val="21"/>
                <w:szCs w:val="21"/>
                <w:lang w:bidi="ar"/>
              </w:rPr>
              <w:t>30,821.00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9790F02">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14.08%</w:t>
            </w:r>
          </w:p>
        </w:tc>
      </w:tr>
      <w:tr w14:paraId="131C072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5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D37B3DC">
            <w:pPr>
              <w:widowControl/>
              <w:spacing w:before="120"/>
              <w:ind w:firstLine="0" w:firstLineChars="0"/>
              <w:jc w:val="center"/>
              <w:textAlignment w:val="center"/>
              <w:rPr>
                <w:rFonts w:cs="Times New Roman"/>
                <w:sz w:val="21"/>
                <w:szCs w:val="21"/>
              </w:rPr>
            </w:pPr>
            <w:r>
              <w:rPr>
                <w:rFonts w:cs="Times New Roman"/>
                <w:color w:val="000000"/>
                <w:sz w:val="21"/>
                <w:szCs w:val="21"/>
                <w:lang w:bidi="ar"/>
              </w:rPr>
              <w:t>6</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98CB2">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曾小连</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D20C7">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E035A">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18,648.00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11328C5">
            <w:pPr>
              <w:widowControl/>
              <w:spacing w:before="120"/>
              <w:ind w:firstLine="0" w:firstLineChars="0"/>
              <w:jc w:val="center"/>
              <w:textAlignment w:val="center"/>
              <w:rPr>
                <w:rFonts w:cs="Times New Roman"/>
                <w:sz w:val="21"/>
                <w:szCs w:val="21"/>
              </w:rPr>
            </w:pPr>
            <w:r>
              <w:rPr>
                <w:rFonts w:cs="Times New Roman"/>
                <w:color w:val="000000"/>
                <w:sz w:val="21"/>
                <w:szCs w:val="21"/>
                <w:lang w:bidi="ar"/>
              </w:rPr>
              <w:t>8.52%</w:t>
            </w:r>
          </w:p>
        </w:tc>
      </w:tr>
      <w:tr w14:paraId="5D469A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5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5FD93C3">
            <w:pPr>
              <w:widowControl/>
              <w:spacing w:before="120"/>
              <w:ind w:firstLine="0" w:firstLineChars="0"/>
              <w:jc w:val="center"/>
              <w:textAlignment w:val="center"/>
              <w:rPr>
                <w:rFonts w:cs="Times New Roman"/>
                <w:sz w:val="21"/>
                <w:szCs w:val="21"/>
              </w:rPr>
            </w:pPr>
            <w:r>
              <w:rPr>
                <w:rFonts w:cs="Times New Roman"/>
                <w:color w:val="000000"/>
                <w:sz w:val="21"/>
                <w:szCs w:val="21"/>
                <w:lang w:bidi="ar"/>
              </w:rPr>
              <w:t>7</w:t>
            </w:r>
          </w:p>
        </w:tc>
        <w:tc>
          <w:tcPr>
            <w:tcW w:w="16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DCD00">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陈腾蛟</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31FA3">
            <w:pPr>
              <w:widowControl/>
              <w:spacing w:before="120"/>
              <w:ind w:firstLine="0" w:firstLineChars="0"/>
              <w:jc w:val="center"/>
              <w:textAlignment w:val="center"/>
              <w:rPr>
                <w:rFonts w:cs="Times New Roman"/>
                <w:sz w:val="21"/>
                <w:szCs w:val="21"/>
              </w:rPr>
            </w:pPr>
            <w:r>
              <w:rPr>
                <w:rFonts w:hint="eastAsia" w:ascii="宋体" w:hAnsi="宋体"/>
                <w:color w:val="000000"/>
                <w:sz w:val="21"/>
                <w:szCs w:val="21"/>
                <w:lang w:bidi="ar"/>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45D08">
            <w:pPr>
              <w:widowControl/>
              <w:spacing w:before="120"/>
              <w:ind w:firstLine="0" w:firstLineChars="0"/>
              <w:jc w:val="center"/>
              <w:textAlignment w:val="center"/>
              <w:rPr>
                <w:rFonts w:cs="Times New Roman"/>
                <w:sz w:val="21"/>
                <w:szCs w:val="21"/>
              </w:rPr>
            </w:pPr>
            <w:r>
              <w:rPr>
                <w:rFonts w:cs="Times New Roman"/>
                <w:color w:val="000000"/>
                <w:sz w:val="21"/>
                <w:szCs w:val="21"/>
                <w:lang w:bidi="ar"/>
              </w:rPr>
              <w:t>10,552.00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27DCF1A">
            <w:pPr>
              <w:widowControl/>
              <w:spacing w:before="120"/>
              <w:ind w:firstLine="0" w:firstLineChars="0"/>
              <w:jc w:val="center"/>
              <w:textAlignment w:val="center"/>
              <w:rPr>
                <w:rFonts w:cs="Times New Roman"/>
                <w:sz w:val="21"/>
                <w:szCs w:val="21"/>
              </w:rPr>
            </w:pPr>
            <w:r>
              <w:rPr>
                <w:rFonts w:cs="Times New Roman"/>
                <w:color w:val="000000"/>
                <w:sz w:val="21"/>
                <w:szCs w:val="21"/>
                <w:lang w:bidi="ar"/>
              </w:rPr>
              <w:t>4.82%</w:t>
            </w:r>
          </w:p>
        </w:tc>
      </w:tr>
      <w:tr w14:paraId="1B59CEC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4084"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4A25C500">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合计</w:t>
            </w:r>
          </w:p>
        </w:tc>
        <w:tc>
          <w:tcPr>
            <w:tcW w:w="2644"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35E97BC5">
            <w:pPr>
              <w:widowControl/>
              <w:spacing w:before="120" w:after="120" w:afterLines="50" w:line="240" w:lineRule="auto"/>
              <w:ind w:firstLine="0" w:firstLineChars="0"/>
              <w:jc w:val="center"/>
              <w:textAlignment w:val="center"/>
              <w:rPr>
                <w:rFonts w:cs="Times New Roman"/>
                <w:color w:val="000000"/>
                <w:sz w:val="22"/>
                <w:szCs w:val="22"/>
              </w:rPr>
            </w:pPr>
            <w:r>
              <w:rPr>
                <w:rFonts w:cs="Times New Roman"/>
                <w:b/>
                <w:bCs/>
                <w:color w:val="000000"/>
                <w:sz w:val="22"/>
                <w:szCs w:val="22"/>
                <w:lang w:bidi="ar"/>
              </w:rPr>
              <w:t>218,972.00</w:t>
            </w:r>
          </w:p>
        </w:tc>
        <w:tc>
          <w:tcPr>
            <w:tcW w:w="1800"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431C95F6">
            <w:pPr>
              <w:pStyle w:val="69"/>
              <w:widowControl/>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sz w:val="21"/>
                <w:szCs w:val="21"/>
                <w:lang w:val="en-US"/>
              </w:rPr>
              <w:t>100.00%</w:t>
            </w:r>
          </w:p>
        </w:tc>
      </w:tr>
    </w:tbl>
    <w:p w14:paraId="78E29701">
      <w:pPr>
        <w:keepNext/>
        <w:keepLines/>
        <w:spacing w:before="0" w:beforeLines="0" w:line="240" w:lineRule="auto"/>
        <w:ind w:firstLine="0" w:firstLineChars="0"/>
        <w:jc w:val="both"/>
        <w:rPr>
          <w:rFonts w:hint="eastAsia" w:ascii="宋体" w:hAnsi="宋体"/>
          <w:kern w:val="2"/>
          <w:sz w:val="21"/>
          <w:szCs w:val="22"/>
          <w:lang w:bidi="ar"/>
        </w:rPr>
      </w:pPr>
      <w:r>
        <w:rPr>
          <w:rFonts w:hint="eastAsia" w:ascii="宋体" w:hAnsi="宋体"/>
          <w:kern w:val="2"/>
          <w:sz w:val="21"/>
          <w:szCs w:val="22"/>
          <w:lang w:bidi="ar"/>
        </w:rPr>
        <w:t>注：</w:t>
      </w:r>
      <w:r>
        <w:rPr>
          <w:rFonts w:hint="eastAsia"/>
          <w:kern w:val="2"/>
          <w:sz w:val="21"/>
          <w:szCs w:val="20"/>
          <w:lang w:bidi="ar"/>
        </w:rPr>
        <w:t>珠海乐腾腾是标的公司的员工持股平台，</w:t>
      </w:r>
      <w:r>
        <w:rPr>
          <w:rFonts w:hint="eastAsia" w:ascii="宋体" w:hAnsi="宋体"/>
          <w:kern w:val="2"/>
          <w:sz w:val="21"/>
          <w:szCs w:val="22"/>
          <w:lang w:bidi="ar"/>
        </w:rPr>
        <w:t>杨凯然、王佳原通过珠海乐腾腾间接持有标的公司股权，截至本预案签署之日，杨凯然、王佳已与珠海乐腾腾签署股权转让协议，由间接持股变更为直接持有标的公司股权，上表为持股方式改变后珠海乐腾腾合伙人及产权控制关系情况，目前尚未完成工商变更。</w:t>
      </w:r>
    </w:p>
    <w:p w14:paraId="469DE30A">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（九）深圳市前海千意智合三期投资合伙企业（有限合伙）</w:t>
      </w:r>
    </w:p>
    <w:p w14:paraId="618BAF68">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2EC24B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6256219D">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0BEC6B5C">
            <w:pPr>
              <w:spacing w:before="120" w:line="240" w:lineRule="auto"/>
              <w:ind w:firstLine="0" w:firstLineChars="0"/>
              <w:jc w:val="both"/>
              <w:rPr>
                <w:rFonts w:cs="Times New Roman"/>
                <w:sz w:val="21"/>
                <w:szCs w:val="21"/>
              </w:rPr>
            </w:pPr>
            <w:r>
              <w:rPr>
                <w:rFonts w:hint="eastAsia" w:cs="Times New Roman"/>
                <w:sz w:val="21"/>
                <w:szCs w:val="21"/>
                <w:lang w:bidi="ar"/>
              </w:rPr>
              <w:t>深圳市前海千意智合三期投资合伙企业（有限合伙）</w:t>
            </w:r>
          </w:p>
        </w:tc>
      </w:tr>
      <w:tr w14:paraId="4D2626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63A062CD">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7C42FC1A">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0112BC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3C0FC028">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62E5B14D">
            <w:pPr>
              <w:spacing w:before="120" w:line="240" w:lineRule="auto"/>
              <w:ind w:firstLine="0" w:firstLineChars="0"/>
              <w:jc w:val="both"/>
              <w:rPr>
                <w:rFonts w:cs="Times New Roman"/>
                <w:sz w:val="21"/>
                <w:szCs w:val="21"/>
              </w:rPr>
            </w:pPr>
            <w:r>
              <w:rPr>
                <w:rFonts w:hint="eastAsia" w:cs="Times New Roman"/>
                <w:sz w:val="21"/>
                <w:szCs w:val="21"/>
                <w:lang w:bidi="ar"/>
              </w:rPr>
              <w:t>深圳市前海深港合作区前湾一路</w:t>
            </w:r>
            <w:r>
              <w:rPr>
                <w:rFonts w:cs="Times New Roman"/>
                <w:sz w:val="21"/>
                <w:szCs w:val="21"/>
                <w:lang w:bidi="ar"/>
              </w:rPr>
              <w:t>1</w:t>
            </w:r>
            <w:r>
              <w:rPr>
                <w:rFonts w:hint="eastAsia" w:cs="Times New Roman"/>
                <w:sz w:val="21"/>
                <w:szCs w:val="21"/>
                <w:lang w:bidi="ar"/>
              </w:rPr>
              <w:t>号</w:t>
            </w:r>
            <w:r>
              <w:rPr>
                <w:rFonts w:cs="Times New Roman"/>
                <w:sz w:val="21"/>
                <w:szCs w:val="21"/>
                <w:lang w:bidi="ar"/>
              </w:rPr>
              <w:t>A</w:t>
            </w:r>
            <w:r>
              <w:rPr>
                <w:rFonts w:hint="eastAsia" w:cs="Times New Roman"/>
                <w:sz w:val="21"/>
                <w:szCs w:val="21"/>
                <w:lang w:bidi="ar"/>
              </w:rPr>
              <w:t>栋</w:t>
            </w:r>
            <w:r>
              <w:rPr>
                <w:rFonts w:cs="Times New Roman"/>
                <w:sz w:val="21"/>
                <w:szCs w:val="21"/>
                <w:lang w:bidi="ar"/>
              </w:rPr>
              <w:t>201</w:t>
            </w:r>
            <w:r>
              <w:rPr>
                <w:rFonts w:hint="eastAsia" w:cs="Times New Roman"/>
                <w:sz w:val="21"/>
                <w:szCs w:val="21"/>
                <w:lang w:bidi="ar"/>
              </w:rPr>
              <w:t>室（入驻深圳市前海商务秘书有限公司）</w:t>
            </w:r>
          </w:p>
        </w:tc>
      </w:tr>
      <w:tr w14:paraId="3CB413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626D160F">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0FB677C">
            <w:pPr>
              <w:spacing w:before="120" w:line="240" w:lineRule="auto"/>
              <w:ind w:firstLine="0" w:firstLineChars="0"/>
              <w:jc w:val="both"/>
              <w:rPr>
                <w:rFonts w:cs="Times New Roman"/>
                <w:sz w:val="21"/>
                <w:szCs w:val="21"/>
              </w:rPr>
            </w:pPr>
            <w:r>
              <w:rPr>
                <w:rFonts w:cs="Times New Roman"/>
                <w:sz w:val="21"/>
                <w:szCs w:val="21"/>
                <w:lang w:bidi="ar"/>
              </w:rPr>
              <w:t>2017</w:t>
            </w:r>
            <w:r>
              <w:rPr>
                <w:rFonts w:hint="eastAsia" w:cs="Times New Roman"/>
                <w:sz w:val="21"/>
                <w:szCs w:val="21"/>
                <w:lang w:bidi="ar"/>
              </w:rPr>
              <w:t>年</w:t>
            </w:r>
            <w:r>
              <w:rPr>
                <w:rFonts w:cs="Times New Roman"/>
                <w:sz w:val="21"/>
                <w:szCs w:val="21"/>
                <w:lang w:bidi="ar"/>
              </w:rPr>
              <w:t>4</w:t>
            </w:r>
            <w:r>
              <w:rPr>
                <w:rFonts w:hint="eastAsia" w:cs="Times New Roman"/>
                <w:sz w:val="21"/>
                <w:szCs w:val="21"/>
                <w:lang w:bidi="ar"/>
              </w:rPr>
              <w:t>月</w:t>
            </w:r>
            <w:r>
              <w:rPr>
                <w:rFonts w:cs="Times New Roman"/>
                <w:sz w:val="21"/>
                <w:szCs w:val="21"/>
                <w:lang w:bidi="ar"/>
              </w:rPr>
              <w:t>12</w:t>
            </w:r>
            <w:r>
              <w:rPr>
                <w:rFonts w:hint="eastAsia" w:cs="Times New Roman"/>
                <w:sz w:val="21"/>
                <w:szCs w:val="21"/>
                <w:lang w:bidi="ar"/>
              </w:rPr>
              <w:t>日</w:t>
            </w:r>
          </w:p>
        </w:tc>
      </w:tr>
      <w:tr w14:paraId="6A136D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B9DB6C6">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04620BE7">
            <w:pPr>
              <w:spacing w:before="120" w:line="240" w:lineRule="auto"/>
              <w:ind w:firstLine="0" w:firstLineChars="0"/>
              <w:jc w:val="both"/>
              <w:rPr>
                <w:rFonts w:cs="Times New Roman"/>
                <w:sz w:val="21"/>
                <w:szCs w:val="21"/>
              </w:rPr>
            </w:pPr>
            <w:r>
              <w:rPr>
                <w:rFonts w:hint="eastAsia" w:cs="Times New Roman"/>
                <w:sz w:val="21"/>
                <w:szCs w:val="21"/>
                <w:lang w:bidi="ar"/>
              </w:rPr>
              <w:t>2.088105万元</w:t>
            </w:r>
          </w:p>
        </w:tc>
      </w:tr>
      <w:tr w14:paraId="322358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7F796204">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2F3DD490">
            <w:pPr>
              <w:spacing w:before="120" w:line="240" w:lineRule="auto"/>
              <w:ind w:firstLine="0" w:firstLineChars="0"/>
              <w:jc w:val="both"/>
              <w:rPr>
                <w:rFonts w:cs="Times New Roman"/>
                <w:sz w:val="21"/>
                <w:szCs w:val="21"/>
              </w:rPr>
            </w:pPr>
            <w:r>
              <w:rPr>
                <w:rFonts w:hint="eastAsia" w:cs="Times New Roman"/>
                <w:sz w:val="21"/>
                <w:szCs w:val="21"/>
                <w:lang w:bidi="ar"/>
              </w:rPr>
              <w:t>深圳市前海梧桐母基金投资管理有限公司</w:t>
            </w:r>
          </w:p>
        </w:tc>
      </w:tr>
      <w:tr w14:paraId="4BC174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10B687A7">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54A6DE6D">
            <w:pPr>
              <w:spacing w:before="120" w:line="240" w:lineRule="auto"/>
              <w:ind w:firstLine="0" w:firstLineChars="0"/>
              <w:jc w:val="both"/>
              <w:rPr>
                <w:rFonts w:cs="Times New Roman"/>
                <w:sz w:val="21"/>
                <w:szCs w:val="21"/>
              </w:rPr>
            </w:pPr>
            <w:r>
              <w:rPr>
                <w:rFonts w:cs="Times New Roman"/>
                <w:sz w:val="21"/>
                <w:szCs w:val="21"/>
                <w:lang w:bidi="ar"/>
              </w:rPr>
              <w:t>91440300MA5EFN6B18</w:t>
            </w:r>
          </w:p>
        </w:tc>
      </w:tr>
      <w:tr w14:paraId="7C67F5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4979E51A">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24769C7B">
            <w:pPr>
              <w:spacing w:before="120" w:line="240" w:lineRule="auto"/>
              <w:ind w:firstLine="0" w:firstLineChars="0"/>
              <w:jc w:val="both"/>
              <w:rPr>
                <w:rFonts w:cs="Times New Roman"/>
                <w:sz w:val="21"/>
                <w:szCs w:val="21"/>
              </w:rPr>
            </w:pPr>
            <w:r>
              <w:rPr>
                <w:rFonts w:hint="eastAsia" w:cs="Times New Roman"/>
                <w:sz w:val="21"/>
                <w:szCs w:val="21"/>
                <w:lang w:bidi="ar"/>
              </w:rPr>
              <w:t>一般经营项目是</w:t>
            </w:r>
            <w:r>
              <w:rPr>
                <w:rFonts w:cs="Times New Roman"/>
                <w:sz w:val="21"/>
                <w:szCs w:val="21"/>
                <w:lang w:bidi="ar"/>
              </w:rPr>
              <w:t>:</w:t>
            </w:r>
            <w:r>
              <w:rPr>
                <w:rFonts w:hint="eastAsia" w:cs="Times New Roman"/>
                <w:sz w:val="21"/>
                <w:szCs w:val="21"/>
                <w:lang w:bidi="ar"/>
              </w:rPr>
              <w:t>投资兴办实业（具体项目另行申报）</w:t>
            </w:r>
            <w:r>
              <w:rPr>
                <w:rFonts w:cs="Times New Roman"/>
                <w:sz w:val="21"/>
                <w:szCs w:val="21"/>
                <w:lang w:bidi="ar"/>
              </w:rPr>
              <w:t>;</w:t>
            </w:r>
            <w:r>
              <w:rPr>
                <w:rFonts w:hint="eastAsia" w:cs="Times New Roman"/>
                <w:sz w:val="21"/>
                <w:szCs w:val="21"/>
                <w:lang w:bidi="ar"/>
              </w:rPr>
              <w:t>创业投资</w:t>
            </w:r>
            <w:r>
              <w:rPr>
                <w:rFonts w:cs="Times New Roman"/>
                <w:sz w:val="21"/>
                <w:szCs w:val="21"/>
                <w:lang w:bidi="ar"/>
              </w:rPr>
              <w:t>;</w:t>
            </w:r>
            <w:r>
              <w:rPr>
                <w:rFonts w:hint="eastAsia" w:cs="Times New Roman"/>
                <w:sz w:val="21"/>
                <w:szCs w:val="21"/>
                <w:lang w:bidi="ar"/>
              </w:rPr>
              <w:t>项目投资（具体项目另行申报）</w:t>
            </w:r>
            <w:r>
              <w:rPr>
                <w:rFonts w:cs="Times New Roman"/>
                <w:sz w:val="21"/>
                <w:szCs w:val="21"/>
                <w:lang w:bidi="ar"/>
              </w:rPr>
              <w:t>;</w:t>
            </w:r>
            <w:r>
              <w:rPr>
                <w:rFonts w:hint="eastAsia" w:cs="Times New Roman"/>
                <w:sz w:val="21"/>
                <w:szCs w:val="21"/>
                <w:lang w:bidi="ar"/>
              </w:rPr>
              <w:t>投资咨询、投资顾问、企业管理咨询（以上不含人才中介、证券、保险、金融业务及其它限制项目</w:t>
            </w:r>
            <w:r>
              <w:rPr>
                <w:rFonts w:cs="Times New Roman"/>
                <w:sz w:val="21"/>
                <w:szCs w:val="21"/>
                <w:lang w:bidi="ar"/>
              </w:rPr>
              <w:t>,</w:t>
            </w:r>
            <w:r>
              <w:rPr>
                <w:rFonts w:hint="eastAsia" w:cs="Times New Roman"/>
                <w:sz w:val="21"/>
                <w:szCs w:val="21"/>
                <w:lang w:bidi="ar"/>
              </w:rPr>
              <w:t>限制的项目须取得许可后方可经营）。（以上各项涉及法律、行政法规、国务院决定禁止的项目除外</w:t>
            </w:r>
            <w:r>
              <w:rPr>
                <w:rFonts w:cs="Times New Roman"/>
                <w:sz w:val="21"/>
                <w:szCs w:val="21"/>
                <w:lang w:bidi="ar"/>
              </w:rPr>
              <w:t>,</w:t>
            </w:r>
            <w:r>
              <w:rPr>
                <w:rFonts w:hint="eastAsia" w:cs="Times New Roman"/>
                <w:sz w:val="21"/>
                <w:szCs w:val="21"/>
                <w:lang w:bidi="ar"/>
              </w:rPr>
              <w:t>限制的项目须取得许可后方可经营）</w:t>
            </w:r>
          </w:p>
        </w:tc>
      </w:tr>
    </w:tbl>
    <w:p w14:paraId="021F2970">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56D24B30">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截至本预案签署日，深圳前海千意智合三期的合伙人情况如下表所示：</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791"/>
        <w:gridCol w:w="2989"/>
        <w:gridCol w:w="2043"/>
        <w:gridCol w:w="1460"/>
        <w:gridCol w:w="1245"/>
      </w:tblGrid>
      <w:tr w14:paraId="11F9273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768"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1CD65D0D">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序号</w:t>
            </w:r>
          </w:p>
        </w:tc>
        <w:tc>
          <w:tcPr>
            <w:tcW w:w="2903"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1A7F6C85">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股东名称</w:t>
            </w:r>
          </w:p>
        </w:tc>
        <w:tc>
          <w:tcPr>
            <w:tcW w:w="1984"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79768A63">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合伙人类型</w:t>
            </w:r>
          </w:p>
        </w:tc>
        <w:tc>
          <w:tcPr>
            <w:tcW w:w="1418"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6646FAD0">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认缴出资额（万元）</w:t>
            </w:r>
          </w:p>
        </w:tc>
        <w:tc>
          <w:tcPr>
            <w:tcW w:w="1209"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529BFE57">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出资比例（</w:t>
            </w:r>
            <w:r>
              <w:rPr>
                <w:rFonts w:ascii="Times New Roman" w:hAnsi="Times New Roman"/>
                <w:b/>
                <w:bCs/>
                <w:kern w:val="2"/>
                <w:sz w:val="21"/>
                <w:szCs w:val="21"/>
                <w:lang w:val="en-US" w:bidi="ar"/>
              </w:rPr>
              <w:t>%</w:t>
            </w:r>
            <w:r>
              <w:rPr>
                <w:rFonts w:hint="eastAsia" w:ascii="Times New Roman" w:hAnsi="Times New Roman" w:cs="宋体"/>
                <w:b/>
                <w:bCs/>
                <w:kern w:val="2"/>
                <w:sz w:val="21"/>
                <w:szCs w:val="21"/>
                <w:lang w:val="en-US" w:bidi="ar"/>
              </w:rPr>
              <w:t>）</w:t>
            </w:r>
          </w:p>
        </w:tc>
      </w:tr>
      <w:tr w14:paraId="63056BC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68"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2B04E9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6597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深圳市前海梧桐母基金投资管理有限公司</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A9CD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执行事务合伙人</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0F503">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0.09</w:t>
            </w:r>
          </w:p>
        </w:tc>
        <w:tc>
          <w:tcPr>
            <w:tcW w:w="1209"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B4E444C">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4.22%</w:t>
            </w:r>
          </w:p>
        </w:tc>
      </w:tr>
      <w:tr w14:paraId="326CD0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68"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6D942C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7C4A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深圳市前海千意智合七期投资合伙企业（有限合伙）</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1466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B85E1">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0.84</w:t>
            </w:r>
          </w:p>
        </w:tc>
        <w:tc>
          <w:tcPr>
            <w:tcW w:w="1209"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96DC145">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40.08%</w:t>
            </w:r>
          </w:p>
        </w:tc>
      </w:tr>
      <w:tr w14:paraId="53685E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68"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84ED435">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6D20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深圳市前海千意智合十六期投资合伙企业（有限合伙）</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220B0">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C9749">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0.72</w:t>
            </w:r>
          </w:p>
        </w:tc>
        <w:tc>
          <w:tcPr>
            <w:tcW w:w="1209"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DB0E2B5">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34.60%</w:t>
            </w:r>
          </w:p>
        </w:tc>
      </w:tr>
      <w:tr w14:paraId="7FD42B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68"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ACC6BB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ACB4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谭永良</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CF2C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02F4F">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0.18</w:t>
            </w:r>
          </w:p>
        </w:tc>
        <w:tc>
          <w:tcPr>
            <w:tcW w:w="1209"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82A073B">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8.44%</w:t>
            </w:r>
          </w:p>
        </w:tc>
      </w:tr>
      <w:tr w14:paraId="0364503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68"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EA02AD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3F9D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瞿宏专</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8E4F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EA448">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0.18</w:t>
            </w:r>
          </w:p>
        </w:tc>
        <w:tc>
          <w:tcPr>
            <w:tcW w:w="1209"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28128EF">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8.44%</w:t>
            </w:r>
          </w:p>
        </w:tc>
      </w:tr>
      <w:tr w14:paraId="7E99F8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68"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5CAAF6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6</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AFF3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刘彦冬</w:t>
            </w:r>
          </w:p>
        </w:tc>
        <w:tc>
          <w:tcPr>
            <w:tcW w:w="19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9A2E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A3460">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0.09</w:t>
            </w:r>
          </w:p>
        </w:tc>
        <w:tc>
          <w:tcPr>
            <w:tcW w:w="1209"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E448211">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4.22%</w:t>
            </w:r>
          </w:p>
        </w:tc>
      </w:tr>
      <w:tr w14:paraId="491B3DF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655"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611CE84C">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合计</w:t>
            </w:r>
          </w:p>
        </w:tc>
        <w:tc>
          <w:tcPr>
            <w:tcW w:w="1418"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5D4994E4">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2.09</w:t>
            </w:r>
          </w:p>
        </w:tc>
        <w:tc>
          <w:tcPr>
            <w:tcW w:w="1209"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12D1B4F6">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100.00%</w:t>
            </w:r>
          </w:p>
        </w:tc>
      </w:tr>
    </w:tbl>
    <w:p w14:paraId="26BE3CAF">
      <w:pPr>
        <w:pStyle w:val="69"/>
        <w:spacing w:before="120" w:beforeAutospacing="0" w:after="120" w:afterLines="50" w:afterAutospacing="0"/>
        <w:jc w:val="both"/>
        <w:rPr>
          <w:rFonts w:ascii="Times New Roman" w:hAnsi="Times New Roman" w:cs="宋体"/>
          <w:kern w:val="2"/>
          <w:szCs w:val="22"/>
          <w:lang w:val="en-US" w:bidi="ar"/>
        </w:rPr>
      </w:pPr>
      <w:r>
        <w:rPr>
          <w:rFonts w:hint="eastAsia" w:ascii="Times New Roman" w:hAnsi="Times New Roman" w:cs="宋体"/>
          <w:kern w:val="2"/>
          <w:szCs w:val="22"/>
          <w:lang w:val="en-US" w:bidi="ar"/>
        </w:rPr>
        <w:t>截至本预案签署日，深圳前海千意智合三期的执行事务合伙人为深圳市前海梧桐母基金投资管理有限公司，产权控制关系如下：</w:t>
      </w:r>
    </w:p>
    <w:p w14:paraId="056516DE">
      <w:pPr>
        <w:pStyle w:val="69"/>
        <w:spacing w:before="120" w:beforeAutospacing="0" w:after="120" w:afterLines="50" w:afterAutospacing="0"/>
        <w:jc w:val="both"/>
        <w:rPr>
          <w:rFonts w:ascii="Times New Roman" w:hAnsi="Times New Roman" w:cs="宋体"/>
          <w:kern w:val="2"/>
          <w:szCs w:val="22"/>
          <w:lang w:val="en-US" w:bidi="ar"/>
        </w:rPr>
      </w:pPr>
    </w:p>
    <w:p w14:paraId="2D620832">
      <w:pPr>
        <w:pStyle w:val="69"/>
        <w:spacing w:before="120" w:beforeAutospacing="0" w:after="120" w:afterLines="50" w:afterAutospacing="0"/>
        <w:ind w:firstLine="0" w:firstLineChars="0"/>
        <w:jc w:val="both"/>
        <w:rPr>
          <w:rFonts w:hint="eastAsia"/>
        </w:rPr>
      </w:pPr>
      <w:r>
        <w:drawing>
          <wp:inline distT="0" distB="0" distL="114300" distR="114300">
            <wp:extent cx="5277485" cy="4283710"/>
            <wp:effectExtent l="0" t="0" r="10795" b="1397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22"/>
                    <a:stretch>
                      <a:fillRect/>
                    </a:stretch>
                  </pic:blipFill>
                  <pic:spPr>
                    <a:xfrm>
                      <a:off x="0" y="0"/>
                      <a:ext cx="5277485" cy="4283710"/>
                    </a:xfrm>
                    <a:prstGeom prst="rect">
                      <a:avLst/>
                    </a:prstGeom>
                    <a:noFill/>
                    <a:ln>
                      <a:noFill/>
                    </a:ln>
                  </pic:spPr>
                </pic:pic>
              </a:graphicData>
            </a:graphic>
          </wp:inline>
        </w:drawing>
      </w:r>
    </w:p>
    <w:p w14:paraId="42C6E217">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（十）珠海乐哈哈投资合伙企业（有限合伙）</w:t>
      </w:r>
    </w:p>
    <w:p w14:paraId="16843A20">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67F3C7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0653BED7">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2204FEED">
            <w:pPr>
              <w:spacing w:before="120" w:line="240" w:lineRule="auto"/>
              <w:ind w:firstLine="0" w:firstLineChars="0"/>
              <w:jc w:val="both"/>
              <w:rPr>
                <w:rFonts w:cs="Times New Roman"/>
                <w:sz w:val="21"/>
                <w:szCs w:val="21"/>
              </w:rPr>
            </w:pPr>
            <w:r>
              <w:rPr>
                <w:rFonts w:hint="eastAsia" w:cs="Times New Roman"/>
                <w:sz w:val="21"/>
                <w:szCs w:val="21"/>
                <w:lang w:bidi="ar"/>
              </w:rPr>
              <w:t>珠海乐哈哈投资合伙企业（有限合伙）</w:t>
            </w:r>
          </w:p>
        </w:tc>
      </w:tr>
      <w:tr w14:paraId="2862D6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172F596A">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0666425E">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132FA4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10C1E992">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71B9835E">
            <w:pPr>
              <w:spacing w:before="120" w:line="240" w:lineRule="auto"/>
              <w:ind w:firstLine="0" w:firstLineChars="0"/>
              <w:jc w:val="both"/>
              <w:rPr>
                <w:rFonts w:cs="Times New Roman"/>
                <w:sz w:val="21"/>
                <w:szCs w:val="21"/>
              </w:rPr>
            </w:pPr>
            <w:r>
              <w:rPr>
                <w:rFonts w:hint="eastAsia" w:cs="Times New Roman"/>
                <w:sz w:val="21"/>
                <w:szCs w:val="21"/>
                <w:lang w:bidi="ar"/>
              </w:rPr>
              <w:t>珠海市横琴新区向阳村</w:t>
            </w:r>
            <w:r>
              <w:rPr>
                <w:rFonts w:cs="Times New Roman"/>
                <w:sz w:val="21"/>
                <w:szCs w:val="21"/>
                <w:lang w:bidi="ar"/>
              </w:rPr>
              <w:t>32</w:t>
            </w:r>
            <w:r>
              <w:rPr>
                <w:rFonts w:hint="eastAsia" w:cs="Times New Roman"/>
                <w:sz w:val="21"/>
                <w:szCs w:val="21"/>
                <w:lang w:bidi="ar"/>
              </w:rPr>
              <w:t>号五楼</w:t>
            </w:r>
          </w:p>
        </w:tc>
      </w:tr>
      <w:tr w14:paraId="0BBA96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1BD7D394">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12656C07">
            <w:pPr>
              <w:spacing w:before="120" w:line="240" w:lineRule="auto"/>
              <w:ind w:firstLine="0" w:firstLineChars="0"/>
              <w:jc w:val="both"/>
              <w:rPr>
                <w:rFonts w:cs="Times New Roman"/>
                <w:sz w:val="21"/>
                <w:szCs w:val="21"/>
              </w:rPr>
            </w:pPr>
            <w:r>
              <w:rPr>
                <w:rFonts w:cs="Times New Roman"/>
                <w:sz w:val="21"/>
                <w:szCs w:val="21"/>
                <w:lang w:bidi="ar"/>
              </w:rPr>
              <w:t>2017</w:t>
            </w:r>
            <w:r>
              <w:rPr>
                <w:rFonts w:hint="eastAsia" w:cs="Times New Roman"/>
                <w:sz w:val="21"/>
                <w:szCs w:val="21"/>
                <w:lang w:bidi="ar"/>
              </w:rPr>
              <w:t>年</w:t>
            </w:r>
            <w:r>
              <w:rPr>
                <w:rFonts w:cs="Times New Roman"/>
                <w:sz w:val="21"/>
                <w:szCs w:val="21"/>
                <w:lang w:bidi="ar"/>
              </w:rPr>
              <w:t>9</w:t>
            </w:r>
            <w:r>
              <w:rPr>
                <w:rFonts w:hint="eastAsia" w:cs="Times New Roman"/>
                <w:sz w:val="21"/>
                <w:szCs w:val="21"/>
                <w:lang w:bidi="ar"/>
              </w:rPr>
              <w:t>月</w:t>
            </w:r>
            <w:r>
              <w:rPr>
                <w:rFonts w:cs="Times New Roman"/>
                <w:sz w:val="21"/>
                <w:szCs w:val="21"/>
                <w:lang w:bidi="ar"/>
              </w:rPr>
              <w:t>5</w:t>
            </w:r>
            <w:r>
              <w:rPr>
                <w:rFonts w:hint="eastAsia" w:cs="Times New Roman"/>
                <w:sz w:val="21"/>
                <w:szCs w:val="21"/>
                <w:lang w:bidi="ar"/>
              </w:rPr>
              <w:t>日</w:t>
            </w:r>
          </w:p>
        </w:tc>
      </w:tr>
      <w:tr w14:paraId="746341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6BD7F956">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5C4D9AE9">
            <w:pPr>
              <w:spacing w:before="120" w:line="240" w:lineRule="auto"/>
              <w:ind w:firstLine="0" w:firstLineChars="0"/>
              <w:jc w:val="both"/>
              <w:rPr>
                <w:rFonts w:cs="Times New Roman"/>
                <w:sz w:val="21"/>
                <w:szCs w:val="21"/>
              </w:rPr>
            </w:pPr>
            <w:r>
              <w:rPr>
                <w:rFonts w:hint="eastAsia" w:cs="Times New Roman"/>
                <w:sz w:val="21"/>
                <w:szCs w:val="21"/>
                <w:lang w:bidi="ar"/>
              </w:rPr>
              <w:t>0.6771万元</w:t>
            </w:r>
          </w:p>
        </w:tc>
      </w:tr>
      <w:tr w14:paraId="00C45A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75BB94E4">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1EE16927">
            <w:pPr>
              <w:spacing w:before="120" w:line="240" w:lineRule="auto"/>
              <w:ind w:firstLine="0" w:firstLineChars="0"/>
              <w:jc w:val="both"/>
              <w:rPr>
                <w:rFonts w:cs="Times New Roman"/>
                <w:sz w:val="21"/>
                <w:szCs w:val="21"/>
              </w:rPr>
            </w:pPr>
            <w:r>
              <w:rPr>
                <w:rFonts w:hint="eastAsia" w:cs="Times New Roman"/>
                <w:sz w:val="21"/>
                <w:szCs w:val="21"/>
                <w:lang w:bidi="ar"/>
              </w:rPr>
              <w:t>陈耿豪</w:t>
            </w:r>
          </w:p>
        </w:tc>
      </w:tr>
      <w:tr w14:paraId="3BD349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2D3004C7">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611F7933">
            <w:pPr>
              <w:spacing w:before="120" w:line="240" w:lineRule="auto"/>
              <w:ind w:firstLine="0" w:firstLineChars="0"/>
              <w:jc w:val="both"/>
              <w:rPr>
                <w:rFonts w:cs="Times New Roman"/>
                <w:sz w:val="21"/>
                <w:szCs w:val="21"/>
              </w:rPr>
            </w:pPr>
            <w:r>
              <w:rPr>
                <w:rFonts w:cs="Times New Roman"/>
                <w:sz w:val="21"/>
                <w:szCs w:val="21"/>
                <w:lang w:bidi="ar"/>
              </w:rPr>
              <w:t>91440400MA4X2YL872</w:t>
            </w:r>
          </w:p>
        </w:tc>
      </w:tr>
      <w:tr w14:paraId="58D3B5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62B7C6DE">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349DC05B">
            <w:pPr>
              <w:spacing w:before="120" w:line="240" w:lineRule="auto"/>
              <w:ind w:firstLine="0" w:firstLineChars="0"/>
              <w:jc w:val="both"/>
              <w:rPr>
                <w:rFonts w:cs="Times New Roman"/>
                <w:sz w:val="21"/>
                <w:szCs w:val="21"/>
              </w:rPr>
            </w:pPr>
            <w:r>
              <w:rPr>
                <w:rFonts w:hint="eastAsia" w:cs="Times New Roman"/>
                <w:sz w:val="21"/>
                <w:szCs w:val="21"/>
                <w:lang w:bidi="ar"/>
              </w:rPr>
              <w:t>一般项目：以自有资金从事投资活动；社会经济咨询服务；软件开发；网络技术服务；信息技术咨询服务；技术服务、技术开发、技术咨询、技术交流、技术转让、技术推广；市场营销策划；广告制作；广告设计、代理；广告发布；知识产权服务（专利代理服务除外）；软件销售；电子元器件零售。（除依法须经批准的项目外，凭营业执照依法自主开展经营活动）</w:t>
            </w:r>
          </w:p>
        </w:tc>
      </w:tr>
    </w:tbl>
    <w:p w14:paraId="61CA1B07">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2A5BCF1E">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截至本预案签署日，陈耿豪为珠海乐哈哈执行事务合伙人，珠海乐哈哈的合伙人及产权控制关系如下表所示</w:t>
      </w:r>
      <w:r>
        <w:rPr>
          <w:rFonts w:ascii="Times New Roman" w:hAnsi="Times New Roman"/>
          <w:kern w:val="2"/>
          <w:szCs w:val="22"/>
          <w:lang w:val="en-US" w:bidi="ar"/>
        </w:rPr>
        <w:t>:</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946"/>
        <w:gridCol w:w="1413"/>
        <w:gridCol w:w="1725"/>
        <w:gridCol w:w="2644"/>
        <w:gridCol w:w="1800"/>
      </w:tblGrid>
      <w:tr w14:paraId="2DD01AE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946"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6E0365F5">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序号</w:t>
            </w:r>
          </w:p>
        </w:tc>
        <w:tc>
          <w:tcPr>
            <w:tcW w:w="1413"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73AB4331">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股东名称</w:t>
            </w:r>
          </w:p>
        </w:tc>
        <w:tc>
          <w:tcPr>
            <w:tcW w:w="1725"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3A47EB68">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合伙人类型</w:t>
            </w:r>
          </w:p>
        </w:tc>
        <w:tc>
          <w:tcPr>
            <w:tcW w:w="2644"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2EE11A29">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认缴出资额（元）</w:t>
            </w:r>
          </w:p>
        </w:tc>
        <w:tc>
          <w:tcPr>
            <w:tcW w:w="1800"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01153F28">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出资比例（%）</w:t>
            </w:r>
          </w:p>
        </w:tc>
      </w:tr>
      <w:tr w14:paraId="3EB0F89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7BBBD18">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lang w:bidi="ar"/>
              </w:rPr>
              <w:t>1</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B6BD4">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sz w:val="22"/>
                <w:szCs w:val="22"/>
                <w:lang w:bidi="ar"/>
              </w:rPr>
              <w:t>陈耿豪</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9ED8D">
            <w:pPr>
              <w:pStyle w:val="69"/>
              <w:spacing w:before="120" w:beforeAutospacing="0" w:after="120" w:afterLines="50" w:afterAutospacing="0" w:line="240" w:lineRule="auto"/>
              <w:ind w:firstLine="0" w:firstLineChars="0"/>
              <w:jc w:val="center"/>
              <w:rPr>
                <w:rFonts w:ascii="Times New Roman" w:hAnsi="Times New Roman"/>
                <w:sz w:val="21"/>
                <w:szCs w:val="21"/>
                <w:lang w:val="en-US"/>
              </w:rPr>
            </w:pPr>
            <w:r>
              <w:rPr>
                <w:rFonts w:ascii="Times New Roman" w:hAnsi="Times New Roman"/>
                <w:kern w:val="2"/>
                <w:sz w:val="21"/>
                <w:szCs w:val="21"/>
                <w:lang w:val="en-US" w:bidi="ar"/>
              </w:rPr>
              <w:t>执行事务合伙人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5ACF7">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6.70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A49435D">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0.10%</w:t>
            </w:r>
          </w:p>
        </w:tc>
      </w:tr>
      <w:tr w14:paraId="04990AC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BA8E827">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lang w:bidi="ar"/>
              </w:rPr>
              <w:t>2</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113F0">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sz w:val="22"/>
                <w:szCs w:val="22"/>
                <w:lang w:bidi="ar"/>
              </w:rPr>
              <w:t>刘名敏</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DA911">
            <w:pPr>
              <w:pStyle w:val="69"/>
              <w:spacing w:before="120" w:beforeAutospacing="0" w:after="120" w:afterLines="50" w:afterAutospacing="0" w:line="240" w:lineRule="auto"/>
              <w:ind w:firstLine="0" w:firstLineChars="0"/>
              <w:jc w:val="center"/>
              <w:rPr>
                <w:rFonts w:ascii="Times New Roman" w:hAnsi="Times New Roman"/>
                <w:sz w:val="21"/>
                <w:szCs w:val="21"/>
                <w:lang w:val="en-US"/>
              </w:rPr>
            </w:pPr>
            <w:r>
              <w:rPr>
                <w:rFonts w:ascii="Times New Roman" w:hAnsi="Times New Roman"/>
                <w:sz w:val="21"/>
                <w:szCs w:val="21"/>
                <w:lang w:val="en-US"/>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03073">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3,433.00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87B9939">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50.70%</w:t>
            </w:r>
          </w:p>
        </w:tc>
      </w:tr>
      <w:tr w14:paraId="63B835F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3DD35BB">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lang w:bidi="ar"/>
              </w:rPr>
              <w:t>3</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FAF3E">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sz w:val="22"/>
                <w:szCs w:val="22"/>
                <w:lang w:bidi="ar"/>
              </w:rPr>
              <w:t>朱国强</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2A98B">
            <w:pPr>
              <w:spacing w:before="120" w:after="120" w:afterLines="50" w:line="240" w:lineRule="auto"/>
              <w:ind w:firstLine="0" w:firstLineChars="0"/>
              <w:jc w:val="center"/>
              <w:rPr>
                <w:rFonts w:cs="Times New Roman"/>
                <w:sz w:val="21"/>
                <w:szCs w:val="21"/>
              </w:rPr>
            </w:pPr>
            <w:r>
              <w:rPr>
                <w:rFonts w:cs="Times New Roman"/>
                <w:sz w:val="21"/>
                <w:szCs w:val="21"/>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A89FB">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2,272.00</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B4C8019">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33.55%</w:t>
            </w:r>
          </w:p>
        </w:tc>
      </w:tr>
      <w:tr w14:paraId="4131620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9D02A33">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lang w:bidi="ar"/>
              </w:rPr>
              <w:t>4</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11344">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sz w:val="22"/>
                <w:szCs w:val="22"/>
                <w:lang w:bidi="ar"/>
              </w:rPr>
              <w:t>杨振彪</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39DB6">
            <w:pPr>
              <w:spacing w:before="120" w:after="120" w:afterLines="50" w:line="240" w:lineRule="auto"/>
              <w:ind w:firstLine="0" w:firstLineChars="0"/>
              <w:jc w:val="center"/>
              <w:rPr>
                <w:rFonts w:cs="Times New Roman"/>
                <w:sz w:val="21"/>
                <w:szCs w:val="21"/>
              </w:rPr>
            </w:pPr>
            <w:r>
              <w:rPr>
                <w:rFonts w:cs="Times New Roman"/>
                <w:sz w:val="21"/>
                <w:szCs w:val="21"/>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51692">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156.93</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ED79267">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2.32%</w:t>
            </w:r>
          </w:p>
        </w:tc>
      </w:tr>
      <w:tr w14:paraId="02019E9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E45FAD5">
            <w:pPr>
              <w:widowControl/>
              <w:spacing w:before="120" w:after="120" w:afterLines="50" w:line="240" w:lineRule="auto"/>
              <w:ind w:firstLine="0" w:firstLineChars="0"/>
              <w:jc w:val="center"/>
              <w:textAlignment w:val="center"/>
              <w:rPr>
                <w:rFonts w:cs="Times New Roman"/>
                <w:color w:val="000000"/>
                <w:lang w:bidi="ar"/>
              </w:rPr>
            </w:pPr>
            <w:r>
              <w:rPr>
                <w:rFonts w:hint="eastAsia" w:cs="Times New Roman"/>
                <w:color w:val="000000"/>
                <w:lang w:bidi="ar"/>
              </w:rPr>
              <w:t>5</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D443E">
            <w:pPr>
              <w:widowControl/>
              <w:spacing w:before="120" w:after="120" w:afterLines="50" w:line="240" w:lineRule="auto"/>
              <w:ind w:firstLine="0" w:firstLineChars="0"/>
              <w:jc w:val="center"/>
              <w:textAlignment w:val="center"/>
              <w:rPr>
                <w:rFonts w:cs="Times New Roman"/>
                <w:color w:val="000000"/>
                <w:sz w:val="22"/>
                <w:szCs w:val="22"/>
                <w:lang w:bidi="ar"/>
              </w:rPr>
            </w:pPr>
            <w:r>
              <w:rPr>
                <w:rFonts w:cs="Times New Roman"/>
                <w:color w:val="000000"/>
                <w:sz w:val="22"/>
                <w:szCs w:val="22"/>
                <w:lang w:bidi="ar"/>
              </w:rPr>
              <w:t>陈泽彬</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FC9EE">
            <w:pPr>
              <w:spacing w:before="120" w:after="120" w:afterLines="50" w:line="240" w:lineRule="auto"/>
              <w:ind w:firstLine="0" w:firstLineChars="0"/>
              <w:jc w:val="center"/>
              <w:rPr>
                <w:rFonts w:cs="Times New Roman"/>
                <w:sz w:val="21"/>
                <w:szCs w:val="21"/>
              </w:rPr>
            </w:pPr>
            <w:r>
              <w:rPr>
                <w:rFonts w:cs="Times New Roman"/>
                <w:sz w:val="21"/>
                <w:szCs w:val="21"/>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9808D">
            <w:pPr>
              <w:widowControl/>
              <w:spacing w:before="120" w:after="120" w:afterLines="50" w:line="240" w:lineRule="auto"/>
              <w:ind w:firstLine="0" w:firstLineChars="0"/>
              <w:jc w:val="right"/>
              <w:textAlignment w:val="center"/>
              <w:rPr>
                <w:rFonts w:cs="Times New Roman"/>
                <w:color w:val="000000"/>
                <w:sz w:val="22"/>
                <w:szCs w:val="22"/>
                <w:lang w:bidi="ar"/>
              </w:rPr>
            </w:pPr>
            <w:r>
              <w:rPr>
                <w:rFonts w:cs="Times New Roman"/>
                <w:color w:val="000000"/>
                <w:sz w:val="22"/>
                <w:szCs w:val="22"/>
                <w:lang w:bidi="ar"/>
              </w:rPr>
              <w:t>156.93</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2A2A75A">
            <w:pPr>
              <w:widowControl/>
              <w:spacing w:before="120" w:after="120" w:afterLines="50" w:line="240" w:lineRule="auto"/>
              <w:ind w:firstLine="0" w:firstLineChars="0"/>
              <w:jc w:val="right"/>
              <w:textAlignment w:val="center"/>
              <w:rPr>
                <w:rFonts w:cs="Times New Roman"/>
                <w:color w:val="000000"/>
                <w:sz w:val="22"/>
                <w:szCs w:val="22"/>
                <w:lang w:bidi="ar"/>
              </w:rPr>
            </w:pPr>
            <w:r>
              <w:rPr>
                <w:rFonts w:cs="Times New Roman"/>
                <w:color w:val="000000"/>
                <w:sz w:val="22"/>
                <w:szCs w:val="22"/>
                <w:lang w:bidi="ar"/>
              </w:rPr>
              <w:t>2.32%</w:t>
            </w:r>
          </w:p>
        </w:tc>
      </w:tr>
      <w:tr w14:paraId="393E543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5230F9C">
            <w:pPr>
              <w:widowControl/>
              <w:spacing w:before="120" w:after="120" w:afterLines="50" w:line="240" w:lineRule="auto"/>
              <w:ind w:firstLine="0" w:firstLineChars="0"/>
              <w:jc w:val="center"/>
              <w:textAlignment w:val="center"/>
              <w:rPr>
                <w:rFonts w:cs="Times New Roman"/>
                <w:color w:val="000000"/>
                <w:lang w:bidi="ar"/>
              </w:rPr>
            </w:pPr>
            <w:r>
              <w:rPr>
                <w:rFonts w:hint="eastAsia" w:cs="Times New Roman"/>
                <w:color w:val="000000"/>
                <w:lang w:bidi="ar"/>
              </w:rPr>
              <w:t>6</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81AE1">
            <w:pPr>
              <w:widowControl/>
              <w:spacing w:before="120" w:after="120" w:afterLines="50" w:line="240" w:lineRule="auto"/>
              <w:ind w:firstLine="0" w:firstLineChars="0"/>
              <w:jc w:val="center"/>
              <w:textAlignment w:val="center"/>
              <w:rPr>
                <w:rFonts w:cs="Times New Roman"/>
                <w:color w:val="000000"/>
                <w:sz w:val="22"/>
                <w:szCs w:val="22"/>
                <w:lang w:bidi="ar"/>
              </w:rPr>
            </w:pPr>
            <w:r>
              <w:rPr>
                <w:rFonts w:cs="Times New Roman"/>
                <w:color w:val="000000"/>
                <w:sz w:val="22"/>
                <w:szCs w:val="22"/>
                <w:lang w:bidi="ar"/>
              </w:rPr>
              <w:t>伍蒋锋</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72E04">
            <w:pPr>
              <w:spacing w:before="120" w:after="120" w:afterLines="50" w:line="240" w:lineRule="auto"/>
              <w:ind w:firstLine="0" w:firstLineChars="0"/>
              <w:jc w:val="center"/>
              <w:rPr>
                <w:rFonts w:cs="Times New Roman"/>
                <w:sz w:val="21"/>
                <w:szCs w:val="21"/>
              </w:rPr>
            </w:pPr>
            <w:r>
              <w:rPr>
                <w:rFonts w:cs="Times New Roman"/>
                <w:sz w:val="21"/>
                <w:szCs w:val="21"/>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6B2B6">
            <w:pPr>
              <w:widowControl/>
              <w:spacing w:before="120" w:after="120" w:afterLines="50" w:line="240" w:lineRule="auto"/>
              <w:ind w:firstLine="0" w:firstLineChars="0"/>
              <w:jc w:val="right"/>
              <w:textAlignment w:val="center"/>
              <w:rPr>
                <w:rFonts w:cs="Times New Roman"/>
                <w:color w:val="000000"/>
                <w:sz w:val="22"/>
                <w:szCs w:val="22"/>
                <w:lang w:bidi="ar"/>
              </w:rPr>
            </w:pPr>
            <w:r>
              <w:rPr>
                <w:rFonts w:cs="Times New Roman"/>
                <w:color w:val="000000"/>
                <w:sz w:val="22"/>
                <w:szCs w:val="22"/>
                <w:lang w:bidi="ar"/>
              </w:rPr>
              <w:t>156.93</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49AFE15">
            <w:pPr>
              <w:widowControl/>
              <w:spacing w:before="120" w:after="120" w:afterLines="50" w:line="240" w:lineRule="auto"/>
              <w:ind w:firstLine="0" w:firstLineChars="0"/>
              <w:jc w:val="right"/>
              <w:textAlignment w:val="center"/>
              <w:rPr>
                <w:rFonts w:cs="Times New Roman"/>
                <w:color w:val="000000"/>
                <w:sz w:val="22"/>
                <w:szCs w:val="22"/>
                <w:lang w:bidi="ar"/>
              </w:rPr>
            </w:pPr>
            <w:r>
              <w:rPr>
                <w:rFonts w:cs="Times New Roman"/>
                <w:color w:val="000000"/>
                <w:sz w:val="22"/>
                <w:szCs w:val="22"/>
                <w:lang w:bidi="ar"/>
              </w:rPr>
              <w:t>2.32%</w:t>
            </w:r>
          </w:p>
        </w:tc>
      </w:tr>
      <w:tr w14:paraId="6D7270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7F704AB">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lang w:bidi="ar"/>
              </w:rPr>
              <w:t>7</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979DA">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sz w:val="22"/>
                <w:szCs w:val="22"/>
                <w:lang w:bidi="ar"/>
              </w:rPr>
              <w:t>谢福明</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CAD73">
            <w:pPr>
              <w:spacing w:before="120" w:after="120" w:afterLines="50" w:line="240" w:lineRule="auto"/>
              <w:ind w:firstLine="0" w:firstLineChars="0"/>
              <w:jc w:val="center"/>
              <w:rPr>
                <w:rFonts w:cs="Times New Roman"/>
                <w:sz w:val="21"/>
                <w:szCs w:val="21"/>
              </w:rPr>
            </w:pPr>
            <w:r>
              <w:rPr>
                <w:rFonts w:cs="Times New Roman"/>
                <w:sz w:val="21"/>
                <w:szCs w:val="21"/>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96E28">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130.78</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4F46004">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1.93%</w:t>
            </w:r>
          </w:p>
        </w:tc>
      </w:tr>
      <w:tr w14:paraId="357F854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E5A4F47">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lang w:bidi="ar"/>
              </w:rPr>
              <w:t>8</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42544">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sz w:val="22"/>
                <w:szCs w:val="22"/>
                <w:lang w:bidi="ar"/>
              </w:rPr>
              <w:t>唐小卓</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668AF">
            <w:pPr>
              <w:spacing w:before="120" w:after="120" w:afterLines="50" w:line="240" w:lineRule="auto"/>
              <w:ind w:firstLine="0" w:firstLineChars="0"/>
              <w:jc w:val="center"/>
              <w:rPr>
                <w:rFonts w:cs="Times New Roman"/>
                <w:sz w:val="21"/>
                <w:szCs w:val="21"/>
              </w:rPr>
            </w:pPr>
            <w:r>
              <w:rPr>
                <w:rFonts w:cs="Times New Roman"/>
                <w:sz w:val="21"/>
                <w:szCs w:val="21"/>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FF15E">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130.78</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930433C">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1.93%</w:t>
            </w:r>
          </w:p>
        </w:tc>
      </w:tr>
      <w:tr w14:paraId="715FBE1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508674A">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lang w:bidi="ar"/>
              </w:rPr>
              <w:t>9</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A372B">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sz w:val="22"/>
                <w:szCs w:val="22"/>
                <w:lang w:bidi="ar"/>
              </w:rPr>
              <w:t>陈珠虹</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31DB3">
            <w:pPr>
              <w:spacing w:before="120" w:after="120" w:afterLines="50" w:line="240" w:lineRule="auto"/>
              <w:ind w:firstLine="0" w:firstLineChars="0"/>
              <w:jc w:val="center"/>
              <w:rPr>
                <w:rFonts w:cs="Times New Roman"/>
                <w:sz w:val="21"/>
                <w:szCs w:val="21"/>
              </w:rPr>
            </w:pPr>
            <w:r>
              <w:rPr>
                <w:rFonts w:cs="Times New Roman"/>
                <w:sz w:val="21"/>
                <w:szCs w:val="21"/>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7F1F3">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130.78</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7FCBC55">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1.93%</w:t>
            </w:r>
          </w:p>
        </w:tc>
      </w:tr>
      <w:tr w14:paraId="26AC43A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7E36CCC">
            <w:pPr>
              <w:widowControl/>
              <w:spacing w:before="120" w:after="120" w:afterLines="50" w:line="240" w:lineRule="auto"/>
              <w:ind w:firstLine="0" w:firstLineChars="0"/>
              <w:jc w:val="center"/>
              <w:textAlignment w:val="center"/>
              <w:rPr>
                <w:rFonts w:cs="Times New Roman"/>
                <w:sz w:val="21"/>
                <w:szCs w:val="21"/>
              </w:rPr>
            </w:pPr>
            <w:r>
              <w:rPr>
                <w:rFonts w:hint="eastAsia" w:cs="Times New Roman"/>
                <w:sz w:val="21"/>
                <w:szCs w:val="21"/>
              </w:rPr>
              <w:t>10</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9B47C">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sz w:val="22"/>
                <w:szCs w:val="22"/>
                <w:lang w:bidi="ar"/>
              </w:rPr>
              <w:t>王维</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CDB4B">
            <w:pPr>
              <w:spacing w:before="120" w:after="120" w:afterLines="50" w:line="240" w:lineRule="auto"/>
              <w:ind w:firstLine="0" w:firstLineChars="0"/>
              <w:jc w:val="center"/>
              <w:rPr>
                <w:rFonts w:cs="Times New Roman"/>
                <w:sz w:val="21"/>
                <w:szCs w:val="21"/>
              </w:rPr>
            </w:pPr>
            <w:r>
              <w:rPr>
                <w:rFonts w:cs="Times New Roman"/>
                <w:sz w:val="21"/>
                <w:szCs w:val="21"/>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5A9DC">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130.78</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C25FD06">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1.93%</w:t>
            </w:r>
          </w:p>
        </w:tc>
      </w:tr>
      <w:tr w14:paraId="4F8434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946"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1615573">
            <w:pPr>
              <w:widowControl/>
              <w:spacing w:before="120" w:after="120" w:afterLines="50" w:line="240" w:lineRule="auto"/>
              <w:ind w:firstLine="0" w:firstLineChars="0"/>
              <w:jc w:val="center"/>
              <w:textAlignment w:val="center"/>
              <w:rPr>
                <w:rFonts w:cs="Times New Roman"/>
                <w:sz w:val="21"/>
                <w:szCs w:val="21"/>
              </w:rPr>
            </w:pPr>
            <w:r>
              <w:rPr>
                <w:rFonts w:hint="eastAsia" w:cs="Times New Roman"/>
                <w:sz w:val="21"/>
                <w:szCs w:val="21"/>
              </w:rPr>
              <w:t>11</w:t>
            </w:r>
          </w:p>
        </w:tc>
        <w:tc>
          <w:tcPr>
            <w:tcW w:w="14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75A6F">
            <w:pPr>
              <w:widowControl/>
              <w:spacing w:before="120" w:after="120" w:afterLines="50" w:line="240" w:lineRule="auto"/>
              <w:ind w:firstLine="0" w:firstLineChars="0"/>
              <w:jc w:val="center"/>
              <w:textAlignment w:val="center"/>
              <w:rPr>
                <w:rFonts w:cs="Times New Roman"/>
                <w:sz w:val="21"/>
                <w:szCs w:val="21"/>
              </w:rPr>
            </w:pPr>
            <w:r>
              <w:rPr>
                <w:rFonts w:cs="Times New Roman"/>
                <w:color w:val="000000"/>
                <w:sz w:val="22"/>
                <w:szCs w:val="22"/>
                <w:lang w:bidi="ar"/>
              </w:rPr>
              <w:t>谢仲东</w:t>
            </w:r>
          </w:p>
        </w:tc>
        <w:tc>
          <w:tcPr>
            <w:tcW w:w="1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3CB04">
            <w:pPr>
              <w:spacing w:before="120" w:after="120" w:afterLines="50" w:line="240" w:lineRule="auto"/>
              <w:ind w:firstLine="0" w:firstLineChars="0"/>
              <w:jc w:val="center"/>
              <w:rPr>
                <w:rFonts w:cs="Times New Roman"/>
                <w:sz w:val="21"/>
                <w:szCs w:val="21"/>
              </w:rPr>
            </w:pPr>
            <w:r>
              <w:rPr>
                <w:rFonts w:cs="Times New Roman"/>
                <w:sz w:val="21"/>
                <w:szCs w:val="21"/>
              </w:rPr>
              <w:t>有限合伙人</w:t>
            </w:r>
          </w:p>
        </w:tc>
        <w:tc>
          <w:tcPr>
            <w:tcW w:w="26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D2714">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65.39</w:t>
            </w:r>
          </w:p>
        </w:tc>
        <w:tc>
          <w:tcPr>
            <w:tcW w:w="180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0C09C27">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2"/>
                <w:szCs w:val="22"/>
                <w:lang w:bidi="ar"/>
              </w:rPr>
              <w:t>0.97%</w:t>
            </w:r>
          </w:p>
        </w:tc>
      </w:tr>
      <w:tr w14:paraId="04A10B7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4084"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2D78CB81">
            <w:pPr>
              <w:pStyle w:val="69"/>
              <w:spacing w:before="120" w:beforeAutospacing="0" w:after="120" w:afterLines="50" w:afterAutospacing="0" w:line="240" w:lineRule="auto"/>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合计</w:t>
            </w:r>
          </w:p>
        </w:tc>
        <w:tc>
          <w:tcPr>
            <w:tcW w:w="2644"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3E0A5B12">
            <w:pPr>
              <w:widowControl/>
              <w:spacing w:before="120" w:after="120" w:afterLines="50" w:line="240" w:lineRule="auto"/>
              <w:ind w:firstLine="0" w:firstLineChars="0"/>
              <w:jc w:val="right"/>
              <w:textAlignment w:val="center"/>
              <w:rPr>
                <w:rFonts w:cs="Times New Roman"/>
                <w:b/>
                <w:bCs/>
                <w:sz w:val="21"/>
                <w:szCs w:val="21"/>
              </w:rPr>
            </w:pPr>
            <w:r>
              <w:rPr>
                <w:rFonts w:cs="Times New Roman"/>
                <w:b/>
                <w:bCs/>
                <w:color w:val="000000"/>
                <w:sz w:val="22"/>
                <w:szCs w:val="22"/>
                <w:lang w:bidi="ar"/>
              </w:rPr>
              <w:t>6,771.00</w:t>
            </w:r>
          </w:p>
        </w:tc>
        <w:tc>
          <w:tcPr>
            <w:tcW w:w="1800"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14674071">
            <w:pPr>
              <w:widowControl/>
              <w:spacing w:before="120" w:after="120" w:afterLines="50" w:line="240" w:lineRule="auto"/>
              <w:ind w:firstLine="0" w:firstLineChars="0"/>
              <w:jc w:val="right"/>
              <w:textAlignment w:val="center"/>
              <w:rPr>
                <w:rFonts w:cs="Times New Roman"/>
                <w:b/>
                <w:bCs/>
                <w:sz w:val="21"/>
                <w:szCs w:val="21"/>
              </w:rPr>
            </w:pPr>
            <w:r>
              <w:rPr>
                <w:rFonts w:cs="Times New Roman"/>
                <w:b/>
                <w:bCs/>
                <w:color w:val="000000"/>
                <w:sz w:val="22"/>
                <w:szCs w:val="22"/>
                <w:lang w:bidi="ar"/>
              </w:rPr>
              <w:t>100.00%</w:t>
            </w:r>
          </w:p>
        </w:tc>
      </w:tr>
    </w:tbl>
    <w:p w14:paraId="7C4CC54D">
      <w:pPr>
        <w:keepNext/>
        <w:keepLines/>
        <w:spacing w:before="0" w:beforeLines="0" w:line="240" w:lineRule="auto"/>
        <w:ind w:firstLine="0" w:firstLineChars="0"/>
        <w:jc w:val="both"/>
      </w:pPr>
      <w:r>
        <w:rPr>
          <w:rFonts w:hint="eastAsia"/>
          <w:kern w:val="2"/>
          <w:sz w:val="21"/>
          <w:szCs w:val="20"/>
          <w:lang w:bidi="ar"/>
        </w:rPr>
        <w:t>注1：珠海乐哈哈是标的公司的员工持股平台，陈耿豪存在替部分员工代持股份的情形，</w:t>
      </w:r>
      <w:r>
        <w:rPr>
          <w:rFonts w:hint="eastAsia"/>
          <w:sz w:val="21"/>
          <w:szCs w:val="21"/>
        </w:rPr>
        <w:t>截至本预案签署之日，陈耿豪与相关员工已签署代持解除协议，</w:t>
      </w:r>
      <w:r>
        <w:rPr>
          <w:rFonts w:hint="eastAsia"/>
          <w:kern w:val="2"/>
          <w:sz w:val="21"/>
          <w:szCs w:val="20"/>
          <w:lang w:bidi="ar"/>
        </w:rPr>
        <w:t>上表为股权代持还原后珠海乐哈哈合伙人及产权控制关系情况，尚未完成工商变更。</w:t>
      </w:r>
    </w:p>
    <w:p w14:paraId="1B093918">
      <w:pPr>
        <w:keepNext/>
        <w:keepLines/>
        <w:spacing w:before="0" w:beforeLines="0" w:line="240" w:lineRule="auto"/>
        <w:ind w:firstLine="0" w:firstLineChars="0"/>
        <w:jc w:val="both"/>
        <w:rPr>
          <w:sz w:val="21"/>
          <w:szCs w:val="21"/>
        </w:rPr>
      </w:pPr>
      <w:r>
        <w:rPr>
          <w:rFonts w:hint="eastAsia"/>
          <w:sz w:val="21"/>
          <w:szCs w:val="21"/>
        </w:rPr>
        <w:t>注2：杨凯然（原由陈耿豪代持）、张杰波原通过珠海乐哈哈间接持有标的公司股权，截至本预案签署之日，杨凯然、张杰波已与珠海乐哈哈签署股权转让协议，由间接持股变更为直接持有标的公司股权，上表为持股方式改变后珠海乐哈哈合伙人及产权控制关系情况，目前尚未完成工商变更。</w:t>
      </w:r>
    </w:p>
    <w:p w14:paraId="47B30364">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（十一）广州广发信德二期创业投资合伙企业（有限合伙）</w:t>
      </w:r>
    </w:p>
    <w:p w14:paraId="714C6635">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6C16AB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58452309">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44F724C6">
            <w:pPr>
              <w:spacing w:before="120" w:line="240" w:lineRule="auto"/>
              <w:ind w:firstLine="0" w:firstLineChars="0"/>
              <w:jc w:val="both"/>
              <w:rPr>
                <w:rFonts w:cs="Times New Roman"/>
                <w:sz w:val="21"/>
                <w:szCs w:val="21"/>
              </w:rPr>
            </w:pPr>
            <w:r>
              <w:rPr>
                <w:rFonts w:hint="eastAsia" w:cs="Times New Roman"/>
                <w:sz w:val="21"/>
                <w:szCs w:val="21"/>
                <w:lang w:bidi="ar"/>
              </w:rPr>
              <w:t>广州广发信德二期创业投资合伙企业（有限合伙）</w:t>
            </w:r>
          </w:p>
        </w:tc>
      </w:tr>
      <w:tr w14:paraId="47085E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39A225FB">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1C026A07">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458365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3612A5FC">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179D422">
            <w:pPr>
              <w:spacing w:before="120" w:line="240" w:lineRule="auto"/>
              <w:ind w:firstLine="0" w:firstLineChars="0"/>
              <w:jc w:val="both"/>
              <w:rPr>
                <w:rFonts w:cs="Times New Roman"/>
                <w:sz w:val="21"/>
                <w:szCs w:val="21"/>
              </w:rPr>
            </w:pPr>
            <w:r>
              <w:rPr>
                <w:rFonts w:hint="eastAsia" w:cs="Times New Roman"/>
                <w:sz w:val="21"/>
                <w:szCs w:val="21"/>
                <w:lang w:bidi="ar"/>
              </w:rPr>
              <w:t>广州市增城区朱村街朱村大道西</w:t>
            </w:r>
            <w:r>
              <w:rPr>
                <w:rFonts w:cs="Times New Roman"/>
                <w:sz w:val="21"/>
                <w:szCs w:val="21"/>
                <w:lang w:bidi="ar"/>
              </w:rPr>
              <w:t>110</w:t>
            </w:r>
            <w:r>
              <w:rPr>
                <w:rFonts w:hint="eastAsia" w:cs="Times New Roman"/>
                <w:sz w:val="21"/>
                <w:szCs w:val="21"/>
                <w:lang w:bidi="ar"/>
              </w:rPr>
              <w:t>号</w:t>
            </w:r>
          </w:p>
        </w:tc>
      </w:tr>
      <w:tr w14:paraId="2ABFDF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206D0331">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5F0CFEB1">
            <w:pPr>
              <w:spacing w:before="120" w:line="240" w:lineRule="auto"/>
              <w:ind w:firstLine="0" w:firstLineChars="0"/>
              <w:jc w:val="both"/>
              <w:rPr>
                <w:rFonts w:cs="Times New Roman"/>
                <w:sz w:val="21"/>
                <w:szCs w:val="21"/>
              </w:rPr>
            </w:pPr>
            <w:r>
              <w:rPr>
                <w:rFonts w:cs="Times New Roman"/>
                <w:sz w:val="21"/>
                <w:szCs w:val="21"/>
                <w:lang w:bidi="ar"/>
              </w:rPr>
              <w:t>2019</w:t>
            </w:r>
            <w:r>
              <w:rPr>
                <w:rFonts w:hint="eastAsia" w:cs="Times New Roman"/>
                <w:sz w:val="21"/>
                <w:szCs w:val="21"/>
                <w:lang w:bidi="ar"/>
              </w:rPr>
              <w:t>年</w:t>
            </w:r>
            <w:r>
              <w:rPr>
                <w:rFonts w:cs="Times New Roman"/>
                <w:sz w:val="21"/>
                <w:szCs w:val="21"/>
                <w:lang w:bidi="ar"/>
              </w:rPr>
              <w:t>12</w:t>
            </w:r>
            <w:r>
              <w:rPr>
                <w:rFonts w:hint="eastAsia" w:cs="Times New Roman"/>
                <w:sz w:val="21"/>
                <w:szCs w:val="21"/>
                <w:lang w:bidi="ar"/>
              </w:rPr>
              <w:t>月</w:t>
            </w:r>
            <w:r>
              <w:rPr>
                <w:rFonts w:cs="Times New Roman"/>
                <w:sz w:val="21"/>
                <w:szCs w:val="21"/>
                <w:lang w:bidi="ar"/>
              </w:rPr>
              <w:t>16</w:t>
            </w:r>
            <w:r>
              <w:rPr>
                <w:rFonts w:hint="eastAsia" w:cs="Times New Roman"/>
                <w:sz w:val="21"/>
                <w:szCs w:val="21"/>
                <w:lang w:bidi="ar"/>
              </w:rPr>
              <w:t>日</w:t>
            </w:r>
          </w:p>
        </w:tc>
      </w:tr>
      <w:tr w14:paraId="238290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0D2C1A84">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0B31806">
            <w:pPr>
              <w:spacing w:before="120" w:line="240" w:lineRule="auto"/>
              <w:ind w:firstLine="0" w:firstLineChars="0"/>
              <w:jc w:val="both"/>
              <w:rPr>
                <w:rFonts w:cs="Times New Roman"/>
                <w:sz w:val="21"/>
                <w:szCs w:val="21"/>
              </w:rPr>
            </w:pPr>
            <w:r>
              <w:rPr>
                <w:rFonts w:cs="Times New Roman"/>
                <w:sz w:val="21"/>
                <w:szCs w:val="21"/>
                <w:lang w:bidi="ar"/>
              </w:rPr>
              <w:t>30,000.00</w:t>
            </w:r>
            <w:r>
              <w:rPr>
                <w:rFonts w:hint="eastAsia" w:cs="Times New Roman"/>
                <w:sz w:val="21"/>
                <w:szCs w:val="21"/>
                <w:lang w:bidi="ar"/>
              </w:rPr>
              <w:t>万元</w:t>
            </w:r>
          </w:p>
        </w:tc>
      </w:tr>
      <w:tr w14:paraId="31B5DB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409B26F5">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7158FBA7">
            <w:pPr>
              <w:spacing w:before="120" w:line="240" w:lineRule="auto"/>
              <w:ind w:firstLine="0" w:firstLineChars="0"/>
              <w:jc w:val="both"/>
              <w:rPr>
                <w:rFonts w:cs="Times New Roman"/>
                <w:sz w:val="21"/>
                <w:szCs w:val="21"/>
              </w:rPr>
            </w:pPr>
            <w:r>
              <w:rPr>
                <w:rFonts w:hint="eastAsia" w:cs="Times New Roman"/>
                <w:sz w:val="21"/>
                <w:szCs w:val="21"/>
                <w:lang w:bidi="ar"/>
              </w:rPr>
              <w:t>广东信德投资管理有限公司</w:t>
            </w:r>
          </w:p>
        </w:tc>
      </w:tr>
      <w:tr w14:paraId="5D26E4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068E4CC">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BD79840">
            <w:pPr>
              <w:spacing w:before="120" w:line="240" w:lineRule="auto"/>
              <w:ind w:firstLine="0" w:firstLineChars="0"/>
              <w:jc w:val="both"/>
              <w:rPr>
                <w:rFonts w:cs="Times New Roman"/>
                <w:sz w:val="21"/>
                <w:szCs w:val="21"/>
              </w:rPr>
            </w:pPr>
            <w:r>
              <w:rPr>
                <w:rFonts w:cs="Times New Roman"/>
                <w:sz w:val="21"/>
                <w:szCs w:val="21"/>
                <w:lang w:bidi="ar"/>
              </w:rPr>
              <w:t>91440101MA5D33B10J</w:t>
            </w:r>
          </w:p>
        </w:tc>
      </w:tr>
      <w:tr w14:paraId="26D2C1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02B38740">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7AC5EAC5">
            <w:pPr>
              <w:spacing w:before="120" w:line="240" w:lineRule="auto"/>
              <w:ind w:firstLine="0" w:firstLineChars="0"/>
              <w:jc w:val="both"/>
              <w:rPr>
                <w:rFonts w:cs="Times New Roman"/>
                <w:sz w:val="21"/>
                <w:szCs w:val="21"/>
              </w:rPr>
            </w:pPr>
            <w:r>
              <w:rPr>
                <w:rFonts w:hint="eastAsia" w:cs="Times New Roman"/>
                <w:sz w:val="21"/>
                <w:szCs w:val="21"/>
                <w:lang w:bidi="ar"/>
              </w:rPr>
              <w:t>创业投资咨询业务；代理其他创业投资企业等机构或个人的创业投资业务；创业投资</w:t>
            </w:r>
          </w:p>
        </w:tc>
      </w:tr>
    </w:tbl>
    <w:p w14:paraId="285A0433">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49EE1791">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截至本预案签署日，广发信德二期的合伙人情况如下表所示：</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796"/>
        <w:gridCol w:w="2761"/>
        <w:gridCol w:w="2554"/>
        <w:gridCol w:w="1316"/>
        <w:gridCol w:w="1102"/>
      </w:tblGrid>
      <w:tr w14:paraId="0FE37E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791"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421BEC90">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序号</w:t>
            </w:r>
          </w:p>
        </w:tc>
        <w:tc>
          <w:tcPr>
            <w:tcW w:w="2766"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1F4953D9">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股东名称</w:t>
            </w:r>
          </w:p>
        </w:tc>
        <w:tc>
          <w:tcPr>
            <w:tcW w:w="2558"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28C739E6">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合伙人类型</w:t>
            </w:r>
          </w:p>
        </w:tc>
        <w:tc>
          <w:tcPr>
            <w:tcW w:w="1314"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5551E7A8">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认缴出资额（万元）</w:t>
            </w:r>
          </w:p>
        </w:tc>
        <w:tc>
          <w:tcPr>
            <w:tcW w:w="1099"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6D7BA301">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出资比例（</w:t>
            </w:r>
            <w:r>
              <w:rPr>
                <w:rFonts w:ascii="Times New Roman" w:hAnsi="Times New Roman"/>
                <w:b/>
                <w:bCs/>
                <w:kern w:val="2"/>
                <w:sz w:val="21"/>
                <w:szCs w:val="21"/>
                <w:lang w:val="en-US" w:bidi="ar"/>
              </w:rPr>
              <w:t>%</w:t>
            </w:r>
            <w:r>
              <w:rPr>
                <w:rFonts w:hint="eastAsia" w:ascii="Times New Roman" w:hAnsi="Times New Roman" w:cs="宋体"/>
                <w:b/>
                <w:bCs/>
                <w:kern w:val="2"/>
                <w:sz w:val="21"/>
                <w:szCs w:val="21"/>
                <w:lang w:val="en-US" w:bidi="ar"/>
              </w:rPr>
              <w:t>）</w:t>
            </w:r>
          </w:p>
        </w:tc>
      </w:tr>
      <w:tr w14:paraId="7009FF9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9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1E5351C">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w:t>
            </w:r>
          </w:p>
        </w:tc>
        <w:tc>
          <w:tcPr>
            <w:tcW w:w="2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A67F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广发信德投资管理有限公司</w:t>
            </w: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184A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执行事务合伙人</w:t>
            </w:r>
          </w:p>
        </w:tc>
        <w:tc>
          <w:tcPr>
            <w:tcW w:w="1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5D35B">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6,000.00</w:t>
            </w:r>
          </w:p>
        </w:tc>
        <w:tc>
          <w:tcPr>
            <w:tcW w:w="1099"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84847C9">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20.00%</w:t>
            </w:r>
          </w:p>
        </w:tc>
      </w:tr>
      <w:tr w14:paraId="183121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9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6888630">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w:t>
            </w:r>
          </w:p>
        </w:tc>
        <w:tc>
          <w:tcPr>
            <w:tcW w:w="2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7C11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广州市中小企业发展基金有限公司</w:t>
            </w: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A918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33F1E">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9,900.00</w:t>
            </w:r>
          </w:p>
        </w:tc>
        <w:tc>
          <w:tcPr>
            <w:tcW w:w="1099"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45AD5BE">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33.00%</w:t>
            </w:r>
          </w:p>
        </w:tc>
      </w:tr>
      <w:tr w14:paraId="65F4615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9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8AACCC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w:t>
            </w:r>
          </w:p>
        </w:tc>
        <w:tc>
          <w:tcPr>
            <w:tcW w:w="2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24E8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国投创合国家新兴产业创业投资引导基金（有限合伙）</w:t>
            </w: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tcPr>
          <w:p w14:paraId="215017C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C3057">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5,000.00</w:t>
            </w:r>
          </w:p>
        </w:tc>
        <w:tc>
          <w:tcPr>
            <w:tcW w:w="1099"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68226AF">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16.67%</w:t>
            </w:r>
          </w:p>
        </w:tc>
      </w:tr>
      <w:tr w14:paraId="53B49D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9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60F6BB6">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w:t>
            </w:r>
          </w:p>
        </w:tc>
        <w:tc>
          <w:tcPr>
            <w:tcW w:w="2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D4E4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广州增城区新经济产业投资合伙企业（有限合伙）</w:t>
            </w: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tcPr>
          <w:p w14:paraId="60037F2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22B0A">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5,000.00</w:t>
            </w:r>
          </w:p>
        </w:tc>
        <w:tc>
          <w:tcPr>
            <w:tcW w:w="1099"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9CD1CBC">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16.67%</w:t>
            </w:r>
          </w:p>
        </w:tc>
      </w:tr>
      <w:tr w14:paraId="7210223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9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DA62BB5">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w:t>
            </w:r>
          </w:p>
        </w:tc>
        <w:tc>
          <w:tcPr>
            <w:tcW w:w="2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D33E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广州科技金融创新投资控股有限公司</w:t>
            </w: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tcPr>
          <w:p w14:paraId="09B9729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85909">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3,000.00</w:t>
            </w:r>
          </w:p>
        </w:tc>
        <w:tc>
          <w:tcPr>
            <w:tcW w:w="1099"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606320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w:t>
            </w:r>
          </w:p>
        </w:tc>
      </w:tr>
      <w:tr w14:paraId="6919103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9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8787A4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6</w:t>
            </w:r>
          </w:p>
        </w:tc>
        <w:tc>
          <w:tcPr>
            <w:tcW w:w="2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B9BC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兰俊杰</w:t>
            </w: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tcPr>
          <w:p w14:paraId="73C796F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75BB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600.00</w:t>
            </w:r>
          </w:p>
        </w:tc>
        <w:tc>
          <w:tcPr>
            <w:tcW w:w="1099"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ACB0FAB">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2.00%</w:t>
            </w:r>
          </w:p>
        </w:tc>
      </w:tr>
      <w:tr w14:paraId="2FE7F79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91"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5262F4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7</w:t>
            </w:r>
          </w:p>
        </w:tc>
        <w:tc>
          <w:tcPr>
            <w:tcW w:w="2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8B810">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覃尊廉</w:t>
            </w:r>
          </w:p>
        </w:tc>
        <w:tc>
          <w:tcPr>
            <w:tcW w:w="2558" w:type="dxa"/>
            <w:tcBorders>
              <w:top w:val="single" w:color="000000" w:sz="4" w:space="0"/>
              <w:left w:val="single" w:color="000000" w:sz="4" w:space="0"/>
              <w:bottom w:val="single" w:color="000000" w:sz="4" w:space="0"/>
              <w:right w:val="single" w:color="000000" w:sz="4" w:space="0"/>
            </w:tcBorders>
            <w:shd w:val="clear" w:color="auto" w:fill="auto"/>
            <w:noWrap/>
          </w:tcPr>
          <w:p w14:paraId="7A0FA5B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3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F07D7">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500.00</w:t>
            </w:r>
          </w:p>
        </w:tc>
        <w:tc>
          <w:tcPr>
            <w:tcW w:w="1099"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1D4EFEE">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1.67%</w:t>
            </w:r>
          </w:p>
        </w:tc>
      </w:tr>
      <w:tr w14:paraId="5D318CA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6115"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51C28E50">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合计</w:t>
            </w:r>
          </w:p>
        </w:tc>
        <w:tc>
          <w:tcPr>
            <w:tcW w:w="1314"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00C656AE">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30,000.00</w:t>
            </w:r>
          </w:p>
        </w:tc>
        <w:tc>
          <w:tcPr>
            <w:tcW w:w="1099"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641683ED">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100.00%</w:t>
            </w:r>
          </w:p>
        </w:tc>
      </w:tr>
    </w:tbl>
    <w:p w14:paraId="520A1E86">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截至本预案签署日，广发信德二期的执行事务合伙人为广东信德投资管理有限公司，产权控制关系如下：</w:t>
      </w:r>
    </w:p>
    <w:p w14:paraId="0F6EDEA2">
      <w:pPr>
        <w:keepNext/>
        <w:keepLines/>
        <w:spacing w:before="120" w:after="120" w:afterLines="50"/>
        <w:ind w:firstLine="0" w:firstLineChars="0"/>
        <w:jc w:val="both"/>
      </w:pPr>
      <w:r>
        <w:drawing>
          <wp:inline distT="0" distB="0" distL="114300" distR="114300">
            <wp:extent cx="5273040" cy="1602740"/>
            <wp:effectExtent l="0" t="0" r="0" b="1270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3"/>
                    <a:stretch>
                      <a:fillRect/>
                    </a:stretch>
                  </pic:blipFill>
                  <pic:spPr>
                    <a:xfrm>
                      <a:off x="0" y="0"/>
                      <a:ext cx="5273040" cy="1602740"/>
                    </a:xfrm>
                    <a:prstGeom prst="rect">
                      <a:avLst/>
                    </a:prstGeom>
                    <a:noFill/>
                    <a:ln>
                      <a:noFill/>
                    </a:ln>
                  </pic:spPr>
                </pic:pic>
              </a:graphicData>
            </a:graphic>
          </wp:inline>
        </w:drawing>
      </w:r>
    </w:p>
    <w:p w14:paraId="71764970">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（十二）璀璨德商（深圳）企业管理合伙企业（有限合伙）</w:t>
      </w:r>
    </w:p>
    <w:p w14:paraId="15C6A7EA">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5F532A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2AF5F52D">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707989AF">
            <w:pPr>
              <w:spacing w:before="120" w:line="240" w:lineRule="auto"/>
              <w:ind w:firstLine="0" w:firstLineChars="0"/>
              <w:jc w:val="both"/>
              <w:rPr>
                <w:rFonts w:cs="Times New Roman"/>
                <w:sz w:val="21"/>
                <w:szCs w:val="21"/>
              </w:rPr>
            </w:pPr>
            <w:r>
              <w:rPr>
                <w:rFonts w:hint="eastAsia" w:cs="Times New Roman"/>
                <w:sz w:val="21"/>
                <w:szCs w:val="21"/>
                <w:lang w:bidi="ar"/>
              </w:rPr>
              <w:t>璀璨德商（深圳）创业投资中心（有限合伙）</w:t>
            </w:r>
          </w:p>
        </w:tc>
      </w:tr>
      <w:tr w14:paraId="4257CC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45DD320E">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61415C71">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5C7C86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3ADD7A1C">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1BBC1967">
            <w:pPr>
              <w:spacing w:before="120" w:line="240" w:lineRule="auto"/>
              <w:ind w:firstLine="0" w:firstLineChars="0"/>
              <w:jc w:val="both"/>
              <w:rPr>
                <w:rFonts w:cs="Times New Roman"/>
                <w:sz w:val="21"/>
                <w:szCs w:val="21"/>
              </w:rPr>
            </w:pPr>
            <w:r>
              <w:rPr>
                <w:rFonts w:hint="eastAsia" w:cs="Times New Roman"/>
                <w:sz w:val="21"/>
                <w:szCs w:val="21"/>
                <w:lang w:bidi="ar"/>
              </w:rPr>
              <w:t>深圳市南山区粤海街道海珠社区海德三道</w:t>
            </w:r>
            <w:r>
              <w:rPr>
                <w:rFonts w:cs="Times New Roman"/>
                <w:sz w:val="21"/>
                <w:szCs w:val="21"/>
                <w:lang w:bidi="ar"/>
              </w:rPr>
              <w:t>1066</w:t>
            </w:r>
            <w:r>
              <w:rPr>
                <w:rFonts w:hint="eastAsia" w:cs="Times New Roman"/>
                <w:sz w:val="21"/>
                <w:szCs w:val="21"/>
                <w:lang w:bidi="ar"/>
              </w:rPr>
              <w:t>号深创投广场</w:t>
            </w:r>
            <w:r>
              <w:rPr>
                <w:rFonts w:cs="Times New Roman"/>
                <w:sz w:val="21"/>
                <w:szCs w:val="21"/>
                <w:lang w:bidi="ar"/>
              </w:rPr>
              <w:t>3305</w:t>
            </w:r>
          </w:p>
        </w:tc>
      </w:tr>
      <w:tr w14:paraId="40EF47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3B7CA6F5">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D1C00BD">
            <w:pPr>
              <w:spacing w:before="120" w:line="240" w:lineRule="auto"/>
              <w:ind w:firstLine="0" w:firstLineChars="0"/>
              <w:jc w:val="both"/>
              <w:rPr>
                <w:rFonts w:cs="Times New Roman"/>
                <w:sz w:val="21"/>
                <w:szCs w:val="21"/>
              </w:rPr>
            </w:pPr>
            <w:r>
              <w:rPr>
                <w:rFonts w:cs="Times New Roman"/>
                <w:sz w:val="21"/>
                <w:szCs w:val="21"/>
                <w:lang w:bidi="ar"/>
              </w:rPr>
              <w:t>2016</w:t>
            </w:r>
            <w:r>
              <w:rPr>
                <w:rFonts w:hint="eastAsia" w:cs="Times New Roman"/>
                <w:sz w:val="21"/>
                <w:szCs w:val="21"/>
                <w:lang w:bidi="ar"/>
              </w:rPr>
              <w:t>年</w:t>
            </w:r>
            <w:r>
              <w:rPr>
                <w:rFonts w:cs="Times New Roman"/>
                <w:sz w:val="21"/>
                <w:szCs w:val="21"/>
                <w:lang w:bidi="ar"/>
              </w:rPr>
              <w:t>12</w:t>
            </w:r>
            <w:r>
              <w:rPr>
                <w:rFonts w:hint="eastAsia" w:cs="Times New Roman"/>
                <w:sz w:val="21"/>
                <w:szCs w:val="21"/>
                <w:lang w:bidi="ar"/>
              </w:rPr>
              <w:t>月</w:t>
            </w:r>
            <w:r>
              <w:rPr>
                <w:rFonts w:cs="Times New Roman"/>
                <w:sz w:val="21"/>
                <w:szCs w:val="21"/>
                <w:lang w:bidi="ar"/>
              </w:rPr>
              <w:t>23</w:t>
            </w:r>
            <w:r>
              <w:rPr>
                <w:rFonts w:hint="eastAsia" w:cs="Times New Roman"/>
                <w:sz w:val="21"/>
                <w:szCs w:val="21"/>
                <w:lang w:bidi="ar"/>
              </w:rPr>
              <w:t>日</w:t>
            </w:r>
          </w:p>
        </w:tc>
      </w:tr>
      <w:tr w14:paraId="7BB850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46857021">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1B2D7F49">
            <w:pPr>
              <w:spacing w:before="120" w:line="240" w:lineRule="auto"/>
              <w:ind w:firstLine="0" w:firstLineChars="0"/>
              <w:jc w:val="both"/>
              <w:rPr>
                <w:rFonts w:cs="Times New Roman"/>
                <w:sz w:val="21"/>
                <w:szCs w:val="21"/>
              </w:rPr>
            </w:pPr>
            <w:r>
              <w:rPr>
                <w:rFonts w:cs="Times New Roman"/>
                <w:sz w:val="21"/>
                <w:szCs w:val="21"/>
                <w:lang w:bidi="ar"/>
              </w:rPr>
              <w:t>1,208.3</w:t>
            </w:r>
            <w:r>
              <w:rPr>
                <w:rFonts w:hint="eastAsia" w:cs="Times New Roman"/>
                <w:sz w:val="21"/>
                <w:szCs w:val="21"/>
                <w:lang w:bidi="ar"/>
              </w:rPr>
              <w:t>88万元</w:t>
            </w:r>
          </w:p>
        </w:tc>
      </w:tr>
      <w:tr w14:paraId="0508C0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6C20161A">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6AB31857">
            <w:pPr>
              <w:spacing w:before="120" w:line="240" w:lineRule="auto"/>
              <w:ind w:firstLine="0" w:firstLineChars="0"/>
              <w:jc w:val="both"/>
              <w:rPr>
                <w:rFonts w:cs="Times New Roman"/>
                <w:sz w:val="21"/>
                <w:szCs w:val="21"/>
              </w:rPr>
            </w:pPr>
            <w:r>
              <w:rPr>
                <w:rFonts w:hint="eastAsia" w:cs="Times New Roman"/>
                <w:sz w:val="21"/>
                <w:szCs w:val="21"/>
                <w:lang w:bidi="ar"/>
              </w:rPr>
              <w:t>西藏泽泽创业投资管理有限公司</w:t>
            </w:r>
          </w:p>
        </w:tc>
      </w:tr>
      <w:tr w14:paraId="03A55C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7728B6D4">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804E6F6">
            <w:pPr>
              <w:spacing w:before="120" w:line="240" w:lineRule="auto"/>
              <w:ind w:firstLine="0" w:firstLineChars="0"/>
              <w:jc w:val="both"/>
              <w:rPr>
                <w:rFonts w:cs="Times New Roman"/>
                <w:sz w:val="21"/>
                <w:szCs w:val="21"/>
              </w:rPr>
            </w:pPr>
            <w:r>
              <w:rPr>
                <w:rFonts w:cs="Times New Roman"/>
                <w:sz w:val="21"/>
                <w:szCs w:val="21"/>
                <w:lang w:bidi="ar"/>
              </w:rPr>
              <w:t>91440300MA5DR7MM4F</w:t>
            </w:r>
          </w:p>
        </w:tc>
      </w:tr>
      <w:tr w14:paraId="2043FE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6E8BC3C2">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3F5351FC">
            <w:pPr>
              <w:spacing w:before="120" w:line="240" w:lineRule="auto"/>
              <w:ind w:firstLine="0" w:firstLineChars="0"/>
              <w:jc w:val="both"/>
              <w:rPr>
                <w:rFonts w:cs="Times New Roman"/>
                <w:sz w:val="21"/>
                <w:szCs w:val="21"/>
              </w:rPr>
            </w:pPr>
            <w:r>
              <w:rPr>
                <w:rFonts w:hint="eastAsia" w:cs="Times New Roman"/>
                <w:sz w:val="21"/>
                <w:szCs w:val="21"/>
                <w:lang w:bidi="ar"/>
              </w:rPr>
              <w:t>创业投资业务；创业投资咨询业务（法律、行政法规、国务院决定禁止的项目除外，限制的项目须取得许可后方可经营）</w:t>
            </w:r>
          </w:p>
        </w:tc>
      </w:tr>
    </w:tbl>
    <w:p w14:paraId="62A3952B">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68B98C52">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截至本预案签署日，璀璨德商的合伙人情况如下表所示：</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806"/>
        <w:gridCol w:w="2244"/>
        <w:gridCol w:w="1898"/>
        <w:gridCol w:w="1747"/>
        <w:gridCol w:w="1833"/>
      </w:tblGrid>
      <w:tr w14:paraId="4403714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783"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6D7C0841">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序号</w:t>
            </w:r>
          </w:p>
        </w:tc>
        <w:tc>
          <w:tcPr>
            <w:tcW w:w="2179"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4C8E21BB">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股东名称</w:t>
            </w:r>
          </w:p>
        </w:tc>
        <w:tc>
          <w:tcPr>
            <w:tcW w:w="1843"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6BD38689">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合伙人类型</w:t>
            </w:r>
          </w:p>
        </w:tc>
        <w:tc>
          <w:tcPr>
            <w:tcW w:w="1697"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66A7E86B">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认缴出资额</w:t>
            </w:r>
          </w:p>
          <w:p w14:paraId="68C9B4CA">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（万元）</w:t>
            </w:r>
          </w:p>
        </w:tc>
        <w:tc>
          <w:tcPr>
            <w:tcW w:w="1780"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285AEFCF">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出资比例（</w:t>
            </w:r>
            <w:r>
              <w:rPr>
                <w:rFonts w:ascii="Times New Roman" w:hAnsi="Times New Roman"/>
                <w:b/>
                <w:bCs/>
                <w:kern w:val="2"/>
                <w:sz w:val="21"/>
                <w:szCs w:val="21"/>
                <w:lang w:val="en-US" w:bidi="ar"/>
              </w:rPr>
              <w:t>%</w:t>
            </w:r>
            <w:r>
              <w:rPr>
                <w:rFonts w:hint="eastAsia" w:ascii="Times New Roman" w:hAnsi="Times New Roman" w:cs="宋体"/>
                <w:b/>
                <w:bCs/>
                <w:kern w:val="2"/>
                <w:sz w:val="21"/>
                <w:szCs w:val="21"/>
                <w:lang w:val="en-US" w:bidi="ar"/>
              </w:rPr>
              <w:t>）</w:t>
            </w:r>
          </w:p>
        </w:tc>
      </w:tr>
      <w:tr w14:paraId="79E0E14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34934A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w:t>
            </w:r>
          </w:p>
        </w:tc>
        <w:tc>
          <w:tcPr>
            <w:tcW w:w="21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4714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西藏泽泽创业投资管理有限公司</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FCCC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执行事务合伙人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847D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94.8</w:t>
            </w:r>
            <w:r>
              <w:rPr>
                <w:rFonts w:hint="eastAsia" w:ascii="Times New Roman" w:hAnsi="Times New Roman"/>
                <w:color w:val="000000"/>
                <w:kern w:val="2"/>
                <w:sz w:val="21"/>
                <w:szCs w:val="21"/>
                <w:lang w:val="en-US" w:bidi="ar"/>
              </w:rPr>
              <w:t>5</w:t>
            </w:r>
          </w:p>
        </w:tc>
        <w:tc>
          <w:tcPr>
            <w:tcW w:w="178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8DF06EF">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7.85%</w:t>
            </w:r>
          </w:p>
        </w:tc>
      </w:tr>
      <w:tr w14:paraId="599A3E1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CB5640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w:t>
            </w:r>
          </w:p>
        </w:tc>
        <w:tc>
          <w:tcPr>
            <w:tcW w:w="21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60E3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深圳市天泽资本投资有限公司</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4C23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AEF2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633.4</w:t>
            </w:r>
            <w:r>
              <w:rPr>
                <w:rFonts w:hint="eastAsia" w:ascii="Times New Roman" w:hAnsi="Times New Roman"/>
                <w:color w:val="000000"/>
                <w:kern w:val="2"/>
                <w:sz w:val="21"/>
                <w:szCs w:val="21"/>
                <w:lang w:val="en-US" w:bidi="ar"/>
              </w:rPr>
              <w:t>5</w:t>
            </w:r>
          </w:p>
        </w:tc>
        <w:tc>
          <w:tcPr>
            <w:tcW w:w="178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4505DB3">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52.42%</w:t>
            </w:r>
          </w:p>
        </w:tc>
      </w:tr>
      <w:tr w14:paraId="3868AD6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0E5095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w:t>
            </w:r>
          </w:p>
        </w:tc>
        <w:tc>
          <w:tcPr>
            <w:tcW w:w="21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9D03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西藏德商企业管理有限公司</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EC3E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573C7">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380.0</w:t>
            </w:r>
            <w:r>
              <w:rPr>
                <w:rFonts w:hint="eastAsia" w:ascii="Times New Roman" w:hAnsi="Times New Roman"/>
                <w:color w:val="000000"/>
                <w:kern w:val="2"/>
                <w:sz w:val="21"/>
                <w:szCs w:val="21"/>
                <w:lang w:val="en-US" w:bidi="ar"/>
              </w:rPr>
              <w:t>8</w:t>
            </w:r>
          </w:p>
        </w:tc>
        <w:tc>
          <w:tcPr>
            <w:tcW w:w="178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1021618">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31.45%</w:t>
            </w:r>
          </w:p>
        </w:tc>
      </w:tr>
      <w:tr w14:paraId="7EC7819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83"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22B66FD">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w:t>
            </w:r>
          </w:p>
        </w:tc>
        <w:tc>
          <w:tcPr>
            <w:tcW w:w="21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29C9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成都德商创客股权投资基金管理有限公司</w:t>
            </w:r>
          </w:p>
        </w:tc>
        <w:tc>
          <w:tcPr>
            <w:tcW w:w="1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6757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94C18">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w:t>
            </w:r>
            <w:r>
              <w:rPr>
                <w:rFonts w:hint="eastAsia" w:ascii="Times New Roman" w:hAnsi="Times New Roman"/>
                <w:color w:val="000000"/>
                <w:kern w:val="2"/>
                <w:sz w:val="21"/>
                <w:szCs w:val="21"/>
                <w:lang w:val="en-US" w:bidi="ar"/>
              </w:rPr>
              <w:t>0</w:t>
            </w:r>
          </w:p>
        </w:tc>
        <w:tc>
          <w:tcPr>
            <w:tcW w:w="1780"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40B2F1B">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8.28%</w:t>
            </w:r>
          </w:p>
        </w:tc>
      </w:tr>
      <w:tr w14:paraId="3D9F720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4805"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1114A182">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合计</w:t>
            </w:r>
          </w:p>
        </w:tc>
        <w:tc>
          <w:tcPr>
            <w:tcW w:w="1697"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507F5ABA">
            <w:pPr>
              <w:widowControl/>
              <w:spacing w:before="120"/>
              <w:ind w:firstLine="0" w:firstLineChars="0"/>
              <w:jc w:val="right"/>
              <w:rPr>
                <w:rFonts w:cs="Times New Roman"/>
                <w:b/>
                <w:bCs/>
                <w:color w:val="000000"/>
                <w:sz w:val="21"/>
                <w:szCs w:val="21"/>
              </w:rPr>
            </w:pPr>
            <w:r>
              <w:rPr>
                <w:rFonts w:cs="Times New Roman"/>
                <w:b/>
                <w:bCs/>
                <w:color w:val="000000"/>
                <w:sz w:val="21"/>
                <w:szCs w:val="21"/>
                <w:lang w:bidi="ar"/>
              </w:rPr>
              <w:t>1,208.39</w:t>
            </w:r>
          </w:p>
        </w:tc>
        <w:tc>
          <w:tcPr>
            <w:tcW w:w="1780"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3A41241F">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100.00%</w:t>
            </w:r>
          </w:p>
        </w:tc>
      </w:tr>
    </w:tbl>
    <w:p w14:paraId="462BFA1C">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截至本预案签署日，璀璨德商的执行事务合伙人为西藏泽泽创业投资管理有限公司，产权控制关系如下：</w:t>
      </w:r>
    </w:p>
    <w:p w14:paraId="22D0F470">
      <w:pPr>
        <w:keepNext/>
        <w:keepLines/>
        <w:spacing w:before="120" w:after="120" w:afterLines="50"/>
        <w:ind w:firstLine="0" w:firstLineChars="0"/>
        <w:jc w:val="both"/>
      </w:pPr>
      <w:r>
        <w:drawing>
          <wp:inline distT="0" distB="0" distL="114300" distR="114300">
            <wp:extent cx="5274310" cy="2411095"/>
            <wp:effectExtent l="0" t="0" r="13970" b="12065"/>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24"/>
                    <a:stretch>
                      <a:fillRect/>
                    </a:stretch>
                  </pic:blipFill>
                  <pic:spPr>
                    <a:xfrm>
                      <a:off x="0" y="0"/>
                      <a:ext cx="5274310" cy="2411095"/>
                    </a:xfrm>
                    <a:prstGeom prst="rect">
                      <a:avLst/>
                    </a:prstGeom>
                    <a:noFill/>
                    <a:ln>
                      <a:noFill/>
                    </a:ln>
                  </pic:spPr>
                </pic:pic>
              </a:graphicData>
            </a:graphic>
          </wp:inline>
        </w:drawing>
      </w:r>
    </w:p>
    <w:p w14:paraId="4419F1EC">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（十三）广州信德创业营股权投资合伙企业（有限合伙）</w:t>
      </w:r>
    </w:p>
    <w:p w14:paraId="35CFB5ED">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10F120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74F92A40">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33E6EF45">
            <w:pPr>
              <w:spacing w:before="120" w:line="240" w:lineRule="auto"/>
              <w:ind w:firstLine="0" w:firstLineChars="0"/>
              <w:jc w:val="both"/>
              <w:rPr>
                <w:rFonts w:cs="Times New Roman"/>
                <w:sz w:val="21"/>
                <w:szCs w:val="21"/>
              </w:rPr>
            </w:pPr>
            <w:r>
              <w:rPr>
                <w:rFonts w:hint="eastAsia" w:cs="Times New Roman"/>
                <w:sz w:val="21"/>
                <w:szCs w:val="21"/>
                <w:lang w:bidi="ar"/>
              </w:rPr>
              <w:t>广州信德创业营股权投资合伙企业（有限合伙）</w:t>
            </w:r>
          </w:p>
        </w:tc>
      </w:tr>
      <w:tr w14:paraId="60F3D3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33C04B0F">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7692E1BC">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3472F7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05290BB5">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53E3141D">
            <w:pPr>
              <w:spacing w:before="120" w:line="240" w:lineRule="auto"/>
              <w:ind w:firstLine="0" w:firstLineChars="0"/>
              <w:jc w:val="both"/>
              <w:rPr>
                <w:rFonts w:cs="Times New Roman"/>
                <w:sz w:val="21"/>
                <w:szCs w:val="21"/>
              </w:rPr>
            </w:pPr>
            <w:r>
              <w:rPr>
                <w:rFonts w:hint="eastAsia" w:cs="Times New Roman"/>
                <w:sz w:val="21"/>
                <w:szCs w:val="21"/>
                <w:lang w:bidi="ar"/>
              </w:rPr>
              <w:t>广州市南沙区横沥镇明珠一街</w:t>
            </w:r>
            <w:r>
              <w:rPr>
                <w:rFonts w:cs="Times New Roman"/>
                <w:sz w:val="21"/>
                <w:szCs w:val="21"/>
                <w:lang w:bidi="ar"/>
              </w:rPr>
              <w:t>1</w:t>
            </w:r>
            <w:r>
              <w:rPr>
                <w:rFonts w:hint="eastAsia" w:cs="Times New Roman"/>
                <w:sz w:val="21"/>
                <w:szCs w:val="21"/>
                <w:lang w:bidi="ar"/>
              </w:rPr>
              <w:t>号</w:t>
            </w:r>
            <w:r>
              <w:rPr>
                <w:rFonts w:cs="Times New Roman"/>
                <w:sz w:val="21"/>
                <w:szCs w:val="21"/>
                <w:lang w:bidi="ar"/>
              </w:rPr>
              <w:t>301</w:t>
            </w:r>
            <w:r>
              <w:rPr>
                <w:rFonts w:hint="eastAsia" w:cs="Times New Roman"/>
                <w:sz w:val="21"/>
                <w:szCs w:val="21"/>
                <w:lang w:bidi="ar"/>
              </w:rPr>
              <w:t>房</w:t>
            </w:r>
            <w:r>
              <w:rPr>
                <w:rFonts w:cs="Times New Roman"/>
                <w:sz w:val="21"/>
                <w:szCs w:val="21"/>
                <w:lang w:bidi="ar"/>
              </w:rPr>
              <w:t>J077</w:t>
            </w:r>
          </w:p>
        </w:tc>
      </w:tr>
      <w:tr w14:paraId="2BAD31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6A34425">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3A5DDBC">
            <w:pPr>
              <w:spacing w:before="120" w:line="240" w:lineRule="auto"/>
              <w:ind w:firstLine="0" w:firstLineChars="0"/>
              <w:jc w:val="both"/>
              <w:rPr>
                <w:rFonts w:cs="Times New Roman"/>
                <w:sz w:val="21"/>
                <w:szCs w:val="21"/>
              </w:rPr>
            </w:pPr>
            <w:r>
              <w:rPr>
                <w:rFonts w:cs="Times New Roman"/>
                <w:sz w:val="21"/>
                <w:szCs w:val="21"/>
                <w:lang w:bidi="ar"/>
              </w:rPr>
              <w:t>2017</w:t>
            </w:r>
            <w:r>
              <w:rPr>
                <w:rFonts w:hint="eastAsia" w:cs="Times New Roman"/>
                <w:sz w:val="21"/>
                <w:szCs w:val="21"/>
                <w:lang w:bidi="ar"/>
              </w:rPr>
              <w:t>年</w:t>
            </w:r>
            <w:r>
              <w:rPr>
                <w:rFonts w:cs="Times New Roman"/>
                <w:sz w:val="21"/>
                <w:szCs w:val="21"/>
                <w:lang w:bidi="ar"/>
              </w:rPr>
              <w:t>6</w:t>
            </w:r>
            <w:r>
              <w:rPr>
                <w:rFonts w:hint="eastAsia" w:cs="Times New Roman"/>
                <w:sz w:val="21"/>
                <w:szCs w:val="21"/>
                <w:lang w:bidi="ar"/>
              </w:rPr>
              <w:t>月</w:t>
            </w:r>
            <w:r>
              <w:rPr>
                <w:rFonts w:cs="Times New Roman"/>
                <w:sz w:val="21"/>
                <w:szCs w:val="21"/>
                <w:lang w:bidi="ar"/>
              </w:rPr>
              <w:t>12</w:t>
            </w:r>
            <w:r>
              <w:rPr>
                <w:rFonts w:hint="eastAsia" w:cs="Times New Roman"/>
                <w:sz w:val="21"/>
                <w:szCs w:val="21"/>
                <w:lang w:bidi="ar"/>
              </w:rPr>
              <w:t>日</w:t>
            </w:r>
          </w:p>
        </w:tc>
      </w:tr>
      <w:tr w14:paraId="7660D3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42632F98">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6A3683BE">
            <w:pPr>
              <w:spacing w:before="120" w:line="240" w:lineRule="auto"/>
              <w:ind w:firstLine="0" w:firstLineChars="0"/>
              <w:jc w:val="both"/>
              <w:rPr>
                <w:rFonts w:cs="Times New Roman"/>
                <w:sz w:val="21"/>
                <w:szCs w:val="21"/>
              </w:rPr>
            </w:pPr>
            <w:r>
              <w:rPr>
                <w:rFonts w:cs="Times New Roman"/>
                <w:sz w:val="21"/>
                <w:szCs w:val="21"/>
                <w:lang w:bidi="ar"/>
              </w:rPr>
              <w:t>40,000.00</w:t>
            </w:r>
            <w:r>
              <w:rPr>
                <w:rFonts w:hint="eastAsia" w:cs="Times New Roman"/>
                <w:sz w:val="21"/>
                <w:szCs w:val="21"/>
                <w:lang w:bidi="ar"/>
              </w:rPr>
              <w:t>万元</w:t>
            </w:r>
          </w:p>
        </w:tc>
      </w:tr>
      <w:tr w14:paraId="2F8204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16A10A8">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04962678">
            <w:pPr>
              <w:spacing w:before="120" w:line="240" w:lineRule="auto"/>
              <w:ind w:firstLine="0" w:firstLineChars="0"/>
              <w:jc w:val="both"/>
              <w:rPr>
                <w:rFonts w:cs="Times New Roman"/>
                <w:sz w:val="21"/>
                <w:szCs w:val="21"/>
              </w:rPr>
            </w:pPr>
            <w:r>
              <w:rPr>
                <w:rFonts w:hint="eastAsia" w:cs="Times New Roman"/>
                <w:sz w:val="21"/>
                <w:szCs w:val="21"/>
                <w:lang w:bidi="ar"/>
              </w:rPr>
              <w:t>广东信德投资管理有限公司</w:t>
            </w:r>
          </w:p>
        </w:tc>
      </w:tr>
      <w:tr w14:paraId="4A1119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093797A4">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3E03577">
            <w:pPr>
              <w:spacing w:before="120" w:line="240" w:lineRule="auto"/>
              <w:ind w:firstLine="0" w:firstLineChars="0"/>
              <w:jc w:val="both"/>
              <w:rPr>
                <w:rFonts w:cs="Times New Roman"/>
                <w:sz w:val="21"/>
                <w:szCs w:val="21"/>
              </w:rPr>
            </w:pPr>
            <w:r>
              <w:rPr>
                <w:rFonts w:cs="Times New Roman"/>
                <w:sz w:val="21"/>
                <w:szCs w:val="21"/>
                <w:lang w:bidi="ar"/>
              </w:rPr>
              <w:t>91440101MA59P2MR73</w:t>
            </w:r>
          </w:p>
        </w:tc>
      </w:tr>
      <w:tr w14:paraId="3E0671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708DF9B2">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4E9E6D62">
            <w:pPr>
              <w:spacing w:before="120" w:line="240" w:lineRule="auto"/>
              <w:ind w:firstLine="0" w:firstLineChars="0"/>
              <w:jc w:val="both"/>
              <w:rPr>
                <w:rFonts w:cs="Times New Roman"/>
                <w:sz w:val="21"/>
                <w:szCs w:val="21"/>
              </w:rPr>
            </w:pPr>
            <w:r>
              <w:rPr>
                <w:rFonts w:hint="eastAsia" w:cs="Times New Roman"/>
                <w:sz w:val="21"/>
                <w:szCs w:val="21"/>
                <w:lang w:bidi="ar"/>
              </w:rPr>
              <w:t>股权投资；股权投资管理</w:t>
            </w:r>
            <w:r>
              <w:rPr>
                <w:rFonts w:cs="Times New Roman"/>
                <w:sz w:val="21"/>
                <w:szCs w:val="21"/>
                <w:lang w:bidi="ar"/>
              </w:rPr>
              <w:t>;</w:t>
            </w:r>
            <w:r>
              <w:rPr>
                <w:rFonts w:hint="eastAsia" w:cs="Times New Roman"/>
                <w:sz w:val="21"/>
                <w:szCs w:val="21"/>
                <w:lang w:bidi="ar"/>
              </w:rPr>
              <w:t>投资管理服务；受托管理股权投资基金（具体经营项目以金融管理部门核发批文为准）</w:t>
            </w:r>
          </w:p>
        </w:tc>
      </w:tr>
    </w:tbl>
    <w:p w14:paraId="25DDE5B8">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2442AED4">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截至本预案签署日，广州信德创业营的合伙人情况如下表所示：</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758"/>
        <w:gridCol w:w="3605"/>
        <w:gridCol w:w="1752"/>
        <w:gridCol w:w="1314"/>
        <w:gridCol w:w="1099"/>
      </w:tblGrid>
      <w:tr w14:paraId="47CD563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737"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4650CE55">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序号</w:t>
            </w:r>
          </w:p>
        </w:tc>
        <w:tc>
          <w:tcPr>
            <w:tcW w:w="3501"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1B1DFBCD">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股东名称</w:t>
            </w:r>
          </w:p>
        </w:tc>
        <w:tc>
          <w:tcPr>
            <w:tcW w:w="1702"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6A44B201">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合伙人类型</w:t>
            </w:r>
          </w:p>
        </w:tc>
        <w:tc>
          <w:tcPr>
            <w:tcW w:w="1276"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12D4B781">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认缴出资额（万元）</w:t>
            </w:r>
          </w:p>
        </w:tc>
        <w:tc>
          <w:tcPr>
            <w:tcW w:w="1067"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3EFA7B0B">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出资比例（</w:t>
            </w:r>
            <w:r>
              <w:rPr>
                <w:rFonts w:ascii="Times New Roman" w:hAnsi="Times New Roman"/>
                <w:b/>
                <w:bCs/>
                <w:kern w:val="2"/>
                <w:sz w:val="21"/>
                <w:szCs w:val="21"/>
                <w:lang w:val="en-US" w:bidi="ar"/>
              </w:rPr>
              <w:t>%</w:t>
            </w:r>
            <w:r>
              <w:rPr>
                <w:rFonts w:hint="eastAsia" w:ascii="Times New Roman" w:hAnsi="Times New Roman" w:cs="宋体"/>
                <w:b/>
                <w:bCs/>
                <w:kern w:val="2"/>
                <w:sz w:val="21"/>
                <w:szCs w:val="21"/>
                <w:lang w:val="en-US" w:bidi="ar"/>
              </w:rPr>
              <w:t>）</w:t>
            </w:r>
          </w:p>
        </w:tc>
      </w:tr>
      <w:tr w14:paraId="1517E64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C26A2F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E261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广发信德投资管理有限公司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DD85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执行事务合伙人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A2C1C">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8,000.00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C36CCB5">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20.00%</w:t>
            </w:r>
          </w:p>
        </w:tc>
      </w:tr>
      <w:tr w14:paraId="6D4BE1A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AC23126">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ACC3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广州市中小企业发展基金有限公司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D743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E12D1">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9,900.00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A26ED56">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24.75%</w:t>
            </w:r>
          </w:p>
        </w:tc>
      </w:tr>
      <w:tr w14:paraId="4E31CB4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6A35C0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DF75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罗皓青</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Pr>
          <w:p w14:paraId="21C8FD7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FB1D9">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5,000.00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0790212">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12.50%</w:t>
            </w:r>
          </w:p>
        </w:tc>
      </w:tr>
      <w:tr w14:paraId="7DB0C26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07C3E7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014F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吴幸光</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Pr>
          <w:p w14:paraId="2002B12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E85FB">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2,500.00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D008879">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6.25%</w:t>
            </w:r>
          </w:p>
        </w:tc>
      </w:tr>
      <w:tr w14:paraId="3EE40C0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E905E30">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4B80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广发乾和投资有限公司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Pr>
          <w:p w14:paraId="36AAD5A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0B05B">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2,000.00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BC9D8A3">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5.00%</w:t>
            </w:r>
          </w:p>
        </w:tc>
      </w:tr>
      <w:tr w14:paraId="4B20D1D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51566C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6</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54EF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广州市海灏投资有限公司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Pr>
          <w:p w14:paraId="4E26E1F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29D05">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2,000.00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8892E77">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5.00%</w:t>
            </w:r>
          </w:p>
        </w:tc>
      </w:tr>
      <w:tr w14:paraId="4D197CE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D994FD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7</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91C0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沈佳闻</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Pr>
          <w:p w14:paraId="23FB162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115B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1,500.00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1B99F9E">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3.75%</w:t>
            </w:r>
          </w:p>
        </w:tc>
      </w:tr>
      <w:tr w14:paraId="71F5B33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FE279C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8</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2C83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何坚贞</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Pr>
          <w:p w14:paraId="29367CF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B20E3">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1,100.00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207969D">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2.75%</w:t>
            </w:r>
          </w:p>
        </w:tc>
      </w:tr>
      <w:tr w14:paraId="4121506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8300D1D">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9</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632C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吉林中信化工有限公司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Pr>
          <w:p w14:paraId="314B22F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01E42">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EA630CD">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2.50%</w:t>
            </w:r>
          </w:p>
        </w:tc>
      </w:tr>
      <w:tr w14:paraId="6F334F3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D5B2D3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10</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2734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东莞景丰塑胶制品有限公司</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Pr>
          <w:p w14:paraId="462CE70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BF35B">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5E77CA9">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2.50%</w:t>
            </w:r>
          </w:p>
        </w:tc>
      </w:tr>
      <w:tr w14:paraId="0B3D736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7A7840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11</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92A70">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王爱军</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Pr>
          <w:p w14:paraId="648C165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0E84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033A83F">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2.50%</w:t>
            </w:r>
          </w:p>
        </w:tc>
      </w:tr>
      <w:tr w14:paraId="396E831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F24E53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12</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B80A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李治权</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Pr>
          <w:p w14:paraId="3FCF8C4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513BA">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8D96E10">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2.50%</w:t>
            </w:r>
          </w:p>
        </w:tc>
      </w:tr>
      <w:tr w14:paraId="369DEA1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F3FE5B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13</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8A7A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朱兵</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Pr>
          <w:p w14:paraId="59BB68E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71EF8">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FD2055C">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2.50%</w:t>
            </w:r>
          </w:p>
        </w:tc>
      </w:tr>
      <w:tr w14:paraId="4C16B33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B3061D9">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14</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B3A2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吴幸宗</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Pr>
          <w:p w14:paraId="575E825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E4F9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2FADBDF">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2.50%</w:t>
            </w:r>
          </w:p>
        </w:tc>
      </w:tr>
      <w:tr w14:paraId="747EDF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B5DC56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15</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C1E7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李炳忠</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Pr>
          <w:p w14:paraId="7926D57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4A090">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D591251">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2.50%</w:t>
            </w:r>
          </w:p>
        </w:tc>
      </w:tr>
      <w:tr w14:paraId="196252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737"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C2A2F8B">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16</w:t>
            </w:r>
          </w:p>
        </w:tc>
        <w:tc>
          <w:tcPr>
            <w:tcW w:w="35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F502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陈贤频</w:t>
            </w:r>
          </w:p>
        </w:tc>
        <w:tc>
          <w:tcPr>
            <w:tcW w:w="1702" w:type="dxa"/>
            <w:tcBorders>
              <w:top w:val="single" w:color="000000" w:sz="4" w:space="0"/>
              <w:left w:val="single" w:color="000000" w:sz="4" w:space="0"/>
              <w:bottom w:val="single" w:color="000000" w:sz="4" w:space="0"/>
              <w:right w:val="single" w:color="000000" w:sz="4" w:space="0"/>
            </w:tcBorders>
            <w:shd w:val="clear" w:color="auto" w:fill="auto"/>
            <w:noWrap/>
          </w:tcPr>
          <w:p w14:paraId="298FE40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1569B">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1,000.00</w:t>
            </w:r>
          </w:p>
        </w:tc>
        <w:tc>
          <w:tcPr>
            <w:tcW w:w="1067"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B45327C">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2.50%</w:t>
            </w:r>
          </w:p>
        </w:tc>
      </w:tr>
      <w:tr w14:paraId="5D57B0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5939"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372ECFE2">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合计</w:t>
            </w:r>
          </w:p>
        </w:tc>
        <w:tc>
          <w:tcPr>
            <w:tcW w:w="1276"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0D08C498">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40,000.00</w:t>
            </w:r>
          </w:p>
        </w:tc>
        <w:tc>
          <w:tcPr>
            <w:tcW w:w="1067"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48A2E8A0">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100.00%</w:t>
            </w:r>
          </w:p>
        </w:tc>
      </w:tr>
    </w:tbl>
    <w:p w14:paraId="219300A1">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截至本预案签署日，广州信德创业营的执行事务合伙人为广东信德投资管理有限公司，产权控制关系如下：</w:t>
      </w:r>
    </w:p>
    <w:p w14:paraId="53A00A0B">
      <w:pPr>
        <w:keepNext/>
        <w:keepLines/>
        <w:spacing w:before="120" w:after="120" w:afterLines="50"/>
        <w:ind w:firstLine="0" w:firstLineChars="0"/>
        <w:jc w:val="both"/>
      </w:pPr>
      <w:r>
        <w:drawing>
          <wp:inline distT="0" distB="0" distL="114300" distR="114300">
            <wp:extent cx="5275580" cy="2232025"/>
            <wp:effectExtent l="0" t="0" r="12700" b="8255"/>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25"/>
                    <a:stretch>
                      <a:fillRect/>
                    </a:stretch>
                  </pic:blipFill>
                  <pic:spPr>
                    <a:xfrm>
                      <a:off x="0" y="0"/>
                      <a:ext cx="5275580" cy="2232025"/>
                    </a:xfrm>
                    <a:prstGeom prst="rect">
                      <a:avLst/>
                    </a:prstGeom>
                    <a:noFill/>
                    <a:ln>
                      <a:noFill/>
                    </a:ln>
                  </pic:spPr>
                </pic:pic>
              </a:graphicData>
            </a:graphic>
          </wp:inline>
        </w:drawing>
      </w:r>
    </w:p>
    <w:p w14:paraId="473E541B">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（十四）珠海乐摇投资合伙企业（有限合伙）</w:t>
      </w:r>
    </w:p>
    <w:p w14:paraId="52A6B659">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51A79D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2A7CBDFA">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3CCFECAE">
            <w:pPr>
              <w:spacing w:before="120" w:line="240" w:lineRule="auto"/>
              <w:ind w:firstLine="0" w:firstLineChars="0"/>
              <w:jc w:val="both"/>
              <w:rPr>
                <w:rFonts w:cs="Times New Roman"/>
                <w:sz w:val="21"/>
                <w:szCs w:val="21"/>
              </w:rPr>
            </w:pPr>
            <w:r>
              <w:rPr>
                <w:rFonts w:hint="eastAsia" w:cs="Times New Roman"/>
                <w:sz w:val="21"/>
                <w:szCs w:val="21"/>
                <w:lang w:bidi="ar"/>
              </w:rPr>
              <w:t>珠海乐摇投资合伙企业（有限合伙）</w:t>
            </w:r>
          </w:p>
        </w:tc>
      </w:tr>
      <w:tr w14:paraId="24F015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E7ABB75">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5F678B31">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4DCA3D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3470B152">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78885906">
            <w:pPr>
              <w:spacing w:before="120" w:line="240" w:lineRule="auto"/>
              <w:ind w:firstLine="0" w:firstLineChars="0"/>
              <w:jc w:val="both"/>
              <w:rPr>
                <w:rFonts w:cs="Times New Roman"/>
                <w:sz w:val="21"/>
                <w:szCs w:val="21"/>
              </w:rPr>
            </w:pPr>
            <w:r>
              <w:rPr>
                <w:rFonts w:hint="eastAsia" w:cs="Times New Roman"/>
                <w:sz w:val="21"/>
                <w:szCs w:val="21"/>
                <w:lang w:bidi="ar"/>
              </w:rPr>
              <w:t>珠海市横琴向阳村</w:t>
            </w:r>
            <w:r>
              <w:rPr>
                <w:rFonts w:cs="Times New Roman"/>
                <w:sz w:val="21"/>
                <w:szCs w:val="21"/>
                <w:lang w:bidi="ar"/>
              </w:rPr>
              <w:t>46</w:t>
            </w:r>
            <w:r>
              <w:rPr>
                <w:rFonts w:hint="eastAsia" w:cs="Times New Roman"/>
                <w:sz w:val="21"/>
                <w:szCs w:val="21"/>
                <w:lang w:bidi="ar"/>
              </w:rPr>
              <w:t>号第四层</w:t>
            </w:r>
          </w:p>
        </w:tc>
      </w:tr>
      <w:tr w14:paraId="6A6E83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01C8A41A">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56D73BE9">
            <w:pPr>
              <w:spacing w:before="120" w:line="240" w:lineRule="auto"/>
              <w:ind w:firstLine="0" w:firstLineChars="0"/>
              <w:jc w:val="both"/>
              <w:rPr>
                <w:rFonts w:cs="Times New Roman"/>
                <w:sz w:val="21"/>
                <w:szCs w:val="21"/>
              </w:rPr>
            </w:pPr>
            <w:r>
              <w:rPr>
                <w:rFonts w:cs="Times New Roman"/>
                <w:sz w:val="21"/>
                <w:szCs w:val="21"/>
                <w:lang w:bidi="ar"/>
              </w:rPr>
              <w:t>2016</w:t>
            </w:r>
            <w:r>
              <w:rPr>
                <w:rFonts w:hint="eastAsia" w:cs="Times New Roman"/>
                <w:sz w:val="21"/>
                <w:szCs w:val="21"/>
                <w:lang w:bidi="ar"/>
              </w:rPr>
              <w:t>年</w:t>
            </w:r>
            <w:r>
              <w:rPr>
                <w:rFonts w:cs="Times New Roman"/>
                <w:sz w:val="21"/>
                <w:szCs w:val="21"/>
                <w:lang w:bidi="ar"/>
              </w:rPr>
              <w:t>3</w:t>
            </w:r>
            <w:r>
              <w:rPr>
                <w:rFonts w:hint="eastAsia" w:cs="Times New Roman"/>
                <w:sz w:val="21"/>
                <w:szCs w:val="21"/>
                <w:lang w:bidi="ar"/>
              </w:rPr>
              <w:t>月</w:t>
            </w:r>
            <w:r>
              <w:rPr>
                <w:rFonts w:cs="Times New Roman"/>
                <w:sz w:val="21"/>
                <w:szCs w:val="21"/>
                <w:lang w:bidi="ar"/>
              </w:rPr>
              <w:t>7</w:t>
            </w:r>
            <w:r>
              <w:rPr>
                <w:rFonts w:hint="eastAsia" w:cs="Times New Roman"/>
                <w:sz w:val="21"/>
                <w:szCs w:val="21"/>
                <w:lang w:bidi="ar"/>
              </w:rPr>
              <w:t>日</w:t>
            </w:r>
          </w:p>
        </w:tc>
      </w:tr>
      <w:tr w14:paraId="6261E2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19987DB">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D04CF85">
            <w:pPr>
              <w:spacing w:before="120" w:line="240" w:lineRule="auto"/>
              <w:ind w:firstLine="0" w:firstLineChars="0"/>
              <w:jc w:val="both"/>
              <w:rPr>
                <w:rFonts w:cs="Times New Roman"/>
                <w:sz w:val="21"/>
                <w:szCs w:val="21"/>
              </w:rPr>
            </w:pPr>
            <w:r>
              <w:rPr>
                <w:rFonts w:cs="Times New Roman"/>
                <w:sz w:val="21"/>
                <w:szCs w:val="21"/>
                <w:lang w:bidi="ar"/>
              </w:rPr>
              <w:t>1</w:t>
            </w:r>
            <w:r>
              <w:rPr>
                <w:rFonts w:hint="eastAsia" w:cs="Times New Roman"/>
                <w:sz w:val="21"/>
                <w:szCs w:val="21"/>
                <w:lang w:bidi="ar"/>
              </w:rPr>
              <w:t>5.948736万元</w:t>
            </w:r>
          </w:p>
        </w:tc>
      </w:tr>
      <w:tr w14:paraId="5CBB97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561A5621">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58A682F">
            <w:pPr>
              <w:spacing w:before="120" w:line="240" w:lineRule="auto"/>
              <w:ind w:firstLine="0" w:firstLineChars="0"/>
              <w:jc w:val="both"/>
              <w:rPr>
                <w:rFonts w:cs="Times New Roman"/>
                <w:sz w:val="21"/>
                <w:szCs w:val="21"/>
              </w:rPr>
            </w:pPr>
            <w:r>
              <w:rPr>
                <w:rFonts w:hint="eastAsia" w:cs="Times New Roman"/>
                <w:sz w:val="21"/>
                <w:szCs w:val="21"/>
                <w:lang w:bidi="ar"/>
              </w:rPr>
              <w:t>陈耿豪</w:t>
            </w:r>
          </w:p>
        </w:tc>
      </w:tr>
      <w:tr w14:paraId="49DFBF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3ED86D6C">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6EAD7006">
            <w:pPr>
              <w:spacing w:before="120" w:line="240" w:lineRule="auto"/>
              <w:ind w:firstLine="0" w:firstLineChars="0"/>
              <w:jc w:val="both"/>
              <w:rPr>
                <w:rFonts w:cs="Times New Roman"/>
                <w:sz w:val="21"/>
                <w:szCs w:val="21"/>
              </w:rPr>
            </w:pPr>
            <w:r>
              <w:rPr>
                <w:rFonts w:cs="Times New Roman"/>
                <w:sz w:val="21"/>
                <w:szCs w:val="21"/>
                <w:lang w:bidi="ar"/>
              </w:rPr>
              <w:t>91360982MA35GN6Q8Q</w:t>
            </w:r>
          </w:p>
        </w:tc>
      </w:tr>
      <w:tr w14:paraId="0CD180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30A9F96D">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2A5B3318">
            <w:pPr>
              <w:spacing w:before="120" w:line="240" w:lineRule="auto"/>
              <w:ind w:firstLine="0" w:firstLineChars="0"/>
              <w:jc w:val="both"/>
              <w:rPr>
                <w:rFonts w:cs="Times New Roman"/>
                <w:sz w:val="21"/>
                <w:szCs w:val="21"/>
              </w:rPr>
            </w:pPr>
            <w:r>
              <w:rPr>
                <w:rFonts w:hint="eastAsia" w:cs="Times New Roman"/>
                <w:sz w:val="21"/>
                <w:szCs w:val="21"/>
                <w:lang w:bidi="ar"/>
              </w:rPr>
              <w:t>一般项目：以自有资金从事投资活动；社会经济咨询服务；软件开发；网络技术服务；信息技术咨询服务；技术服务、技术开发、技术咨询、技术交流、技术转让、技术推广；市场营销策划；广告制作；广告设计、代理；广告发布；知识产权服务（专利代理服务除外）；软件销售；电子元器件零售。（除依法须经批准的项目外，凭营业执照依法自主开展经营活动）</w:t>
            </w:r>
          </w:p>
        </w:tc>
      </w:tr>
    </w:tbl>
    <w:p w14:paraId="3B0A18DF">
      <w:pPr>
        <w:keepNext/>
        <w:keepLines/>
        <w:adjustRightInd w:val="0"/>
        <w:snapToGrid w:val="0"/>
        <w:spacing w:before="120"/>
        <w:ind w:firstLine="482"/>
        <w:jc w:val="both"/>
        <w:outlineLvl w:val="3"/>
        <w:rPr>
          <w:rFonts w:cs="Times New Roman"/>
          <w:b/>
          <w:bCs/>
          <w:kern w:val="2"/>
          <w:szCs w:val="28"/>
        </w:rPr>
      </w:pPr>
      <w:bookmarkStart w:id="126" w:name="OLE_LINK6"/>
      <w:r>
        <w:rPr>
          <w:rFonts w:cs="Times New Roman"/>
          <w:b/>
          <w:bCs/>
          <w:kern w:val="2"/>
          <w:szCs w:val="28"/>
          <w:lang w:bidi="ar"/>
        </w:rPr>
        <w:t>2</w:t>
      </w:r>
      <w:r>
        <w:rPr>
          <w:rFonts w:hint="eastAsia" w:cs="Times New Roman"/>
          <w:b/>
          <w:bCs/>
          <w:kern w:val="2"/>
          <w:szCs w:val="28"/>
          <w:lang w:bidi="ar"/>
        </w:rPr>
        <w:t>、产权及控制关系</w:t>
      </w:r>
    </w:p>
    <w:bookmarkEnd w:id="126"/>
    <w:p w14:paraId="7B968F45">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截至本预案签署日，陈耿豪为珠海乐摇执行事务合伙人，珠海乐摇的合伙人及产权控制关系如下表所示</w:t>
      </w:r>
      <w:r>
        <w:rPr>
          <w:rFonts w:ascii="Times New Roman" w:hAnsi="Times New Roman"/>
          <w:kern w:val="2"/>
          <w:szCs w:val="22"/>
          <w:lang w:val="en-US" w:bidi="ar"/>
        </w:rPr>
        <w:t>:</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805"/>
        <w:gridCol w:w="1440"/>
        <w:gridCol w:w="1757"/>
        <w:gridCol w:w="2693"/>
        <w:gridCol w:w="1833"/>
      </w:tblGrid>
      <w:tr w14:paraId="7CD3167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805"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55927740">
            <w:pPr>
              <w:pStyle w:val="69"/>
              <w:spacing w:before="120" w:beforeAutospacing="0" w:after="0" w:afterAutospacing="0"/>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序号</w:t>
            </w:r>
          </w:p>
        </w:tc>
        <w:tc>
          <w:tcPr>
            <w:tcW w:w="1440"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2227D0E9">
            <w:pPr>
              <w:pStyle w:val="69"/>
              <w:spacing w:before="120" w:beforeAutospacing="0" w:after="0" w:afterAutospacing="0"/>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股东名称</w:t>
            </w:r>
          </w:p>
        </w:tc>
        <w:tc>
          <w:tcPr>
            <w:tcW w:w="1757"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3BB13D5D">
            <w:pPr>
              <w:pStyle w:val="69"/>
              <w:spacing w:before="120" w:beforeAutospacing="0" w:after="0" w:afterAutospacing="0"/>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合伙人类型</w:t>
            </w:r>
          </w:p>
        </w:tc>
        <w:tc>
          <w:tcPr>
            <w:tcW w:w="2693"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765F73C2">
            <w:pPr>
              <w:pStyle w:val="69"/>
              <w:spacing w:before="120" w:beforeAutospacing="0" w:after="0" w:afterAutospacing="0"/>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认缴出资额（元）</w:t>
            </w:r>
          </w:p>
        </w:tc>
        <w:tc>
          <w:tcPr>
            <w:tcW w:w="1833"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3A707638">
            <w:pPr>
              <w:pStyle w:val="69"/>
              <w:spacing w:before="120" w:beforeAutospacing="0" w:after="0" w:afterAutospacing="0"/>
              <w:ind w:firstLine="0" w:firstLineChars="0"/>
              <w:jc w:val="center"/>
              <w:rPr>
                <w:rFonts w:ascii="Times New Roman" w:hAnsi="Times New Roman"/>
                <w:b/>
                <w:bCs/>
                <w:sz w:val="21"/>
                <w:szCs w:val="21"/>
                <w:lang w:val="en-US"/>
              </w:rPr>
            </w:pPr>
            <w:r>
              <w:rPr>
                <w:rFonts w:ascii="Times New Roman" w:hAnsi="Times New Roman"/>
                <w:b/>
                <w:bCs/>
                <w:kern w:val="2"/>
                <w:sz w:val="21"/>
                <w:szCs w:val="21"/>
                <w:lang w:val="en-US" w:bidi="ar"/>
              </w:rPr>
              <w:t>出资比例（%）</w:t>
            </w:r>
          </w:p>
        </w:tc>
      </w:tr>
      <w:tr w14:paraId="423EC6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7B5AB68">
            <w:pPr>
              <w:pStyle w:val="69"/>
              <w:spacing w:before="120" w:beforeAutospacing="0" w:after="0" w:afterAutospacing="0"/>
              <w:ind w:firstLine="0" w:firstLineChars="0"/>
              <w:jc w:val="center"/>
              <w:rPr>
                <w:rFonts w:ascii="Times New Roman" w:hAnsi="Times New Roman"/>
                <w:sz w:val="21"/>
                <w:szCs w:val="21"/>
                <w:lang w:val="en-US"/>
              </w:rPr>
            </w:pPr>
            <w:r>
              <w:rPr>
                <w:rFonts w:ascii="Times New Roman" w:hAnsi="Times New Roman"/>
                <w:sz w:val="21"/>
                <w:szCs w:val="21"/>
                <w:lang w:val="en-US" w:bidi="ar"/>
              </w:rPr>
              <w:t>1</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678A0">
            <w:pPr>
              <w:widowControl/>
              <w:spacing w:before="120"/>
              <w:ind w:firstLine="0" w:firstLineChars="0"/>
              <w:jc w:val="center"/>
              <w:textAlignment w:val="center"/>
              <w:rPr>
                <w:rFonts w:cs="Times New Roman"/>
                <w:sz w:val="21"/>
                <w:szCs w:val="21"/>
              </w:rPr>
            </w:pPr>
            <w:r>
              <w:rPr>
                <w:rFonts w:cs="Times New Roman"/>
                <w:color w:val="000000"/>
                <w:sz w:val="21"/>
                <w:szCs w:val="21"/>
                <w:lang w:bidi="ar"/>
              </w:rPr>
              <w:t>陈耿豪</w:t>
            </w: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209CA">
            <w:pPr>
              <w:pStyle w:val="69"/>
              <w:spacing w:before="120" w:beforeAutospacing="0" w:after="0" w:afterAutospacing="0"/>
              <w:ind w:firstLine="0" w:firstLineChars="0"/>
              <w:jc w:val="center"/>
              <w:rPr>
                <w:rFonts w:ascii="Times New Roman" w:hAnsi="Times New Roman"/>
                <w:sz w:val="21"/>
                <w:szCs w:val="21"/>
                <w:lang w:val="en-US"/>
              </w:rPr>
            </w:pPr>
            <w:r>
              <w:rPr>
                <w:rFonts w:ascii="Times New Roman" w:hAnsi="Times New Roman"/>
                <w:sz w:val="21"/>
                <w:szCs w:val="21"/>
                <w:lang w:val="en-US" w:bidi="ar"/>
              </w:rPr>
              <w:t>执行事务合伙人</w:t>
            </w:r>
          </w:p>
        </w:tc>
        <w:tc>
          <w:tcPr>
            <w:tcW w:w="2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11C19">
            <w:pPr>
              <w:widowControl/>
              <w:spacing w:before="120"/>
              <w:ind w:firstLine="0" w:firstLineChars="0"/>
              <w:jc w:val="right"/>
              <w:textAlignment w:val="center"/>
              <w:rPr>
                <w:rFonts w:cs="Times New Roman"/>
                <w:sz w:val="21"/>
                <w:szCs w:val="21"/>
              </w:rPr>
            </w:pPr>
            <w:r>
              <w:rPr>
                <w:rFonts w:cs="Times New Roman"/>
                <w:color w:val="000000"/>
                <w:sz w:val="21"/>
                <w:szCs w:val="21"/>
                <w:lang w:bidi="ar"/>
              </w:rPr>
              <w:t>1,700.00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47C3EED">
            <w:pPr>
              <w:widowControl/>
              <w:spacing w:before="120"/>
              <w:ind w:firstLine="0" w:firstLineChars="0"/>
              <w:jc w:val="right"/>
              <w:textAlignment w:val="center"/>
              <w:rPr>
                <w:rFonts w:cs="Times New Roman"/>
                <w:sz w:val="21"/>
                <w:szCs w:val="21"/>
              </w:rPr>
            </w:pPr>
            <w:r>
              <w:rPr>
                <w:rFonts w:cs="Times New Roman"/>
                <w:color w:val="000000"/>
                <w:sz w:val="21"/>
                <w:szCs w:val="21"/>
                <w:lang w:bidi="ar"/>
              </w:rPr>
              <w:t>1.07%</w:t>
            </w:r>
          </w:p>
        </w:tc>
      </w:tr>
      <w:tr w14:paraId="689BE9E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F6C4957">
            <w:pPr>
              <w:pStyle w:val="69"/>
              <w:spacing w:before="120" w:beforeAutospacing="0" w:after="0" w:afterAutospacing="0"/>
              <w:ind w:firstLine="0" w:firstLineChars="0"/>
              <w:jc w:val="center"/>
              <w:rPr>
                <w:rFonts w:ascii="Times New Roman" w:hAnsi="Times New Roman"/>
                <w:sz w:val="21"/>
                <w:szCs w:val="21"/>
                <w:lang w:val="en-US"/>
              </w:rPr>
            </w:pPr>
            <w:r>
              <w:rPr>
                <w:rFonts w:ascii="Times New Roman" w:hAnsi="Times New Roman"/>
                <w:sz w:val="21"/>
                <w:szCs w:val="21"/>
                <w:lang w:val="en-US" w:bidi="ar"/>
              </w:rPr>
              <w:t>2</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ECFD8">
            <w:pPr>
              <w:widowControl/>
              <w:spacing w:before="120"/>
              <w:ind w:firstLine="0" w:firstLineChars="0"/>
              <w:jc w:val="center"/>
              <w:textAlignment w:val="center"/>
              <w:rPr>
                <w:rFonts w:cs="Times New Roman"/>
                <w:sz w:val="21"/>
                <w:szCs w:val="21"/>
              </w:rPr>
            </w:pPr>
            <w:r>
              <w:rPr>
                <w:rFonts w:cs="Times New Roman"/>
                <w:color w:val="000000"/>
                <w:sz w:val="21"/>
                <w:szCs w:val="21"/>
                <w:lang w:bidi="ar"/>
              </w:rPr>
              <w:t>陈伟镇</w:t>
            </w: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ECBB5">
            <w:pPr>
              <w:pStyle w:val="69"/>
              <w:spacing w:before="120" w:beforeAutospacing="0" w:after="0" w:afterAutospacing="0"/>
              <w:ind w:firstLine="0" w:firstLineChars="0"/>
              <w:jc w:val="center"/>
              <w:rPr>
                <w:rFonts w:ascii="Times New Roman" w:hAnsi="Times New Roman"/>
                <w:sz w:val="21"/>
                <w:szCs w:val="21"/>
                <w:lang w:val="en-US"/>
              </w:rPr>
            </w:pPr>
            <w:r>
              <w:rPr>
                <w:rFonts w:ascii="Times New Roman" w:hAnsi="Times New Roman"/>
                <w:sz w:val="21"/>
                <w:szCs w:val="21"/>
                <w:lang w:val="en-US" w:bidi="ar"/>
              </w:rPr>
              <w:t>有限合伙人</w:t>
            </w:r>
          </w:p>
        </w:tc>
        <w:tc>
          <w:tcPr>
            <w:tcW w:w="2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34E6D">
            <w:pPr>
              <w:widowControl/>
              <w:spacing w:before="120"/>
              <w:ind w:firstLine="0" w:firstLineChars="0"/>
              <w:jc w:val="right"/>
              <w:textAlignment w:val="center"/>
              <w:rPr>
                <w:rFonts w:cs="Times New Roman"/>
                <w:sz w:val="21"/>
                <w:szCs w:val="21"/>
              </w:rPr>
            </w:pPr>
            <w:r>
              <w:rPr>
                <w:rFonts w:cs="Times New Roman"/>
                <w:color w:val="000000"/>
                <w:sz w:val="21"/>
                <w:szCs w:val="21"/>
                <w:lang w:bidi="ar"/>
              </w:rPr>
              <w:t>114,890.00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14E834A">
            <w:pPr>
              <w:widowControl/>
              <w:spacing w:before="120"/>
              <w:ind w:firstLine="0" w:firstLineChars="0"/>
              <w:jc w:val="right"/>
              <w:textAlignment w:val="center"/>
              <w:rPr>
                <w:rFonts w:cs="Times New Roman"/>
                <w:sz w:val="21"/>
                <w:szCs w:val="21"/>
              </w:rPr>
            </w:pPr>
            <w:r>
              <w:rPr>
                <w:rFonts w:cs="Times New Roman"/>
                <w:color w:val="000000"/>
                <w:sz w:val="21"/>
                <w:szCs w:val="21"/>
                <w:lang w:bidi="ar"/>
              </w:rPr>
              <w:t>72.04%</w:t>
            </w:r>
          </w:p>
        </w:tc>
      </w:tr>
      <w:tr w14:paraId="5C3C402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CB498D2">
            <w:pPr>
              <w:pStyle w:val="69"/>
              <w:spacing w:before="120" w:beforeAutospacing="0" w:after="0" w:afterAutospacing="0"/>
              <w:ind w:firstLine="0" w:firstLineChars="0"/>
              <w:jc w:val="center"/>
              <w:rPr>
                <w:rFonts w:ascii="Times New Roman" w:hAnsi="Times New Roman"/>
                <w:sz w:val="21"/>
                <w:szCs w:val="21"/>
                <w:lang w:val="en-US"/>
              </w:rPr>
            </w:pPr>
            <w:r>
              <w:rPr>
                <w:rFonts w:ascii="Times New Roman" w:hAnsi="Times New Roman"/>
                <w:sz w:val="21"/>
                <w:szCs w:val="21"/>
                <w:lang w:val="en-US" w:bidi="ar"/>
              </w:rPr>
              <w:t>3</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5AC5B">
            <w:pPr>
              <w:widowControl/>
              <w:spacing w:before="120"/>
              <w:ind w:firstLine="0" w:firstLineChars="0"/>
              <w:jc w:val="center"/>
              <w:textAlignment w:val="center"/>
              <w:rPr>
                <w:rFonts w:cs="Times New Roman"/>
                <w:sz w:val="21"/>
                <w:szCs w:val="21"/>
              </w:rPr>
            </w:pPr>
            <w:r>
              <w:rPr>
                <w:rFonts w:cs="Times New Roman"/>
                <w:color w:val="000000"/>
                <w:sz w:val="21"/>
                <w:szCs w:val="21"/>
                <w:lang w:bidi="ar"/>
              </w:rPr>
              <w:t>曾小连</w:t>
            </w: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751FE">
            <w:pPr>
              <w:pStyle w:val="69"/>
              <w:spacing w:before="120" w:beforeAutospacing="0" w:after="0" w:afterAutospacing="0"/>
              <w:ind w:firstLine="0" w:firstLineChars="0"/>
              <w:jc w:val="center"/>
              <w:rPr>
                <w:rFonts w:ascii="Times New Roman" w:hAnsi="Times New Roman"/>
                <w:sz w:val="21"/>
                <w:szCs w:val="21"/>
                <w:lang w:val="en-US"/>
              </w:rPr>
            </w:pPr>
            <w:r>
              <w:rPr>
                <w:rFonts w:ascii="Times New Roman" w:hAnsi="Times New Roman"/>
                <w:sz w:val="21"/>
                <w:szCs w:val="21"/>
                <w:lang w:val="en-US" w:bidi="ar"/>
              </w:rPr>
              <w:t>有限合伙人</w:t>
            </w:r>
          </w:p>
        </w:tc>
        <w:tc>
          <w:tcPr>
            <w:tcW w:w="2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9B0EA">
            <w:pPr>
              <w:widowControl/>
              <w:spacing w:before="120"/>
              <w:ind w:firstLine="0" w:firstLineChars="0"/>
              <w:jc w:val="right"/>
              <w:textAlignment w:val="center"/>
              <w:rPr>
                <w:rFonts w:cs="Times New Roman"/>
                <w:sz w:val="21"/>
                <w:szCs w:val="21"/>
              </w:rPr>
            </w:pPr>
            <w:r>
              <w:rPr>
                <w:rFonts w:cs="Times New Roman"/>
                <w:color w:val="000000"/>
                <w:sz w:val="21"/>
                <w:szCs w:val="21"/>
                <w:lang w:bidi="ar"/>
              </w:rPr>
              <w:t>42,897.36</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056AC6F">
            <w:pPr>
              <w:widowControl/>
              <w:spacing w:before="120"/>
              <w:ind w:firstLine="0" w:firstLineChars="0"/>
              <w:jc w:val="right"/>
              <w:textAlignment w:val="center"/>
              <w:rPr>
                <w:rFonts w:cs="Times New Roman"/>
                <w:sz w:val="21"/>
                <w:szCs w:val="21"/>
              </w:rPr>
            </w:pPr>
            <w:r>
              <w:rPr>
                <w:rFonts w:cs="Times New Roman"/>
                <w:color w:val="000000"/>
                <w:sz w:val="21"/>
                <w:szCs w:val="21"/>
                <w:lang w:bidi="ar"/>
              </w:rPr>
              <w:t>26.90%</w:t>
            </w:r>
          </w:p>
        </w:tc>
      </w:tr>
      <w:tr w14:paraId="02D7E90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4002"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6E15CD12">
            <w:pPr>
              <w:pStyle w:val="69"/>
              <w:spacing w:before="120" w:beforeAutospacing="0" w:after="0" w:afterAutospacing="0"/>
              <w:ind w:firstLine="0" w:firstLineChars="0"/>
              <w:jc w:val="center"/>
              <w:rPr>
                <w:rFonts w:ascii="Times New Roman" w:hAnsi="Times New Roman"/>
                <w:b/>
                <w:bCs/>
                <w:sz w:val="21"/>
                <w:szCs w:val="21"/>
                <w:lang w:val="en-US"/>
              </w:rPr>
            </w:pPr>
            <w:r>
              <w:rPr>
                <w:rFonts w:ascii="Times New Roman" w:hAnsi="Times New Roman"/>
                <w:b/>
                <w:bCs/>
                <w:sz w:val="21"/>
                <w:szCs w:val="21"/>
                <w:lang w:val="en-US" w:bidi="ar"/>
              </w:rPr>
              <w:t>合计</w:t>
            </w:r>
          </w:p>
        </w:tc>
        <w:tc>
          <w:tcPr>
            <w:tcW w:w="2693"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0AD3820F">
            <w:pPr>
              <w:widowControl/>
              <w:spacing w:before="120"/>
              <w:ind w:firstLine="0" w:firstLineChars="0"/>
              <w:jc w:val="right"/>
              <w:textAlignment w:val="center"/>
              <w:rPr>
                <w:rFonts w:cs="Times New Roman"/>
                <w:b/>
                <w:bCs/>
                <w:sz w:val="21"/>
                <w:szCs w:val="21"/>
              </w:rPr>
            </w:pPr>
            <w:r>
              <w:rPr>
                <w:rFonts w:cs="Times New Roman"/>
                <w:b/>
                <w:bCs/>
                <w:color w:val="000000"/>
                <w:sz w:val="21"/>
                <w:szCs w:val="21"/>
                <w:lang w:bidi="ar"/>
              </w:rPr>
              <w:t>159,487.36</w:t>
            </w:r>
          </w:p>
        </w:tc>
        <w:tc>
          <w:tcPr>
            <w:tcW w:w="1833"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748C4EF1">
            <w:pPr>
              <w:widowControl/>
              <w:spacing w:before="120"/>
              <w:ind w:firstLine="0" w:firstLineChars="0"/>
              <w:jc w:val="right"/>
              <w:textAlignment w:val="center"/>
              <w:rPr>
                <w:rFonts w:cs="Times New Roman"/>
                <w:b/>
                <w:bCs/>
                <w:sz w:val="21"/>
                <w:szCs w:val="21"/>
              </w:rPr>
            </w:pPr>
            <w:r>
              <w:rPr>
                <w:rFonts w:cs="Times New Roman"/>
                <w:b/>
                <w:bCs/>
                <w:color w:val="000000"/>
                <w:sz w:val="21"/>
                <w:szCs w:val="21"/>
                <w:lang w:bidi="ar"/>
              </w:rPr>
              <w:t>100.00%</w:t>
            </w:r>
          </w:p>
        </w:tc>
      </w:tr>
    </w:tbl>
    <w:p w14:paraId="0E04C303">
      <w:pPr>
        <w:keepNext/>
        <w:keepLines/>
        <w:spacing w:before="0" w:beforeLines="0" w:line="240" w:lineRule="auto"/>
        <w:ind w:firstLine="0" w:firstLineChars="0"/>
        <w:jc w:val="both"/>
        <w:rPr>
          <w:rFonts w:hint="eastAsia" w:ascii="宋体" w:hAnsi="宋体"/>
          <w:kern w:val="2"/>
          <w:sz w:val="21"/>
          <w:szCs w:val="21"/>
          <w:lang w:bidi="ar"/>
        </w:rPr>
      </w:pPr>
      <w:r>
        <w:rPr>
          <w:rFonts w:hint="eastAsia" w:ascii="宋体" w:hAnsi="宋体"/>
          <w:kern w:val="2"/>
          <w:sz w:val="21"/>
          <w:szCs w:val="21"/>
          <w:lang w:bidi="ar"/>
        </w:rPr>
        <w:t>注：珠海乐摇是标的公司的员工持股平台，杨凯然、张杰波原通过珠海乐摇持有标的公司股权，且张杰波存在替杨凯然代持股份的情形，截至本预案签署之日，杨凯然与张杰波已签署代持解除协议，并分别与珠海乐摇签署股权转让协议，由间接持股变更为直接持有标的公司股权，上表为代持解除且持股方式改变后珠海乐摇合伙人及产权控制关系情况，目前尚未完成工商变更。</w:t>
      </w:r>
    </w:p>
    <w:p w14:paraId="47E1F783">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（十五）珠海康远投资企业（有限合伙）</w:t>
      </w:r>
    </w:p>
    <w:p w14:paraId="77F7A51C">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556A8D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776FBC76">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3099C118">
            <w:pPr>
              <w:spacing w:before="120" w:line="240" w:lineRule="auto"/>
              <w:ind w:firstLine="0" w:firstLineChars="0"/>
              <w:jc w:val="both"/>
              <w:rPr>
                <w:rFonts w:cs="Times New Roman"/>
                <w:sz w:val="21"/>
                <w:szCs w:val="21"/>
              </w:rPr>
            </w:pPr>
            <w:r>
              <w:rPr>
                <w:rFonts w:hint="eastAsia" w:cs="Times New Roman"/>
                <w:sz w:val="21"/>
                <w:szCs w:val="21"/>
                <w:lang w:bidi="ar"/>
              </w:rPr>
              <w:t>珠海康远投资企业（有限合伙）</w:t>
            </w:r>
          </w:p>
        </w:tc>
      </w:tr>
      <w:tr w14:paraId="2F6339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71E681B7">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6DF62248">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6F9124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2A392BC4">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2184E707">
            <w:pPr>
              <w:spacing w:before="120" w:line="240" w:lineRule="auto"/>
              <w:ind w:firstLine="0" w:firstLineChars="0"/>
              <w:jc w:val="both"/>
              <w:rPr>
                <w:rFonts w:cs="Times New Roman"/>
                <w:sz w:val="21"/>
                <w:szCs w:val="21"/>
              </w:rPr>
            </w:pPr>
            <w:r>
              <w:rPr>
                <w:rFonts w:hint="eastAsia" w:cs="Times New Roman"/>
                <w:sz w:val="21"/>
                <w:szCs w:val="21"/>
                <w:lang w:bidi="ar"/>
              </w:rPr>
              <w:t>珠海市横琴新区宝华路</w:t>
            </w:r>
            <w:r>
              <w:rPr>
                <w:rFonts w:cs="Times New Roman"/>
                <w:sz w:val="21"/>
                <w:szCs w:val="21"/>
                <w:lang w:bidi="ar"/>
              </w:rPr>
              <w:t>6</w:t>
            </w:r>
            <w:r>
              <w:rPr>
                <w:rFonts w:hint="eastAsia" w:cs="Times New Roman"/>
                <w:sz w:val="21"/>
                <w:szCs w:val="21"/>
                <w:lang w:bidi="ar"/>
              </w:rPr>
              <w:t>号</w:t>
            </w:r>
            <w:r>
              <w:rPr>
                <w:rFonts w:cs="Times New Roman"/>
                <w:sz w:val="21"/>
                <w:szCs w:val="21"/>
                <w:lang w:bidi="ar"/>
              </w:rPr>
              <w:t>105</w:t>
            </w:r>
            <w:r>
              <w:rPr>
                <w:rFonts w:hint="eastAsia" w:cs="Times New Roman"/>
                <w:sz w:val="21"/>
                <w:szCs w:val="21"/>
                <w:lang w:bidi="ar"/>
              </w:rPr>
              <w:t>室</w:t>
            </w:r>
            <w:r>
              <w:rPr>
                <w:rFonts w:cs="Times New Roman"/>
                <w:sz w:val="21"/>
                <w:szCs w:val="21"/>
                <w:lang w:bidi="ar"/>
              </w:rPr>
              <w:t>-1178</w:t>
            </w:r>
          </w:p>
        </w:tc>
      </w:tr>
      <w:tr w14:paraId="6C66EA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1921CFC5">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00AB213C">
            <w:pPr>
              <w:spacing w:before="120" w:line="240" w:lineRule="auto"/>
              <w:ind w:firstLine="0" w:firstLineChars="0"/>
              <w:jc w:val="both"/>
              <w:rPr>
                <w:rFonts w:cs="Times New Roman"/>
                <w:sz w:val="21"/>
                <w:szCs w:val="21"/>
              </w:rPr>
            </w:pPr>
            <w:r>
              <w:rPr>
                <w:rFonts w:cs="Times New Roman"/>
                <w:sz w:val="21"/>
                <w:szCs w:val="21"/>
                <w:lang w:bidi="ar"/>
              </w:rPr>
              <w:t>2014</w:t>
            </w:r>
            <w:r>
              <w:rPr>
                <w:rFonts w:hint="eastAsia" w:cs="Times New Roman"/>
                <w:sz w:val="21"/>
                <w:szCs w:val="21"/>
                <w:lang w:bidi="ar"/>
              </w:rPr>
              <w:t>年</w:t>
            </w:r>
            <w:r>
              <w:rPr>
                <w:rFonts w:cs="Times New Roman"/>
                <w:sz w:val="21"/>
                <w:szCs w:val="21"/>
                <w:lang w:bidi="ar"/>
              </w:rPr>
              <w:t>11</w:t>
            </w:r>
            <w:r>
              <w:rPr>
                <w:rFonts w:hint="eastAsia" w:cs="Times New Roman"/>
                <w:sz w:val="21"/>
                <w:szCs w:val="21"/>
                <w:lang w:bidi="ar"/>
              </w:rPr>
              <w:t>月</w:t>
            </w:r>
            <w:r>
              <w:rPr>
                <w:rFonts w:cs="Times New Roman"/>
                <w:sz w:val="21"/>
                <w:szCs w:val="21"/>
                <w:lang w:bidi="ar"/>
              </w:rPr>
              <w:t>18</w:t>
            </w:r>
            <w:r>
              <w:rPr>
                <w:rFonts w:hint="eastAsia" w:cs="Times New Roman"/>
                <w:sz w:val="21"/>
                <w:szCs w:val="21"/>
                <w:lang w:bidi="ar"/>
              </w:rPr>
              <w:t>日</w:t>
            </w:r>
          </w:p>
        </w:tc>
      </w:tr>
      <w:tr w14:paraId="00FC2A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73048F9D">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D362C4A">
            <w:pPr>
              <w:spacing w:before="120" w:line="240" w:lineRule="auto"/>
              <w:ind w:firstLine="0" w:firstLineChars="0"/>
              <w:jc w:val="both"/>
              <w:rPr>
                <w:rFonts w:cs="Times New Roman"/>
                <w:sz w:val="21"/>
                <w:szCs w:val="21"/>
              </w:rPr>
            </w:pPr>
            <w:r>
              <w:rPr>
                <w:rFonts w:cs="Times New Roman"/>
                <w:sz w:val="21"/>
                <w:szCs w:val="21"/>
                <w:lang w:bidi="ar"/>
              </w:rPr>
              <w:t>1,644.83</w:t>
            </w:r>
            <w:r>
              <w:rPr>
                <w:rFonts w:hint="eastAsia" w:cs="Times New Roman"/>
                <w:sz w:val="21"/>
                <w:szCs w:val="21"/>
                <w:lang w:bidi="ar"/>
              </w:rPr>
              <w:t>万元</w:t>
            </w:r>
          </w:p>
        </w:tc>
      </w:tr>
      <w:tr w14:paraId="626D9C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4877A9E5">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3A9F727F">
            <w:pPr>
              <w:spacing w:before="120" w:line="240" w:lineRule="auto"/>
              <w:ind w:firstLine="0" w:firstLineChars="0"/>
              <w:jc w:val="both"/>
              <w:rPr>
                <w:rFonts w:cs="Times New Roman"/>
                <w:sz w:val="21"/>
                <w:szCs w:val="21"/>
              </w:rPr>
            </w:pPr>
            <w:r>
              <w:rPr>
                <w:rFonts w:hint="eastAsia" w:cs="Times New Roman"/>
                <w:sz w:val="21"/>
                <w:szCs w:val="21"/>
                <w:lang w:bidi="ar"/>
              </w:rPr>
              <w:t>许一宁</w:t>
            </w:r>
          </w:p>
        </w:tc>
      </w:tr>
      <w:tr w14:paraId="04F017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07618985">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6282FF5">
            <w:pPr>
              <w:spacing w:before="120" w:line="240" w:lineRule="auto"/>
              <w:ind w:firstLine="0" w:firstLineChars="0"/>
              <w:jc w:val="both"/>
              <w:rPr>
                <w:rFonts w:cs="Times New Roman"/>
                <w:sz w:val="21"/>
                <w:szCs w:val="21"/>
              </w:rPr>
            </w:pPr>
            <w:r>
              <w:rPr>
                <w:rFonts w:cs="Times New Roman"/>
                <w:sz w:val="21"/>
                <w:szCs w:val="21"/>
                <w:lang w:bidi="ar"/>
              </w:rPr>
              <w:t>9144040032324064XG</w:t>
            </w:r>
          </w:p>
        </w:tc>
      </w:tr>
      <w:tr w14:paraId="63013F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59A5629B">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3AEFBFD8">
            <w:pPr>
              <w:spacing w:before="120" w:line="240" w:lineRule="auto"/>
              <w:ind w:firstLine="0" w:firstLineChars="0"/>
              <w:jc w:val="both"/>
              <w:rPr>
                <w:rFonts w:cs="Times New Roman"/>
                <w:sz w:val="21"/>
                <w:szCs w:val="21"/>
              </w:rPr>
            </w:pPr>
            <w:r>
              <w:rPr>
                <w:rFonts w:hint="eastAsia" w:cs="Times New Roman"/>
                <w:sz w:val="21"/>
                <w:szCs w:val="21"/>
                <w:lang w:bidi="ar"/>
              </w:rPr>
              <w:t>一般项目：以自有资金从事投资活动；信息咨询服务（不含许可类信息咨询服务）。（除依法须经批准的项目外，凭营业执照依法自主开展经营活动）</w:t>
            </w:r>
          </w:p>
        </w:tc>
      </w:tr>
    </w:tbl>
    <w:p w14:paraId="709815E6">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1BF4C8AF">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截至本预案签署日，许一宁为珠海康远执行事务合伙人，珠海康远的合伙人及产权控制关系如下表所示</w:t>
      </w:r>
      <w:r>
        <w:rPr>
          <w:rFonts w:ascii="Times New Roman" w:hAnsi="Times New Roman"/>
          <w:kern w:val="2"/>
          <w:szCs w:val="22"/>
          <w:lang w:val="en-US" w:bidi="ar"/>
        </w:rPr>
        <w:t>:</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808"/>
        <w:gridCol w:w="1653"/>
        <w:gridCol w:w="2029"/>
        <w:gridCol w:w="2206"/>
        <w:gridCol w:w="1833"/>
      </w:tblGrid>
      <w:tr w14:paraId="5D81901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805"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77801C91">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序号</w:t>
            </w:r>
          </w:p>
        </w:tc>
        <w:tc>
          <w:tcPr>
            <w:tcW w:w="1652"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6E693961">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股东名称</w:t>
            </w:r>
          </w:p>
        </w:tc>
        <w:tc>
          <w:tcPr>
            <w:tcW w:w="2030"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5F11F748">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合伙人类型</w:t>
            </w:r>
          </w:p>
        </w:tc>
        <w:tc>
          <w:tcPr>
            <w:tcW w:w="2208"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0D771EEC">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认缴出资额（万元）</w:t>
            </w:r>
          </w:p>
        </w:tc>
        <w:tc>
          <w:tcPr>
            <w:tcW w:w="1833"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461C97B7">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出资比例（</w:t>
            </w:r>
            <w:r>
              <w:rPr>
                <w:rFonts w:ascii="Times New Roman" w:hAnsi="Times New Roman"/>
                <w:b/>
                <w:bCs/>
                <w:kern w:val="2"/>
                <w:sz w:val="21"/>
                <w:szCs w:val="21"/>
                <w:lang w:val="en-US" w:bidi="ar"/>
              </w:rPr>
              <w:t>%</w:t>
            </w:r>
            <w:r>
              <w:rPr>
                <w:rFonts w:hint="eastAsia" w:ascii="Times New Roman" w:hAnsi="Times New Roman" w:cs="宋体"/>
                <w:b/>
                <w:bCs/>
                <w:kern w:val="2"/>
                <w:sz w:val="21"/>
                <w:szCs w:val="21"/>
                <w:lang w:val="en-US" w:bidi="ar"/>
              </w:rPr>
              <w:t>）</w:t>
            </w:r>
          </w:p>
        </w:tc>
      </w:tr>
      <w:tr w14:paraId="21E8580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B70E41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53A4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许一宇</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2A67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执行事务合伙人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5A0D1">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300.00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237249D">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18.24%</w:t>
            </w:r>
          </w:p>
        </w:tc>
      </w:tr>
      <w:tr w14:paraId="6DFCAD5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2EE189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0D0C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敖小敏</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89CC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92E5">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200.00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1339922">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12.16%</w:t>
            </w:r>
          </w:p>
        </w:tc>
      </w:tr>
      <w:tr w14:paraId="23E00A8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5B8A20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F775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谢永元</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3042A4E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0F753">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150.00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7FE8DB1">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9.12%</w:t>
            </w:r>
          </w:p>
        </w:tc>
      </w:tr>
      <w:tr w14:paraId="2900D0A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12AE75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A19F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陈重阳</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61A72E7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84D8E">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120.00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670437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7.30%</w:t>
            </w:r>
          </w:p>
        </w:tc>
      </w:tr>
      <w:tr w14:paraId="5AAC13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C8C4950">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D3F3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孙俊瀚</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4BAC176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2ACAA">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CDE97BA">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6.08%</w:t>
            </w:r>
          </w:p>
        </w:tc>
      </w:tr>
      <w:tr w14:paraId="138764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3F4229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6</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BD77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彭书琴</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37F8E40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FFCF3">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7E167CB">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6.08%</w:t>
            </w:r>
          </w:p>
        </w:tc>
      </w:tr>
      <w:tr w14:paraId="1C1267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C9A697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7</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88F3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陆洁</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458468D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05C60">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90.00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F878AB5">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5.47%</w:t>
            </w:r>
          </w:p>
        </w:tc>
      </w:tr>
      <w:tr w14:paraId="63A30F8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DBD1D27">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8</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F07B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朱成</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4F89C69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31958">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70.00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E7708EA">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4.26%</w:t>
            </w:r>
          </w:p>
        </w:tc>
      </w:tr>
      <w:tr w14:paraId="79AFE5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4DFF89D">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9</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EC10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张和</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677D738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03077">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60.00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BF650D3">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3.65%</w:t>
            </w:r>
          </w:p>
        </w:tc>
      </w:tr>
      <w:tr w14:paraId="56F4931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29A59B3">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10</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81D5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肖雪生</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236DBEE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7124A">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5D39C43">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3.04%</w:t>
            </w:r>
          </w:p>
        </w:tc>
      </w:tr>
      <w:tr w14:paraId="6DCFE03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1C4AFB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11</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60E3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宋红霞</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6BBEBD3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625A2">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40.00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56CE59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2.43%</w:t>
            </w:r>
          </w:p>
        </w:tc>
      </w:tr>
      <w:tr w14:paraId="49D54D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28F839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12</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88D8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宋若梦</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0BC2525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E1622">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40.00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ABF683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2.43%</w:t>
            </w:r>
          </w:p>
        </w:tc>
      </w:tr>
      <w:tr w14:paraId="578800D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4BF5E3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13</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E57B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徐申杨</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49C56D0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71E22">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40.00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B2BE1D7">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2.43%</w:t>
            </w:r>
          </w:p>
        </w:tc>
      </w:tr>
      <w:tr w14:paraId="479B9D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A64DDD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14</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5D14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叶卫浩</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5F8FF1C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989B3">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934E579">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1.82%</w:t>
            </w:r>
          </w:p>
        </w:tc>
      </w:tr>
      <w:tr w14:paraId="59CCB3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865A94A">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15</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A5AD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朱啸</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6468579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4D410">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F05AEA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1.82%</w:t>
            </w:r>
          </w:p>
        </w:tc>
      </w:tr>
      <w:tr w14:paraId="729D20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B99200E">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16</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4A2C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张颖</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79FBDD4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8CA5B">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30.00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7B108F9">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1.82%</w:t>
            </w:r>
          </w:p>
        </w:tc>
      </w:tr>
      <w:tr w14:paraId="7EA1B16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ADD2FC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17</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C0AA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黄豪</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52249B8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15C96">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D830255">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1.22%</w:t>
            </w:r>
          </w:p>
        </w:tc>
      </w:tr>
      <w:tr w14:paraId="0476107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B74EE71">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18</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E276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汪涵瀚</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7E5EDAA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C684D">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59C788F">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1.22%</w:t>
            </w:r>
          </w:p>
        </w:tc>
      </w:tr>
      <w:tr w14:paraId="5E05DE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9B194A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19</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26E0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李瑾琳</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1FD9A11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059ED">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19.41</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B3B6A1F">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1.18%</w:t>
            </w:r>
          </w:p>
        </w:tc>
      </w:tr>
      <w:tr w14:paraId="2309C5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85651E6">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20</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E0F3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李瑾瑶</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0C7BFEE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DE4C0">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19.41</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B95404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1.18%</w:t>
            </w:r>
          </w:p>
        </w:tc>
      </w:tr>
      <w:tr w14:paraId="290E099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61DC56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21</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3A1C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李超</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7E4B563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F17FE">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57DBBDD">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0.61%</w:t>
            </w:r>
          </w:p>
        </w:tc>
      </w:tr>
      <w:tr w14:paraId="5D9C903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AD2FA1D">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22</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7D71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黄贤村</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761308A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09462">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1AC4130">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0.61%</w:t>
            </w:r>
          </w:p>
        </w:tc>
      </w:tr>
      <w:tr w14:paraId="2B260B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A024F04">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23</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DD4E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陈亮</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1A4971E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30BA9">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1DB19D6E">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0.61%</w:t>
            </w:r>
          </w:p>
        </w:tc>
      </w:tr>
      <w:tr w14:paraId="377CCB5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705A2080">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24</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EF28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崔增收</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585131B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5CB9B">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8954ACC">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0.61%</w:t>
            </w:r>
          </w:p>
        </w:tc>
      </w:tr>
      <w:tr w14:paraId="77AA62C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DFD2B34">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25</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53BC8">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谭小波</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62AE7A2A">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75EC6">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A0360B8">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0.61%</w:t>
            </w:r>
          </w:p>
        </w:tc>
      </w:tr>
      <w:tr w14:paraId="34D486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0C5E7632">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26</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8726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张琦</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773E498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1E636">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32FDE8D">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0.61%</w:t>
            </w:r>
          </w:p>
        </w:tc>
      </w:tr>
      <w:tr w14:paraId="3E33E09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2A4BE6B">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27</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C41D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朱如锦</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3CCA46B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A5D2E">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B3B1000">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0.61%</w:t>
            </w:r>
          </w:p>
        </w:tc>
      </w:tr>
      <w:tr w14:paraId="3B626E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5337508">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28</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7C0C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沈爱卿</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13781ED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75F6B">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760FCBF">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0.30%</w:t>
            </w:r>
          </w:p>
        </w:tc>
      </w:tr>
      <w:tr w14:paraId="29FCDE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2DD7062">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29</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C1A5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邹双卫</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1684B030">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E5ABC">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9D07076">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0.30%</w:t>
            </w:r>
          </w:p>
        </w:tc>
      </w:tr>
      <w:tr w14:paraId="725B1BE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2C06D18">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30</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D46E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麦小颖</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62B3CD1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15E30">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765EA89D">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0.30%</w:t>
            </w:r>
          </w:p>
        </w:tc>
      </w:tr>
      <w:tr w14:paraId="7D79198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2CACE28">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31</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3889D">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刘瑛</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224D9830">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82EE0">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C0CE37E">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0.30%</w:t>
            </w:r>
          </w:p>
        </w:tc>
      </w:tr>
      <w:tr w14:paraId="3152DF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7120A5D">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32</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D07A0">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张子叶</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6149940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46B13">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D6AC506">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0.30%</w:t>
            </w:r>
          </w:p>
        </w:tc>
      </w:tr>
      <w:tr w14:paraId="085E8BF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B6E632A">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33</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B3EA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曾建</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22F6516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61A61">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5.00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84ACA2A">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0.30%</w:t>
            </w:r>
          </w:p>
        </w:tc>
      </w:tr>
      <w:tr w14:paraId="3F0A960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0892D3F">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34</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BEF9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段剑琴</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0AAE855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997D1">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4.00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29AF875">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0.24%</w:t>
            </w:r>
          </w:p>
        </w:tc>
      </w:tr>
      <w:tr w14:paraId="2BCBF6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70D02F5">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35</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2012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池丽平</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79A65E9F">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D51C1">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4.00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D48CEF6">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0.24%</w:t>
            </w:r>
          </w:p>
        </w:tc>
      </w:tr>
      <w:tr w14:paraId="759FE34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3877C7CD">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36</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6A3B7">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黎忠明</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63B71BB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DFCDA">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4.00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FD4FF8A">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0.24%</w:t>
            </w:r>
          </w:p>
        </w:tc>
      </w:tr>
      <w:tr w14:paraId="7F8AD1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0B440A0">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37</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0DE0C">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刘睿婕</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0752685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9ACA1">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F980A1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0.12%</w:t>
            </w:r>
          </w:p>
        </w:tc>
      </w:tr>
      <w:tr w14:paraId="192B6D8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63630EF3">
            <w:pPr>
              <w:pStyle w:val="69"/>
              <w:spacing w:before="120" w:beforeAutospacing="0" w:after="0" w:afterAutospacing="0"/>
              <w:ind w:firstLine="0" w:firstLineChars="0"/>
              <w:jc w:val="center"/>
              <w:rPr>
                <w:rFonts w:hint="eastAsia"/>
                <w:color w:val="000000"/>
                <w:sz w:val="21"/>
                <w:szCs w:val="21"/>
                <w:lang w:val="en-US"/>
              </w:rPr>
            </w:pPr>
            <w:r>
              <w:rPr>
                <w:rFonts w:ascii="Times New Roman" w:hAnsi="Times New Roman"/>
                <w:color w:val="000000"/>
                <w:kern w:val="2"/>
                <w:sz w:val="21"/>
                <w:szCs w:val="21"/>
                <w:lang w:val="en-US" w:bidi="ar"/>
              </w:rPr>
              <w:t>38</w:t>
            </w:r>
          </w:p>
        </w:tc>
        <w:tc>
          <w:tcPr>
            <w:tcW w:w="16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6463B">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邓滢</w:t>
            </w:r>
          </w:p>
        </w:tc>
        <w:tc>
          <w:tcPr>
            <w:tcW w:w="2030" w:type="dxa"/>
            <w:tcBorders>
              <w:top w:val="single" w:color="000000" w:sz="4" w:space="0"/>
              <w:left w:val="single" w:color="000000" w:sz="4" w:space="0"/>
              <w:bottom w:val="single" w:color="000000" w:sz="4" w:space="0"/>
              <w:right w:val="single" w:color="000000" w:sz="4" w:space="0"/>
            </w:tcBorders>
            <w:shd w:val="clear" w:color="auto" w:fill="auto"/>
            <w:noWrap/>
          </w:tcPr>
          <w:p w14:paraId="45EA6F9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2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28B26">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2.00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52CB27B6">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0.12%</w:t>
            </w:r>
          </w:p>
        </w:tc>
      </w:tr>
      <w:tr w14:paraId="2ACE81B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4487"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2842DB22">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合计</w:t>
            </w:r>
          </w:p>
        </w:tc>
        <w:tc>
          <w:tcPr>
            <w:tcW w:w="2208"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6BB645E5">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1,644.83</w:t>
            </w:r>
          </w:p>
        </w:tc>
        <w:tc>
          <w:tcPr>
            <w:tcW w:w="1833"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41549A15">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100.00%</w:t>
            </w:r>
          </w:p>
        </w:tc>
      </w:tr>
    </w:tbl>
    <w:p w14:paraId="74DFD48D">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lang w:bidi="ar"/>
        </w:rPr>
        <w:t>（十六）上海德盾企业管理合伙企业（有限合伙）</w:t>
      </w:r>
    </w:p>
    <w:p w14:paraId="0C5D52B4">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1</w:t>
      </w:r>
      <w:r>
        <w:rPr>
          <w:rFonts w:hint="eastAsia" w:cs="Times New Roman"/>
          <w:b/>
          <w:bCs/>
          <w:kern w:val="2"/>
          <w:szCs w:val="28"/>
          <w:lang w:bidi="ar"/>
        </w:rPr>
        <w:t>、基本情况</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26"/>
        <w:gridCol w:w="6202"/>
      </w:tblGrid>
      <w:tr w14:paraId="2934BC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12" w:space="0"/>
              <w:left w:val="single" w:color="auto" w:sz="12" w:space="0"/>
              <w:bottom w:val="single" w:color="auto" w:sz="4" w:space="0"/>
              <w:right w:val="single" w:color="auto" w:sz="4" w:space="0"/>
            </w:tcBorders>
            <w:shd w:val="clear" w:color="auto" w:fill="auto"/>
            <w:vAlign w:val="center"/>
          </w:tcPr>
          <w:p w14:paraId="4EF51FF0">
            <w:pPr>
              <w:spacing w:before="120" w:line="240" w:lineRule="auto"/>
              <w:ind w:firstLine="0" w:firstLineChars="0"/>
              <w:jc w:val="both"/>
              <w:rPr>
                <w:rFonts w:cs="Times New Roman"/>
                <w:b/>
                <w:sz w:val="21"/>
                <w:szCs w:val="21"/>
              </w:rPr>
            </w:pPr>
            <w:r>
              <w:rPr>
                <w:rFonts w:hint="eastAsia" w:cs="Times New Roman"/>
                <w:b/>
                <w:sz w:val="21"/>
                <w:szCs w:val="21"/>
                <w:lang w:bidi="ar"/>
              </w:rPr>
              <w:t>企业名称</w:t>
            </w:r>
          </w:p>
        </w:tc>
        <w:tc>
          <w:tcPr>
            <w:tcW w:w="3635" w:type="pct"/>
            <w:tcBorders>
              <w:top w:val="single" w:color="auto" w:sz="12" w:space="0"/>
              <w:left w:val="single" w:color="auto" w:sz="4" w:space="0"/>
              <w:bottom w:val="single" w:color="auto" w:sz="4" w:space="0"/>
              <w:right w:val="single" w:color="auto" w:sz="12" w:space="0"/>
            </w:tcBorders>
            <w:shd w:val="clear" w:color="auto" w:fill="auto"/>
            <w:vAlign w:val="center"/>
          </w:tcPr>
          <w:p w14:paraId="51909E61">
            <w:pPr>
              <w:spacing w:before="120" w:line="240" w:lineRule="auto"/>
              <w:ind w:firstLine="0" w:firstLineChars="0"/>
              <w:jc w:val="both"/>
              <w:rPr>
                <w:rFonts w:cs="Times New Roman"/>
                <w:sz w:val="21"/>
                <w:szCs w:val="21"/>
              </w:rPr>
            </w:pPr>
            <w:r>
              <w:rPr>
                <w:rFonts w:hint="eastAsia" w:cs="Times New Roman"/>
                <w:sz w:val="21"/>
                <w:szCs w:val="21"/>
                <w:lang w:bidi="ar"/>
              </w:rPr>
              <w:t>上海德盾企业管理合伙企业（有限合伙）</w:t>
            </w:r>
          </w:p>
        </w:tc>
      </w:tr>
      <w:tr w14:paraId="221BD8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2EE56E19">
            <w:pPr>
              <w:spacing w:before="120" w:line="240" w:lineRule="auto"/>
              <w:ind w:firstLine="0" w:firstLineChars="0"/>
              <w:jc w:val="both"/>
              <w:rPr>
                <w:rFonts w:cs="Times New Roman"/>
                <w:b/>
                <w:sz w:val="21"/>
                <w:szCs w:val="21"/>
              </w:rPr>
            </w:pPr>
            <w:r>
              <w:rPr>
                <w:rFonts w:hint="eastAsia" w:cs="Times New Roman"/>
                <w:b/>
                <w:sz w:val="21"/>
                <w:szCs w:val="21"/>
                <w:lang w:bidi="ar"/>
              </w:rPr>
              <w:t>企业性质</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CCCD87A">
            <w:pPr>
              <w:spacing w:before="120" w:line="240" w:lineRule="auto"/>
              <w:ind w:firstLine="0" w:firstLineChars="0"/>
              <w:jc w:val="both"/>
              <w:rPr>
                <w:rFonts w:cs="Times New Roman"/>
                <w:sz w:val="21"/>
                <w:szCs w:val="21"/>
              </w:rPr>
            </w:pPr>
            <w:r>
              <w:rPr>
                <w:rFonts w:hint="eastAsia" w:cs="Times New Roman"/>
                <w:sz w:val="21"/>
                <w:szCs w:val="21"/>
                <w:lang w:bidi="ar"/>
              </w:rPr>
              <w:t>有限合伙企业</w:t>
            </w:r>
          </w:p>
        </w:tc>
      </w:tr>
      <w:tr w14:paraId="4C1EAA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00CC70DF">
            <w:pPr>
              <w:spacing w:before="120" w:line="240" w:lineRule="auto"/>
              <w:ind w:firstLine="0" w:firstLineChars="0"/>
              <w:jc w:val="both"/>
              <w:rPr>
                <w:rFonts w:cs="Times New Roman"/>
                <w:b/>
                <w:sz w:val="21"/>
                <w:szCs w:val="21"/>
              </w:rPr>
            </w:pPr>
            <w:r>
              <w:rPr>
                <w:rFonts w:hint="eastAsia" w:cs="Times New Roman"/>
                <w:b/>
                <w:sz w:val="21"/>
                <w:szCs w:val="21"/>
                <w:lang w:bidi="ar"/>
              </w:rPr>
              <w:t>主要经营场所</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E32BBB1">
            <w:pPr>
              <w:spacing w:before="120" w:line="240" w:lineRule="auto"/>
              <w:ind w:firstLine="0" w:firstLineChars="0"/>
              <w:jc w:val="both"/>
              <w:rPr>
                <w:rFonts w:cs="Times New Roman"/>
                <w:sz w:val="21"/>
                <w:szCs w:val="21"/>
              </w:rPr>
            </w:pPr>
            <w:r>
              <w:rPr>
                <w:rFonts w:hint="eastAsia" w:cs="Times New Roman"/>
                <w:sz w:val="21"/>
                <w:szCs w:val="21"/>
                <w:lang w:bidi="ar"/>
              </w:rPr>
              <w:t>上海市青浦区五厍浜路</w:t>
            </w:r>
            <w:r>
              <w:rPr>
                <w:rFonts w:cs="Times New Roman"/>
                <w:sz w:val="21"/>
                <w:szCs w:val="21"/>
                <w:lang w:bidi="ar"/>
              </w:rPr>
              <w:t>201</w:t>
            </w:r>
            <w:r>
              <w:rPr>
                <w:rFonts w:hint="eastAsia" w:cs="Times New Roman"/>
                <w:sz w:val="21"/>
                <w:szCs w:val="21"/>
                <w:lang w:bidi="ar"/>
              </w:rPr>
              <w:t>号</w:t>
            </w:r>
            <w:r>
              <w:rPr>
                <w:rFonts w:cs="Times New Roman"/>
                <w:sz w:val="21"/>
                <w:szCs w:val="21"/>
                <w:lang w:bidi="ar"/>
              </w:rPr>
              <w:t>13</w:t>
            </w:r>
            <w:r>
              <w:rPr>
                <w:rFonts w:hint="eastAsia" w:cs="Times New Roman"/>
                <w:sz w:val="21"/>
                <w:szCs w:val="21"/>
                <w:lang w:bidi="ar"/>
              </w:rPr>
              <w:t>幢四层</w:t>
            </w:r>
            <w:r>
              <w:rPr>
                <w:rFonts w:cs="Times New Roman"/>
                <w:sz w:val="21"/>
                <w:szCs w:val="21"/>
                <w:lang w:bidi="ar"/>
              </w:rPr>
              <w:t>A</w:t>
            </w:r>
            <w:r>
              <w:rPr>
                <w:rFonts w:hint="eastAsia" w:cs="Times New Roman"/>
                <w:sz w:val="21"/>
                <w:szCs w:val="21"/>
                <w:lang w:bidi="ar"/>
              </w:rPr>
              <w:t>区</w:t>
            </w:r>
            <w:r>
              <w:rPr>
                <w:rFonts w:cs="Times New Roman"/>
                <w:sz w:val="21"/>
                <w:szCs w:val="21"/>
                <w:lang w:bidi="ar"/>
              </w:rPr>
              <w:t>427</w:t>
            </w:r>
            <w:r>
              <w:rPr>
                <w:rFonts w:hint="eastAsia" w:cs="Times New Roman"/>
                <w:sz w:val="21"/>
                <w:szCs w:val="21"/>
                <w:lang w:bidi="ar"/>
              </w:rPr>
              <w:t>室</w:t>
            </w:r>
          </w:p>
        </w:tc>
      </w:tr>
      <w:tr w14:paraId="731C77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78861479">
            <w:pPr>
              <w:spacing w:before="120" w:line="240" w:lineRule="auto"/>
              <w:ind w:firstLine="0" w:firstLineChars="0"/>
              <w:jc w:val="both"/>
              <w:rPr>
                <w:rFonts w:cs="Times New Roman"/>
                <w:b/>
                <w:sz w:val="21"/>
                <w:szCs w:val="21"/>
              </w:rPr>
            </w:pPr>
            <w:r>
              <w:rPr>
                <w:rFonts w:hint="eastAsia" w:cs="Times New Roman"/>
                <w:b/>
                <w:sz w:val="21"/>
                <w:szCs w:val="21"/>
                <w:lang w:bidi="ar"/>
              </w:rPr>
              <w:t>成立时间</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5057F14B">
            <w:pPr>
              <w:spacing w:before="120" w:line="240" w:lineRule="auto"/>
              <w:ind w:firstLine="0" w:firstLineChars="0"/>
              <w:jc w:val="both"/>
              <w:rPr>
                <w:rFonts w:cs="Times New Roman"/>
                <w:sz w:val="21"/>
                <w:szCs w:val="21"/>
              </w:rPr>
            </w:pPr>
            <w:r>
              <w:rPr>
                <w:rFonts w:cs="Times New Roman"/>
                <w:sz w:val="21"/>
                <w:szCs w:val="21"/>
                <w:lang w:bidi="ar"/>
              </w:rPr>
              <w:t>2017</w:t>
            </w:r>
            <w:r>
              <w:rPr>
                <w:rFonts w:hint="eastAsia" w:cs="Times New Roman"/>
                <w:sz w:val="21"/>
                <w:szCs w:val="21"/>
                <w:lang w:bidi="ar"/>
              </w:rPr>
              <w:t>年</w:t>
            </w:r>
            <w:r>
              <w:rPr>
                <w:rFonts w:cs="Times New Roman"/>
                <w:sz w:val="21"/>
                <w:szCs w:val="21"/>
                <w:lang w:bidi="ar"/>
              </w:rPr>
              <w:t>12</w:t>
            </w:r>
            <w:r>
              <w:rPr>
                <w:rFonts w:hint="eastAsia" w:cs="Times New Roman"/>
                <w:sz w:val="21"/>
                <w:szCs w:val="21"/>
                <w:lang w:bidi="ar"/>
              </w:rPr>
              <w:t>月</w:t>
            </w:r>
            <w:r>
              <w:rPr>
                <w:rFonts w:cs="Times New Roman"/>
                <w:sz w:val="21"/>
                <w:szCs w:val="21"/>
                <w:lang w:bidi="ar"/>
              </w:rPr>
              <w:t>29</w:t>
            </w:r>
            <w:r>
              <w:rPr>
                <w:rFonts w:hint="eastAsia" w:cs="Times New Roman"/>
                <w:sz w:val="21"/>
                <w:szCs w:val="21"/>
                <w:lang w:bidi="ar"/>
              </w:rPr>
              <w:t>日</w:t>
            </w:r>
          </w:p>
        </w:tc>
      </w:tr>
      <w:tr w14:paraId="586A67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768DD86E">
            <w:pPr>
              <w:spacing w:before="120" w:line="240" w:lineRule="auto"/>
              <w:ind w:firstLine="0" w:firstLineChars="0"/>
              <w:jc w:val="both"/>
              <w:rPr>
                <w:rFonts w:cs="Times New Roman"/>
                <w:b/>
                <w:sz w:val="21"/>
                <w:szCs w:val="21"/>
              </w:rPr>
            </w:pPr>
            <w:r>
              <w:rPr>
                <w:rFonts w:hint="eastAsia" w:cs="Times New Roman"/>
                <w:b/>
                <w:sz w:val="21"/>
                <w:szCs w:val="21"/>
                <w:lang w:bidi="ar"/>
              </w:rPr>
              <w:t>认缴出资额</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6E22F17A">
            <w:pPr>
              <w:spacing w:before="120" w:line="240" w:lineRule="auto"/>
              <w:ind w:firstLine="0" w:firstLineChars="0"/>
              <w:jc w:val="both"/>
              <w:rPr>
                <w:rFonts w:cs="Times New Roman"/>
                <w:sz w:val="21"/>
                <w:szCs w:val="21"/>
              </w:rPr>
            </w:pPr>
            <w:r>
              <w:rPr>
                <w:rFonts w:cs="Times New Roman"/>
                <w:sz w:val="21"/>
                <w:szCs w:val="21"/>
                <w:lang w:bidi="ar"/>
              </w:rPr>
              <w:t>800.00</w:t>
            </w:r>
            <w:r>
              <w:rPr>
                <w:rFonts w:hint="eastAsia" w:cs="Times New Roman"/>
                <w:sz w:val="21"/>
                <w:szCs w:val="21"/>
                <w:lang w:bidi="ar"/>
              </w:rPr>
              <w:t>万元</w:t>
            </w:r>
          </w:p>
        </w:tc>
      </w:tr>
      <w:tr w14:paraId="44D665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7FF7DB42">
            <w:pPr>
              <w:spacing w:before="120" w:line="240" w:lineRule="auto"/>
              <w:ind w:firstLine="0" w:firstLineChars="0"/>
              <w:jc w:val="both"/>
              <w:rPr>
                <w:rFonts w:cs="Times New Roman"/>
                <w:b/>
                <w:sz w:val="21"/>
                <w:szCs w:val="21"/>
              </w:rPr>
            </w:pPr>
            <w:r>
              <w:rPr>
                <w:rFonts w:hint="eastAsia" w:cs="Times New Roman"/>
                <w:b/>
                <w:sz w:val="21"/>
                <w:szCs w:val="21"/>
                <w:lang w:bidi="ar"/>
              </w:rPr>
              <w:t>执行事务合伙人</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1FFF7F74">
            <w:pPr>
              <w:spacing w:before="120" w:line="240" w:lineRule="auto"/>
              <w:ind w:firstLine="0" w:firstLineChars="0"/>
              <w:jc w:val="both"/>
              <w:rPr>
                <w:rFonts w:cs="Times New Roman"/>
                <w:sz w:val="21"/>
                <w:szCs w:val="21"/>
              </w:rPr>
            </w:pPr>
            <w:r>
              <w:rPr>
                <w:rFonts w:hint="eastAsia" w:cs="Times New Roman"/>
                <w:sz w:val="21"/>
                <w:szCs w:val="21"/>
                <w:lang w:bidi="ar"/>
              </w:rPr>
              <w:t>郑凯还</w:t>
            </w:r>
          </w:p>
        </w:tc>
      </w:tr>
      <w:tr w14:paraId="406B0E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4" w:space="0"/>
              <w:right w:val="single" w:color="auto" w:sz="4" w:space="0"/>
            </w:tcBorders>
            <w:shd w:val="clear" w:color="auto" w:fill="auto"/>
            <w:vAlign w:val="center"/>
          </w:tcPr>
          <w:p w14:paraId="024C12B0">
            <w:pPr>
              <w:spacing w:before="120" w:line="240" w:lineRule="auto"/>
              <w:ind w:firstLine="0" w:firstLineChars="0"/>
              <w:jc w:val="both"/>
              <w:rPr>
                <w:rFonts w:cs="Times New Roman"/>
                <w:b/>
                <w:sz w:val="21"/>
                <w:szCs w:val="21"/>
              </w:rPr>
            </w:pPr>
            <w:r>
              <w:rPr>
                <w:rFonts w:hint="eastAsia" w:cs="Times New Roman"/>
                <w:b/>
                <w:sz w:val="21"/>
                <w:szCs w:val="21"/>
                <w:lang w:bidi="ar"/>
              </w:rPr>
              <w:t>统一社会信用代码</w:t>
            </w:r>
          </w:p>
        </w:tc>
        <w:tc>
          <w:tcPr>
            <w:tcW w:w="3635" w:type="pct"/>
            <w:tcBorders>
              <w:top w:val="single" w:color="auto" w:sz="4" w:space="0"/>
              <w:left w:val="single" w:color="auto" w:sz="4" w:space="0"/>
              <w:bottom w:val="single" w:color="auto" w:sz="4" w:space="0"/>
              <w:right w:val="single" w:color="auto" w:sz="12" w:space="0"/>
            </w:tcBorders>
            <w:shd w:val="clear" w:color="auto" w:fill="auto"/>
            <w:vAlign w:val="center"/>
          </w:tcPr>
          <w:p w14:paraId="43C9E747">
            <w:pPr>
              <w:spacing w:before="120" w:line="240" w:lineRule="auto"/>
              <w:ind w:firstLine="0" w:firstLineChars="0"/>
              <w:jc w:val="both"/>
              <w:rPr>
                <w:rFonts w:cs="Times New Roman"/>
                <w:sz w:val="21"/>
                <w:szCs w:val="21"/>
              </w:rPr>
            </w:pPr>
            <w:r>
              <w:rPr>
                <w:rFonts w:cs="Times New Roman"/>
                <w:sz w:val="21"/>
                <w:szCs w:val="21"/>
                <w:lang w:bidi="ar"/>
              </w:rPr>
              <w:t>91310118MA1JM9342T</w:t>
            </w:r>
          </w:p>
        </w:tc>
      </w:tr>
      <w:tr w14:paraId="4D7B30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tcBorders>
              <w:top w:val="single" w:color="auto" w:sz="4" w:space="0"/>
              <w:left w:val="single" w:color="auto" w:sz="12" w:space="0"/>
              <w:bottom w:val="single" w:color="auto" w:sz="12" w:space="0"/>
              <w:right w:val="single" w:color="auto" w:sz="4" w:space="0"/>
            </w:tcBorders>
            <w:shd w:val="clear" w:color="auto" w:fill="auto"/>
            <w:vAlign w:val="center"/>
          </w:tcPr>
          <w:p w14:paraId="40D94F72">
            <w:pPr>
              <w:spacing w:before="120" w:line="240" w:lineRule="auto"/>
              <w:ind w:firstLine="0" w:firstLineChars="0"/>
              <w:jc w:val="both"/>
              <w:rPr>
                <w:rFonts w:cs="Times New Roman"/>
                <w:b/>
                <w:sz w:val="21"/>
                <w:szCs w:val="21"/>
              </w:rPr>
            </w:pPr>
            <w:r>
              <w:rPr>
                <w:rFonts w:hint="eastAsia" w:cs="Times New Roman"/>
                <w:b/>
                <w:sz w:val="21"/>
                <w:szCs w:val="21"/>
                <w:lang w:bidi="ar"/>
              </w:rPr>
              <w:t>经营范围</w:t>
            </w:r>
          </w:p>
        </w:tc>
        <w:tc>
          <w:tcPr>
            <w:tcW w:w="3635" w:type="pct"/>
            <w:tcBorders>
              <w:top w:val="single" w:color="auto" w:sz="4" w:space="0"/>
              <w:left w:val="single" w:color="auto" w:sz="4" w:space="0"/>
              <w:bottom w:val="single" w:color="auto" w:sz="12" w:space="0"/>
              <w:right w:val="single" w:color="auto" w:sz="12" w:space="0"/>
            </w:tcBorders>
            <w:shd w:val="clear" w:color="auto" w:fill="auto"/>
            <w:vAlign w:val="center"/>
          </w:tcPr>
          <w:p w14:paraId="29569318">
            <w:pPr>
              <w:spacing w:before="120" w:line="240" w:lineRule="auto"/>
              <w:ind w:firstLine="0" w:firstLineChars="0"/>
              <w:jc w:val="both"/>
              <w:rPr>
                <w:rFonts w:cs="Times New Roman"/>
                <w:sz w:val="21"/>
                <w:szCs w:val="21"/>
              </w:rPr>
            </w:pPr>
            <w:r>
              <w:rPr>
                <w:rFonts w:hint="eastAsia" w:cs="Times New Roman"/>
                <w:sz w:val="21"/>
                <w:szCs w:val="21"/>
                <w:lang w:bidi="ar"/>
              </w:rPr>
              <w:t>企业管理咨询。【依法须经批准的项目，经相关部门批准后方可开展经营活动】</w:t>
            </w:r>
          </w:p>
        </w:tc>
      </w:tr>
    </w:tbl>
    <w:p w14:paraId="1AF9ADAB">
      <w:pPr>
        <w:keepNext/>
        <w:keepLines/>
        <w:adjustRightInd w:val="0"/>
        <w:snapToGrid w:val="0"/>
        <w:spacing w:before="120"/>
        <w:ind w:firstLine="482"/>
        <w:jc w:val="both"/>
        <w:outlineLvl w:val="3"/>
        <w:rPr>
          <w:rFonts w:cs="Times New Roman"/>
          <w:b/>
          <w:bCs/>
          <w:kern w:val="2"/>
          <w:szCs w:val="28"/>
        </w:rPr>
      </w:pPr>
      <w:r>
        <w:rPr>
          <w:rFonts w:cs="Times New Roman"/>
          <w:b/>
          <w:bCs/>
          <w:kern w:val="2"/>
          <w:szCs w:val="28"/>
          <w:lang w:bidi="ar"/>
        </w:rPr>
        <w:t>2</w:t>
      </w:r>
      <w:r>
        <w:rPr>
          <w:rFonts w:hint="eastAsia" w:cs="Times New Roman"/>
          <w:b/>
          <w:bCs/>
          <w:kern w:val="2"/>
          <w:szCs w:val="28"/>
          <w:lang w:bidi="ar"/>
        </w:rPr>
        <w:t>、产权及控制关系</w:t>
      </w:r>
    </w:p>
    <w:p w14:paraId="28607302">
      <w:pPr>
        <w:pStyle w:val="69"/>
        <w:spacing w:before="120" w:beforeAutospacing="0" w:after="120" w:afterLines="50" w:afterAutospacing="0"/>
        <w:jc w:val="both"/>
        <w:rPr>
          <w:rFonts w:hint="eastAsia"/>
          <w:lang w:val="en-US"/>
        </w:rPr>
      </w:pPr>
      <w:r>
        <w:rPr>
          <w:rFonts w:hint="eastAsia" w:ascii="Times New Roman" w:hAnsi="Times New Roman" w:cs="宋体"/>
          <w:kern w:val="2"/>
          <w:szCs w:val="22"/>
          <w:lang w:val="en-US" w:bidi="ar"/>
        </w:rPr>
        <w:t>截至本预案签署日，郑凯还为上海德盾执行事务合伙人，上海德盾的合伙人及产权控制关系如下表所示：</w:t>
      </w:r>
    </w:p>
    <w:tbl>
      <w:tblPr>
        <w:tblStyle w:val="77"/>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809"/>
        <w:gridCol w:w="1672"/>
        <w:gridCol w:w="1899"/>
        <w:gridCol w:w="2315"/>
        <w:gridCol w:w="1833"/>
      </w:tblGrid>
      <w:tr w14:paraId="3BA5048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blHeader/>
        </w:trPr>
        <w:tc>
          <w:tcPr>
            <w:tcW w:w="805" w:type="dxa"/>
            <w:tcBorders>
              <w:top w:val="single" w:color="000000" w:sz="12" w:space="0"/>
              <w:left w:val="single" w:color="000000" w:sz="12" w:space="0"/>
              <w:bottom w:val="single" w:color="000000" w:sz="4" w:space="0"/>
              <w:right w:val="single" w:color="000000" w:sz="4" w:space="0"/>
            </w:tcBorders>
            <w:shd w:val="clear" w:color="auto" w:fill="auto"/>
            <w:noWrap/>
            <w:vAlign w:val="center"/>
          </w:tcPr>
          <w:p w14:paraId="77EE6F77">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序号</w:t>
            </w:r>
          </w:p>
        </w:tc>
        <w:tc>
          <w:tcPr>
            <w:tcW w:w="1672"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65D816E7">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股东名称</w:t>
            </w:r>
          </w:p>
        </w:tc>
        <w:tc>
          <w:tcPr>
            <w:tcW w:w="1900"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46C642B4">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合伙人类型</w:t>
            </w:r>
          </w:p>
        </w:tc>
        <w:tc>
          <w:tcPr>
            <w:tcW w:w="2318" w:type="dxa"/>
            <w:tcBorders>
              <w:top w:val="single" w:color="000000" w:sz="12" w:space="0"/>
              <w:left w:val="single" w:color="000000" w:sz="4" w:space="0"/>
              <w:bottom w:val="single" w:color="000000" w:sz="4" w:space="0"/>
              <w:right w:val="single" w:color="000000" w:sz="4" w:space="0"/>
            </w:tcBorders>
            <w:shd w:val="clear" w:color="auto" w:fill="auto"/>
            <w:noWrap/>
            <w:vAlign w:val="center"/>
          </w:tcPr>
          <w:p w14:paraId="2F9C30A4">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认缴出资额（万元）</w:t>
            </w:r>
          </w:p>
        </w:tc>
        <w:tc>
          <w:tcPr>
            <w:tcW w:w="1833" w:type="dxa"/>
            <w:tcBorders>
              <w:top w:val="single" w:color="000000" w:sz="12" w:space="0"/>
              <w:left w:val="single" w:color="000000" w:sz="4" w:space="0"/>
              <w:bottom w:val="single" w:color="000000" w:sz="4" w:space="0"/>
              <w:right w:val="single" w:color="000000" w:sz="12" w:space="0"/>
            </w:tcBorders>
            <w:shd w:val="clear" w:color="auto" w:fill="auto"/>
            <w:noWrap/>
            <w:vAlign w:val="center"/>
          </w:tcPr>
          <w:p w14:paraId="7E2F2B6E">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出资比例（</w:t>
            </w:r>
            <w:r>
              <w:rPr>
                <w:rFonts w:ascii="Times New Roman" w:hAnsi="Times New Roman"/>
                <w:b/>
                <w:bCs/>
                <w:kern w:val="2"/>
                <w:sz w:val="21"/>
                <w:szCs w:val="21"/>
                <w:lang w:val="en-US" w:bidi="ar"/>
              </w:rPr>
              <w:t>%</w:t>
            </w:r>
            <w:r>
              <w:rPr>
                <w:rFonts w:hint="eastAsia" w:ascii="Times New Roman" w:hAnsi="Times New Roman" w:cs="宋体"/>
                <w:b/>
                <w:bCs/>
                <w:kern w:val="2"/>
                <w:sz w:val="21"/>
                <w:szCs w:val="21"/>
                <w:lang w:val="en-US" w:bidi="ar"/>
              </w:rPr>
              <w:t>）</w:t>
            </w:r>
          </w:p>
        </w:tc>
      </w:tr>
      <w:tr w14:paraId="3E814C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90D683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1</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D942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郑凯还</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D6C6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执行事务合伙人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DA027">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67760714">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12.50%</w:t>
            </w:r>
          </w:p>
        </w:tc>
      </w:tr>
      <w:tr w14:paraId="090D8DA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80498E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2</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73E31">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陈超</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83C4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A2A7D">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51604D1">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12.50%</w:t>
            </w:r>
          </w:p>
        </w:tc>
      </w:tr>
      <w:tr w14:paraId="126E18A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1A42A88">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3</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FC21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钟恺</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7260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C3491">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0DA861A">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12.50%</w:t>
            </w:r>
          </w:p>
        </w:tc>
      </w:tr>
      <w:tr w14:paraId="284AEC5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194DEFB0">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4</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DCAF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王佳</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931B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D3EE2">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48092876">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12.50%</w:t>
            </w:r>
          </w:p>
        </w:tc>
      </w:tr>
      <w:tr w14:paraId="7F467C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2BAA6D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5</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A2544">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韩蕊</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02AE6">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31D88">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061889F">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12.50%</w:t>
            </w:r>
          </w:p>
        </w:tc>
      </w:tr>
      <w:tr w14:paraId="1EC7F0D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2CED2F32">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6</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F1DB9">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徐育浩</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DDA75">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C9F85">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0212EFFE">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12.50%</w:t>
            </w:r>
          </w:p>
        </w:tc>
      </w:tr>
      <w:tr w14:paraId="116C6D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4409C10F">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7</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C9F93">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杨博雅</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BD8B0">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F7AC1">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252284EB">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12.50%</w:t>
            </w:r>
          </w:p>
        </w:tc>
      </w:tr>
      <w:tr w14:paraId="5F636BC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805" w:type="dxa"/>
            <w:tcBorders>
              <w:top w:val="single" w:color="000000" w:sz="4" w:space="0"/>
              <w:left w:val="single" w:color="000000" w:sz="12" w:space="0"/>
              <w:bottom w:val="single" w:color="000000" w:sz="4" w:space="0"/>
              <w:right w:val="single" w:color="000000" w:sz="4" w:space="0"/>
            </w:tcBorders>
            <w:shd w:val="clear" w:color="auto" w:fill="auto"/>
            <w:noWrap/>
            <w:vAlign w:val="center"/>
          </w:tcPr>
          <w:p w14:paraId="5FE86DB0">
            <w:pPr>
              <w:pStyle w:val="69"/>
              <w:spacing w:before="120" w:beforeAutospacing="0" w:after="0" w:afterAutospacing="0"/>
              <w:ind w:firstLine="0" w:firstLineChars="0"/>
              <w:jc w:val="center"/>
              <w:rPr>
                <w:rFonts w:hint="eastAsia"/>
                <w:sz w:val="21"/>
                <w:szCs w:val="21"/>
                <w:lang w:val="en-US"/>
              </w:rPr>
            </w:pPr>
            <w:r>
              <w:rPr>
                <w:rFonts w:ascii="Times New Roman" w:hAnsi="Times New Roman"/>
                <w:color w:val="000000"/>
                <w:kern w:val="2"/>
                <w:sz w:val="21"/>
                <w:szCs w:val="21"/>
                <w:lang w:val="en-US" w:bidi="ar"/>
              </w:rPr>
              <w:t>8</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63C92">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color w:val="000000"/>
                <w:kern w:val="2"/>
                <w:sz w:val="21"/>
                <w:szCs w:val="21"/>
                <w:lang w:val="en-US" w:bidi="ar"/>
              </w:rPr>
              <w:t>尹依婷</w:t>
            </w:r>
          </w:p>
        </w:tc>
        <w:tc>
          <w:tcPr>
            <w:tcW w:w="1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8F36E">
            <w:pPr>
              <w:pStyle w:val="69"/>
              <w:spacing w:before="120" w:beforeAutospacing="0" w:after="0" w:afterAutospacing="0"/>
              <w:ind w:firstLine="0" w:firstLineChars="0"/>
              <w:jc w:val="center"/>
              <w:rPr>
                <w:rFonts w:hint="eastAsia"/>
                <w:sz w:val="21"/>
                <w:szCs w:val="21"/>
                <w:lang w:val="en-US"/>
              </w:rPr>
            </w:pPr>
            <w:r>
              <w:rPr>
                <w:rFonts w:hint="eastAsia" w:ascii="Times New Roman" w:hAnsi="Times New Roman" w:cs="宋体"/>
                <w:kern w:val="2"/>
                <w:sz w:val="21"/>
                <w:szCs w:val="21"/>
                <w:lang w:val="en-US" w:bidi="ar"/>
              </w:rPr>
              <w:t>有限合伙人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A0AC7">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100.00</w:t>
            </w:r>
          </w:p>
        </w:tc>
        <w:tc>
          <w:tcPr>
            <w:tcW w:w="1833" w:type="dxa"/>
            <w:tcBorders>
              <w:top w:val="single" w:color="000000" w:sz="4" w:space="0"/>
              <w:left w:val="single" w:color="000000" w:sz="4" w:space="0"/>
              <w:bottom w:val="single" w:color="000000" w:sz="4" w:space="0"/>
              <w:right w:val="single" w:color="000000" w:sz="12" w:space="0"/>
            </w:tcBorders>
            <w:shd w:val="clear" w:color="auto" w:fill="auto"/>
            <w:noWrap/>
            <w:vAlign w:val="center"/>
          </w:tcPr>
          <w:p w14:paraId="3C38B26C">
            <w:pPr>
              <w:pStyle w:val="69"/>
              <w:spacing w:before="120" w:beforeAutospacing="0" w:after="0" w:afterAutospacing="0"/>
              <w:ind w:firstLine="0" w:firstLineChars="0"/>
              <w:jc w:val="right"/>
              <w:rPr>
                <w:rFonts w:hint="eastAsia"/>
                <w:sz w:val="21"/>
                <w:szCs w:val="21"/>
                <w:lang w:val="en-US"/>
              </w:rPr>
            </w:pPr>
            <w:r>
              <w:rPr>
                <w:rFonts w:ascii="Times New Roman" w:hAnsi="Times New Roman"/>
                <w:color w:val="000000"/>
                <w:kern w:val="2"/>
                <w:sz w:val="21"/>
                <w:szCs w:val="21"/>
                <w:lang w:val="en-US" w:bidi="ar"/>
              </w:rPr>
              <w:t>12.50%</w:t>
            </w:r>
          </w:p>
        </w:tc>
      </w:tr>
      <w:tr w14:paraId="506AE51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4377" w:type="dxa"/>
            <w:gridSpan w:val="3"/>
            <w:tcBorders>
              <w:top w:val="single" w:color="000000" w:sz="4" w:space="0"/>
              <w:left w:val="single" w:color="000000" w:sz="12" w:space="0"/>
              <w:bottom w:val="single" w:color="000000" w:sz="12" w:space="0"/>
              <w:right w:val="single" w:color="000000" w:sz="4" w:space="0"/>
            </w:tcBorders>
            <w:shd w:val="clear" w:color="auto" w:fill="auto"/>
            <w:noWrap/>
            <w:vAlign w:val="center"/>
          </w:tcPr>
          <w:p w14:paraId="0DB441FD">
            <w:pPr>
              <w:pStyle w:val="69"/>
              <w:spacing w:before="120" w:beforeAutospacing="0" w:after="0" w:afterAutospacing="0"/>
              <w:ind w:firstLine="0" w:firstLineChars="0"/>
              <w:jc w:val="center"/>
              <w:rPr>
                <w:rFonts w:hint="eastAsia"/>
                <w:b/>
                <w:bCs/>
                <w:sz w:val="21"/>
                <w:szCs w:val="21"/>
                <w:lang w:val="en-US"/>
              </w:rPr>
            </w:pPr>
            <w:r>
              <w:rPr>
                <w:rFonts w:hint="eastAsia" w:ascii="Times New Roman" w:hAnsi="Times New Roman" w:cs="宋体"/>
                <w:b/>
                <w:bCs/>
                <w:kern w:val="2"/>
                <w:sz w:val="21"/>
                <w:szCs w:val="21"/>
                <w:lang w:val="en-US" w:bidi="ar"/>
              </w:rPr>
              <w:t>合计</w:t>
            </w:r>
          </w:p>
        </w:tc>
        <w:tc>
          <w:tcPr>
            <w:tcW w:w="2318" w:type="dxa"/>
            <w:tcBorders>
              <w:top w:val="single" w:color="000000" w:sz="4" w:space="0"/>
              <w:left w:val="single" w:color="000000" w:sz="4" w:space="0"/>
              <w:bottom w:val="single" w:color="000000" w:sz="12" w:space="0"/>
              <w:right w:val="single" w:color="000000" w:sz="4" w:space="0"/>
            </w:tcBorders>
            <w:shd w:val="clear" w:color="auto" w:fill="auto"/>
            <w:noWrap/>
            <w:vAlign w:val="center"/>
          </w:tcPr>
          <w:p w14:paraId="6A340DBC">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800.00</w:t>
            </w:r>
          </w:p>
        </w:tc>
        <w:tc>
          <w:tcPr>
            <w:tcW w:w="1833" w:type="dxa"/>
            <w:tcBorders>
              <w:top w:val="single" w:color="000000" w:sz="4" w:space="0"/>
              <w:left w:val="single" w:color="000000" w:sz="4" w:space="0"/>
              <w:bottom w:val="single" w:color="000000" w:sz="12" w:space="0"/>
              <w:right w:val="single" w:color="000000" w:sz="12" w:space="0"/>
            </w:tcBorders>
            <w:shd w:val="clear" w:color="auto" w:fill="auto"/>
            <w:noWrap/>
            <w:vAlign w:val="center"/>
          </w:tcPr>
          <w:p w14:paraId="5C977AE9">
            <w:pPr>
              <w:pStyle w:val="69"/>
              <w:spacing w:before="120" w:beforeAutospacing="0" w:after="0" w:afterAutospacing="0"/>
              <w:ind w:firstLine="0" w:firstLineChars="0"/>
              <w:jc w:val="right"/>
              <w:rPr>
                <w:rFonts w:hint="eastAsia"/>
                <w:b/>
                <w:bCs/>
                <w:sz w:val="21"/>
                <w:szCs w:val="21"/>
                <w:lang w:val="en-US"/>
              </w:rPr>
            </w:pPr>
            <w:r>
              <w:rPr>
                <w:rFonts w:ascii="Times New Roman" w:hAnsi="Times New Roman"/>
                <w:b/>
                <w:bCs/>
                <w:kern w:val="2"/>
                <w:sz w:val="21"/>
                <w:szCs w:val="21"/>
                <w:lang w:val="en-US" w:bidi="ar"/>
              </w:rPr>
              <w:t>100.00%</w:t>
            </w:r>
          </w:p>
        </w:tc>
      </w:tr>
    </w:tbl>
    <w:p w14:paraId="25A3544B">
      <w:pPr>
        <w:pStyle w:val="860"/>
        <w:numPr>
          <w:ilvl w:val="0"/>
          <w:numId w:val="5"/>
        </w:numPr>
        <w:spacing w:before="120" w:after="120"/>
      </w:pPr>
      <w:bookmarkStart w:id="127" w:name="_Toc25362"/>
      <w:r>
        <w:rPr>
          <w:rFonts w:hint="eastAsia"/>
        </w:rPr>
        <w:t>发行股份募集配套资金的交易对方</w:t>
      </w:r>
      <w:bookmarkEnd w:id="127"/>
    </w:p>
    <w:p w14:paraId="37D1CA73">
      <w:pPr>
        <w:pStyle w:val="860"/>
        <w:spacing w:before="120" w:after="120"/>
        <w:ind w:firstLine="480" w:firstLineChars="200"/>
        <w:outlineLvl w:val="9"/>
        <w:rPr>
          <w:rFonts w:eastAsia="宋体" w:cs="宋体"/>
          <w:b w:val="0"/>
          <w:bCs w:val="0"/>
          <w:sz w:val="24"/>
          <w:szCs w:val="22"/>
          <w:lang w:bidi="ar"/>
        </w:rPr>
      </w:pPr>
      <w:r>
        <w:rPr>
          <w:rFonts w:hint="eastAsia" w:eastAsia="宋体" w:cs="宋体"/>
          <w:b w:val="0"/>
          <w:bCs w:val="0"/>
          <w:sz w:val="24"/>
          <w:szCs w:val="22"/>
          <w:lang w:bidi="ar"/>
        </w:rPr>
        <w:t>本次交易募集配套资金的发行对象为上市公司实际控制人之一马学沛。马学沛以现金认购本次发行的股份。</w:t>
      </w:r>
    </w:p>
    <w:tbl>
      <w:tblPr>
        <w:tblStyle w:val="76"/>
        <w:tblW w:w="499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1770"/>
        <w:gridCol w:w="1772"/>
        <w:gridCol w:w="1772"/>
        <w:gridCol w:w="2117"/>
      </w:tblGrid>
      <w:tr w14:paraId="30B145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tcBorders>
              <w:tl2br w:val="nil"/>
              <w:tr2bl w:val="nil"/>
            </w:tcBorders>
            <w:tcMar>
              <w:top w:w="0" w:type="dxa"/>
              <w:left w:w="108" w:type="dxa"/>
              <w:bottom w:w="0" w:type="dxa"/>
              <w:right w:w="108" w:type="dxa"/>
            </w:tcMar>
            <w:vAlign w:val="center"/>
          </w:tcPr>
          <w:p w14:paraId="316AC7A7">
            <w:pPr>
              <w:spacing w:before="120" w:after="120" w:afterLines="50" w:line="240" w:lineRule="auto"/>
              <w:ind w:firstLine="0" w:firstLineChars="0"/>
              <w:jc w:val="center"/>
              <w:rPr>
                <w:rFonts w:cs="Times New Roman"/>
                <w:b/>
                <w:sz w:val="21"/>
                <w:szCs w:val="21"/>
              </w:rPr>
            </w:pPr>
            <w:r>
              <w:rPr>
                <w:rFonts w:hint="eastAsia" w:cs="Times New Roman"/>
                <w:b/>
                <w:sz w:val="21"/>
                <w:szCs w:val="21"/>
              </w:rPr>
              <w:t>序号</w:t>
            </w:r>
          </w:p>
        </w:tc>
        <w:tc>
          <w:tcPr>
            <w:tcW w:w="1039" w:type="pct"/>
            <w:tcBorders>
              <w:tl2br w:val="nil"/>
              <w:tr2bl w:val="nil"/>
            </w:tcBorders>
            <w:vAlign w:val="center"/>
          </w:tcPr>
          <w:p w14:paraId="40422845">
            <w:pPr>
              <w:spacing w:before="120" w:after="120" w:afterLines="50" w:line="240" w:lineRule="auto"/>
              <w:ind w:firstLine="0" w:firstLineChars="0"/>
              <w:jc w:val="center"/>
              <w:rPr>
                <w:rFonts w:cs="Times New Roman"/>
                <w:b/>
                <w:sz w:val="21"/>
                <w:szCs w:val="21"/>
              </w:rPr>
            </w:pPr>
            <w:r>
              <w:rPr>
                <w:rFonts w:hint="eastAsia" w:cs="Times New Roman"/>
                <w:b/>
                <w:sz w:val="21"/>
                <w:szCs w:val="21"/>
              </w:rPr>
              <w:t>姓名</w:t>
            </w:r>
          </w:p>
        </w:tc>
        <w:tc>
          <w:tcPr>
            <w:tcW w:w="1040" w:type="pct"/>
            <w:tcBorders>
              <w:tl2br w:val="nil"/>
              <w:tr2bl w:val="nil"/>
            </w:tcBorders>
            <w:vAlign w:val="center"/>
          </w:tcPr>
          <w:p w14:paraId="4C971313">
            <w:pPr>
              <w:spacing w:before="120" w:after="120" w:afterLines="50" w:line="240" w:lineRule="auto"/>
              <w:ind w:firstLine="0" w:firstLineChars="0"/>
              <w:jc w:val="center"/>
              <w:rPr>
                <w:rFonts w:cs="Times New Roman"/>
                <w:b/>
                <w:sz w:val="21"/>
                <w:szCs w:val="21"/>
              </w:rPr>
            </w:pPr>
            <w:r>
              <w:rPr>
                <w:rFonts w:hint="eastAsia" w:cs="Times New Roman"/>
                <w:b/>
                <w:sz w:val="21"/>
                <w:szCs w:val="21"/>
              </w:rPr>
              <w:t>性别</w:t>
            </w:r>
          </w:p>
        </w:tc>
        <w:tc>
          <w:tcPr>
            <w:tcW w:w="1040" w:type="pct"/>
            <w:tcBorders>
              <w:tl2br w:val="nil"/>
              <w:tr2bl w:val="nil"/>
            </w:tcBorders>
            <w:vAlign w:val="center"/>
          </w:tcPr>
          <w:p w14:paraId="783A4F4F">
            <w:pPr>
              <w:spacing w:before="120" w:after="120" w:afterLines="50" w:line="240" w:lineRule="auto"/>
              <w:ind w:firstLine="0" w:firstLineChars="0"/>
              <w:jc w:val="center"/>
              <w:rPr>
                <w:rFonts w:cs="Times New Roman"/>
                <w:b/>
                <w:sz w:val="21"/>
                <w:szCs w:val="21"/>
              </w:rPr>
            </w:pPr>
            <w:r>
              <w:rPr>
                <w:rFonts w:hint="eastAsia" w:cs="Times New Roman"/>
                <w:b/>
                <w:sz w:val="21"/>
                <w:szCs w:val="21"/>
              </w:rPr>
              <w:t>国籍</w:t>
            </w:r>
          </w:p>
        </w:tc>
        <w:tc>
          <w:tcPr>
            <w:tcW w:w="1243" w:type="pct"/>
            <w:tcBorders>
              <w:tl2br w:val="nil"/>
              <w:tr2bl w:val="nil"/>
            </w:tcBorders>
            <w:tcMar>
              <w:top w:w="0" w:type="dxa"/>
              <w:left w:w="108" w:type="dxa"/>
              <w:bottom w:w="0" w:type="dxa"/>
              <w:right w:w="108" w:type="dxa"/>
            </w:tcMar>
            <w:vAlign w:val="center"/>
          </w:tcPr>
          <w:p w14:paraId="7192D996">
            <w:pPr>
              <w:spacing w:before="120" w:after="120" w:afterLines="50" w:line="240" w:lineRule="auto"/>
              <w:ind w:firstLine="0" w:firstLineChars="0"/>
              <w:jc w:val="center"/>
              <w:rPr>
                <w:rFonts w:cs="Times New Roman"/>
                <w:b/>
                <w:sz w:val="21"/>
                <w:szCs w:val="21"/>
              </w:rPr>
            </w:pPr>
            <w:r>
              <w:rPr>
                <w:rFonts w:hint="eastAsia" w:cs="Times New Roman"/>
                <w:b/>
                <w:sz w:val="21"/>
                <w:szCs w:val="21"/>
              </w:rPr>
              <w:t>是否取得其他国家或者地区的居留权</w:t>
            </w:r>
          </w:p>
        </w:tc>
      </w:tr>
      <w:tr w14:paraId="60C854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7" w:type="pct"/>
            <w:tcBorders>
              <w:tl2br w:val="nil"/>
              <w:tr2bl w:val="nil"/>
            </w:tcBorders>
            <w:tcMar>
              <w:top w:w="0" w:type="dxa"/>
              <w:left w:w="108" w:type="dxa"/>
              <w:bottom w:w="0" w:type="dxa"/>
              <w:right w:w="108" w:type="dxa"/>
            </w:tcMar>
            <w:vAlign w:val="center"/>
          </w:tcPr>
          <w:p w14:paraId="79147D93">
            <w:pPr>
              <w:spacing w:before="120" w:after="120" w:afterLines="50" w:line="240" w:lineRule="auto"/>
              <w:ind w:firstLine="0" w:firstLineChars="0"/>
              <w:jc w:val="center"/>
              <w:rPr>
                <w:rFonts w:cs="Times New Roman"/>
                <w:bCs/>
                <w:sz w:val="21"/>
                <w:szCs w:val="21"/>
              </w:rPr>
            </w:pPr>
            <w:r>
              <w:rPr>
                <w:rFonts w:cs="Times New Roman"/>
                <w:bCs/>
                <w:sz w:val="21"/>
                <w:szCs w:val="21"/>
                <w:lang w:bidi="ar"/>
              </w:rPr>
              <w:t>1</w:t>
            </w:r>
          </w:p>
        </w:tc>
        <w:tc>
          <w:tcPr>
            <w:tcW w:w="1039" w:type="pct"/>
            <w:tcBorders>
              <w:tl2br w:val="nil"/>
              <w:tr2bl w:val="nil"/>
            </w:tcBorders>
            <w:vAlign w:val="center"/>
          </w:tcPr>
          <w:p w14:paraId="11F45CEC">
            <w:pPr>
              <w:spacing w:before="120" w:after="120" w:afterLines="50" w:line="240" w:lineRule="auto"/>
              <w:ind w:firstLine="0" w:firstLineChars="0"/>
              <w:jc w:val="center"/>
              <w:rPr>
                <w:rFonts w:cs="Times New Roman"/>
                <w:sz w:val="21"/>
                <w:szCs w:val="21"/>
              </w:rPr>
            </w:pPr>
            <w:r>
              <w:rPr>
                <w:rFonts w:hint="eastAsia" w:cs="Times New Roman"/>
                <w:sz w:val="21"/>
                <w:szCs w:val="21"/>
                <w:lang w:bidi="ar"/>
              </w:rPr>
              <w:t>马学沛</w:t>
            </w:r>
          </w:p>
        </w:tc>
        <w:tc>
          <w:tcPr>
            <w:tcW w:w="1040" w:type="pct"/>
            <w:tcBorders>
              <w:tl2br w:val="nil"/>
              <w:tr2bl w:val="nil"/>
            </w:tcBorders>
            <w:vAlign w:val="center"/>
          </w:tcPr>
          <w:p w14:paraId="7B7101CC">
            <w:pPr>
              <w:spacing w:before="120" w:after="120" w:afterLines="50" w:line="240" w:lineRule="auto"/>
              <w:ind w:firstLine="0" w:firstLineChars="0"/>
              <w:jc w:val="center"/>
              <w:rPr>
                <w:rFonts w:cs="Times New Roman"/>
                <w:sz w:val="21"/>
                <w:szCs w:val="21"/>
              </w:rPr>
            </w:pPr>
            <w:r>
              <w:rPr>
                <w:rFonts w:hint="eastAsia" w:cs="Times New Roman"/>
                <w:sz w:val="21"/>
                <w:szCs w:val="21"/>
                <w:lang w:bidi="ar"/>
              </w:rPr>
              <w:t>男</w:t>
            </w:r>
          </w:p>
        </w:tc>
        <w:tc>
          <w:tcPr>
            <w:tcW w:w="1040" w:type="pct"/>
            <w:tcBorders>
              <w:tl2br w:val="nil"/>
              <w:tr2bl w:val="nil"/>
            </w:tcBorders>
            <w:vAlign w:val="center"/>
          </w:tcPr>
          <w:p w14:paraId="769DE380">
            <w:pPr>
              <w:spacing w:before="120" w:after="120" w:afterLines="50" w:line="240" w:lineRule="auto"/>
              <w:ind w:firstLine="0" w:firstLineChars="0"/>
              <w:jc w:val="center"/>
              <w:rPr>
                <w:rFonts w:cs="Times New Roman"/>
                <w:sz w:val="21"/>
                <w:szCs w:val="21"/>
              </w:rPr>
            </w:pPr>
            <w:r>
              <w:rPr>
                <w:rFonts w:hint="eastAsia" w:cs="Times New Roman"/>
                <w:sz w:val="21"/>
                <w:szCs w:val="21"/>
                <w:lang w:bidi="ar"/>
              </w:rPr>
              <w:t>中国</w:t>
            </w:r>
          </w:p>
        </w:tc>
        <w:tc>
          <w:tcPr>
            <w:tcW w:w="1243" w:type="pct"/>
            <w:tcBorders>
              <w:tl2br w:val="nil"/>
              <w:tr2bl w:val="nil"/>
            </w:tcBorders>
            <w:tcMar>
              <w:top w:w="0" w:type="dxa"/>
              <w:left w:w="108" w:type="dxa"/>
              <w:bottom w:w="0" w:type="dxa"/>
              <w:right w:w="108" w:type="dxa"/>
            </w:tcMar>
            <w:vAlign w:val="center"/>
          </w:tcPr>
          <w:p w14:paraId="0E60512B">
            <w:pPr>
              <w:spacing w:before="120" w:after="120" w:afterLines="50" w:line="240" w:lineRule="auto"/>
              <w:ind w:firstLine="0" w:firstLineChars="0"/>
              <w:jc w:val="center"/>
              <w:rPr>
                <w:rFonts w:cs="Times New Roman"/>
                <w:sz w:val="21"/>
                <w:szCs w:val="21"/>
              </w:rPr>
            </w:pPr>
            <w:r>
              <w:rPr>
                <w:rFonts w:hint="eastAsia" w:cs="Times New Roman"/>
                <w:sz w:val="21"/>
                <w:szCs w:val="21"/>
                <w:lang w:bidi="ar"/>
              </w:rPr>
              <w:t>否</w:t>
            </w:r>
          </w:p>
        </w:tc>
      </w:tr>
    </w:tbl>
    <w:p w14:paraId="75CC81EE">
      <w:pPr>
        <w:pStyle w:val="817"/>
        <w:spacing w:before="120" w:after="120"/>
      </w:pPr>
      <w:bookmarkStart w:id="128" w:name="_Toc7585"/>
      <w:r>
        <w:rPr>
          <w:rFonts w:hint="eastAsia"/>
        </w:rPr>
        <w:t>第四节</w:t>
      </w:r>
      <w:r>
        <w:rPr>
          <w:rFonts w:hint="eastAsia"/>
          <w:lang w:val="en-US"/>
        </w:rPr>
        <w:t xml:space="preserve"> </w:t>
      </w:r>
      <w:r>
        <w:rPr>
          <w:rFonts w:hint="eastAsia"/>
        </w:rPr>
        <w:t>标的公司基本情况</w:t>
      </w:r>
      <w:bookmarkEnd w:id="124"/>
      <w:bookmarkEnd w:id="125"/>
      <w:bookmarkEnd w:id="128"/>
    </w:p>
    <w:p w14:paraId="0B5E0E6C">
      <w:pPr>
        <w:pStyle w:val="860"/>
        <w:numPr>
          <w:ilvl w:val="0"/>
          <w:numId w:val="6"/>
        </w:numPr>
        <w:spacing w:before="120" w:after="120"/>
      </w:pPr>
      <w:bookmarkStart w:id="129" w:name="_Toc184373663"/>
      <w:bookmarkStart w:id="130" w:name="_Toc32131"/>
      <w:bookmarkStart w:id="131" w:name="_Toc396649040"/>
      <w:bookmarkStart w:id="132" w:name="_Toc395726299"/>
      <w:bookmarkStart w:id="133" w:name="_Toc481026496"/>
      <w:bookmarkStart w:id="134" w:name="_Toc396649052"/>
      <w:bookmarkStart w:id="135" w:name="_Toc444071382"/>
      <w:bookmarkStart w:id="136" w:name="_Toc446527867"/>
      <w:bookmarkStart w:id="137" w:name="_Toc444071378"/>
      <w:bookmarkStart w:id="138" w:name="_Toc444071381"/>
      <w:bookmarkStart w:id="139" w:name="_Toc446527864"/>
      <w:bookmarkStart w:id="140" w:name="_Toc86099292"/>
      <w:r>
        <w:rPr>
          <w:rFonts w:hint="eastAsia"/>
        </w:rPr>
        <w:t>基本情况</w:t>
      </w:r>
      <w:bookmarkEnd w:id="129"/>
      <w:bookmarkEnd w:id="130"/>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75"/>
        <w:gridCol w:w="6353"/>
      </w:tblGrid>
      <w:tr w14:paraId="6CBFC0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5" w:type="pct"/>
            <w:tcMar>
              <w:top w:w="0" w:type="dxa"/>
              <w:left w:w="108" w:type="dxa"/>
              <w:bottom w:w="0" w:type="dxa"/>
              <w:right w:w="108" w:type="dxa"/>
            </w:tcMar>
            <w:vAlign w:val="center"/>
          </w:tcPr>
          <w:p w14:paraId="4D1505E0">
            <w:pPr>
              <w:spacing w:before="0" w:beforeLines="0" w:line="240" w:lineRule="auto"/>
              <w:ind w:firstLine="0" w:firstLineChars="0"/>
              <w:jc w:val="both"/>
              <w:rPr>
                <w:rFonts w:cs="Times New Roman"/>
                <w:b/>
                <w:sz w:val="21"/>
                <w:szCs w:val="21"/>
              </w:rPr>
            </w:pPr>
            <w:r>
              <w:rPr>
                <w:rFonts w:cs="Times New Roman"/>
                <w:b/>
                <w:sz w:val="21"/>
                <w:szCs w:val="21"/>
              </w:rPr>
              <w:t>企业名称</w:t>
            </w:r>
          </w:p>
        </w:tc>
        <w:tc>
          <w:tcPr>
            <w:tcW w:w="3725" w:type="pct"/>
            <w:tcMar>
              <w:top w:w="0" w:type="dxa"/>
              <w:left w:w="108" w:type="dxa"/>
              <w:bottom w:w="0" w:type="dxa"/>
              <w:right w:w="108" w:type="dxa"/>
            </w:tcMar>
            <w:vAlign w:val="center"/>
          </w:tcPr>
          <w:p w14:paraId="5FA973B3">
            <w:pPr>
              <w:spacing w:before="0" w:beforeLines="0" w:line="240" w:lineRule="auto"/>
              <w:ind w:firstLine="0" w:firstLineChars="0"/>
              <w:jc w:val="both"/>
              <w:rPr>
                <w:rFonts w:cs="Times New Roman"/>
                <w:sz w:val="21"/>
                <w:szCs w:val="21"/>
              </w:rPr>
            </w:pPr>
            <w:r>
              <w:rPr>
                <w:rFonts w:hint="eastAsia" w:cs="Times New Roman"/>
                <w:sz w:val="21"/>
                <w:szCs w:val="21"/>
              </w:rPr>
              <w:t>广东星云开物科技股份有限公司</w:t>
            </w:r>
          </w:p>
        </w:tc>
      </w:tr>
      <w:tr w14:paraId="5AA6D0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5" w:type="pct"/>
            <w:tcMar>
              <w:top w:w="0" w:type="dxa"/>
              <w:left w:w="108" w:type="dxa"/>
              <w:bottom w:w="0" w:type="dxa"/>
              <w:right w:w="108" w:type="dxa"/>
            </w:tcMar>
            <w:vAlign w:val="center"/>
          </w:tcPr>
          <w:p w14:paraId="3030B56A">
            <w:pPr>
              <w:spacing w:before="0" w:beforeLines="0" w:line="240" w:lineRule="auto"/>
              <w:ind w:firstLine="0" w:firstLineChars="0"/>
              <w:jc w:val="both"/>
              <w:rPr>
                <w:rFonts w:cs="Times New Roman"/>
                <w:b/>
                <w:sz w:val="21"/>
                <w:szCs w:val="21"/>
              </w:rPr>
            </w:pPr>
            <w:r>
              <w:rPr>
                <w:rFonts w:cs="Times New Roman"/>
                <w:b/>
                <w:sz w:val="21"/>
                <w:szCs w:val="21"/>
              </w:rPr>
              <w:t>企业性质</w:t>
            </w:r>
          </w:p>
        </w:tc>
        <w:tc>
          <w:tcPr>
            <w:tcW w:w="3725" w:type="pct"/>
            <w:tcMar>
              <w:top w:w="0" w:type="dxa"/>
              <w:left w:w="108" w:type="dxa"/>
              <w:bottom w:w="0" w:type="dxa"/>
              <w:right w:w="108" w:type="dxa"/>
            </w:tcMar>
            <w:vAlign w:val="center"/>
          </w:tcPr>
          <w:p w14:paraId="32E9A550">
            <w:pPr>
              <w:spacing w:before="0" w:beforeLines="0" w:line="240" w:lineRule="auto"/>
              <w:ind w:firstLine="0" w:firstLineChars="0"/>
              <w:jc w:val="both"/>
              <w:rPr>
                <w:rFonts w:cs="Times New Roman"/>
                <w:sz w:val="21"/>
                <w:szCs w:val="21"/>
              </w:rPr>
            </w:pPr>
            <w:r>
              <w:rPr>
                <w:rFonts w:hint="eastAsia" w:cs="Times New Roman"/>
                <w:sz w:val="21"/>
                <w:szCs w:val="21"/>
              </w:rPr>
              <w:t>其他股份有限公司（非上市）</w:t>
            </w:r>
          </w:p>
        </w:tc>
      </w:tr>
      <w:tr w14:paraId="71B2DA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5" w:type="pct"/>
            <w:tcMar>
              <w:top w:w="0" w:type="dxa"/>
              <w:left w:w="108" w:type="dxa"/>
              <w:bottom w:w="0" w:type="dxa"/>
              <w:right w:w="108" w:type="dxa"/>
            </w:tcMar>
            <w:vAlign w:val="center"/>
          </w:tcPr>
          <w:p w14:paraId="40BA5629">
            <w:pPr>
              <w:spacing w:before="0" w:beforeLines="0" w:line="240" w:lineRule="auto"/>
              <w:ind w:firstLine="0" w:firstLineChars="0"/>
              <w:jc w:val="both"/>
              <w:rPr>
                <w:rFonts w:cs="Times New Roman"/>
                <w:b/>
                <w:sz w:val="21"/>
                <w:szCs w:val="21"/>
              </w:rPr>
            </w:pPr>
            <w:r>
              <w:rPr>
                <w:rFonts w:cs="Times New Roman"/>
                <w:b/>
                <w:sz w:val="21"/>
                <w:szCs w:val="21"/>
              </w:rPr>
              <w:t>注册地址</w:t>
            </w:r>
          </w:p>
        </w:tc>
        <w:tc>
          <w:tcPr>
            <w:tcW w:w="3725" w:type="pct"/>
            <w:tcMar>
              <w:top w:w="0" w:type="dxa"/>
              <w:left w:w="108" w:type="dxa"/>
              <w:bottom w:w="0" w:type="dxa"/>
              <w:right w:w="108" w:type="dxa"/>
            </w:tcMar>
            <w:vAlign w:val="center"/>
          </w:tcPr>
          <w:p w14:paraId="10718E1E">
            <w:pPr>
              <w:spacing w:before="0" w:beforeLines="0" w:line="240" w:lineRule="auto"/>
              <w:ind w:firstLine="0" w:firstLineChars="0"/>
              <w:jc w:val="both"/>
              <w:rPr>
                <w:rFonts w:cs="Times New Roman"/>
                <w:sz w:val="21"/>
                <w:szCs w:val="21"/>
              </w:rPr>
            </w:pPr>
            <w:r>
              <w:rPr>
                <w:rFonts w:hint="eastAsia" w:cs="Times New Roman"/>
                <w:sz w:val="21"/>
                <w:szCs w:val="21"/>
              </w:rPr>
              <w:t>广州市番禺区小谷围街青蓝街28号5栋301室</w:t>
            </w:r>
          </w:p>
        </w:tc>
      </w:tr>
      <w:tr w14:paraId="16B67F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5" w:type="pct"/>
            <w:tcMar>
              <w:top w:w="0" w:type="dxa"/>
              <w:left w:w="108" w:type="dxa"/>
              <w:bottom w:w="0" w:type="dxa"/>
              <w:right w:w="108" w:type="dxa"/>
            </w:tcMar>
            <w:vAlign w:val="center"/>
          </w:tcPr>
          <w:p w14:paraId="268E0847">
            <w:pPr>
              <w:spacing w:before="0" w:beforeLines="0" w:line="240" w:lineRule="auto"/>
              <w:ind w:firstLine="0" w:firstLineChars="0"/>
              <w:jc w:val="both"/>
              <w:rPr>
                <w:rFonts w:cs="Times New Roman"/>
                <w:b/>
                <w:sz w:val="21"/>
                <w:szCs w:val="21"/>
              </w:rPr>
            </w:pPr>
            <w:r>
              <w:rPr>
                <w:rFonts w:cs="Times New Roman"/>
                <w:b/>
                <w:sz w:val="21"/>
                <w:szCs w:val="21"/>
              </w:rPr>
              <w:t>主要办公地址</w:t>
            </w:r>
          </w:p>
        </w:tc>
        <w:tc>
          <w:tcPr>
            <w:tcW w:w="3725" w:type="pct"/>
            <w:tcMar>
              <w:top w:w="0" w:type="dxa"/>
              <w:left w:w="108" w:type="dxa"/>
              <w:bottom w:w="0" w:type="dxa"/>
              <w:right w:w="108" w:type="dxa"/>
            </w:tcMar>
            <w:vAlign w:val="center"/>
          </w:tcPr>
          <w:p w14:paraId="7C622615">
            <w:pPr>
              <w:spacing w:before="0" w:beforeLines="0" w:line="240" w:lineRule="auto"/>
              <w:ind w:firstLine="0" w:firstLineChars="0"/>
              <w:jc w:val="both"/>
              <w:rPr>
                <w:rFonts w:cs="Times New Roman"/>
                <w:sz w:val="21"/>
                <w:szCs w:val="21"/>
              </w:rPr>
            </w:pPr>
            <w:r>
              <w:rPr>
                <w:rFonts w:hint="eastAsia" w:cs="Times New Roman"/>
                <w:sz w:val="21"/>
                <w:szCs w:val="21"/>
              </w:rPr>
              <w:t>广州市番禺区小谷围街青蓝街28号5栋301室</w:t>
            </w:r>
          </w:p>
        </w:tc>
      </w:tr>
      <w:tr w14:paraId="517415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5" w:type="pct"/>
            <w:tcMar>
              <w:top w:w="0" w:type="dxa"/>
              <w:left w:w="108" w:type="dxa"/>
              <w:bottom w:w="0" w:type="dxa"/>
              <w:right w:w="108" w:type="dxa"/>
            </w:tcMar>
            <w:vAlign w:val="center"/>
          </w:tcPr>
          <w:p w14:paraId="6E003222">
            <w:pPr>
              <w:spacing w:before="0" w:beforeLines="0" w:line="240" w:lineRule="auto"/>
              <w:ind w:firstLine="0" w:firstLineChars="0"/>
              <w:jc w:val="both"/>
              <w:rPr>
                <w:rFonts w:cs="Times New Roman"/>
                <w:b/>
                <w:sz w:val="21"/>
                <w:szCs w:val="21"/>
              </w:rPr>
            </w:pPr>
            <w:r>
              <w:rPr>
                <w:rFonts w:cs="Times New Roman"/>
                <w:b/>
                <w:sz w:val="21"/>
                <w:szCs w:val="21"/>
              </w:rPr>
              <w:t>法定代表人</w:t>
            </w:r>
          </w:p>
        </w:tc>
        <w:tc>
          <w:tcPr>
            <w:tcW w:w="3725" w:type="pct"/>
            <w:tcMar>
              <w:top w:w="0" w:type="dxa"/>
              <w:left w:w="108" w:type="dxa"/>
              <w:bottom w:w="0" w:type="dxa"/>
              <w:right w:w="108" w:type="dxa"/>
            </w:tcMar>
            <w:vAlign w:val="center"/>
          </w:tcPr>
          <w:p w14:paraId="3F410588">
            <w:pPr>
              <w:spacing w:before="0" w:beforeLines="0" w:line="240" w:lineRule="auto"/>
              <w:ind w:firstLine="0" w:firstLineChars="0"/>
              <w:jc w:val="both"/>
              <w:rPr>
                <w:rFonts w:cs="Times New Roman"/>
                <w:sz w:val="21"/>
                <w:szCs w:val="21"/>
              </w:rPr>
            </w:pPr>
            <w:r>
              <w:rPr>
                <w:rFonts w:hint="eastAsia" w:cs="Times New Roman"/>
                <w:sz w:val="21"/>
                <w:szCs w:val="21"/>
              </w:rPr>
              <w:t>陈耿豪</w:t>
            </w:r>
          </w:p>
        </w:tc>
      </w:tr>
      <w:tr w14:paraId="571571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5" w:type="pct"/>
            <w:tcMar>
              <w:top w:w="0" w:type="dxa"/>
              <w:left w:w="108" w:type="dxa"/>
              <w:bottom w:w="0" w:type="dxa"/>
              <w:right w:w="108" w:type="dxa"/>
            </w:tcMar>
            <w:vAlign w:val="center"/>
          </w:tcPr>
          <w:p w14:paraId="0B008CD3">
            <w:pPr>
              <w:spacing w:before="0" w:beforeLines="0" w:line="240" w:lineRule="auto"/>
              <w:ind w:firstLine="0" w:firstLineChars="0"/>
              <w:jc w:val="both"/>
              <w:rPr>
                <w:rFonts w:cs="Times New Roman"/>
                <w:b/>
                <w:sz w:val="21"/>
                <w:szCs w:val="21"/>
              </w:rPr>
            </w:pPr>
            <w:r>
              <w:rPr>
                <w:rFonts w:cs="Times New Roman"/>
                <w:b/>
                <w:sz w:val="21"/>
                <w:szCs w:val="21"/>
              </w:rPr>
              <w:t>注册资本</w:t>
            </w:r>
          </w:p>
        </w:tc>
        <w:tc>
          <w:tcPr>
            <w:tcW w:w="3725" w:type="pct"/>
            <w:tcMar>
              <w:top w:w="0" w:type="dxa"/>
              <w:left w:w="108" w:type="dxa"/>
              <w:bottom w:w="0" w:type="dxa"/>
              <w:right w:w="108" w:type="dxa"/>
            </w:tcMar>
            <w:vAlign w:val="center"/>
          </w:tcPr>
          <w:p w14:paraId="1B36A1F3">
            <w:pPr>
              <w:spacing w:before="0" w:beforeLines="0" w:line="240" w:lineRule="auto"/>
              <w:ind w:firstLine="0" w:firstLineChars="0"/>
              <w:jc w:val="both"/>
              <w:rPr>
                <w:rFonts w:cs="Times New Roman"/>
                <w:sz w:val="21"/>
                <w:szCs w:val="21"/>
              </w:rPr>
            </w:pPr>
            <w:r>
              <w:rPr>
                <w:rFonts w:cs="Times New Roman"/>
                <w:sz w:val="21"/>
                <w:szCs w:val="21"/>
              </w:rPr>
              <w:t>1110.9129</w:t>
            </w:r>
            <w:r>
              <w:rPr>
                <w:rFonts w:hint="eastAsia" w:cs="Times New Roman"/>
                <w:sz w:val="21"/>
                <w:szCs w:val="21"/>
              </w:rPr>
              <w:t>万元</w:t>
            </w:r>
          </w:p>
        </w:tc>
      </w:tr>
      <w:tr w14:paraId="217C60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5" w:type="pct"/>
            <w:tcMar>
              <w:top w:w="0" w:type="dxa"/>
              <w:left w:w="108" w:type="dxa"/>
              <w:bottom w:w="0" w:type="dxa"/>
              <w:right w:w="108" w:type="dxa"/>
            </w:tcMar>
            <w:vAlign w:val="center"/>
          </w:tcPr>
          <w:p w14:paraId="6809213C">
            <w:pPr>
              <w:spacing w:before="0" w:beforeLines="0" w:line="240" w:lineRule="auto"/>
              <w:ind w:firstLine="0" w:firstLineChars="0"/>
              <w:jc w:val="both"/>
              <w:rPr>
                <w:rFonts w:cs="Times New Roman"/>
                <w:b/>
                <w:sz w:val="21"/>
                <w:szCs w:val="21"/>
              </w:rPr>
            </w:pPr>
            <w:r>
              <w:rPr>
                <w:rFonts w:cs="Times New Roman"/>
                <w:b/>
                <w:sz w:val="21"/>
                <w:szCs w:val="21"/>
              </w:rPr>
              <w:t>成立日</w:t>
            </w:r>
            <w:r>
              <w:rPr>
                <w:rFonts w:hint="eastAsia" w:cs="Times New Roman"/>
                <w:b/>
                <w:sz w:val="21"/>
                <w:szCs w:val="21"/>
              </w:rPr>
              <w:t>期</w:t>
            </w:r>
          </w:p>
        </w:tc>
        <w:tc>
          <w:tcPr>
            <w:tcW w:w="3725" w:type="pct"/>
            <w:tcMar>
              <w:top w:w="0" w:type="dxa"/>
              <w:left w:w="108" w:type="dxa"/>
              <w:bottom w:w="0" w:type="dxa"/>
              <w:right w:w="108" w:type="dxa"/>
            </w:tcMar>
            <w:vAlign w:val="center"/>
          </w:tcPr>
          <w:p w14:paraId="7A89EEE8">
            <w:pPr>
              <w:spacing w:before="0" w:beforeLines="0" w:line="240" w:lineRule="auto"/>
              <w:ind w:firstLine="0" w:firstLineChars="0"/>
              <w:jc w:val="both"/>
              <w:rPr>
                <w:rFonts w:cs="Times New Roman"/>
                <w:sz w:val="21"/>
                <w:szCs w:val="21"/>
              </w:rPr>
            </w:pPr>
            <w:r>
              <w:rPr>
                <w:rFonts w:cs="Times New Roman"/>
                <w:sz w:val="21"/>
                <w:szCs w:val="21"/>
              </w:rPr>
              <w:t>201</w:t>
            </w:r>
            <w:r>
              <w:rPr>
                <w:rFonts w:hint="eastAsia" w:cs="Times New Roman"/>
                <w:sz w:val="21"/>
                <w:szCs w:val="21"/>
              </w:rPr>
              <w:t>5年10月26日</w:t>
            </w:r>
          </w:p>
        </w:tc>
      </w:tr>
      <w:tr w14:paraId="7FF37C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5" w:type="pct"/>
            <w:tcMar>
              <w:top w:w="0" w:type="dxa"/>
              <w:left w:w="108" w:type="dxa"/>
              <w:bottom w:w="0" w:type="dxa"/>
              <w:right w:w="108" w:type="dxa"/>
            </w:tcMar>
            <w:vAlign w:val="center"/>
          </w:tcPr>
          <w:p w14:paraId="19E566B0">
            <w:pPr>
              <w:spacing w:before="0" w:beforeLines="0" w:line="240" w:lineRule="auto"/>
              <w:ind w:firstLine="0" w:firstLineChars="0"/>
              <w:jc w:val="both"/>
              <w:rPr>
                <w:rFonts w:cs="Times New Roman"/>
                <w:b/>
                <w:sz w:val="21"/>
                <w:szCs w:val="21"/>
              </w:rPr>
            </w:pPr>
            <w:r>
              <w:rPr>
                <w:rFonts w:cs="Times New Roman"/>
                <w:b/>
                <w:sz w:val="21"/>
                <w:szCs w:val="21"/>
              </w:rPr>
              <w:t>统一社会信用代码</w:t>
            </w:r>
          </w:p>
        </w:tc>
        <w:tc>
          <w:tcPr>
            <w:tcW w:w="3725" w:type="pct"/>
            <w:tcMar>
              <w:top w:w="0" w:type="dxa"/>
              <w:left w:w="108" w:type="dxa"/>
              <w:bottom w:w="0" w:type="dxa"/>
              <w:right w:w="108" w:type="dxa"/>
            </w:tcMar>
            <w:vAlign w:val="center"/>
          </w:tcPr>
          <w:p w14:paraId="767C9E95">
            <w:pPr>
              <w:spacing w:before="0" w:beforeLines="0" w:line="240" w:lineRule="auto"/>
              <w:ind w:firstLine="0" w:firstLineChars="0"/>
              <w:jc w:val="both"/>
              <w:rPr>
                <w:rFonts w:cs="Times New Roman"/>
                <w:sz w:val="21"/>
                <w:szCs w:val="21"/>
              </w:rPr>
            </w:pPr>
            <w:r>
              <w:rPr>
                <w:rFonts w:cs="Times New Roman"/>
                <w:sz w:val="21"/>
                <w:szCs w:val="21"/>
              </w:rPr>
              <w:t>914403003591385241</w:t>
            </w:r>
          </w:p>
        </w:tc>
      </w:tr>
      <w:tr w14:paraId="0DFD02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5" w:type="pct"/>
            <w:tcMar>
              <w:top w:w="0" w:type="dxa"/>
              <w:left w:w="108" w:type="dxa"/>
              <w:bottom w:w="0" w:type="dxa"/>
              <w:right w:w="108" w:type="dxa"/>
            </w:tcMar>
            <w:vAlign w:val="center"/>
          </w:tcPr>
          <w:p w14:paraId="705BF989">
            <w:pPr>
              <w:spacing w:before="0" w:beforeLines="0" w:line="240" w:lineRule="auto"/>
              <w:ind w:firstLine="0" w:firstLineChars="0"/>
              <w:jc w:val="both"/>
              <w:rPr>
                <w:rFonts w:cs="Times New Roman"/>
                <w:b/>
                <w:sz w:val="21"/>
                <w:szCs w:val="21"/>
              </w:rPr>
            </w:pPr>
            <w:r>
              <w:rPr>
                <w:rFonts w:cs="Times New Roman"/>
                <w:b/>
                <w:sz w:val="21"/>
                <w:szCs w:val="21"/>
              </w:rPr>
              <w:t>经营范围</w:t>
            </w:r>
          </w:p>
        </w:tc>
        <w:tc>
          <w:tcPr>
            <w:tcW w:w="3725" w:type="pct"/>
            <w:tcMar>
              <w:top w:w="0" w:type="dxa"/>
              <w:left w:w="108" w:type="dxa"/>
              <w:bottom w:w="0" w:type="dxa"/>
              <w:right w:w="108" w:type="dxa"/>
            </w:tcMar>
            <w:vAlign w:val="center"/>
          </w:tcPr>
          <w:p w14:paraId="09DEC182">
            <w:pPr>
              <w:spacing w:before="0" w:beforeLines="0" w:line="240" w:lineRule="auto"/>
              <w:ind w:firstLine="0" w:firstLineChars="0"/>
              <w:jc w:val="both"/>
              <w:rPr>
                <w:rFonts w:cs="Times New Roman"/>
                <w:sz w:val="21"/>
                <w:szCs w:val="21"/>
              </w:rPr>
            </w:pPr>
            <w:r>
              <w:rPr>
                <w:rFonts w:hint="eastAsia" w:cs="Times New Roman"/>
                <w:sz w:val="21"/>
                <w:szCs w:val="21"/>
              </w:rPr>
              <w:t>货物进出口；互联网销售（除销售需要许可的商品）；技术进出口；电子产品销售；软件销售；软件开发；信息技术咨询服务；信息安全设备销售；计算机软硬件及辅助设备批发；国内贸易代理；网络技术服务；技术服务、技术开发、技术咨询、技术交流、技术转让、技术推广；广告设计、代理；网络与信息安全软件开发；工业互联网数据服务；信息系统集成服务；数据处理服务；计算机系统服务；物联网技术服务；集成电路设计；通信设备销售；移动终端设备销售；市场营销策划；第二类增值电信业务；商业、饮食、服务专用设备制造；集中式快速充电站；电动汽车充电基础设施运营；充电桩销售；机动车充电销售。</w:t>
            </w:r>
          </w:p>
        </w:tc>
      </w:tr>
    </w:tbl>
    <w:p w14:paraId="48A315A9">
      <w:pPr>
        <w:pStyle w:val="860"/>
        <w:numPr>
          <w:ilvl w:val="0"/>
          <w:numId w:val="6"/>
        </w:numPr>
        <w:spacing w:before="120" w:after="120"/>
      </w:pPr>
      <w:bookmarkStart w:id="141" w:name="_Toc184373664"/>
      <w:bookmarkStart w:id="142" w:name="_Toc27103"/>
      <w:r>
        <w:rPr>
          <w:rFonts w:hint="eastAsia"/>
        </w:rPr>
        <w:t>股权及控制关系</w:t>
      </w:r>
      <w:bookmarkEnd w:id="141"/>
      <w:bookmarkEnd w:id="142"/>
    </w:p>
    <w:p w14:paraId="7E265E89">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（一）股权结构</w:t>
      </w:r>
    </w:p>
    <w:p w14:paraId="5B242DA5">
      <w:pPr>
        <w:spacing w:before="120" w:after="120" w:afterLines="50"/>
        <w:ind w:firstLine="480"/>
        <w:jc w:val="both"/>
        <w:rPr>
          <w:rFonts w:cs="Times New Roman"/>
          <w:kern w:val="2"/>
          <w:szCs w:val="22"/>
        </w:rPr>
      </w:pPr>
      <w:r>
        <w:rPr>
          <w:rFonts w:hint="eastAsia" w:cs="Times New Roman"/>
          <w:kern w:val="2"/>
          <w:szCs w:val="22"/>
        </w:rPr>
        <w:t>截至本预案签署日，星云开物</w:t>
      </w:r>
      <w:r>
        <w:rPr>
          <w:rFonts w:cs="Times New Roman"/>
          <w:kern w:val="2"/>
          <w:szCs w:val="22"/>
        </w:rPr>
        <w:t>各股东具体持股金额及持股比例如下：</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4"/>
        <w:gridCol w:w="5130"/>
        <w:gridCol w:w="1440"/>
        <w:gridCol w:w="1244"/>
      </w:tblGrid>
      <w:tr w14:paraId="3DB6BB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18" w:type="pct"/>
            <w:tcMar>
              <w:top w:w="0" w:type="dxa"/>
              <w:left w:w="108" w:type="dxa"/>
              <w:bottom w:w="0" w:type="dxa"/>
              <w:right w:w="108" w:type="dxa"/>
            </w:tcMar>
            <w:vAlign w:val="center"/>
          </w:tcPr>
          <w:p w14:paraId="6244A223">
            <w:pPr>
              <w:spacing w:before="120" w:after="120" w:afterLines="50" w:line="240" w:lineRule="auto"/>
              <w:ind w:firstLine="0" w:firstLineChars="0"/>
              <w:jc w:val="center"/>
              <w:rPr>
                <w:rFonts w:cs="Times New Roman"/>
                <w:b/>
                <w:sz w:val="21"/>
                <w:szCs w:val="21"/>
              </w:rPr>
            </w:pPr>
            <w:bookmarkStart w:id="143" w:name="OLE_LINK5"/>
            <w:r>
              <w:rPr>
                <w:rFonts w:cs="Times New Roman"/>
                <w:b/>
                <w:sz w:val="21"/>
                <w:szCs w:val="21"/>
              </w:rPr>
              <w:t>序号</w:t>
            </w:r>
          </w:p>
        </w:tc>
        <w:tc>
          <w:tcPr>
            <w:tcW w:w="3007" w:type="pct"/>
            <w:vAlign w:val="center"/>
          </w:tcPr>
          <w:p w14:paraId="73D3A1F7">
            <w:pPr>
              <w:spacing w:before="120" w:after="120" w:afterLines="50" w:line="240" w:lineRule="auto"/>
              <w:ind w:firstLine="0" w:firstLineChars="0"/>
              <w:jc w:val="center"/>
              <w:rPr>
                <w:rFonts w:cs="Times New Roman"/>
                <w:b/>
                <w:sz w:val="21"/>
                <w:szCs w:val="21"/>
              </w:rPr>
            </w:pPr>
            <w:r>
              <w:rPr>
                <w:rFonts w:cs="Times New Roman"/>
                <w:b/>
                <w:sz w:val="21"/>
                <w:szCs w:val="21"/>
              </w:rPr>
              <w:t>股东姓名/名称</w:t>
            </w:r>
          </w:p>
        </w:tc>
        <w:tc>
          <w:tcPr>
            <w:tcW w:w="844" w:type="pct"/>
            <w:vAlign w:val="center"/>
          </w:tcPr>
          <w:p w14:paraId="05A08F93">
            <w:pPr>
              <w:spacing w:before="120" w:after="120" w:afterLines="50" w:line="240" w:lineRule="auto"/>
              <w:ind w:firstLine="0" w:firstLineChars="0"/>
              <w:jc w:val="center"/>
              <w:rPr>
                <w:rFonts w:cs="Times New Roman"/>
                <w:b/>
                <w:sz w:val="21"/>
                <w:szCs w:val="21"/>
              </w:rPr>
            </w:pPr>
            <w:r>
              <w:rPr>
                <w:rFonts w:cs="Times New Roman"/>
                <w:b/>
                <w:sz w:val="21"/>
                <w:szCs w:val="21"/>
              </w:rPr>
              <w:t>认缴出资额（万元）</w:t>
            </w:r>
          </w:p>
        </w:tc>
        <w:tc>
          <w:tcPr>
            <w:tcW w:w="729" w:type="pct"/>
            <w:tcMar>
              <w:top w:w="0" w:type="dxa"/>
              <w:left w:w="108" w:type="dxa"/>
              <w:bottom w:w="0" w:type="dxa"/>
              <w:right w:w="108" w:type="dxa"/>
            </w:tcMar>
            <w:vAlign w:val="center"/>
          </w:tcPr>
          <w:p w14:paraId="779067AF">
            <w:pPr>
              <w:spacing w:before="120" w:after="120" w:afterLines="50" w:line="240" w:lineRule="auto"/>
              <w:ind w:firstLine="0" w:firstLineChars="0"/>
              <w:jc w:val="center"/>
              <w:rPr>
                <w:rFonts w:cs="Times New Roman"/>
                <w:b/>
                <w:sz w:val="21"/>
                <w:szCs w:val="21"/>
              </w:rPr>
            </w:pPr>
            <w:r>
              <w:rPr>
                <w:rFonts w:cs="Times New Roman"/>
                <w:b/>
                <w:sz w:val="21"/>
                <w:szCs w:val="21"/>
              </w:rPr>
              <w:t>出资比例</w:t>
            </w:r>
          </w:p>
        </w:tc>
      </w:tr>
      <w:tr w14:paraId="052FA6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1D98E07C">
            <w:pPr>
              <w:spacing w:before="120" w:after="120" w:afterLines="50" w:line="240" w:lineRule="auto"/>
              <w:ind w:firstLine="0" w:firstLineChars="0"/>
              <w:jc w:val="center"/>
              <w:rPr>
                <w:rFonts w:cs="Times New Roman"/>
                <w:bCs/>
                <w:sz w:val="21"/>
                <w:szCs w:val="21"/>
              </w:rPr>
            </w:pPr>
            <w:bookmarkStart w:id="144" w:name="_Hlk184376564"/>
            <w:r>
              <w:rPr>
                <w:rFonts w:cs="Times New Roman"/>
                <w:bCs/>
                <w:sz w:val="21"/>
                <w:szCs w:val="21"/>
              </w:rPr>
              <w:t>1</w:t>
            </w:r>
          </w:p>
        </w:tc>
        <w:tc>
          <w:tcPr>
            <w:tcW w:w="3007" w:type="pct"/>
            <w:vAlign w:val="center"/>
          </w:tcPr>
          <w:p w14:paraId="6D0F07CB">
            <w:pPr>
              <w:widowControl/>
              <w:spacing w:before="120" w:after="120" w:afterLines="50" w:line="240" w:lineRule="auto"/>
              <w:ind w:firstLine="0" w:firstLineChars="0"/>
              <w:textAlignment w:val="center"/>
              <w:rPr>
                <w:rFonts w:cs="Times New Roman"/>
                <w:sz w:val="21"/>
                <w:szCs w:val="21"/>
              </w:rPr>
            </w:pPr>
            <w:r>
              <w:rPr>
                <w:rFonts w:cs="Times New Roman"/>
                <w:color w:val="000000"/>
                <w:sz w:val="21"/>
                <w:szCs w:val="21"/>
                <w:lang w:bidi="ar"/>
              </w:rPr>
              <w:t>陈耿豪</w:t>
            </w:r>
          </w:p>
        </w:tc>
        <w:tc>
          <w:tcPr>
            <w:tcW w:w="844" w:type="pct"/>
            <w:vAlign w:val="center"/>
          </w:tcPr>
          <w:p w14:paraId="5F7F6E68">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249.20</w:t>
            </w:r>
          </w:p>
        </w:tc>
        <w:tc>
          <w:tcPr>
            <w:tcW w:w="729" w:type="pct"/>
            <w:tcMar>
              <w:top w:w="0" w:type="dxa"/>
              <w:left w:w="108" w:type="dxa"/>
              <w:bottom w:w="0" w:type="dxa"/>
              <w:right w:w="108" w:type="dxa"/>
            </w:tcMar>
            <w:vAlign w:val="center"/>
          </w:tcPr>
          <w:p w14:paraId="6D324BFE">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22.43%</w:t>
            </w:r>
          </w:p>
        </w:tc>
      </w:tr>
      <w:tr w14:paraId="3A5152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24D4DBC1">
            <w:pPr>
              <w:spacing w:before="120" w:after="120" w:afterLines="50" w:line="240" w:lineRule="auto"/>
              <w:ind w:firstLine="0" w:firstLineChars="0"/>
              <w:jc w:val="center"/>
              <w:rPr>
                <w:rFonts w:cs="Times New Roman"/>
                <w:bCs/>
                <w:sz w:val="21"/>
                <w:szCs w:val="21"/>
              </w:rPr>
            </w:pPr>
            <w:r>
              <w:rPr>
                <w:rFonts w:cs="Times New Roman"/>
                <w:bCs/>
                <w:sz w:val="21"/>
                <w:szCs w:val="21"/>
              </w:rPr>
              <w:t>2</w:t>
            </w:r>
          </w:p>
        </w:tc>
        <w:tc>
          <w:tcPr>
            <w:tcW w:w="3007" w:type="pct"/>
            <w:vAlign w:val="center"/>
          </w:tcPr>
          <w:p w14:paraId="1CFF2090">
            <w:pPr>
              <w:widowControl/>
              <w:spacing w:before="120" w:after="120" w:afterLines="50" w:line="240" w:lineRule="auto"/>
              <w:ind w:firstLine="0" w:firstLineChars="0"/>
              <w:textAlignment w:val="center"/>
              <w:rPr>
                <w:rFonts w:cs="Times New Roman"/>
                <w:sz w:val="21"/>
                <w:szCs w:val="21"/>
              </w:rPr>
            </w:pPr>
            <w:r>
              <w:rPr>
                <w:rFonts w:cs="Times New Roman"/>
                <w:color w:val="000000"/>
                <w:sz w:val="21"/>
                <w:szCs w:val="21"/>
                <w:lang w:bidi="ar"/>
              </w:rPr>
              <w:t>南通成为常青股权投资合伙企业</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7B9AB010">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211.78</w:t>
            </w:r>
          </w:p>
        </w:tc>
        <w:tc>
          <w:tcPr>
            <w:tcW w:w="729" w:type="pct"/>
            <w:tcMar>
              <w:top w:w="0" w:type="dxa"/>
              <w:left w:w="108" w:type="dxa"/>
              <w:bottom w:w="0" w:type="dxa"/>
              <w:right w:w="108" w:type="dxa"/>
            </w:tcMar>
            <w:vAlign w:val="center"/>
          </w:tcPr>
          <w:p w14:paraId="09D143D7">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19.06%</w:t>
            </w:r>
          </w:p>
        </w:tc>
      </w:tr>
      <w:tr w14:paraId="43225C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0533FA0B">
            <w:pPr>
              <w:spacing w:before="120" w:after="120" w:afterLines="50" w:line="240" w:lineRule="auto"/>
              <w:ind w:firstLine="0" w:firstLineChars="0"/>
              <w:jc w:val="center"/>
              <w:rPr>
                <w:rFonts w:cs="Times New Roman"/>
                <w:bCs/>
                <w:sz w:val="21"/>
                <w:szCs w:val="21"/>
              </w:rPr>
            </w:pPr>
            <w:r>
              <w:rPr>
                <w:rFonts w:cs="Times New Roman"/>
                <w:bCs/>
                <w:sz w:val="21"/>
                <w:szCs w:val="21"/>
              </w:rPr>
              <w:t>3</w:t>
            </w:r>
          </w:p>
        </w:tc>
        <w:tc>
          <w:tcPr>
            <w:tcW w:w="3007" w:type="pct"/>
            <w:vAlign w:val="center"/>
          </w:tcPr>
          <w:p w14:paraId="2F5F62EF">
            <w:pPr>
              <w:widowControl/>
              <w:spacing w:before="120" w:after="120" w:afterLines="50" w:line="240" w:lineRule="auto"/>
              <w:ind w:firstLine="0" w:firstLineChars="0"/>
              <w:textAlignment w:val="center"/>
              <w:rPr>
                <w:rFonts w:cs="Times New Roman"/>
                <w:sz w:val="21"/>
                <w:szCs w:val="21"/>
              </w:rPr>
            </w:pPr>
            <w:r>
              <w:rPr>
                <w:rFonts w:cs="Times New Roman"/>
                <w:color w:val="000000"/>
                <w:sz w:val="21"/>
                <w:szCs w:val="21"/>
                <w:lang w:bidi="ar"/>
              </w:rPr>
              <w:t>珠海广发信德科文创业投资基金</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7F0088E0">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148.05</w:t>
            </w:r>
          </w:p>
        </w:tc>
        <w:tc>
          <w:tcPr>
            <w:tcW w:w="729" w:type="pct"/>
            <w:tcMar>
              <w:top w:w="0" w:type="dxa"/>
              <w:left w:w="108" w:type="dxa"/>
              <w:bottom w:w="0" w:type="dxa"/>
              <w:right w:w="108" w:type="dxa"/>
            </w:tcMar>
            <w:vAlign w:val="center"/>
          </w:tcPr>
          <w:p w14:paraId="61758FE4">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13.33%</w:t>
            </w:r>
          </w:p>
        </w:tc>
      </w:tr>
      <w:tr w14:paraId="738CB7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35DA537F">
            <w:pPr>
              <w:spacing w:before="120" w:after="120" w:afterLines="50" w:line="240" w:lineRule="auto"/>
              <w:ind w:firstLine="0" w:firstLineChars="0"/>
              <w:jc w:val="center"/>
              <w:rPr>
                <w:rFonts w:cs="Times New Roman"/>
                <w:bCs/>
                <w:sz w:val="21"/>
                <w:szCs w:val="21"/>
              </w:rPr>
            </w:pPr>
            <w:r>
              <w:rPr>
                <w:rFonts w:cs="Times New Roman"/>
                <w:bCs/>
                <w:sz w:val="21"/>
                <w:szCs w:val="21"/>
              </w:rPr>
              <w:t>4</w:t>
            </w:r>
          </w:p>
        </w:tc>
        <w:tc>
          <w:tcPr>
            <w:tcW w:w="3007" w:type="pct"/>
            <w:vAlign w:val="center"/>
          </w:tcPr>
          <w:p w14:paraId="723A399C">
            <w:pPr>
              <w:widowControl/>
              <w:spacing w:before="120" w:after="120" w:afterLines="50" w:line="240" w:lineRule="auto"/>
              <w:ind w:firstLine="0" w:firstLineChars="0"/>
              <w:textAlignment w:val="center"/>
              <w:rPr>
                <w:rFonts w:cs="Times New Roman"/>
                <w:sz w:val="21"/>
                <w:szCs w:val="21"/>
              </w:rPr>
            </w:pPr>
            <w:r>
              <w:rPr>
                <w:rFonts w:cs="Times New Roman"/>
                <w:color w:val="000000"/>
                <w:sz w:val="21"/>
                <w:szCs w:val="21"/>
                <w:lang w:bidi="ar"/>
              </w:rPr>
              <w:t>苏州市德同合心创业投资合伙企业</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4A4A31E0">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66.33</w:t>
            </w:r>
          </w:p>
        </w:tc>
        <w:tc>
          <w:tcPr>
            <w:tcW w:w="729" w:type="pct"/>
            <w:tcMar>
              <w:top w:w="0" w:type="dxa"/>
              <w:left w:w="108" w:type="dxa"/>
              <w:bottom w:w="0" w:type="dxa"/>
              <w:right w:w="108" w:type="dxa"/>
            </w:tcMar>
            <w:vAlign w:val="center"/>
          </w:tcPr>
          <w:p w14:paraId="2ED25FA8">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5.97%</w:t>
            </w:r>
          </w:p>
        </w:tc>
      </w:tr>
      <w:tr w14:paraId="70DA1C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64BBA8E0">
            <w:pPr>
              <w:spacing w:before="120" w:after="120" w:afterLines="50" w:line="240" w:lineRule="auto"/>
              <w:ind w:firstLine="0" w:firstLineChars="0"/>
              <w:jc w:val="center"/>
              <w:rPr>
                <w:rFonts w:cs="Times New Roman"/>
                <w:bCs/>
                <w:sz w:val="21"/>
                <w:szCs w:val="21"/>
              </w:rPr>
            </w:pPr>
            <w:r>
              <w:rPr>
                <w:rFonts w:cs="Times New Roman"/>
                <w:bCs/>
                <w:sz w:val="21"/>
                <w:szCs w:val="21"/>
              </w:rPr>
              <w:t>5</w:t>
            </w:r>
          </w:p>
        </w:tc>
        <w:tc>
          <w:tcPr>
            <w:tcW w:w="3007" w:type="pct"/>
            <w:vAlign w:val="center"/>
          </w:tcPr>
          <w:p w14:paraId="26C9D991">
            <w:pPr>
              <w:widowControl/>
              <w:spacing w:before="120" w:after="120" w:afterLines="50" w:line="240" w:lineRule="auto"/>
              <w:ind w:firstLine="0" w:firstLineChars="0"/>
              <w:textAlignment w:val="center"/>
              <w:rPr>
                <w:rFonts w:cs="Times New Roman"/>
                <w:sz w:val="21"/>
                <w:szCs w:val="21"/>
              </w:rPr>
            </w:pPr>
            <w:r>
              <w:rPr>
                <w:rFonts w:cs="Times New Roman"/>
                <w:color w:val="000000"/>
                <w:sz w:val="21"/>
                <w:szCs w:val="21"/>
                <w:lang w:bidi="ar"/>
              </w:rPr>
              <w:t>珠海乐陶陶投资合伙企业</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4B588DFB">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66.32</w:t>
            </w:r>
          </w:p>
        </w:tc>
        <w:tc>
          <w:tcPr>
            <w:tcW w:w="729" w:type="pct"/>
            <w:tcMar>
              <w:top w:w="0" w:type="dxa"/>
              <w:left w:w="108" w:type="dxa"/>
              <w:bottom w:w="0" w:type="dxa"/>
              <w:right w:w="108" w:type="dxa"/>
            </w:tcMar>
            <w:vAlign w:val="center"/>
          </w:tcPr>
          <w:p w14:paraId="21855347">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5.97%</w:t>
            </w:r>
          </w:p>
        </w:tc>
      </w:tr>
      <w:tr w14:paraId="1B737B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28879AFD">
            <w:pPr>
              <w:spacing w:before="120" w:after="120" w:afterLines="50" w:line="240" w:lineRule="auto"/>
              <w:ind w:firstLine="0" w:firstLineChars="0"/>
              <w:jc w:val="center"/>
              <w:rPr>
                <w:rFonts w:cs="Times New Roman"/>
                <w:bCs/>
                <w:sz w:val="21"/>
                <w:szCs w:val="21"/>
              </w:rPr>
            </w:pPr>
            <w:r>
              <w:rPr>
                <w:rFonts w:cs="Times New Roman"/>
                <w:bCs/>
                <w:sz w:val="21"/>
                <w:szCs w:val="21"/>
              </w:rPr>
              <w:t>6</w:t>
            </w:r>
          </w:p>
        </w:tc>
        <w:tc>
          <w:tcPr>
            <w:tcW w:w="3007" w:type="pct"/>
            <w:vAlign w:val="center"/>
          </w:tcPr>
          <w:p w14:paraId="54BA5157">
            <w:pPr>
              <w:widowControl/>
              <w:spacing w:before="120" w:after="120" w:afterLines="50" w:line="240" w:lineRule="auto"/>
              <w:ind w:firstLine="0" w:firstLineChars="0"/>
              <w:textAlignment w:val="center"/>
              <w:rPr>
                <w:rFonts w:cs="Times New Roman"/>
                <w:sz w:val="21"/>
                <w:szCs w:val="21"/>
              </w:rPr>
            </w:pPr>
            <w:r>
              <w:rPr>
                <w:rFonts w:cs="Times New Roman"/>
                <w:color w:val="000000"/>
                <w:sz w:val="21"/>
                <w:szCs w:val="21"/>
                <w:lang w:bidi="ar"/>
              </w:rPr>
              <w:t>林芝利新信息技术有限公司</w:t>
            </w:r>
          </w:p>
        </w:tc>
        <w:tc>
          <w:tcPr>
            <w:tcW w:w="844" w:type="pct"/>
            <w:vAlign w:val="center"/>
          </w:tcPr>
          <w:p w14:paraId="50F745DF">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56.45</w:t>
            </w:r>
          </w:p>
        </w:tc>
        <w:tc>
          <w:tcPr>
            <w:tcW w:w="729" w:type="pct"/>
            <w:tcMar>
              <w:top w:w="0" w:type="dxa"/>
              <w:left w:w="108" w:type="dxa"/>
              <w:bottom w:w="0" w:type="dxa"/>
              <w:right w:w="108" w:type="dxa"/>
            </w:tcMar>
            <w:vAlign w:val="center"/>
          </w:tcPr>
          <w:p w14:paraId="33664D05">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5.08%</w:t>
            </w:r>
          </w:p>
        </w:tc>
      </w:tr>
      <w:tr w14:paraId="5EDB44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5C3261F9">
            <w:pPr>
              <w:spacing w:before="120" w:after="120" w:afterLines="50" w:line="240" w:lineRule="auto"/>
              <w:ind w:firstLine="0" w:firstLineChars="0"/>
              <w:jc w:val="center"/>
              <w:rPr>
                <w:rFonts w:cs="Times New Roman"/>
                <w:bCs/>
                <w:sz w:val="21"/>
                <w:szCs w:val="21"/>
              </w:rPr>
            </w:pPr>
            <w:r>
              <w:rPr>
                <w:rFonts w:cs="Times New Roman"/>
                <w:bCs/>
                <w:sz w:val="21"/>
                <w:szCs w:val="21"/>
              </w:rPr>
              <w:t>7</w:t>
            </w:r>
          </w:p>
        </w:tc>
        <w:tc>
          <w:tcPr>
            <w:tcW w:w="3007" w:type="pct"/>
            <w:vAlign w:val="center"/>
          </w:tcPr>
          <w:p w14:paraId="615F99DD">
            <w:pPr>
              <w:widowControl/>
              <w:spacing w:before="120" w:after="120" w:afterLines="50" w:line="240" w:lineRule="auto"/>
              <w:ind w:firstLine="0" w:firstLineChars="0"/>
              <w:textAlignment w:val="center"/>
              <w:rPr>
                <w:rFonts w:cs="Times New Roman"/>
                <w:sz w:val="21"/>
                <w:szCs w:val="21"/>
              </w:rPr>
            </w:pPr>
            <w:r>
              <w:rPr>
                <w:rFonts w:cs="Times New Roman"/>
                <w:color w:val="000000"/>
                <w:sz w:val="21"/>
                <w:szCs w:val="21"/>
                <w:lang w:bidi="ar"/>
              </w:rPr>
              <w:t>杨凯然</w:t>
            </w:r>
          </w:p>
        </w:tc>
        <w:tc>
          <w:tcPr>
            <w:tcW w:w="844" w:type="pct"/>
            <w:vAlign w:val="center"/>
          </w:tcPr>
          <w:p w14:paraId="78AFBCEB">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48.32</w:t>
            </w:r>
          </w:p>
        </w:tc>
        <w:tc>
          <w:tcPr>
            <w:tcW w:w="729" w:type="pct"/>
            <w:tcMar>
              <w:top w:w="0" w:type="dxa"/>
              <w:left w:w="108" w:type="dxa"/>
              <w:bottom w:w="0" w:type="dxa"/>
              <w:right w:w="108" w:type="dxa"/>
            </w:tcMar>
            <w:vAlign w:val="center"/>
          </w:tcPr>
          <w:p w14:paraId="7EA4407A">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4.35%</w:t>
            </w:r>
          </w:p>
        </w:tc>
      </w:tr>
      <w:tr w14:paraId="0FE473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488F08E0">
            <w:pPr>
              <w:spacing w:before="120" w:after="120" w:afterLines="50" w:line="240" w:lineRule="auto"/>
              <w:ind w:firstLine="0" w:firstLineChars="0"/>
              <w:jc w:val="center"/>
              <w:rPr>
                <w:rFonts w:cs="Times New Roman"/>
                <w:bCs/>
                <w:sz w:val="21"/>
                <w:szCs w:val="21"/>
              </w:rPr>
            </w:pPr>
            <w:r>
              <w:rPr>
                <w:rFonts w:cs="Times New Roman"/>
                <w:bCs/>
                <w:sz w:val="21"/>
                <w:szCs w:val="21"/>
              </w:rPr>
              <w:t>8</w:t>
            </w:r>
          </w:p>
        </w:tc>
        <w:tc>
          <w:tcPr>
            <w:tcW w:w="3007" w:type="pct"/>
            <w:vAlign w:val="center"/>
          </w:tcPr>
          <w:p w14:paraId="66D7E337">
            <w:pPr>
              <w:widowControl/>
              <w:spacing w:before="120" w:after="120" w:afterLines="50" w:line="240" w:lineRule="auto"/>
              <w:ind w:firstLine="0" w:firstLineChars="0"/>
              <w:textAlignment w:val="center"/>
              <w:rPr>
                <w:rFonts w:cs="Times New Roman"/>
                <w:sz w:val="21"/>
                <w:szCs w:val="21"/>
              </w:rPr>
            </w:pPr>
            <w:r>
              <w:rPr>
                <w:rFonts w:cs="Times New Roman"/>
                <w:color w:val="000000"/>
                <w:sz w:val="21"/>
                <w:szCs w:val="21"/>
                <w:lang w:bidi="ar"/>
              </w:rPr>
              <w:t>张杰波</w:t>
            </w:r>
          </w:p>
        </w:tc>
        <w:tc>
          <w:tcPr>
            <w:tcW w:w="844" w:type="pct"/>
            <w:vAlign w:val="center"/>
          </w:tcPr>
          <w:p w14:paraId="5EC0FCAE">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44.51</w:t>
            </w:r>
          </w:p>
        </w:tc>
        <w:tc>
          <w:tcPr>
            <w:tcW w:w="729" w:type="pct"/>
            <w:tcMar>
              <w:top w:w="0" w:type="dxa"/>
              <w:left w:w="108" w:type="dxa"/>
              <w:bottom w:w="0" w:type="dxa"/>
              <w:right w:w="108" w:type="dxa"/>
            </w:tcMar>
            <w:vAlign w:val="center"/>
          </w:tcPr>
          <w:p w14:paraId="29E196D0">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4.01%</w:t>
            </w:r>
          </w:p>
        </w:tc>
      </w:tr>
      <w:tr w14:paraId="101A3E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37B1BE04">
            <w:pPr>
              <w:spacing w:before="120" w:after="120" w:afterLines="50" w:line="240" w:lineRule="auto"/>
              <w:ind w:firstLine="0" w:firstLineChars="0"/>
              <w:jc w:val="center"/>
              <w:rPr>
                <w:rFonts w:cs="Times New Roman"/>
                <w:bCs/>
                <w:sz w:val="21"/>
                <w:szCs w:val="21"/>
              </w:rPr>
            </w:pPr>
            <w:r>
              <w:rPr>
                <w:rFonts w:cs="Times New Roman"/>
                <w:bCs/>
                <w:sz w:val="21"/>
                <w:szCs w:val="21"/>
              </w:rPr>
              <w:t>9</w:t>
            </w:r>
          </w:p>
        </w:tc>
        <w:tc>
          <w:tcPr>
            <w:tcW w:w="3007" w:type="pct"/>
            <w:vAlign w:val="center"/>
          </w:tcPr>
          <w:p w14:paraId="7DFEA5B9">
            <w:pPr>
              <w:widowControl/>
              <w:spacing w:before="120" w:after="120" w:afterLines="50" w:line="240" w:lineRule="auto"/>
              <w:ind w:firstLine="0" w:firstLineChars="0"/>
              <w:textAlignment w:val="center"/>
              <w:rPr>
                <w:rFonts w:cs="Times New Roman"/>
                <w:color w:val="000000"/>
                <w:sz w:val="21"/>
                <w:szCs w:val="21"/>
              </w:rPr>
            </w:pPr>
            <w:r>
              <w:rPr>
                <w:rFonts w:cs="Times New Roman"/>
                <w:color w:val="000000"/>
                <w:sz w:val="21"/>
                <w:szCs w:val="21"/>
                <w:lang w:bidi="ar"/>
              </w:rPr>
              <w:t>璀璨远见(深圳)企业管理合伙企业</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3601D976">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31.31</w:t>
            </w:r>
          </w:p>
        </w:tc>
        <w:tc>
          <w:tcPr>
            <w:tcW w:w="729" w:type="pct"/>
            <w:tcMar>
              <w:top w:w="0" w:type="dxa"/>
              <w:left w:w="108" w:type="dxa"/>
              <w:bottom w:w="0" w:type="dxa"/>
              <w:right w:w="108" w:type="dxa"/>
            </w:tcMar>
            <w:vAlign w:val="center"/>
          </w:tcPr>
          <w:p w14:paraId="0456CA71">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2.82%</w:t>
            </w:r>
          </w:p>
        </w:tc>
      </w:tr>
      <w:tr w14:paraId="723DFA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1058EBD9">
            <w:pPr>
              <w:spacing w:before="120" w:after="120" w:afterLines="50" w:line="240" w:lineRule="auto"/>
              <w:ind w:firstLine="0" w:firstLineChars="0"/>
              <w:jc w:val="center"/>
              <w:rPr>
                <w:rFonts w:cs="Times New Roman"/>
                <w:bCs/>
                <w:sz w:val="21"/>
                <w:szCs w:val="21"/>
              </w:rPr>
            </w:pPr>
            <w:r>
              <w:rPr>
                <w:rFonts w:cs="Times New Roman"/>
                <w:bCs/>
                <w:sz w:val="21"/>
                <w:szCs w:val="21"/>
              </w:rPr>
              <w:t>10</w:t>
            </w:r>
          </w:p>
        </w:tc>
        <w:tc>
          <w:tcPr>
            <w:tcW w:w="3007" w:type="pct"/>
            <w:vAlign w:val="center"/>
          </w:tcPr>
          <w:p w14:paraId="2E3539EA">
            <w:pPr>
              <w:widowControl/>
              <w:spacing w:before="120" w:after="120" w:afterLines="50" w:line="240" w:lineRule="auto"/>
              <w:ind w:firstLine="0" w:firstLineChars="0"/>
              <w:textAlignment w:val="center"/>
              <w:rPr>
                <w:rFonts w:cs="Times New Roman"/>
                <w:color w:val="000000"/>
                <w:sz w:val="21"/>
                <w:szCs w:val="21"/>
              </w:rPr>
            </w:pPr>
            <w:r>
              <w:rPr>
                <w:rFonts w:cs="Times New Roman"/>
                <w:color w:val="000000"/>
                <w:sz w:val="21"/>
                <w:szCs w:val="21"/>
                <w:lang w:bidi="ar"/>
              </w:rPr>
              <w:t>珠海乐熙熙投资合伙企业</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4F88B39B">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27.91</w:t>
            </w:r>
          </w:p>
        </w:tc>
        <w:tc>
          <w:tcPr>
            <w:tcW w:w="729" w:type="pct"/>
            <w:tcMar>
              <w:top w:w="0" w:type="dxa"/>
              <w:left w:w="108" w:type="dxa"/>
              <w:bottom w:w="0" w:type="dxa"/>
              <w:right w:w="108" w:type="dxa"/>
            </w:tcMar>
            <w:vAlign w:val="center"/>
          </w:tcPr>
          <w:p w14:paraId="0A07C022">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2.51%</w:t>
            </w:r>
          </w:p>
        </w:tc>
      </w:tr>
      <w:tr w14:paraId="32BF2A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7A6B6E59">
            <w:pPr>
              <w:spacing w:before="120" w:after="120" w:afterLines="50" w:line="240" w:lineRule="auto"/>
              <w:ind w:firstLine="0" w:firstLineChars="0"/>
              <w:jc w:val="center"/>
              <w:rPr>
                <w:rFonts w:cs="Times New Roman"/>
                <w:bCs/>
                <w:sz w:val="21"/>
                <w:szCs w:val="21"/>
              </w:rPr>
            </w:pPr>
            <w:r>
              <w:rPr>
                <w:rFonts w:cs="Times New Roman"/>
                <w:bCs/>
                <w:sz w:val="21"/>
                <w:szCs w:val="21"/>
              </w:rPr>
              <w:t>11</w:t>
            </w:r>
          </w:p>
        </w:tc>
        <w:tc>
          <w:tcPr>
            <w:tcW w:w="3007" w:type="pct"/>
            <w:vAlign w:val="center"/>
          </w:tcPr>
          <w:p w14:paraId="325F24BF">
            <w:pPr>
              <w:widowControl/>
              <w:spacing w:before="120" w:after="120" w:afterLines="50" w:line="240" w:lineRule="auto"/>
              <w:ind w:firstLine="0" w:firstLineChars="0"/>
              <w:textAlignment w:val="center"/>
              <w:rPr>
                <w:rFonts w:cs="Times New Roman"/>
                <w:color w:val="000000"/>
                <w:sz w:val="21"/>
                <w:szCs w:val="21"/>
              </w:rPr>
            </w:pPr>
            <w:r>
              <w:rPr>
                <w:rFonts w:cs="Times New Roman"/>
                <w:color w:val="000000"/>
                <w:sz w:val="21"/>
                <w:szCs w:val="21"/>
                <w:lang w:bidi="ar"/>
              </w:rPr>
              <w:t>珠海乐腾腾投资合伙企业</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6F62367B">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25.17</w:t>
            </w:r>
          </w:p>
        </w:tc>
        <w:tc>
          <w:tcPr>
            <w:tcW w:w="729" w:type="pct"/>
            <w:tcMar>
              <w:top w:w="0" w:type="dxa"/>
              <w:left w:w="108" w:type="dxa"/>
              <w:bottom w:w="0" w:type="dxa"/>
              <w:right w:w="108" w:type="dxa"/>
            </w:tcMar>
            <w:vAlign w:val="center"/>
          </w:tcPr>
          <w:p w14:paraId="43B0A2CF">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2.27%</w:t>
            </w:r>
          </w:p>
        </w:tc>
      </w:tr>
      <w:tr w14:paraId="433F7C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248DD3F0">
            <w:pPr>
              <w:spacing w:before="120" w:after="120" w:afterLines="50" w:line="240" w:lineRule="auto"/>
              <w:ind w:firstLine="0" w:firstLineChars="0"/>
              <w:jc w:val="center"/>
              <w:rPr>
                <w:rFonts w:cs="Times New Roman"/>
                <w:bCs/>
                <w:sz w:val="21"/>
                <w:szCs w:val="21"/>
              </w:rPr>
            </w:pPr>
            <w:r>
              <w:rPr>
                <w:rFonts w:cs="Times New Roman"/>
                <w:bCs/>
                <w:sz w:val="21"/>
                <w:szCs w:val="21"/>
              </w:rPr>
              <w:t>12</w:t>
            </w:r>
          </w:p>
        </w:tc>
        <w:tc>
          <w:tcPr>
            <w:tcW w:w="3007" w:type="pct"/>
            <w:vAlign w:val="center"/>
          </w:tcPr>
          <w:p w14:paraId="25AF4219">
            <w:pPr>
              <w:widowControl/>
              <w:spacing w:before="120" w:after="120" w:afterLines="50" w:line="240" w:lineRule="auto"/>
              <w:ind w:firstLine="0" w:firstLineChars="0"/>
              <w:textAlignment w:val="center"/>
              <w:rPr>
                <w:rFonts w:cs="Times New Roman"/>
                <w:color w:val="000000"/>
                <w:sz w:val="21"/>
                <w:szCs w:val="21"/>
              </w:rPr>
            </w:pPr>
            <w:r>
              <w:rPr>
                <w:rFonts w:cs="Times New Roman"/>
                <w:color w:val="000000"/>
                <w:sz w:val="21"/>
                <w:szCs w:val="21"/>
                <w:lang w:bidi="ar"/>
              </w:rPr>
              <w:t>深圳市前海千意智合三期投资合伙企业</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45DD6B23">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23.68</w:t>
            </w:r>
          </w:p>
        </w:tc>
        <w:tc>
          <w:tcPr>
            <w:tcW w:w="729" w:type="pct"/>
            <w:tcMar>
              <w:top w:w="0" w:type="dxa"/>
              <w:left w:w="108" w:type="dxa"/>
              <w:bottom w:w="0" w:type="dxa"/>
              <w:right w:w="108" w:type="dxa"/>
            </w:tcMar>
            <w:vAlign w:val="center"/>
          </w:tcPr>
          <w:p w14:paraId="4EE985CC">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2.13%</w:t>
            </w:r>
          </w:p>
        </w:tc>
      </w:tr>
      <w:tr w14:paraId="698734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6F7B8382">
            <w:pPr>
              <w:spacing w:before="120" w:after="120" w:afterLines="50" w:line="240" w:lineRule="auto"/>
              <w:ind w:firstLine="0" w:firstLineChars="0"/>
              <w:jc w:val="center"/>
              <w:rPr>
                <w:rFonts w:cs="Times New Roman"/>
                <w:bCs/>
                <w:sz w:val="21"/>
                <w:szCs w:val="21"/>
              </w:rPr>
            </w:pPr>
            <w:r>
              <w:rPr>
                <w:rFonts w:cs="Times New Roman"/>
                <w:bCs/>
                <w:sz w:val="21"/>
                <w:szCs w:val="21"/>
              </w:rPr>
              <w:t>13</w:t>
            </w:r>
          </w:p>
        </w:tc>
        <w:tc>
          <w:tcPr>
            <w:tcW w:w="3007" w:type="pct"/>
            <w:vAlign w:val="center"/>
          </w:tcPr>
          <w:p w14:paraId="21ECBD13">
            <w:pPr>
              <w:widowControl/>
              <w:spacing w:before="120" w:after="120" w:afterLines="50" w:line="240" w:lineRule="auto"/>
              <w:ind w:firstLine="0" w:firstLineChars="0"/>
              <w:textAlignment w:val="center"/>
              <w:rPr>
                <w:rFonts w:cs="Times New Roman"/>
                <w:color w:val="000000"/>
                <w:sz w:val="21"/>
                <w:szCs w:val="21"/>
              </w:rPr>
            </w:pPr>
            <w:r>
              <w:rPr>
                <w:rFonts w:cs="Times New Roman"/>
                <w:color w:val="000000"/>
                <w:sz w:val="21"/>
                <w:szCs w:val="21"/>
                <w:lang w:bidi="ar"/>
              </w:rPr>
              <w:t>胡俊</w:t>
            </w:r>
          </w:p>
        </w:tc>
        <w:tc>
          <w:tcPr>
            <w:tcW w:w="844" w:type="pct"/>
            <w:vAlign w:val="center"/>
          </w:tcPr>
          <w:p w14:paraId="6ADDD819">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19.62</w:t>
            </w:r>
          </w:p>
        </w:tc>
        <w:tc>
          <w:tcPr>
            <w:tcW w:w="729" w:type="pct"/>
            <w:tcMar>
              <w:top w:w="0" w:type="dxa"/>
              <w:left w:w="108" w:type="dxa"/>
              <w:bottom w:w="0" w:type="dxa"/>
              <w:right w:w="108" w:type="dxa"/>
            </w:tcMar>
            <w:vAlign w:val="center"/>
          </w:tcPr>
          <w:p w14:paraId="73C0A44C">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1.77%</w:t>
            </w:r>
          </w:p>
        </w:tc>
      </w:tr>
      <w:tr w14:paraId="4E187B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49F1FE38">
            <w:pPr>
              <w:spacing w:before="120" w:after="120" w:afterLines="50" w:line="240" w:lineRule="auto"/>
              <w:ind w:firstLine="0" w:firstLineChars="0"/>
              <w:jc w:val="center"/>
              <w:rPr>
                <w:rFonts w:cs="Times New Roman"/>
                <w:bCs/>
                <w:sz w:val="21"/>
                <w:szCs w:val="21"/>
              </w:rPr>
            </w:pPr>
            <w:r>
              <w:rPr>
                <w:rFonts w:cs="Times New Roman"/>
                <w:bCs/>
                <w:sz w:val="21"/>
                <w:szCs w:val="21"/>
              </w:rPr>
              <w:t>14</w:t>
            </w:r>
          </w:p>
        </w:tc>
        <w:tc>
          <w:tcPr>
            <w:tcW w:w="3007" w:type="pct"/>
            <w:vAlign w:val="center"/>
          </w:tcPr>
          <w:p w14:paraId="5028EC8F">
            <w:pPr>
              <w:widowControl/>
              <w:spacing w:before="120" w:after="120" w:afterLines="50" w:line="240" w:lineRule="auto"/>
              <w:ind w:firstLine="0" w:firstLineChars="0"/>
              <w:textAlignment w:val="center"/>
              <w:rPr>
                <w:rFonts w:cs="Times New Roman"/>
                <w:color w:val="000000"/>
                <w:sz w:val="21"/>
                <w:szCs w:val="21"/>
              </w:rPr>
            </w:pPr>
            <w:r>
              <w:rPr>
                <w:rFonts w:cs="Times New Roman"/>
                <w:color w:val="000000"/>
                <w:sz w:val="21"/>
                <w:szCs w:val="21"/>
                <w:lang w:bidi="ar"/>
              </w:rPr>
              <w:t>王佳</w:t>
            </w:r>
          </w:p>
        </w:tc>
        <w:tc>
          <w:tcPr>
            <w:tcW w:w="844" w:type="pct"/>
            <w:vAlign w:val="center"/>
          </w:tcPr>
          <w:p w14:paraId="3C409696">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17.59</w:t>
            </w:r>
          </w:p>
        </w:tc>
        <w:tc>
          <w:tcPr>
            <w:tcW w:w="729" w:type="pct"/>
            <w:tcMar>
              <w:top w:w="0" w:type="dxa"/>
              <w:left w:w="108" w:type="dxa"/>
              <w:bottom w:w="0" w:type="dxa"/>
              <w:right w:w="108" w:type="dxa"/>
            </w:tcMar>
            <w:vAlign w:val="center"/>
          </w:tcPr>
          <w:p w14:paraId="351BCE59">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1.58%</w:t>
            </w:r>
          </w:p>
        </w:tc>
      </w:tr>
      <w:tr w14:paraId="4EFB3E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1896B00D">
            <w:pPr>
              <w:spacing w:before="120" w:after="120" w:afterLines="50" w:line="240" w:lineRule="auto"/>
              <w:ind w:firstLine="0" w:firstLineChars="0"/>
              <w:jc w:val="center"/>
              <w:rPr>
                <w:rFonts w:cs="Times New Roman"/>
                <w:bCs/>
                <w:sz w:val="21"/>
                <w:szCs w:val="21"/>
              </w:rPr>
            </w:pPr>
            <w:r>
              <w:rPr>
                <w:rFonts w:cs="Times New Roman"/>
                <w:bCs/>
                <w:sz w:val="21"/>
                <w:szCs w:val="21"/>
              </w:rPr>
              <w:t>15</w:t>
            </w:r>
          </w:p>
        </w:tc>
        <w:tc>
          <w:tcPr>
            <w:tcW w:w="3007" w:type="pct"/>
            <w:vAlign w:val="center"/>
          </w:tcPr>
          <w:p w14:paraId="0922C2C8">
            <w:pPr>
              <w:widowControl/>
              <w:spacing w:before="120" w:after="120" w:afterLines="50" w:line="240" w:lineRule="auto"/>
              <w:ind w:firstLine="0" w:firstLineChars="0"/>
              <w:textAlignment w:val="center"/>
              <w:rPr>
                <w:rFonts w:cs="Times New Roman"/>
                <w:color w:val="000000"/>
                <w:sz w:val="21"/>
                <w:szCs w:val="21"/>
              </w:rPr>
            </w:pPr>
            <w:r>
              <w:rPr>
                <w:rFonts w:cs="Times New Roman"/>
                <w:color w:val="000000"/>
                <w:sz w:val="21"/>
                <w:szCs w:val="21"/>
                <w:lang w:bidi="ar"/>
              </w:rPr>
              <w:t>杨裕雄</w:t>
            </w:r>
          </w:p>
        </w:tc>
        <w:tc>
          <w:tcPr>
            <w:tcW w:w="844" w:type="pct"/>
            <w:vAlign w:val="center"/>
          </w:tcPr>
          <w:p w14:paraId="242AEF69">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15.96</w:t>
            </w:r>
          </w:p>
        </w:tc>
        <w:tc>
          <w:tcPr>
            <w:tcW w:w="729" w:type="pct"/>
            <w:tcMar>
              <w:top w:w="0" w:type="dxa"/>
              <w:left w:w="108" w:type="dxa"/>
              <w:bottom w:w="0" w:type="dxa"/>
              <w:right w:w="108" w:type="dxa"/>
            </w:tcMar>
            <w:vAlign w:val="center"/>
          </w:tcPr>
          <w:p w14:paraId="155837A2">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1.44%</w:t>
            </w:r>
          </w:p>
        </w:tc>
      </w:tr>
      <w:tr w14:paraId="3628C3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1060A41E">
            <w:pPr>
              <w:spacing w:before="120" w:after="120" w:afterLines="50" w:line="240" w:lineRule="auto"/>
              <w:ind w:firstLine="0" w:firstLineChars="0"/>
              <w:jc w:val="center"/>
              <w:rPr>
                <w:rFonts w:cs="Times New Roman"/>
                <w:bCs/>
                <w:sz w:val="21"/>
                <w:szCs w:val="21"/>
              </w:rPr>
            </w:pPr>
            <w:r>
              <w:rPr>
                <w:rFonts w:cs="Times New Roman"/>
                <w:bCs/>
                <w:sz w:val="21"/>
                <w:szCs w:val="21"/>
              </w:rPr>
              <w:t>16</w:t>
            </w:r>
          </w:p>
        </w:tc>
        <w:tc>
          <w:tcPr>
            <w:tcW w:w="3007" w:type="pct"/>
            <w:vAlign w:val="center"/>
          </w:tcPr>
          <w:p w14:paraId="6E37E340">
            <w:pPr>
              <w:widowControl/>
              <w:spacing w:before="120" w:after="120" w:afterLines="50" w:line="240" w:lineRule="auto"/>
              <w:ind w:firstLine="0" w:firstLineChars="0"/>
              <w:textAlignment w:val="center"/>
              <w:rPr>
                <w:rFonts w:cs="Times New Roman"/>
                <w:color w:val="000000"/>
                <w:sz w:val="21"/>
                <w:szCs w:val="21"/>
              </w:rPr>
            </w:pPr>
            <w:r>
              <w:rPr>
                <w:rFonts w:cs="Times New Roman"/>
                <w:color w:val="000000"/>
                <w:sz w:val="21"/>
                <w:szCs w:val="21"/>
                <w:lang w:bidi="ar"/>
              </w:rPr>
              <w:t>珠海乐哈哈投资合伙企业</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484EE5D1">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15.34</w:t>
            </w:r>
          </w:p>
        </w:tc>
        <w:tc>
          <w:tcPr>
            <w:tcW w:w="729" w:type="pct"/>
            <w:tcMar>
              <w:top w:w="0" w:type="dxa"/>
              <w:left w:w="108" w:type="dxa"/>
              <w:bottom w:w="0" w:type="dxa"/>
              <w:right w:w="108" w:type="dxa"/>
            </w:tcMar>
            <w:vAlign w:val="center"/>
          </w:tcPr>
          <w:p w14:paraId="6B6CBA1D">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1.38%</w:t>
            </w:r>
          </w:p>
        </w:tc>
      </w:tr>
      <w:tr w14:paraId="474F60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03B1AA71">
            <w:pPr>
              <w:spacing w:before="120" w:after="120" w:afterLines="50" w:line="240" w:lineRule="auto"/>
              <w:ind w:firstLine="0" w:firstLineChars="0"/>
              <w:jc w:val="center"/>
              <w:rPr>
                <w:rFonts w:cs="Times New Roman"/>
                <w:bCs/>
                <w:sz w:val="21"/>
                <w:szCs w:val="21"/>
              </w:rPr>
            </w:pPr>
            <w:r>
              <w:rPr>
                <w:rFonts w:cs="Times New Roman"/>
                <w:bCs/>
                <w:sz w:val="21"/>
                <w:szCs w:val="21"/>
              </w:rPr>
              <w:t>17</w:t>
            </w:r>
          </w:p>
        </w:tc>
        <w:tc>
          <w:tcPr>
            <w:tcW w:w="3007" w:type="pct"/>
            <w:vAlign w:val="center"/>
          </w:tcPr>
          <w:p w14:paraId="788C1F65">
            <w:pPr>
              <w:widowControl/>
              <w:spacing w:before="120" w:after="120" w:afterLines="50" w:line="240" w:lineRule="auto"/>
              <w:ind w:firstLine="0" w:firstLineChars="0"/>
              <w:textAlignment w:val="center"/>
              <w:rPr>
                <w:rFonts w:cs="Times New Roman"/>
                <w:color w:val="000000"/>
                <w:sz w:val="21"/>
                <w:szCs w:val="21"/>
              </w:rPr>
            </w:pPr>
            <w:r>
              <w:rPr>
                <w:rFonts w:cs="Times New Roman"/>
                <w:color w:val="000000"/>
                <w:sz w:val="21"/>
                <w:szCs w:val="21"/>
                <w:lang w:bidi="ar"/>
              </w:rPr>
              <w:t>广州广发信德二期创业投资合伙企业</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5E5A2808">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13.84</w:t>
            </w:r>
          </w:p>
        </w:tc>
        <w:tc>
          <w:tcPr>
            <w:tcW w:w="729" w:type="pct"/>
            <w:tcMar>
              <w:top w:w="0" w:type="dxa"/>
              <w:left w:w="108" w:type="dxa"/>
              <w:bottom w:w="0" w:type="dxa"/>
              <w:right w:w="108" w:type="dxa"/>
            </w:tcMar>
            <w:vAlign w:val="center"/>
          </w:tcPr>
          <w:p w14:paraId="724AA161">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1.25%</w:t>
            </w:r>
          </w:p>
        </w:tc>
      </w:tr>
      <w:tr w14:paraId="6B0FA9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633EAA43">
            <w:pPr>
              <w:spacing w:before="120" w:after="120" w:afterLines="50" w:line="240" w:lineRule="auto"/>
              <w:ind w:firstLine="0" w:firstLineChars="0"/>
              <w:jc w:val="center"/>
              <w:rPr>
                <w:rFonts w:cs="Times New Roman"/>
                <w:bCs/>
                <w:sz w:val="21"/>
                <w:szCs w:val="21"/>
              </w:rPr>
            </w:pPr>
            <w:r>
              <w:rPr>
                <w:rFonts w:cs="Times New Roman"/>
                <w:bCs/>
                <w:sz w:val="21"/>
                <w:szCs w:val="21"/>
              </w:rPr>
              <w:t>18</w:t>
            </w:r>
          </w:p>
        </w:tc>
        <w:tc>
          <w:tcPr>
            <w:tcW w:w="3007" w:type="pct"/>
            <w:vAlign w:val="center"/>
          </w:tcPr>
          <w:p w14:paraId="76BE864A">
            <w:pPr>
              <w:widowControl/>
              <w:spacing w:before="120" w:after="120" w:afterLines="50" w:line="240" w:lineRule="auto"/>
              <w:ind w:firstLine="0" w:firstLineChars="0"/>
              <w:textAlignment w:val="center"/>
              <w:rPr>
                <w:rFonts w:cs="Times New Roman"/>
                <w:color w:val="000000"/>
                <w:sz w:val="21"/>
                <w:szCs w:val="21"/>
              </w:rPr>
            </w:pPr>
            <w:r>
              <w:rPr>
                <w:rFonts w:cs="Times New Roman"/>
                <w:color w:val="000000"/>
                <w:sz w:val="21"/>
                <w:szCs w:val="21"/>
                <w:lang w:bidi="ar"/>
              </w:rPr>
              <w:t>璀璨德商</w:t>
            </w:r>
            <w:r>
              <w:rPr>
                <w:rFonts w:hint="eastAsia" w:cs="Times New Roman"/>
                <w:color w:val="000000"/>
                <w:sz w:val="21"/>
                <w:szCs w:val="21"/>
                <w:lang w:bidi="ar"/>
              </w:rPr>
              <w:t>（</w:t>
            </w:r>
            <w:r>
              <w:rPr>
                <w:rFonts w:cs="Times New Roman"/>
                <w:color w:val="000000"/>
                <w:sz w:val="21"/>
                <w:szCs w:val="21"/>
                <w:lang w:bidi="ar"/>
              </w:rPr>
              <w:t>深圳</w:t>
            </w:r>
            <w:r>
              <w:rPr>
                <w:rFonts w:hint="eastAsia" w:cs="Times New Roman"/>
                <w:color w:val="000000"/>
                <w:sz w:val="21"/>
                <w:szCs w:val="21"/>
                <w:lang w:bidi="ar"/>
              </w:rPr>
              <w:t>）</w:t>
            </w:r>
            <w:r>
              <w:rPr>
                <w:rFonts w:cs="Times New Roman"/>
                <w:color w:val="000000"/>
                <w:sz w:val="21"/>
                <w:szCs w:val="21"/>
                <w:lang w:bidi="ar"/>
              </w:rPr>
              <w:t>创业投资中心</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79413BEF">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9.89</w:t>
            </w:r>
          </w:p>
        </w:tc>
        <w:tc>
          <w:tcPr>
            <w:tcW w:w="729" w:type="pct"/>
            <w:tcMar>
              <w:top w:w="0" w:type="dxa"/>
              <w:left w:w="108" w:type="dxa"/>
              <w:bottom w:w="0" w:type="dxa"/>
              <w:right w:w="108" w:type="dxa"/>
            </w:tcMar>
            <w:vAlign w:val="center"/>
          </w:tcPr>
          <w:p w14:paraId="777736A0">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0.89%</w:t>
            </w:r>
          </w:p>
        </w:tc>
      </w:tr>
      <w:tr w14:paraId="225743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77B4399E">
            <w:pPr>
              <w:spacing w:before="120" w:after="120" w:afterLines="50" w:line="240" w:lineRule="auto"/>
              <w:ind w:firstLine="0" w:firstLineChars="0"/>
              <w:jc w:val="center"/>
              <w:rPr>
                <w:rFonts w:cs="Times New Roman"/>
                <w:bCs/>
                <w:sz w:val="21"/>
                <w:szCs w:val="21"/>
              </w:rPr>
            </w:pPr>
            <w:r>
              <w:rPr>
                <w:rFonts w:cs="Times New Roman"/>
                <w:bCs/>
                <w:sz w:val="21"/>
                <w:szCs w:val="21"/>
              </w:rPr>
              <w:t>19</w:t>
            </w:r>
          </w:p>
        </w:tc>
        <w:tc>
          <w:tcPr>
            <w:tcW w:w="3007" w:type="pct"/>
            <w:vAlign w:val="center"/>
          </w:tcPr>
          <w:p w14:paraId="3513F87D">
            <w:pPr>
              <w:widowControl/>
              <w:spacing w:before="120" w:after="120" w:afterLines="50" w:line="240" w:lineRule="auto"/>
              <w:ind w:firstLine="0" w:firstLineChars="0"/>
              <w:textAlignment w:val="center"/>
              <w:rPr>
                <w:rFonts w:cs="Times New Roman"/>
                <w:color w:val="000000"/>
                <w:sz w:val="21"/>
                <w:szCs w:val="21"/>
              </w:rPr>
            </w:pPr>
            <w:r>
              <w:rPr>
                <w:rFonts w:cs="Times New Roman"/>
                <w:color w:val="000000"/>
                <w:sz w:val="21"/>
                <w:szCs w:val="21"/>
                <w:lang w:bidi="ar"/>
              </w:rPr>
              <w:t>广州信德创业营股权投资合伙企业</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276BA811">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9.67</w:t>
            </w:r>
          </w:p>
        </w:tc>
        <w:tc>
          <w:tcPr>
            <w:tcW w:w="729" w:type="pct"/>
            <w:tcMar>
              <w:top w:w="0" w:type="dxa"/>
              <w:left w:w="108" w:type="dxa"/>
              <w:bottom w:w="0" w:type="dxa"/>
              <w:right w:w="108" w:type="dxa"/>
            </w:tcMar>
            <w:vAlign w:val="center"/>
          </w:tcPr>
          <w:p w14:paraId="13A0FDD5">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0.87%</w:t>
            </w:r>
          </w:p>
        </w:tc>
      </w:tr>
      <w:tr w14:paraId="1BA194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601B542F">
            <w:pPr>
              <w:spacing w:before="120" w:after="120" w:afterLines="50" w:line="240" w:lineRule="auto"/>
              <w:ind w:firstLine="0" w:firstLineChars="0"/>
              <w:jc w:val="center"/>
              <w:rPr>
                <w:rFonts w:cs="Times New Roman"/>
                <w:bCs/>
                <w:sz w:val="21"/>
                <w:szCs w:val="21"/>
              </w:rPr>
            </w:pPr>
            <w:r>
              <w:rPr>
                <w:rFonts w:cs="Times New Roman"/>
                <w:bCs/>
                <w:sz w:val="21"/>
                <w:szCs w:val="21"/>
              </w:rPr>
              <w:t>20</w:t>
            </w:r>
          </w:p>
        </w:tc>
        <w:tc>
          <w:tcPr>
            <w:tcW w:w="3007" w:type="pct"/>
            <w:vAlign w:val="center"/>
          </w:tcPr>
          <w:p w14:paraId="6D0C4FAE">
            <w:pPr>
              <w:widowControl/>
              <w:spacing w:before="120" w:after="120" w:afterLines="50" w:line="240" w:lineRule="auto"/>
              <w:ind w:firstLine="0" w:firstLineChars="0"/>
              <w:textAlignment w:val="center"/>
              <w:rPr>
                <w:rFonts w:cs="Times New Roman"/>
                <w:color w:val="000000"/>
                <w:sz w:val="21"/>
                <w:szCs w:val="21"/>
              </w:rPr>
            </w:pPr>
            <w:r>
              <w:rPr>
                <w:rFonts w:cs="Times New Roman"/>
                <w:color w:val="000000"/>
                <w:sz w:val="21"/>
                <w:szCs w:val="21"/>
                <w:lang w:bidi="ar"/>
              </w:rPr>
              <w:t>珠海乐摇投资合伙企业</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0B1DC447">
            <w:pPr>
              <w:widowControl/>
              <w:spacing w:before="120" w:after="120" w:afterLines="50" w:line="240" w:lineRule="auto"/>
              <w:ind w:firstLine="0" w:firstLineChars="0"/>
              <w:jc w:val="right"/>
              <w:textAlignment w:val="center"/>
              <w:rPr>
                <w:rFonts w:cs="Times New Roman"/>
                <w:color w:val="000000"/>
                <w:sz w:val="21"/>
                <w:szCs w:val="21"/>
              </w:rPr>
            </w:pPr>
            <w:r>
              <w:rPr>
                <w:rFonts w:cs="Times New Roman"/>
                <w:color w:val="000000"/>
                <w:sz w:val="21"/>
                <w:szCs w:val="21"/>
                <w:lang w:bidi="ar"/>
              </w:rPr>
              <w:t>4.97</w:t>
            </w:r>
          </w:p>
        </w:tc>
        <w:tc>
          <w:tcPr>
            <w:tcW w:w="729" w:type="pct"/>
            <w:tcMar>
              <w:top w:w="0" w:type="dxa"/>
              <w:left w:w="108" w:type="dxa"/>
              <w:bottom w:w="0" w:type="dxa"/>
              <w:right w:w="108" w:type="dxa"/>
            </w:tcMar>
            <w:vAlign w:val="center"/>
          </w:tcPr>
          <w:p w14:paraId="08702254">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0.45%</w:t>
            </w:r>
          </w:p>
        </w:tc>
      </w:tr>
      <w:tr w14:paraId="2C2907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10046771">
            <w:pPr>
              <w:spacing w:before="120" w:after="120" w:afterLines="50" w:line="240" w:lineRule="auto"/>
              <w:ind w:firstLine="0" w:firstLineChars="0"/>
              <w:jc w:val="center"/>
              <w:rPr>
                <w:rFonts w:cs="Times New Roman"/>
                <w:bCs/>
                <w:sz w:val="21"/>
                <w:szCs w:val="21"/>
              </w:rPr>
            </w:pPr>
            <w:r>
              <w:rPr>
                <w:rFonts w:cs="Times New Roman"/>
                <w:bCs/>
                <w:sz w:val="21"/>
                <w:szCs w:val="21"/>
              </w:rPr>
              <w:t>21</w:t>
            </w:r>
          </w:p>
        </w:tc>
        <w:tc>
          <w:tcPr>
            <w:tcW w:w="3007" w:type="pct"/>
            <w:vAlign w:val="center"/>
          </w:tcPr>
          <w:p w14:paraId="35AF6251">
            <w:pPr>
              <w:widowControl/>
              <w:spacing w:before="120" w:after="120" w:afterLines="50" w:line="240" w:lineRule="auto"/>
              <w:ind w:firstLine="0" w:firstLineChars="0"/>
              <w:textAlignment w:val="center"/>
              <w:rPr>
                <w:rFonts w:cs="Times New Roman"/>
                <w:color w:val="000000"/>
                <w:sz w:val="21"/>
                <w:szCs w:val="21"/>
              </w:rPr>
            </w:pPr>
            <w:r>
              <w:rPr>
                <w:rFonts w:cs="Times New Roman"/>
                <w:color w:val="000000"/>
                <w:sz w:val="21"/>
                <w:szCs w:val="21"/>
                <w:lang w:bidi="ar"/>
              </w:rPr>
              <w:t>珠海康远投资企业</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5554841F">
            <w:pPr>
              <w:widowControl/>
              <w:spacing w:before="120" w:after="120" w:afterLines="50" w:line="240" w:lineRule="auto"/>
              <w:ind w:firstLine="0" w:firstLineChars="0"/>
              <w:jc w:val="right"/>
              <w:textAlignment w:val="center"/>
              <w:rPr>
                <w:rFonts w:cs="Times New Roman"/>
                <w:color w:val="000000"/>
                <w:sz w:val="21"/>
                <w:szCs w:val="21"/>
              </w:rPr>
            </w:pPr>
            <w:r>
              <w:rPr>
                <w:rFonts w:cs="Times New Roman"/>
                <w:color w:val="000000"/>
                <w:sz w:val="21"/>
                <w:szCs w:val="21"/>
                <w:lang w:bidi="ar"/>
              </w:rPr>
              <w:t>4.70</w:t>
            </w:r>
          </w:p>
        </w:tc>
        <w:tc>
          <w:tcPr>
            <w:tcW w:w="729" w:type="pct"/>
            <w:tcMar>
              <w:top w:w="0" w:type="dxa"/>
              <w:left w:w="108" w:type="dxa"/>
              <w:bottom w:w="0" w:type="dxa"/>
              <w:right w:w="108" w:type="dxa"/>
            </w:tcMar>
            <w:vAlign w:val="center"/>
          </w:tcPr>
          <w:p w14:paraId="1DEB5392">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0.42%</w:t>
            </w:r>
          </w:p>
        </w:tc>
      </w:tr>
      <w:tr w14:paraId="111CBB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8" w:type="pct"/>
            <w:tcMar>
              <w:top w:w="0" w:type="dxa"/>
              <w:left w:w="108" w:type="dxa"/>
              <w:bottom w:w="0" w:type="dxa"/>
              <w:right w:w="108" w:type="dxa"/>
            </w:tcMar>
            <w:vAlign w:val="center"/>
          </w:tcPr>
          <w:p w14:paraId="21D2E9FB">
            <w:pPr>
              <w:spacing w:before="120" w:after="120" w:afterLines="50" w:line="240" w:lineRule="auto"/>
              <w:ind w:firstLine="0" w:firstLineChars="0"/>
              <w:jc w:val="center"/>
              <w:rPr>
                <w:rFonts w:cs="Times New Roman"/>
                <w:bCs/>
                <w:sz w:val="21"/>
                <w:szCs w:val="21"/>
              </w:rPr>
            </w:pPr>
            <w:r>
              <w:rPr>
                <w:rFonts w:cs="Times New Roman"/>
                <w:bCs/>
                <w:sz w:val="21"/>
                <w:szCs w:val="21"/>
              </w:rPr>
              <w:t>22</w:t>
            </w:r>
          </w:p>
        </w:tc>
        <w:tc>
          <w:tcPr>
            <w:tcW w:w="3007" w:type="pct"/>
            <w:vAlign w:val="center"/>
          </w:tcPr>
          <w:p w14:paraId="2A79921C">
            <w:pPr>
              <w:widowControl/>
              <w:spacing w:before="120" w:after="120" w:afterLines="50" w:line="240" w:lineRule="auto"/>
              <w:ind w:firstLine="0" w:firstLineChars="0"/>
              <w:textAlignment w:val="center"/>
              <w:rPr>
                <w:rFonts w:cs="Times New Roman"/>
                <w:color w:val="000000"/>
                <w:sz w:val="21"/>
                <w:szCs w:val="21"/>
              </w:rPr>
            </w:pPr>
            <w:r>
              <w:rPr>
                <w:rFonts w:cs="Times New Roman"/>
                <w:color w:val="000000"/>
                <w:sz w:val="21"/>
                <w:szCs w:val="21"/>
                <w:lang w:bidi="ar"/>
              </w:rPr>
              <w:t>上海德盾企业管理合伙企业</w:t>
            </w:r>
            <w:r>
              <w:rPr>
                <w:rFonts w:hint="eastAsia" w:cs="Times New Roman"/>
                <w:color w:val="000000"/>
                <w:sz w:val="21"/>
                <w:szCs w:val="21"/>
                <w:lang w:bidi="ar"/>
              </w:rPr>
              <w:t>（</w:t>
            </w:r>
            <w:r>
              <w:rPr>
                <w:rFonts w:cs="Times New Roman"/>
                <w:color w:val="000000"/>
                <w:sz w:val="21"/>
                <w:szCs w:val="21"/>
                <w:lang w:bidi="ar"/>
              </w:rPr>
              <w:t>有限合伙</w:t>
            </w:r>
            <w:r>
              <w:rPr>
                <w:rFonts w:hint="eastAsia" w:cs="Times New Roman"/>
                <w:color w:val="000000"/>
                <w:sz w:val="21"/>
                <w:szCs w:val="21"/>
                <w:lang w:bidi="ar"/>
              </w:rPr>
              <w:t>）</w:t>
            </w:r>
          </w:p>
        </w:tc>
        <w:tc>
          <w:tcPr>
            <w:tcW w:w="844" w:type="pct"/>
            <w:vAlign w:val="center"/>
          </w:tcPr>
          <w:p w14:paraId="5640D5EC">
            <w:pPr>
              <w:widowControl/>
              <w:spacing w:before="120" w:after="120" w:afterLines="50" w:line="240" w:lineRule="auto"/>
              <w:ind w:firstLine="0" w:firstLineChars="0"/>
              <w:jc w:val="right"/>
              <w:textAlignment w:val="center"/>
              <w:rPr>
                <w:rFonts w:cs="Times New Roman"/>
                <w:color w:val="000000"/>
                <w:sz w:val="21"/>
                <w:szCs w:val="21"/>
              </w:rPr>
            </w:pPr>
            <w:r>
              <w:rPr>
                <w:rFonts w:cs="Times New Roman"/>
                <w:color w:val="000000"/>
                <w:sz w:val="21"/>
                <w:szCs w:val="21"/>
                <w:lang w:bidi="ar"/>
              </w:rPr>
              <w:t>0.33</w:t>
            </w:r>
          </w:p>
        </w:tc>
        <w:tc>
          <w:tcPr>
            <w:tcW w:w="729" w:type="pct"/>
            <w:tcMar>
              <w:top w:w="0" w:type="dxa"/>
              <w:left w:w="108" w:type="dxa"/>
              <w:bottom w:w="0" w:type="dxa"/>
              <w:right w:w="108" w:type="dxa"/>
            </w:tcMar>
            <w:vAlign w:val="center"/>
          </w:tcPr>
          <w:p w14:paraId="271EE33A">
            <w:pPr>
              <w:widowControl/>
              <w:spacing w:before="120" w:after="120" w:afterLines="50" w:line="240" w:lineRule="auto"/>
              <w:ind w:firstLine="0" w:firstLineChars="0"/>
              <w:jc w:val="right"/>
              <w:textAlignment w:val="center"/>
              <w:rPr>
                <w:rFonts w:cs="Times New Roman"/>
                <w:sz w:val="21"/>
                <w:szCs w:val="21"/>
              </w:rPr>
            </w:pPr>
            <w:r>
              <w:rPr>
                <w:rFonts w:cs="Times New Roman"/>
                <w:color w:val="000000"/>
                <w:sz w:val="21"/>
                <w:szCs w:val="21"/>
                <w:lang w:bidi="ar"/>
              </w:rPr>
              <w:t>0.03%</w:t>
            </w:r>
          </w:p>
        </w:tc>
      </w:tr>
      <w:bookmarkEnd w:id="144"/>
      <w:tr w14:paraId="1AA5FA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425" w:type="pct"/>
            <w:gridSpan w:val="2"/>
            <w:tcMar>
              <w:top w:w="0" w:type="dxa"/>
              <w:left w:w="108" w:type="dxa"/>
              <w:bottom w:w="0" w:type="dxa"/>
              <w:right w:w="108" w:type="dxa"/>
            </w:tcMar>
            <w:vAlign w:val="center"/>
          </w:tcPr>
          <w:p w14:paraId="53DB3E1A">
            <w:pPr>
              <w:spacing w:before="120" w:after="120" w:afterLines="50" w:line="240" w:lineRule="auto"/>
              <w:ind w:firstLine="0" w:firstLineChars="0"/>
              <w:jc w:val="center"/>
              <w:rPr>
                <w:rFonts w:cs="Times New Roman"/>
                <w:b/>
                <w:bCs/>
                <w:color w:val="000000"/>
                <w:sz w:val="21"/>
                <w:szCs w:val="21"/>
              </w:rPr>
            </w:pPr>
            <w:r>
              <w:rPr>
                <w:rFonts w:cs="Times New Roman"/>
                <w:b/>
                <w:bCs/>
                <w:color w:val="000000"/>
                <w:sz w:val="21"/>
                <w:szCs w:val="21"/>
              </w:rPr>
              <w:t>合计</w:t>
            </w:r>
          </w:p>
        </w:tc>
        <w:tc>
          <w:tcPr>
            <w:tcW w:w="844" w:type="pct"/>
            <w:vAlign w:val="center"/>
          </w:tcPr>
          <w:p w14:paraId="557D93A3">
            <w:pPr>
              <w:widowControl/>
              <w:spacing w:before="120" w:after="120" w:afterLines="50" w:line="240" w:lineRule="auto"/>
              <w:ind w:firstLine="0" w:firstLineChars="0"/>
              <w:jc w:val="right"/>
              <w:textAlignment w:val="center"/>
              <w:rPr>
                <w:rFonts w:cs="Times New Roman"/>
                <w:b/>
                <w:bCs/>
                <w:sz w:val="21"/>
                <w:szCs w:val="21"/>
              </w:rPr>
            </w:pPr>
            <w:r>
              <w:rPr>
                <w:rFonts w:cs="Times New Roman"/>
                <w:b/>
                <w:bCs/>
                <w:color w:val="000000"/>
                <w:sz w:val="21"/>
                <w:szCs w:val="21"/>
                <w:lang w:bidi="ar"/>
              </w:rPr>
              <w:t>1,110.91</w:t>
            </w:r>
          </w:p>
        </w:tc>
        <w:tc>
          <w:tcPr>
            <w:tcW w:w="729" w:type="pct"/>
            <w:tcMar>
              <w:top w:w="0" w:type="dxa"/>
              <w:left w:w="108" w:type="dxa"/>
              <w:bottom w:w="0" w:type="dxa"/>
              <w:right w:w="108" w:type="dxa"/>
            </w:tcMar>
            <w:vAlign w:val="center"/>
          </w:tcPr>
          <w:p w14:paraId="3A2B908D">
            <w:pPr>
              <w:spacing w:before="120" w:after="120" w:afterLines="50" w:line="240" w:lineRule="auto"/>
              <w:ind w:firstLine="0" w:firstLineChars="0"/>
              <w:jc w:val="right"/>
              <w:rPr>
                <w:rFonts w:cs="Times New Roman"/>
                <w:b/>
                <w:bCs/>
                <w:sz w:val="21"/>
                <w:szCs w:val="21"/>
              </w:rPr>
            </w:pPr>
            <w:r>
              <w:rPr>
                <w:rFonts w:cs="Times New Roman"/>
                <w:b/>
                <w:bCs/>
                <w:sz w:val="21"/>
                <w:szCs w:val="21"/>
              </w:rPr>
              <w:t>100.00</w:t>
            </w:r>
          </w:p>
        </w:tc>
      </w:tr>
      <w:bookmarkEnd w:id="143"/>
    </w:tbl>
    <w:p w14:paraId="2D03EBE1">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w:t>
      </w:r>
      <w:r>
        <w:rPr>
          <w:rFonts w:eastAsia="黑体" w:cs="Times New Roman"/>
          <w:b/>
          <w:bCs/>
          <w:kern w:val="2"/>
          <w:szCs w:val="28"/>
        </w:rPr>
        <w:t>控股股东、实际控制人</w:t>
      </w:r>
    </w:p>
    <w:p w14:paraId="4ECF3996">
      <w:pPr>
        <w:spacing w:before="120" w:after="120" w:afterLines="50"/>
        <w:ind w:firstLine="480"/>
        <w:jc w:val="both"/>
        <w:rPr>
          <w:rFonts w:cs="Times New Roman"/>
          <w:kern w:val="2"/>
          <w:szCs w:val="22"/>
        </w:rPr>
      </w:pPr>
      <w:r>
        <w:rPr>
          <w:rFonts w:hint="eastAsia" w:cs="Times New Roman"/>
          <w:kern w:val="2"/>
          <w:szCs w:val="22"/>
        </w:rPr>
        <w:t>截至本预案签署日，陈耿豪直接持有星云开物22.43%股权，为星云开物的控股股东。陈耿豪为星云开物实际控制人。</w:t>
      </w:r>
    </w:p>
    <w:p w14:paraId="638AA104">
      <w:pPr>
        <w:pStyle w:val="860"/>
        <w:numPr>
          <w:ilvl w:val="0"/>
          <w:numId w:val="6"/>
        </w:numPr>
        <w:spacing w:before="120" w:after="120"/>
      </w:pPr>
      <w:bookmarkStart w:id="145" w:name="_Toc184373665"/>
      <w:bookmarkStart w:id="146" w:name="_Toc4273"/>
      <w:r>
        <w:rPr>
          <w:rFonts w:hint="eastAsia"/>
        </w:rPr>
        <w:t>主营业务发展情况</w:t>
      </w:r>
      <w:bookmarkEnd w:id="145"/>
      <w:bookmarkEnd w:id="146"/>
    </w:p>
    <w:p w14:paraId="7D0F0F09">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（一）主要产品与服务</w:t>
      </w:r>
    </w:p>
    <w:p w14:paraId="52E50B9E">
      <w:pPr>
        <w:spacing w:before="120" w:after="120" w:afterLines="50"/>
        <w:ind w:firstLine="480"/>
        <w:rPr>
          <w:szCs w:val="28"/>
        </w:rPr>
      </w:pPr>
      <w:bookmarkStart w:id="147" w:name="_Hlk191635557"/>
      <w:r>
        <w:rPr>
          <w:rFonts w:hint="eastAsia"/>
          <w:szCs w:val="28"/>
        </w:rPr>
        <w:t>标的公司是一家智能自助设备数字化服务提供商，专注于提供“IoT智能硬件+SaaS云平台”一体化解决方案，致力于实现智能自助设备的物联通讯和数字化升级。自2015年成立以来，标的公司秉承“打造千万级智能设备平台”的长期愿景和“让设备更智能，让生活更美好”的企业使命，已成为国内自助设备物联网硬软件的头部服务商。</w:t>
      </w:r>
    </w:p>
    <w:p w14:paraId="14DDF501">
      <w:pPr>
        <w:spacing w:before="120" w:after="120" w:afterLines="50"/>
        <w:ind w:firstLine="480"/>
        <w:rPr>
          <w:szCs w:val="28"/>
        </w:rPr>
      </w:pPr>
      <w:r>
        <w:rPr>
          <w:rFonts w:hint="eastAsia"/>
          <w:szCs w:val="28"/>
        </w:rPr>
        <w:t>标的公司是一家积极响应国家制造强国发展战略、赋能制造业数字化转型的高新技术企业，是一家创新驱动的硬科技和数字经济企业。截止2024年12月31日，标的公司累计获得157项专利，其中发明专利62项。标的公司2023年及2024年度分别被工业和信息化部评为“专精特新‘小巨人’企业”“国家级专精特新重点‘小巨人’企业”，主营业务属于国家战略新兴产业并符合新质生产力相关要求。标的公司先后荣获“广东自助设备产业链数字化应用工程技术研究中心”“中国国际物联网产业大奖（优秀平台奖）”“中国产学研合作创新示范企业”“2023年度世界物联网大会年度优秀企业奖”“2023中国物联网企业投资价值50强”“2024世界物联网500强·潜力榜百强”“2024新质生产力高企百强榜”等荣誉。</w:t>
      </w:r>
    </w:p>
    <w:p w14:paraId="6702CF8A">
      <w:pPr>
        <w:spacing w:before="120" w:after="120" w:afterLines="50"/>
        <w:ind w:firstLine="480"/>
        <w:rPr>
          <w:szCs w:val="28"/>
        </w:rPr>
      </w:pPr>
      <w:r>
        <w:rPr>
          <w:rFonts w:hint="eastAsia"/>
          <w:szCs w:val="28"/>
        </w:rPr>
        <w:t>自2015年成立以来，标的公司的业务规模始终保持较快增速，业务潜力不断加速释放。2015年，标的公司前身深圳乐摇摇信息科技有限公司正式成立，开始布局智慧生活领域；2016年，标的公司自助设备在线规模首次达到1万台；2017年，标的公司自助设备在线规模达到10万台；2021年，标的公司完成智慧出行、智慧零售等领域的布局，自助设备在线规模达到100万台；2024年，标的公司自助设备在线规模超过300万台。2016年至2024年，标的公司自助设备在线规模持续保持高速增长态势，年均复合增长率超</w:t>
      </w:r>
      <w:r>
        <w:rPr>
          <w:szCs w:val="28"/>
        </w:rPr>
        <w:t>100</w:t>
      </w:r>
      <w:r>
        <w:rPr>
          <w:rFonts w:hint="eastAsia"/>
          <w:szCs w:val="28"/>
        </w:rPr>
        <w:t>%。</w:t>
      </w:r>
    </w:p>
    <w:p w14:paraId="56FC5C97">
      <w:pPr>
        <w:spacing w:before="120" w:after="120" w:afterLines="50"/>
        <w:ind w:firstLine="480"/>
        <w:rPr>
          <w:szCs w:val="28"/>
        </w:rPr>
      </w:pPr>
      <w:r>
        <w:rPr>
          <w:rFonts w:hint="eastAsia"/>
          <w:szCs w:val="28"/>
        </w:rPr>
        <w:t>经过长期深耕，标的公司已经成长为自助设备物联网细分领域的头部企业之一。截至</w:t>
      </w:r>
      <w:r>
        <w:rPr>
          <w:szCs w:val="28"/>
        </w:rPr>
        <w:t>2024</w:t>
      </w:r>
      <w:r>
        <w:rPr>
          <w:rFonts w:hint="eastAsia"/>
          <w:szCs w:val="28"/>
        </w:rPr>
        <w:t>年</w:t>
      </w:r>
      <w:r>
        <w:rPr>
          <w:szCs w:val="28"/>
        </w:rPr>
        <w:t>12</w:t>
      </w:r>
      <w:r>
        <w:rPr>
          <w:rFonts w:hint="eastAsia"/>
          <w:szCs w:val="28"/>
        </w:rPr>
        <w:t>月，标的公司全平台在线智能自助设备总数超过</w:t>
      </w:r>
      <w:r>
        <w:rPr>
          <w:szCs w:val="28"/>
        </w:rPr>
        <w:t>300</w:t>
      </w:r>
      <w:r>
        <w:rPr>
          <w:rFonts w:hint="eastAsia"/>
          <w:szCs w:val="28"/>
        </w:rPr>
        <w:t>万台，已覆盖全国</w:t>
      </w:r>
      <w:r>
        <w:rPr>
          <w:szCs w:val="28"/>
        </w:rPr>
        <w:t>600</w:t>
      </w:r>
      <w:r>
        <w:rPr>
          <w:rFonts w:hint="eastAsia"/>
          <w:szCs w:val="28"/>
        </w:rPr>
        <w:t>多个城市。同时，标的公司已和</w:t>
      </w:r>
      <w:r>
        <w:rPr>
          <w:szCs w:val="28"/>
        </w:rPr>
        <w:t>8,000</w:t>
      </w:r>
      <w:r>
        <w:rPr>
          <w:rFonts w:hint="eastAsia"/>
          <w:szCs w:val="28"/>
        </w:rPr>
        <w:t>余家制造工厂达成深度合作，累计服务运营商家超</w:t>
      </w:r>
      <w:r>
        <w:rPr>
          <w:szCs w:val="28"/>
        </w:rPr>
        <w:t>50</w:t>
      </w:r>
      <w:r>
        <w:rPr>
          <w:rFonts w:hint="eastAsia"/>
          <w:szCs w:val="28"/>
        </w:rPr>
        <w:t>万家，并为逾</w:t>
      </w:r>
      <w:r>
        <w:rPr>
          <w:szCs w:val="28"/>
        </w:rPr>
        <w:t>4.</w:t>
      </w:r>
      <w:r>
        <w:rPr>
          <w:rFonts w:hint="eastAsia"/>
          <w:szCs w:val="28"/>
        </w:rPr>
        <w:t>9亿用户提供智能服务。截至本预案签署日，标的公司全部终端设备单日支付笔数峰值突破7</w:t>
      </w:r>
      <w:r>
        <w:rPr>
          <w:szCs w:val="28"/>
        </w:rPr>
        <w:t>00</w:t>
      </w:r>
      <w:r>
        <w:rPr>
          <w:rFonts w:hint="eastAsia"/>
          <w:szCs w:val="28"/>
        </w:rPr>
        <w:t>万笔，单月移动支付流水峰值超过</w:t>
      </w:r>
      <w:r>
        <w:rPr>
          <w:szCs w:val="28"/>
        </w:rPr>
        <w:t>2</w:t>
      </w:r>
      <w:r>
        <w:rPr>
          <w:rFonts w:hint="eastAsia"/>
          <w:szCs w:val="28"/>
        </w:rPr>
        <w:t>1亿元。</w:t>
      </w:r>
    </w:p>
    <w:p w14:paraId="65FB4F9A">
      <w:pPr>
        <w:spacing w:before="120" w:after="120" w:afterLines="50"/>
        <w:ind w:firstLine="480"/>
        <w:rPr>
          <w:szCs w:val="28"/>
        </w:rPr>
      </w:pPr>
      <w:r>
        <w:rPr>
          <w:rFonts w:hint="eastAsia"/>
          <w:szCs w:val="28"/>
        </w:rPr>
        <w:t>通过融合物联网、人工智能、大数据和云计算等技术，标的公司的主要产品及服务如下：</w:t>
      </w:r>
    </w:p>
    <w:bookmarkEnd w:id="147"/>
    <w:p w14:paraId="0E38DBF3">
      <w:pPr>
        <w:spacing w:before="120" w:after="120" w:afterLines="50"/>
        <w:ind w:firstLine="482"/>
        <w:rPr>
          <w:b/>
          <w:bCs/>
          <w:szCs w:val="28"/>
        </w:rPr>
      </w:pPr>
      <w:r>
        <w:rPr>
          <w:rFonts w:hint="eastAsia"/>
          <w:b/>
          <w:bCs/>
          <w:szCs w:val="28"/>
        </w:rPr>
        <w:t>（1）IoT智能硬件</w:t>
      </w:r>
    </w:p>
    <w:p w14:paraId="47BDA882">
      <w:pPr>
        <w:spacing w:before="120" w:after="120" w:afterLines="50"/>
        <w:ind w:firstLine="480"/>
        <w:rPr>
          <w:szCs w:val="28"/>
        </w:rPr>
      </w:pPr>
      <w:r>
        <w:rPr>
          <w:rFonts w:hint="eastAsia"/>
          <w:szCs w:val="28"/>
        </w:rPr>
        <w:t>标的公司提供丰富的物联网硬件模块选项，对各类自助设备进行数智化赋能，在大幅节省客户研发适配成本的同时，为自助设备制造商客户提供“稳、快、智”的物联网硬件解决方案。</w:t>
      </w:r>
    </w:p>
    <w:p w14:paraId="2CDB3FBF">
      <w:pPr>
        <w:spacing w:before="120" w:after="120" w:afterLines="50"/>
        <w:ind w:firstLine="480"/>
        <w:rPr>
          <w:szCs w:val="28"/>
        </w:rPr>
      </w:pPr>
      <w:r>
        <w:rPr>
          <w:rFonts w:hint="eastAsia"/>
          <w:szCs w:val="28"/>
        </w:rPr>
        <w:t>标的公司基于自有IoT核心技术，自研七大系列IoT通讯硬件，包括集成模组方案，智能终端主板、智能IoT盒子、行业IoT主板、反扫IoT套件、刷脸IoT套件、智能中控套件。标的公司</w:t>
      </w:r>
      <w:r>
        <w:rPr>
          <w:rFonts w:hint="eastAsia" w:cs="Times New Roman"/>
        </w:rPr>
        <w:t>通过加装智能通讯模板，实现设备物联网化，从而帮助下游制造商打通研发、生产、经营管理等各个环节，实现自助设备全生命周期管理。综上，标的公司</w:t>
      </w:r>
      <w:r>
        <w:rPr>
          <w:rFonts w:hint="eastAsia"/>
          <w:szCs w:val="28"/>
        </w:rPr>
        <w:t>根据客户的实际需求，将前述IoT智能硬件产品销售给下游自助设备制造商，从而取得对应的硬件销售收入。</w:t>
      </w:r>
    </w:p>
    <w:p w14:paraId="5674CF99">
      <w:pPr>
        <w:spacing w:before="120" w:after="120" w:afterLines="50"/>
        <w:ind w:firstLine="482"/>
        <w:rPr>
          <w:b/>
          <w:bCs/>
          <w:szCs w:val="28"/>
        </w:rPr>
      </w:pPr>
      <w:r>
        <w:rPr>
          <w:rFonts w:hint="eastAsia"/>
          <w:b/>
          <w:bCs/>
          <w:szCs w:val="28"/>
        </w:rPr>
        <w:t>（2）SaaS云平台</w:t>
      </w:r>
    </w:p>
    <w:p w14:paraId="719346A1">
      <w:pPr>
        <w:spacing w:before="120" w:after="120" w:afterLines="50"/>
        <w:ind w:firstLine="480"/>
        <w:jc w:val="both"/>
        <w:rPr>
          <w:szCs w:val="28"/>
        </w:rPr>
      </w:pPr>
      <w:r>
        <w:rPr>
          <w:rFonts w:hint="eastAsia"/>
          <w:szCs w:val="28"/>
        </w:rPr>
        <w:t>自助设备制造商向标的公司采购IoT智能硬件后完成自助设备集成装机，进而销售给下游的自助设备运营商。在此基础上，标的公司可以进一步向自助设备运营商提供SaaS云平台服务。标的公司基于SaaS云平台，开放边缘算力，布局AI大数据算法，自研自助设备低代码平台，将相关技术与云平台深度融合，使得自助设备运营商能够实现经营管理、设备管理、场地管理、商品管理、数据分析、智能补货、故障预警和安全保障等“一站式管理”操作，为其提供智慧经营决策支持。同时，自助设备运营商亦能利用SaaS云平台高效完成智慧营销、私域构建等“一键式营销”操作。</w:t>
      </w:r>
    </w:p>
    <w:p w14:paraId="1EC4C998">
      <w:pPr>
        <w:spacing w:before="120" w:after="120" w:afterLines="50"/>
        <w:ind w:firstLine="480"/>
        <w:jc w:val="both"/>
        <w:rPr>
          <w:szCs w:val="28"/>
        </w:rPr>
      </w:pPr>
      <w:r>
        <w:rPr>
          <w:rFonts w:hint="eastAsia"/>
          <w:szCs w:val="28"/>
        </w:rPr>
        <w:t>根据所提供运营服务的具体类型，标的公司向自助设备运营商收取包括基础费用（基础订阅服务）和增值费用（增值服务）等在内的SaaS服务费用。此外，基于所提供的聚合支付和数字营销服务，标的公司向对接的第三方持牌支付机构和广告主收取相应服务费用。</w:t>
      </w:r>
    </w:p>
    <w:p w14:paraId="7FE14D2A">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（二）盈利模式</w:t>
      </w:r>
    </w:p>
    <w:p w14:paraId="5A816FBC">
      <w:pPr>
        <w:spacing w:before="120" w:after="120" w:afterLines="50"/>
        <w:ind w:firstLine="480"/>
        <w:jc w:val="both"/>
        <w:rPr>
          <w:rFonts w:cs="Times New Roman"/>
          <w:kern w:val="2"/>
          <w:szCs w:val="28"/>
        </w:rPr>
      </w:pPr>
      <w:r>
        <w:rPr>
          <w:rFonts w:hint="eastAsia" w:cs="Times New Roman"/>
          <w:kern w:val="2"/>
          <w:szCs w:val="28"/>
        </w:rPr>
        <w:t>标的公司主营业务为开发和销售</w:t>
      </w:r>
      <w:r>
        <w:rPr>
          <w:rFonts w:hint="eastAsia"/>
          <w:szCs w:val="28"/>
        </w:rPr>
        <w:t>IoT</w:t>
      </w:r>
      <w:r>
        <w:rPr>
          <w:rFonts w:hint="eastAsia" w:cs="Times New Roman"/>
          <w:kern w:val="2"/>
          <w:szCs w:val="28"/>
        </w:rPr>
        <w:t>智能硬件及配套的SaaS软件系统，并提供相关技术服务。标的公司的收入主要来自两部分：一是标的公司通过向自助设备制造商提供</w:t>
      </w:r>
      <w:r>
        <w:rPr>
          <w:rFonts w:hint="eastAsia"/>
          <w:szCs w:val="28"/>
        </w:rPr>
        <w:t>IoT</w:t>
      </w:r>
      <w:r>
        <w:rPr>
          <w:rFonts w:hint="eastAsia" w:cs="Times New Roman"/>
          <w:kern w:val="2"/>
          <w:szCs w:val="28"/>
        </w:rPr>
        <w:t>智能硬件产品，形成的产品销售收入；二是标的公司通过向自助设备运营商等提供SaaS云平台服务，获取的相应服务费用。</w:t>
      </w:r>
    </w:p>
    <w:p w14:paraId="34BA6B13">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（三）核心竞争力</w:t>
      </w:r>
    </w:p>
    <w:p w14:paraId="6C62509E">
      <w:pPr>
        <w:keepNext/>
        <w:keepLines/>
        <w:adjustRightInd w:val="0"/>
        <w:snapToGrid w:val="0"/>
        <w:spacing w:before="120" w:line="336" w:lineRule="auto"/>
        <w:ind w:firstLine="482"/>
        <w:jc w:val="both"/>
        <w:outlineLvl w:val="3"/>
        <w:rPr>
          <w:rFonts w:cs="Times New Roman"/>
          <w:b/>
          <w:bCs/>
          <w:kern w:val="2"/>
          <w:szCs w:val="28"/>
        </w:rPr>
      </w:pPr>
      <w:r>
        <w:rPr>
          <w:rFonts w:hint="eastAsia" w:cs="Times New Roman"/>
          <w:b/>
          <w:bCs/>
          <w:kern w:val="2"/>
          <w:szCs w:val="28"/>
        </w:rPr>
        <w:t>1、拥有健全领先产品矩阵，全面覆盖终端场景</w:t>
      </w:r>
    </w:p>
    <w:p w14:paraId="39388286">
      <w:pPr>
        <w:spacing w:before="120" w:line="336" w:lineRule="auto"/>
        <w:ind w:firstLine="480"/>
        <w:jc w:val="both"/>
      </w:pPr>
      <w:r>
        <w:rPr>
          <w:rFonts w:hint="eastAsia"/>
        </w:rPr>
        <w:t>标的公司专注于提供“</w:t>
      </w:r>
      <w:r>
        <w:rPr>
          <w:rFonts w:hint="eastAsia"/>
          <w:szCs w:val="28"/>
        </w:rPr>
        <w:t>IoT</w:t>
      </w:r>
      <w:r>
        <w:rPr>
          <w:rFonts w:hint="eastAsia"/>
        </w:rPr>
        <w:t>智能硬件+SaaS云平台”一体化解决方案，实现二者深度耦合。目前，标的公司已经打造覆盖智慧生活解决方案、智慧零售解决方案、智慧出行解决方案等在内的全场景解决方案矩阵，能够全面覆盖多类型的自助设备终端场景，有效满足客户和消费者的多元需求，具体情况如下：</w:t>
      </w:r>
    </w:p>
    <w:p w14:paraId="62DDC957">
      <w:pPr>
        <w:spacing w:before="120" w:line="336" w:lineRule="auto"/>
        <w:ind w:firstLine="480"/>
        <w:jc w:val="both"/>
      </w:pPr>
      <w:r>
        <w:rPr>
          <w:rFonts w:hint="eastAsia"/>
        </w:rPr>
        <w:t>标的公司提供成熟可靠的IoT智能硬件产品，</w:t>
      </w:r>
      <w:r>
        <w:rPr>
          <w:rFonts w:hint="eastAsia" w:ascii="宋体" w:hAnsi="宋体"/>
          <w:bCs/>
        </w:rPr>
        <w:t>依托集成芯片模组方案及边缘算力能力，并通过统一的底层SDK实现各类传感器数据及协议标准化</w:t>
      </w:r>
      <w:r>
        <w:rPr>
          <w:rFonts w:ascii="宋体" w:hAnsi="宋体"/>
          <w:bCs/>
        </w:rPr>
        <w:t>。制造商</w:t>
      </w:r>
      <w:r>
        <w:rPr>
          <w:rFonts w:hint="eastAsia" w:ascii="宋体" w:hAnsi="宋体"/>
          <w:bCs/>
        </w:rPr>
        <w:t>仅</w:t>
      </w:r>
      <w:r>
        <w:rPr>
          <w:rFonts w:ascii="宋体" w:hAnsi="宋体"/>
          <w:bCs/>
        </w:rPr>
        <w:t>需专注自身产品硬件接口的控制，</w:t>
      </w:r>
      <w:r>
        <w:rPr>
          <w:rFonts w:hint="eastAsia" w:ascii="宋体" w:hAnsi="宋体"/>
          <w:bCs/>
        </w:rPr>
        <w:t>即可借助标的公司提供的集成芯片模组，补足自助设备控制主板的智能化与数字化升级短板，提升硬件研发能力，</w:t>
      </w:r>
      <w:r>
        <w:rPr>
          <w:rFonts w:ascii="宋体" w:hAnsi="宋体"/>
          <w:bCs/>
        </w:rPr>
        <w:t>实现设备在生产测试环节的全流程监测，</w:t>
      </w:r>
      <w:r>
        <w:rPr>
          <w:rFonts w:hint="eastAsia" w:ascii="宋体" w:hAnsi="宋体"/>
          <w:bCs/>
        </w:rPr>
        <w:t>从而提升产品</w:t>
      </w:r>
      <w:r>
        <w:rPr>
          <w:rFonts w:ascii="宋体" w:hAnsi="宋体"/>
          <w:bCs/>
        </w:rPr>
        <w:t>质量。</w:t>
      </w:r>
      <w:r>
        <w:rPr>
          <w:rFonts w:hint="eastAsia" w:ascii="宋体" w:hAnsi="宋体"/>
          <w:bCs/>
        </w:rPr>
        <w:t>标的公司在智慧硬件产业链已形成规模化优势，能够进一步降低综合成本，为市场提供更具性价比的智能硬件解决方案。</w:t>
      </w:r>
    </w:p>
    <w:p w14:paraId="62A418F2">
      <w:pPr>
        <w:keepNext/>
        <w:keepLines/>
        <w:adjustRightInd w:val="0"/>
        <w:snapToGrid w:val="0"/>
        <w:spacing w:before="120" w:line="336" w:lineRule="auto"/>
        <w:ind w:firstLine="480"/>
        <w:jc w:val="both"/>
      </w:pPr>
      <w:r>
        <w:rPr>
          <w:rFonts w:hint="eastAsia"/>
        </w:rPr>
        <w:t>同时，标的公司还提供功能强大、稳定可靠的SaaS云平台服务，</w:t>
      </w:r>
      <w:r>
        <w:rPr>
          <w:rFonts w:hint="eastAsia"/>
          <w:szCs w:val="28"/>
        </w:rPr>
        <w:t>助力自助设备运营商实现经营管理、设备监控、商品调配、数据分析、智能补货及故障预警等“一站式”高效管理，赋能智慧经营决策。此外，该SaaS云平台服务还能为自助设备运营商提供安全保障、智慧营销等方面支持，全方位</w:t>
      </w:r>
      <w:r>
        <w:rPr>
          <w:rFonts w:hint="eastAsia"/>
        </w:rPr>
        <w:t>助力其提升管理效率，优化商业效益。</w:t>
      </w:r>
    </w:p>
    <w:p w14:paraId="300B1FE4">
      <w:pPr>
        <w:keepNext/>
        <w:keepLines/>
        <w:adjustRightInd w:val="0"/>
        <w:snapToGrid w:val="0"/>
        <w:spacing w:before="120" w:line="336" w:lineRule="auto"/>
        <w:ind w:firstLine="482"/>
        <w:jc w:val="both"/>
        <w:outlineLvl w:val="3"/>
        <w:rPr>
          <w:rFonts w:cs="Times New Roman"/>
          <w:b/>
          <w:bCs/>
          <w:kern w:val="2"/>
          <w:szCs w:val="28"/>
        </w:rPr>
      </w:pPr>
      <w:r>
        <w:rPr>
          <w:rFonts w:hint="eastAsia" w:cs="Times New Roman"/>
          <w:b/>
          <w:bCs/>
          <w:kern w:val="2"/>
          <w:szCs w:val="28"/>
        </w:rPr>
        <w:t>2、高度重视研发创新能力，构建可靠高校的研发体系</w:t>
      </w:r>
    </w:p>
    <w:p w14:paraId="77BB6E9B">
      <w:pPr>
        <w:spacing w:before="120" w:line="336" w:lineRule="auto"/>
        <w:ind w:firstLine="480"/>
        <w:jc w:val="both"/>
      </w:pPr>
      <w:r>
        <w:rPr>
          <w:rFonts w:hint="eastAsia"/>
        </w:rPr>
        <w:t>标的公司始终重视研发创新能力的构建与提升，保持较高的研发投入水平，在长期的经营发展过程中打造出一支研发能力过硬、人员稳定且组成结构合理的精英研发团队。在IoT智能硬件及SaaS云平台技术方面，标的公司始终坚持自主研发，持续进行创新技术投入，通过布局边缘计算、AI大数据算法和自助设备低代码开发平台等方式持续驱动产品升级，满足市场快速迭代需求。同时，公司建立了规范高效的研发管理体系，涵盖《研发资源调配机制》《研发项目立项方案》《技术方案评审机制》等关键流程，确保技术研发的科学性、敏捷性，使产品始终精准契合市场需求。</w:t>
      </w:r>
    </w:p>
    <w:p w14:paraId="6A3285ED">
      <w:pPr>
        <w:keepNext/>
        <w:keepLines/>
        <w:adjustRightInd w:val="0"/>
        <w:snapToGrid w:val="0"/>
        <w:spacing w:before="120" w:line="336" w:lineRule="auto"/>
        <w:ind w:firstLine="482"/>
        <w:jc w:val="both"/>
        <w:outlineLvl w:val="3"/>
        <w:rPr>
          <w:rFonts w:cs="Times New Roman"/>
          <w:b/>
          <w:bCs/>
          <w:kern w:val="2"/>
          <w:szCs w:val="28"/>
        </w:rPr>
      </w:pPr>
      <w:r>
        <w:rPr>
          <w:rFonts w:hint="eastAsia" w:cs="Times New Roman"/>
          <w:b/>
          <w:bCs/>
          <w:kern w:val="2"/>
          <w:szCs w:val="28"/>
        </w:rPr>
        <w:t>3、长期深耕自助设备行业，客户资源优势突出</w:t>
      </w:r>
    </w:p>
    <w:p w14:paraId="04411052">
      <w:pPr>
        <w:spacing w:before="120" w:line="336" w:lineRule="auto"/>
        <w:ind w:firstLine="480"/>
      </w:pPr>
      <w:r>
        <w:rPr>
          <w:rFonts w:hint="eastAsia"/>
        </w:rPr>
        <w:t>自2015年成立以来，标的公司长期深耕自助设备行业，秉承着行业共赢的理念，通过集成芯片模组，补足自助设备控制主板的智能化、数字化升级短板，提高工业生产合作伙伴的硬件研发能力，从而实现设备在生产测试环节的全流程监测，提高生产质量。依托持续的产品创新、服务优化及敏捷的客户需求响应能力，目前标的公司已与下游各大终端消费场景的自助设备制造商建立了深度战略合作关系，形成了稳定的下游客户生态。截至2024年12月，标的公司已和8,000余家制造工厂达成深度合作，在自助设备领域构建起显著的规模优势和独特的客户资源壁垒。</w:t>
      </w:r>
    </w:p>
    <w:p w14:paraId="7BF8C830">
      <w:pPr>
        <w:keepNext/>
        <w:keepLines/>
        <w:adjustRightInd w:val="0"/>
        <w:snapToGrid w:val="0"/>
        <w:spacing w:before="120" w:line="336" w:lineRule="auto"/>
        <w:ind w:firstLine="482"/>
        <w:jc w:val="both"/>
        <w:outlineLvl w:val="3"/>
        <w:rPr>
          <w:rFonts w:cs="Times New Roman"/>
          <w:b/>
          <w:bCs/>
          <w:kern w:val="2"/>
          <w:szCs w:val="28"/>
        </w:rPr>
      </w:pPr>
      <w:r>
        <w:rPr>
          <w:rFonts w:hint="eastAsia" w:cs="Times New Roman"/>
          <w:b/>
          <w:bCs/>
          <w:kern w:val="2"/>
          <w:szCs w:val="28"/>
        </w:rPr>
        <w:t>4、陪伴物联网设备行业成长，具备较强品牌效应</w:t>
      </w:r>
    </w:p>
    <w:p w14:paraId="1B49A61B">
      <w:pPr>
        <w:spacing w:before="120" w:line="336" w:lineRule="auto"/>
        <w:ind w:firstLine="480"/>
        <w:jc w:val="both"/>
      </w:pPr>
      <w:r>
        <w:rPr>
          <w:rFonts w:hint="eastAsia"/>
        </w:rPr>
        <w:t>标的公司作为国内最早布局自助设备物联网模块及SaaS云平台服务的企业之一，始终秉持“质量先行、客户至上”的核心服务理念，凭借卓越的技术创新能力、快速迭代的产品体系及全流程服务能力，已在行业内铸就了高口碑的品牌形象。标的公司旗下“乐摇摇”等品牌已广为市场认同与接受，通过7*24小时全天候专业客服支持、智能化系统监控及快速响应的技术运维体系，已累计为超过50万家商户提供稳定可靠的技术支持与经营管理赋能，成为广大自助设备运营商日常经营与战略决策的重要合作伙伴</w:t>
      </w:r>
      <w:r>
        <w:rPr>
          <w:rFonts w:hint="eastAsia"/>
          <w:szCs w:val="28"/>
        </w:rPr>
        <w:t>。</w:t>
      </w:r>
      <w:r>
        <w:rPr>
          <w:rFonts w:hint="eastAsia"/>
        </w:rPr>
        <w:t>历经十年深耕，标的公司通过持续的技术沉淀、客户资源积累与品牌价值释放，已成功打造出深层次的客户粘性与较强的行业影响力。</w:t>
      </w:r>
    </w:p>
    <w:p w14:paraId="789B682D">
      <w:pPr>
        <w:pStyle w:val="860"/>
        <w:numPr>
          <w:ilvl w:val="0"/>
          <w:numId w:val="6"/>
        </w:numPr>
        <w:spacing w:before="120" w:after="120"/>
      </w:pPr>
      <w:bookmarkStart w:id="148" w:name="_Toc184137992"/>
      <w:bookmarkEnd w:id="148"/>
      <w:bookmarkStart w:id="149" w:name="_Toc184373666"/>
      <w:bookmarkStart w:id="150" w:name="_Toc26810"/>
      <w:r>
        <w:rPr>
          <w:rFonts w:hint="eastAsia"/>
        </w:rPr>
        <w:t>最近两年主要财务数据</w:t>
      </w:r>
      <w:bookmarkEnd w:id="149"/>
      <w:bookmarkEnd w:id="150"/>
    </w:p>
    <w:p w14:paraId="51F0CEA5">
      <w:pPr>
        <w:keepNext/>
        <w:keepLines/>
        <w:spacing w:before="120" w:after="120" w:afterLines="50"/>
        <w:ind w:firstLine="480"/>
        <w:jc w:val="both"/>
      </w:pPr>
      <w:r>
        <w:rPr>
          <w:rFonts w:hint="eastAsia"/>
        </w:rPr>
        <w:t>截至本预案签署之日，相关证券服务机构尚未完成对标的资产的审计和评估工作，标的公司经审计的财务数据将在重组报告书中予以披露。标的公司最近两年未经审计的主要财务数据如下：</w:t>
      </w:r>
    </w:p>
    <w:bookmarkEnd w:id="131"/>
    <w:bookmarkEnd w:id="132"/>
    <w:bookmarkEnd w:id="133"/>
    <w:bookmarkEnd w:id="134"/>
    <w:bookmarkEnd w:id="135"/>
    <w:bookmarkEnd w:id="136"/>
    <w:bookmarkEnd w:id="137"/>
    <w:bookmarkEnd w:id="138"/>
    <w:bookmarkEnd w:id="139"/>
    <w:bookmarkEnd w:id="140"/>
    <w:p w14:paraId="1A14A50C">
      <w:pPr>
        <w:pStyle w:val="972"/>
      </w:pPr>
      <w:bookmarkStart w:id="151" w:name="_Toc481026524"/>
      <w:bookmarkStart w:id="152" w:name="_Toc86099319"/>
      <w:r>
        <w:rPr>
          <w:rFonts w:hint="eastAsia"/>
        </w:rPr>
        <w:t>单位：万元</w:t>
      </w:r>
    </w:p>
    <w:tbl>
      <w:tblPr>
        <w:tblStyle w:val="76"/>
        <w:tblW w:w="5000" w:type="pct"/>
        <w:jc w:val="center"/>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090"/>
        <w:gridCol w:w="2719"/>
        <w:gridCol w:w="2719"/>
      </w:tblGrid>
      <w:tr w14:paraId="652B1353">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2" w:type="pct"/>
            <w:tcMar>
              <w:top w:w="0" w:type="dxa"/>
              <w:left w:w="108" w:type="dxa"/>
              <w:bottom w:w="0" w:type="dxa"/>
              <w:right w:w="108" w:type="dxa"/>
            </w:tcMar>
            <w:vAlign w:val="center"/>
          </w:tcPr>
          <w:p w14:paraId="4C871A64">
            <w:pPr>
              <w:spacing w:before="0" w:beforeLines="0" w:line="240" w:lineRule="auto"/>
              <w:ind w:firstLine="0" w:firstLineChars="0"/>
              <w:jc w:val="center"/>
            </w:pPr>
            <w:r>
              <w:rPr>
                <w:rFonts w:hint="eastAsia" w:cs="Times New Roman"/>
                <w:b/>
                <w:kern w:val="2"/>
                <w:sz w:val="21"/>
                <w:szCs w:val="21"/>
              </w:rPr>
              <w:t>项目</w:t>
            </w:r>
          </w:p>
        </w:tc>
        <w:tc>
          <w:tcPr>
            <w:tcW w:w="1594" w:type="pct"/>
            <w:tcMar>
              <w:top w:w="0" w:type="dxa"/>
              <w:left w:w="108" w:type="dxa"/>
              <w:bottom w:w="0" w:type="dxa"/>
              <w:right w:w="108" w:type="dxa"/>
            </w:tcMar>
            <w:vAlign w:val="center"/>
          </w:tcPr>
          <w:p w14:paraId="7CFD0416">
            <w:pPr>
              <w:spacing w:before="0" w:beforeLines="0" w:line="240" w:lineRule="auto"/>
              <w:ind w:firstLine="0" w:firstLineChars="0"/>
              <w:jc w:val="center"/>
              <w:rPr>
                <w:rFonts w:cs="Times New Roman"/>
                <w:b/>
                <w:kern w:val="2"/>
                <w:sz w:val="21"/>
                <w:szCs w:val="21"/>
              </w:rPr>
            </w:pPr>
            <w:r>
              <w:rPr>
                <w:rFonts w:hint="eastAsia" w:cs="Times New Roman"/>
                <w:b/>
                <w:kern w:val="2"/>
                <w:sz w:val="21"/>
                <w:szCs w:val="21"/>
              </w:rPr>
              <w:t>2024年1</w:t>
            </w:r>
            <w:r>
              <w:rPr>
                <w:rFonts w:cs="Times New Roman"/>
                <w:b/>
                <w:kern w:val="2"/>
                <w:sz w:val="21"/>
                <w:szCs w:val="21"/>
              </w:rPr>
              <w:t>2</w:t>
            </w:r>
            <w:r>
              <w:rPr>
                <w:rFonts w:hint="eastAsia" w:cs="Times New Roman"/>
                <w:b/>
                <w:kern w:val="2"/>
                <w:sz w:val="21"/>
                <w:szCs w:val="21"/>
              </w:rPr>
              <w:t>月3</w:t>
            </w:r>
            <w:r>
              <w:rPr>
                <w:rFonts w:cs="Times New Roman"/>
                <w:b/>
                <w:kern w:val="2"/>
                <w:sz w:val="21"/>
                <w:szCs w:val="21"/>
              </w:rPr>
              <w:t>1</w:t>
            </w:r>
            <w:r>
              <w:rPr>
                <w:rFonts w:hint="eastAsia" w:cs="Times New Roman"/>
                <w:b/>
                <w:kern w:val="2"/>
                <w:sz w:val="21"/>
                <w:szCs w:val="21"/>
              </w:rPr>
              <w:t>日/</w:t>
            </w:r>
          </w:p>
          <w:p w14:paraId="2D153130">
            <w:pPr>
              <w:spacing w:before="0" w:beforeLines="0" w:line="240" w:lineRule="auto"/>
              <w:ind w:firstLine="0" w:firstLineChars="0"/>
              <w:jc w:val="center"/>
              <w:rPr>
                <w:rFonts w:cs="Times New Roman"/>
                <w:b/>
                <w:kern w:val="2"/>
                <w:sz w:val="21"/>
                <w:szCs w:val="21"/>
              </w:rPr>
            </w:pPr>
            <w:r>
              <w:rPr>
                <w:rFonts w:hint="eastAsia" w:cs="Times New Roman"/>
                <w:b/>
                <w:kern w:val="2"/>
                <w:sz w:val="21"/>
                <w:szCs w:val="21"/>
              </w:rPr>
              <w:t>2024年度</w:t>
            </w:r>
          </w:p>
        </w:tc>
        <w:tc>
          <w:tcPr>
            <w:tcW w:w="1594" w:type="pct"/>
            <w:tcMar>
              <w:top w:w="0" w:type="dxa"/>
              <w:left w:w="108" w:type="dxa"/>
              <w:bottom w:w="0" w:type="dxa"/>
              <w:right w:w="108" w:type="dxa"/>
            </w:tcMar>
            <w:vAlign w:val="center"/>
          </w:tcPr>
          <w:p w14:paraId="6CB237B6">
            <w:pPr>
              <w:spacing w:before="0" w:beforeLines="0" w:line="240" w:lineRule="auto"/>
              <w:ind w:firstLine="0" w:firstLineChars="0"/>
              <w:jc w:val="center"/>
              <w:rPr>
                <w:rFonts w:cs="Times New Roman"/>
                <w:b/>
                <w:kern w:val="2"/>
                <w:sz w:val="21"/>
                <w:szCs w:val="21"/>
              </w:rPr>
            </w:pPr>
            <w:r>
              <w:rPr>
                <w:rFonts w:hint="eastAsia" w:cs="Times New Roman"/>
                <w:b/>
                <w:kern w:val="2"/>
                <w:sz w:val="21"/>
                <w:szCs w:val="21"/>
              </w:rPr>
              <w:t>2</w:t>
            </w:r>
            <w:r>
              <w:rPr>
                <w:rFonts w:cs="Times New Roman"/>
                <w:b/>
                <w:kern w:val="2"/>
                <w:sz w:val="21"/>
                <w:szCs w:val="21"/>
              </w:rPr>
              <w:t>02</w:t>
            </w:r>
            <w:r>
              <w:rPr>
                <w:rFonts w:hint="eastAsia" w:cs="Times New Roman"/>
                <w:b/>
                <w:kern w:val="2"/>
                <w:sz w:val="21"/>
                <w:szCs w:val="21"/>
              </w:rPr>
              <w:t>3年1</w:t>
            </w:r>
            <w:r>
              <w:rPr>
                <w:rFonts w:cs="Times New Roman"/>
                <w:b/>
                <w:kern w:val="2"/>
                <w:sz w:val="21"/>
                <w:szCs w:val="21"/>
              </w:rPr>
              <w:t>2</w:t>
            </w:r>
            <w:r>
              <w:rPr>
                <w:rFonts w:hint="eastAsia" w:cs="Times New Roman"/>
                <w:b/>
                <w:kern w:val="2"/>
                <w:sz w:val="21"/>
                <w:szCs w:val="21"/>
              </w:rPr>
              <w:t>月3</w:t>
            </w:r>
            <w:r>
              <w:rPr>
                <w:rFonts w:cs="Times New Roman"/>
                <w:b/>
                <w:kern w:val="2"/>
                <w:sz w:val="21"/>
                <w:szCs w:val="21"/>
              </w:rPr>
              <w:t>1</w:t>
            </w:r>
            <w:r>
              <w:rPr>
                <w:rFonts w:hint="eastAsia" w:cs="Times New Roman"/>
                <w:b/>
                <w:kern w:val="2"/>
                <w:sz w:val="21"/>
                <w:szCs w:val="21"/>
              </w:rPr>
              <w:t>日/</w:t>
            </w:r>
          </w:p>
          <w:p w14:paraId="1F1D0333">
            <w:pPr>
              <w:spacing w:before="0" w:beforeLines="0" w:line="240" w:lineRule="auto"/>
              <w:ind w:firstLine="0" w:firstLineChars="0"/>
              <w:jc w:val="center"/>
              <w:rPr>
                <w:rFonts w:cs="Times New Roman"/>
                <w:b/>
                <w:kern w:val="2"/>
                <w:sz w:val="21"/>
                <w:szCs w:val="21"/>
              </w:rPr>
            </w:pPr>
            <w:r>
              <w:rPr>
                <w:rFonts w:hint="eastAsia" w:cs="Times New Roman"/>
                <w:b/>
                <w:kern w:val="2"/>
                <w:sz w:val="21"/>
                <w:szCs w:val="21"/>
              </w:rPr>
              <w:t>2023年度</w:t>
            </w:r>
          </w:p>
        </w:tc>
      </w:tr>
      <w:tr w14:paraId="37A5421D">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2" w:type="pct"/>
            <w:tcMar>
              <w:top w:w="0" w:type="dxa"/>
              <w:left w:w="108" w:type="dxa"/>
              <w:bottom w:w="0" w:type="dxa"/>
              <w:right w:w="108" w:type="dxa"/>
            </w:tcMar>
            <w:vAlign w:val="center"/>
          </w:tcPr>
          <w:p w14:paraId="213F5FCF">
            <w:pPr>
              <w:spacing w:before="0" w:beforeLines="0" w:line="240" w:lineRule="auto"/>
              <w:ind w:firstLine="0" w:firstLineChars="0"/>
              <w:jc w:val="center"/>
              <w:rPr>
                <w:rFonts w:cs="Times New Roman"/>
                <w:bCs/>
                <w:kern w:val="2"/>
                <w:sz w:val="21"/>
                <w:szCs w:val="21"/>
              </w:rPr>
            </w:pPr>
            <w:r>
              <w:rPr>
                <w:rFonts w:cs="Times New Roman"/>
                <w:bCs/>
                <w:kern w:val="2"/>
                <w:sz w:val="21"/>
                <w:szCs w:val="21"/>
              </w:rPr>
              <w:t>资产</w:t>
            </w:r>
            <w:r>
              <w:rPr>
                <w:rFonts w:hint="eastAsia" w:cs="Times New Roman"/>
                <w:bCs/>
                <w:kern w:val="2"/>
                <w:sz w:val="21"/>
                <w:szCs w:val="21"/>
              </w:rPr>
              <w:t>总额</w:t>
            </w:r>
          </w:p>
        </w:tc>
        <w:tc>
          <w:tcPr>
            <w:tcW w:w="2719" w:type="dxa"/>
            <w:tcMar>
              <w:top w:w="0" w:type="dxa"/>
              <w:left w:w="108" w:type="dxa"/>
              <w:bottom w:w="0" w:type="dxa"/>
              <w:right w:w="108" w:type="dxa"/>
            </w:tcMar>
            <w:vAlign w:val="center"/>
          </w:tcPr>
          <w:p w14:paraId="65F4F824">
            <w:pPr>
              <w:keepNext w:val="0"/>
              <w:keepLines w:val="0"/>
              <w:widowControl/>
              <w:suppressLineNumbers w:val="0"/>
              <w:ind w:firstLine="420" w:firstLineChars="200"/>
              <w:jc w:val="right"/>
              <w:textAlignment w:val="center"/>
              <w:rPr>
                <w:rFonts w:hint="default" w:ascii="Times New Roman" w:hAnsi="Times New Roman" w:cs="Times New Roman"/>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32,924.29</w:t>
            </w:r>
          </w:p>
        </w:tc>
        <w:tc>
          <w:tcPr>
            <w:tcW w:w="2719" w:type="dxa"/>
            <w:tcMar>
              <w:top w:w="0" w:type="dxa"/>
              <w:left w:w="108" w:type="dxa"/>
              <w:bottom w:w="0" w:type="dxa"/>
              <w:right w:w="108" w:type="dxa"/>
            </w:tcMar>
            <w:vAlign w:val="center"/>
          </w:tcPr>
          <w:p w14:paraId="79784FFC">
            <w:pPr>
              <w:keepNext w:val="0"/>
              <w:keepLines w:val="0"/>
              <w:widowControl/>
              <w:suppressLineNumbers w:val="0"/>
              <w:ind w:firstLine="420" w:firstLineChars="200"/>
              <w:jc w:val="right"/>
              <w:textAlignment w:val="center"/>
              <w:rPr>
                <w:rFonts w:hint="default" w:ascii="Times New Roman" w:hAnsi="Times New Roman" w:cs="Times New Roman"/>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56,608.40</w:t>
            </w:r>
          </w:p>
        </w:tc>
      </w:tr>
      <w:tr w14:paraId="2532A63F">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2" w:type="pct"/>
            <w:tcMar>
              <w:top w:w="0" w:type="dxa"/>
              <w:left w:w="108" w:type="dxa"/>
              <w:bottom w:w="0" w:type="dxa"/>
              <w:right w:w="108" w:type="dxa"/>
            </w:tcMar>
            <w:vAlign w:val="center"/>
          </w:tcPr>
          <w:p w14:paraId="306EEAC5">
            <w:pPr>
              <w:spacing w:before="0" w:beforeLines="0" w:line="240" w:lineRule="auto"/>
              <w:ind w:firstLine="0" w:firstLineChars="0"/>
              <w:jc w:val="center"/>
              <w:rPr>
                <w:rFonts w:cs="Times New Roman"/>
                <w:bCs/>
                <w:kern w:val="2"/>
                <w:sz w:val="21"/>
                <w:szCs w:val="21"/>
              </w:rPr>
            </w:pPr>
            <w:r>
              <w:rPr>
                <w:rFonts w:hint="eastAsia" w:cs="Times New Roman"/>
                <w:bCs/>
                <w:kern w:val="2"/>
                <w:sz w:val="21"/>
                <w:szCs w:val="21"/>
              </w:rPr>
              <w:t>负债总额</w:t>
            </w:r>
          </w:p>
        </w:tc>
        <w:tc>
          <w:tcPr>
            <w:tcW w:w="2719" w:type="dxa"/>
            <w:tcMar>
              <w:top w:w="0" w:type="dxa"/>
              <w:left w:w="108" w:type="dxa"/>
              <w:bottom w:w="0" w:type="dxa"/>
              <w:right w:w="108" w:type="dxa"/>
            </w:tcMar>
            <w:vAlign w:val="center"/>
          </w:tcPr>
          <w:p w14:paraId="56B91C81">
            <w:pPr>
              <w:keepNext w:val="0"/>
              <w:keepLines w:val="0"/>
              <w:widowControl/>
              <w:suppressLineNumbers w:val="0"/>
              <w:ind w:firstLine="420" w:firstLineChars="200"/>
              <w:jc w:val="right"/>
              <w:textAlignment w:val="center"/>
              <w:rPr>
                <w:rFonts w:hint="default" w:ascii="Times New Roman" w:hAnsi="Times New Roman" w:cs="Times New Roman"/>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15,507.11</w:t>
            </w:r>
          </w:p>
        </w:tc>
        <w:tc>
          <w:tcPr>
            <w:tcW w:w="2719" w:type="dxa"/>
            <w:tcMar>
              <w:top w:w="0" w:type="dxa"/>
              <w:left w:w="108" w:type="dxa"/>
              <w:bottom w:w="0" w:type="dxa"/>
              <w:right w:w="108" w:type="dxa"/>
            </w:tcMar>
            <w:vAlign w:val="center"/>
          </w:tcPr>
          <w:p w14:paraId="2DE298F2">
            <w:pPr>
              <w:keepNext w:val="0"/>
              <w:keepLines w:val="0"/>
              <w:widowControl/>
              <w:suppressLineNumbers w:val="0"/>
              <w:ind w:firstLine="420" w:firstLineChars="200"/>
              <w:jc w:val="right"/>
              <w:textAlignment w:val="center"/>
              <w:rPr>
                <w:rFonts w:hint="default" w:ascii="Times New Roman" w:hAnsi="Times New Roman" w:cs="Times New Roman"/>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12,553.93</w:t>
            </w:r>
          </w:p>
        </w:tc>
      </w:tr>
      <w:tr w14:paraId="228B17DC">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2" w:type="pct"/>
            <w:tcMar>
              <w:top w:w="0" w:type="dxa"/>
              <w:left w:w="108" w:type="dxa"/>
              <w:bottom w:w="0" w:type="dxa"/>
              <w:right w:w="108" w:type="dxa"/>
            </w:tcMar>
            <w:vAlign w:val="center"/>
          </w:tcPr>
          <w:p w14:paraId="3781D1DF">
            <w:pPr>
              <w:spacing w:before="0" w:beforeLines="0" w:line="240" w:lineRule="auto"/>
              <w:ind w:firstLine="0" w:firstLineChars="0"/>
              <w:jc w:val="center"/>
              <w:rPr>
                <w:rFonts w:cs="Times New Roman"/>
                <w:bCs/>
                <w:kern w:val="2"/>
                <w:sz w:val="21"/>
                <w:szCs w:val="21"/>
              </w:rPr>
            </w:pPr>
            <w:r>
              <w:rPr>
                <w:rFonts w:hint="eastAsia" w:cs="Times New Roman"/>
                <w:bCs/>
                <w:kern w:val="2"/>
                <w:sz w:val="21"/>
                <w:szCs w:val="21"/>
              </w:rPr>
              <w:t>所有者权益</w:t>
            </w:r>
          </w:p>
        </w:tc>
        <w:tc>
          <w:tcPr>
            <w:tcW w:w="2719" w:type="dxa"/>
            <w:tcMar>
              <w:top w:w="0" w:type="dxa"/>
              <w:left w:w="108" w:type="dxa"/>
              <w:bottom w:w="0" w:type="dxa"/>
              <w:right w:w="108" w:type="dxa"/>
            </w:tcMar>
            <w:vAlign w:val="center"/>
          </w:tcPr>
          <w:p w14:paraId="05118478">
            <w:pPr>
              <w:keepNext w:val="0"/>
              <w:keepLines w:val="0"/>
              <w:widowControl/>
              <w:suppressLineNumbers w:val="0"/>
              <w:ind w:firstLine="420" w:firstLineChars="200"/>
              <w:jc w:val="right"/>
              <w:textAlignment w:val="center"/>
              <w:rPr>
                <w:rFonts w:hint="default" w:ascii="Times New Roman" w:hAnsi="Times New Roman" w:cs="Times New Roman"/>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17,417.18</w:t>
            </w:r>
          </w:p>
        </w:tc>
        <w:tc>
          <w:tcPr>
            <w:tcW w:w="2719" w:type="dxa"/>
            <w:tcMar>
              <w:top w:w="0" w:type="dxa"/>
              <w:left w:w="108" w:type="dxa"/>
              <w:bottom w:w="0" w:type="dxa"/>
              <w:right w:w="108" w:type="dxa"/>
            </w:tcMar>
            <w:vAlign w:val="center"/>
          </w:tcPr>
          <w:p w14:paraId="15DC36B0">
            <w:pPr>
              <w:keepNext w:val="0"/>
              <w:keepLines w:val="0"/>
              <w:widowControl/>
              <w:suppressLineNumbers w:val="0"/>
              <w:ind w:firstLine="420" w:firstLineChars="200"/>
              <w:jc w:val="right"/>
              <w:textAlignment w:val="center"/>
              <w:rPr>
                <w:rFonts w:hint="default" w:ascii="Times New Roman" w:hAnsi="Times New Roman" w:cs="Times New Roman"/>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44,054.47</w:t>
            </w:r>
          </w:p>
        </w:tc>
      </w:tr>
      <w:tr w14:paraId="5FE19FDD">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2" w:type="pct"/>
            <w:tcMar>
              <w:top w:w="0" w:type="dxa"/>
              <w:left w:w="108" w:type="dxa"/>
              <w:bottom w:w="0" w:type="dxa"/>
              <w:right w:w="108" w:type="dxa"/>
            </w:tcMar>
            <w:vAlign w:val="center"/>
          </w:tcPr>
          <w:p w14:paraId="59A88B2C">
            <w:pPr>
              <w:spacing w:before="0" w:beforeLines="0" w:line="240" w:lineRule="auto"/>
              <w:ind w:firstLine="0" w:firstLineChars="0"/>
              <w:jc w:val="center"/>
              <w:rPr>
                <w:rFonts w:cs="Times New Roman"/>
                <w:bCs/>
                <w:kern w:val="2"/>
                <w:sz w:val="21"/>
                <w:szCs w:val="21"/>
              </w:rPr>
            </w:pPr>
            <w:r>
              <w:rPr>
                <w:rFonts w:hint="eastAsia" w:cs="Times New Roman"/>
                <w:bCs/>
                <w:kern w:val="2"/>
                <w:sz w:val="21"/>
                <w:szCs w:val="21"/>
              </w:rPr>
              <w:t>营业收入</w:t>
            </w:r>
          </w:p>
        </w:tc>
        <w:tc>
          <w:tcPr>
            <w:tcW w:w="2719" w:type="dxa"/>
            <w:tcMar>
              <w:top w:w="0" w:type="dxa"/>
              <w:left w:w="108" w:type="dxa"/>
              <w:bottom w:w="0" w:type="dxa"/>
              <w:right w:w="108" w:type="dxa"/>
            </w:tcMar>
            <w:vAlign w:val="center"/>
          </w:tcPr>
          <w:p w14:paraId="78C16E2D">
            <w:pPr>
              <w:keepNext w:val="0"/>
              <w:keepLines w:val="0"/>
              <w:widowControl/>
              <w:suppressLineNumbers w:val="0"/>
              <w:ind w:firstLine="420" w:firstLineChars="200"/>
              <w:jc w:val="right"/>
              <w:textAlignment w:val="center"/>
              <w:rPr>
                <w:rFonts w:hint="default" w:ascii="Times New Roman" w:hAnsi="Times New Roman" w:cs="Times New Roman"/>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44,470.26</w:t>
            </w:r>
          </w:p>
        </w:tc>
        <w:tc>
          <w:tcPr>
            <w:tcW w:w="2719" w:type="dxa"/>
            <w:tcMar>
              <w:top w:w="0" w:type="dxa"/>
              <w:left w:w="108" w:type="dxa"/>
              <w:bottom w:w="0" w:type="dxa"/>
              <w:right w:w="108" w:type="dxa"/>
            </w:tcMar>
            <w:vAlign w:val="center"/>
          </w:tcPr>
          <w:p w14:paraId="6B7D5372">
            <w:pPr>
              <w:keepNext w:val="0"/>
              <w:keepLines w:val="0"/>
              <w:widowControl/>
              <w:suppressLineNumbers w:val="0"/>
              <w:ind w:firstLine="420" w:firstLineChars="200"/>
              <w:jc w:val="right"/>
              <w:textAlignment w:val="center"/>
              <w:rPr>
                <w:rFonts w:hint="default" w:ascii="Times New Roman" w:hAnsi="Times New Roman" w:cs="Times New Roman"/>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38,599.34</w:t>
            </w:r>
          </w:p>
        </w:tc>
      </w:tr>
      <w:tr w14:paraId="3D530441">
        <w:tblPrEx>
          <w:tblBorders>
            <w:top w:val="single" w:color="auto" w:sz="12" w:space="0"/>
            <w:left w:val="single" w:color="auto" w:sz="12" w:space="0"/>
            <w:bottom w:val="single" w:color="000000"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2" w:type="pct"/>
            <w:tcMar>
              <w:top w:w="0" w:type="dxa"/>
              <w:left w:w="108" w:type="dxa"/>
              <w:bottom w:w="0" w:type="dxa"/>
              <w:right w:w="108" w:type="dxa"/>
            </w:tcMar>
            <w:vAlign w:val="center"/>
          </w:tcPr>
          <w:p w14:paraId="500C76AB">
            <w:pPr>
              <w:spacing w:before="0" w:beforeLines="0" w:line="240" w:lineRule="auto"/>
              <w:ind w:firstLine="0" w:firstLineChars="0"/>
              <w:jc w:val="center"/>
              <w:rPr>
                <w:rFonts w:cs="Times New Roman"/>
                <w:bCs/>
                <w:kern w:val="2"/>
                <w:sz w:val="21"/>
                <w:szCs w:val="21"/>
              </w:rPr>
            </w:pPr>
            <w:r>
              <w:rPr>
                <w:rFonts w:hint="eastAsia" w:cs="Times New Roman"/>
                <w:bCs/>
                <w:kern w:val="2"/>
                <w:sz w:val="21"/>
                <w:szCs w:val="21"/>
              </w:rPr>
              <w:t>净利润</w:t>
            </w:r>
          </w:p>
        </w:tc>
        <w:tc>
          <w:tcPr>
            <w:tcW w:w="2719" w:type="dxa"/>
            <w:tcMar>
              <w:top w:w="0" w:type="dxa"/>
              <w:left w:w="108" w:type="dxa"/>
              <w:bottom w:w="0" w:type="dxa"/>
              <w:right w:w="108" w:type="dxa"/>
            </w:tcMar>
            <w:vAlign w:val="center"/>
          </w:tcPr>
          <w:p w14:paraId="6FCDF3F2">
            <w:pPr>
              <w:keepNext w:val="0"/>
              <w:keepLines w:val="0"/>
              <w:widowControl/>
              <w:suppressLineNumbers w:val="0"/>
              <w:ind w:firstLine="420" w:firstLineChars="200"/>
              <w:jc w:val="right"/>
              <w:textAlignment w:val="center"/>
              <w:rPr>
                <w:rFonts w:hint="default" w:ascii="Times New Roman" w:hAnsi="Times New Roman" w:cs="Times New Roman"/>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9,071.29</w:t>
            </w:r>
          </w:p>
        </w:tc>
        <w:tc>
          <w:tcPr>
            <w:tcW w:w="2719" w:type="dxa"/>
            <w:tcMar>
              <w:top w:w="0" w:type="dxa"/>
              <w:left w:w="108" w:type="dxa"/>
              <w:bottom w:w="0" w:type="dxa"/>
              <w:right w:w="108" w:type="dxa"/>
            </w:tcMar>
            <w:vAlign w:val="center"/>
          </w:tcPr>
          <w:p w14:paraId="6F413633">
            <w:pPr>
              <w:keepNext w:val="0"/>
              <w:keepLines w:val="0"/>
              <w:widowControl/>
              <w:suppressLineNumbers w:val="0"/>
              <w:ind w:firstLine="420" w:firstLineChars="200"/>
              <w:jc w:val="right"/>
              <w:textAlignment w:val="center"/>
              <w:rPr>
                <w:rFonts w:hint="default" w:ascii="Times New Roman" w:hAnsi="Times New Roman" w:cs="Times New Roman"/>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4,818.97</w:t>
            </w:r>
          </w:p>
        </w:tc>
      </w:tr>
    </w:tbl>
    <w:p w14:paraId="71EFC621">
      <w:pPr>
        <w:pStyle w:val="952"/>
      </w:pPr>
      <w:r>
        <w:t>注</w:t>
      </w:r>
      <w:r>
        <w:rPr>
          <w:rFonts w:hint="eastAsia"/>
        </w:rPr>
        <w:t>：最近两年的财务数据为未经审计数据。</w:t>
      </w:r>
      <w:bookmarkEnd w:id="151"/>
      <w:bookmarkEnd w:id="152"/>
      <w:r>
        <w:br w:type="page"/>
      </w:r>
    </w:p>
    <w:p w14:paraId="547F29DF">
      <w:pPr>
        <w:pStyle w:val="817"/>
        <w:spacing w:before="120" w:after="120"/>
      </w:pPr>
      <w:bookmarkStart w:id="153" w:name="_Toc2711"/>
      <w:r>
        <w:t>第五节</w:t>
      </w:r>
      <w:r>
        <w:rPr>
          <w:rFonts w:hint="eastAsia"/>
          <w:lang w:val="en-US"/>
        </w:rPr>
        <w:t xml:space="preserve"> </w:t>
      </w:r>
      <w:r>
        <w:t>标的资产预估作价情况</w:t>
      </w:r>
      <w:bookmarkEnd w:id="153"/>
    </w:p>
    <w:p w14:paraId="728985E4">
      <w:pPr>
        <w:adjustRightInd w:val="0"/>
        <w:snapToGrid w:val="0"/>
        <w:spacing w:before="120"/>
        <w:ind w:firstLine="480"/>
        <w:rPr>
          <w:rFonts w:cs="Times New Roman"/>
        </w:rPr>
      </w:pPr>
      <w:r>
        <w:rPr>
          <w:rFonts w:cs="Times New Roman"/>
        </w:rPr>
        <w:t>截至本预案签署日，本次交易相关的审计、评估工作尚未完成，标的资产拟定交易价格尚未最终确定。本次重组涉及的标的资产最终财务数据、评估结果将在符合《证券法》规定的会计师事务所、评估机构出具正式审计报告、评估报告后确定，相关资产经审计的财务数据、资产评估结果和最终交易价格将在重组报告书中予以披露。</w:t>
      </w:r>
    </w:p>
    <w:p w14:paraId="22904FD0">
      <w:pPr>
        <w:adjustRightInd w:val="0"/>
        <w:snapToGrid w:val="0"/>
        <w:spacing w:before="120"/>
        <w:ind w:firstLine="480"/>
        <w:rPr>
          <w:rFonts w:cs="Times New Roman"/>
        </w:rPr>
      </w:pPr>
      <w:r>
        <w:rPr>
          <w:rFonts w:cs="Times New Roman"/>
        </w:rPr>
        <w:t>交易各方同意，标的资产的最终交易价格将参考上市公司聘请的符合《证券法》规定的资产评估机构出具的资产评估报告载明的评估值，由交易各方协商确定。</w:t>
      </w:r>
    </w:p>
    <w:p w14:paraId="1F90731A">
      <w:pPr>
        <w:widowControl/>
        <w:spacing w:before="0" w:beforeLines="0" w:line="240" w:lineRule="auto"/>
        <w:ind w:firstLine="0" w:firstLineChars="0"/>
        <w:rPr>
          <w:rFonts w:hint="eastAsia" w:ascii="黑体" w:hAnsi="黑体" w:eastAsia="黑体" w:cs="Times New Roman"/>
          <w:b/>
          <w:bCs/>
          <w:sz w:val="32"/>
          <w:szCs w:val="32"/>
        </w:rPr>
      </w:pPr>
      <w:r>
        <w:rPr>
          <w:rFonts w:ascii="黑体" w:hAnsi="黑体" w:eastAsia="黑体" w:cs="Times New Roman"/>
          <w:b/>
          <w:bCs/>
          <w:sz w:val="32"/>
          <w:szCs w:val="32"/>
        </w:rPr>
        <w:br w:type="page"/>
      </w:r>
    </w:p>
    <w:p w14:paraId="794D0FE6">
      <w:pPr>
        <w:pStyle w:val="817"/>
        <w:spacing w:before="120" w:after="120"/>
      </w:pPr>
      <w:bookmarkStart w:id="154" w:name="_Toc14532"/>
      <w:r>
        <w:t>第六节</w:t>
      </w:r>
      <w:r>
        <w:rPr>
          <w:rFonts w:hint="eastAsia"/>
          <w:lang w:val="en-US"/>
        </w:rPr>
        <w:t xml:space="preserve"> </w:t>
      </w:r>
      <w:r>
        <w:t>发行股份情况</w:t>
      </w:r>
      <w:bookmarkEnd w:id="154"/>
    </w:p>
    <w:p w14:paraId="65068FDC">
      <w:pPr>
        <w:adjustRightInd w:val="0"/>
        <w:snapToGrid w:val="0"/>
        <w:spacing w:before="120"/>
        <w:ind w:firstLine="562"/>
        <w:rPr>
          <w:rFonts w:hint="eastAsia" w:ascii="黑体" w:hAnsi="黑体" w:eastAsia="黑体" w:cs="Times New Roman"/>
          <w:b/>
          <w:bCs/>
          <w:sz w:val="28"/>
          <w:szCs w:val="28"/>
        </w:rPr>
      </w:pPr>
      <w:r>
        <w:rPr>
          <w:rFonts w:ascii="黑体" w:hAnsi="黑体" w:eastAsia="黑体" w:cs="Times New Roman"/>
          <w:b/>
          <w:bCs/>
          <w:sz w:val="28"/>
          <w:szCs w:val="28"/>
        </w:rPr>
        <w:t>一、发行股份</w:t>
      </w:r>
      <w:r>
        <w:rPr>
          <w:rFonts w:hint="eastAsia" w:ascii="黑体" w:hAnsi="黑体" w:eastAsia="黑体" w:cs="Times New Roman"/>
          <w:b/>
          <w:bCs/>
          <w:sz w:val="28"/>
          <w:szCs w:val="28"/>
        </w:rPr>
        <w:t>及支付现金</w:t>
      </w:r>
      <w:r>
        <w:rPr>
          <w:rFonts w:ascii="黑体" w:hAnsi="黑体" w:eastAsia="黑体" w:cs="Times New Roman"/>
          <w:b/>
          <w:bCs/>
          <w:sz w:val="28"/>
          <w:szCs w:val="28"/>
        </w:rPr>
        <w:t>购买资产</w:t>
      </w:r>
    </w:p>
    <w:p w14:paraId="7C3C0BC2">
      <w:pPr>
        <w:adjustRightInd w:val="0"/>
        <w:snapToGrid w:val="0"/>
        <w:spacing w:before="120"/>
        <w:ind w:firstLine="480"/>
        <w:rPr>
          <w:rFonts w:cs="Times New Roman"/>
        </w:rPr>
      </w:pPr>
      <w:r>
        <w:rPr>
          <w:rFonts w:cs="Times New Roman"/>
        </w:rPr>
        <w:t>本次交易发行股份</w:t>
      </w:r>
      <w:r>
        <w:rPr>
          <w:rFonts w:hint="eastAsia" w:cs="Times New Roman"/>
        </w:rPr>
        <w:t>及支付现金</w:t>
      </w:r>
      <w:r>
        <w:rPr>
          <w:rFonts w:cs="Times New Roman"/>
        </w:rPr>
        <w:t>购买资产情况详见本预案</w:t>
      </w:r>
      <w:r>
        <w:rPr>
          <w:rFonts w:ascii="宋体" w:hAnsi="宋体" w:cs="Times New Roman"/>
        </w:rPr>
        <w:t>“第一节本次交易概况”</w:t>
      </w:r>
      <w:r>
        <w:rPr>
          <w:rFonts w:cs="Times New Roman"/>
        </w:rPr>
        <w:t>之</w:t>
      </w:r>
      <w:r>
        <w:rPr>
          <w:rFonts w:ascii="宋体" w:hAnsi="宋体" w:cs="Times New Roman"/>
        </w:rPr>
        <w:t>“二、本次交易</w:t>
      </w:r>
      <w:r>
        <w:rPr>
          <w:rFonts w:hint="eastAsia" w:ascii="宋体" w:hAnsi="宋体" w:cs="Times New Roman"/>
        </w:rPr>
        <w:t>具体方案</w:t>
      </w:r>
      <w:r>
        <w:rPr>
          <w:rFonts w:ascii="宋体" w:hAnsi="宋体" w:cs="Times New Roman"/>
        </w:rPr>
        <w:t>”之“</w:t>
      </w:r>
      <w:r>
        <w:rPr>
          <w:rFonts w:cs="Times New Roman"/>
        </w:rPr>
        <w:t>（</w:t>
      </w:r>
      <w:r>
        <w:rPr>
          <w:rFonts w:hint="eastAsia" w:cs="Times New Roman"/>
        </w:rPr>
        <w:t>二</w:t>
      </w:r>
      <w:r>
        <w:rPr>
          <w:rFonts w:cs="Times New Roman"/>
        </w:rPr>
        <w:t>）发行股份及支付现金购买资产</w:t>
      </w:r>
      <w:r>
        <w:rPr>
          <w:rFonts w:hint="eastAsia" w:cs="Times New Roman"/>
        </w:rPr>
        <w:t>的具体情况</w:t>
      </w:r>
      <w:r>
        <w:rPr>
          <w:rFonts w:ascii="宋体" w:hAnsi="宋体" w:cs="Times New Roman"/>
        </w:rPr>
        <w:t>”</w:t>
      </w:r>
      <w:r>
        <w:rPr>
          <w:rFonts w:cs="Times New Roman"/>
        </w:rPr>
        <w:t>。</w:t>
      </w:r>
    </w:p>
    <w:p w14:paraId="609ADCCC">
      <w:pPr>
        <w:adjustRightInd w:val="0"/>
        <w:snapToGrid w:val="0"/>
        <w:spacing w:before="120"/>
        <w:ind w:firstLine="562"/>
        <w:rPr>
          <w:rFonts w:hint="eastAsia" w:ascii="黑体" w:hAnsi="黑体" w:eastAsia="黑体" w:cs="Times New Roman"/>
          <w:b/>
          <w:bCs/>
          <w:sz w:val="28"/>
          <w:szCs w:val="28"/>
        </w:rPr>
      </w:pPr>
      <w:r>
        <w:rPr>
          <w:rFonts w:ascii="黑体" w:hAnsi="黑体" w:eastAsia="黑体" w:cs="Times New Roman"/>
          <w:b/>
          <w:bCs/>
          <w:sz w:val="28"/>
          <w:szCs w:val="28"/>
        </w:rPr>
        <w:t>二、募集配套资金</w:t>
      </w:r>
    </w:p>
    <w:p w14:paraId="0D4297AF">
      <w:pPr>
        <w:adjustRightInd w:val="0"/>
        <w:snapToGrid w:val="0"/>
        <w:spacing w:before="120"/>
        <w:ind w:firstLine="480"/>
        <w:rPr>
          <w:rFonts w:cs="Times New Roman"/>
        </w:rPr>
      </w:pPr>
      <w:r>
        <w:rPr>
          <w:rFonts w:cs="Times New Roman"/>
        </w:rPr>
        <w:t>本次交易募集配套资金情况详见本预案</w:t>
      </w:r>
      <w:r>
        <w:rPr>
          <w:rFonts w:ascii="宋体" w:hAnsi="宋体" w:cs="Times New Roman"/>
        </w:rPr>
        <w:t>“第一节本次交易概况”之“二、本次交易</w:t>
      </w:r>
      <w:r>
        <w:rPr>
          <w:rFonts w:hint="eastAsia" w:ascii="宋体" w:hAnsi="宋体" w:cs="Times New Roman"/>
        </w:rPr>
        <w:t>具体方案</w:t>
      </w:r>
      <w:r>
        <w:rPr>
          <w:rFonts w:ascii="宋体" w:hAnsi="宋体" w:cs="Times New Roman"/>
        </w:rPr>
        <w:t>”之“</w:t>
      </w:r>
      <w:r>
        <w:rPr>
          <w:rFonts w:cs="Times New Roman"/>
        </w:rPr>
        <w:t>（</w:t>
      </w:r>
      <w:r>
        <w:rPr>
          <w:rFonts w:hint="eastAsia" w:cs="Times New Roman"/>
        </w:rPr>
        <w:t>三</w:t>
      </w:r>
      <w:r>
        <w:rPr>
          <w:rFonts w:cs="Times New Roman"/>
        </w:rPr>
        <w:t>）</w:t>
      </w:r>
      <w:r>
        <w:rPr>
          <w:rFonts w:hint="eastAsia" w:cs="Times New Roman"/>
        </w:rPr>
        <w:t>募集配套资金的具体情况</w:t>
      </w:r>
      <w:r>
        <w:rPr>
          <w:rFonts w:ascii="宋体" w:hAnsi="宋体" w:cs="Times New Roman"/>
        </w:rPr>
        <w:t>”</w:t>
      </w:r>
      <w:r>
        <w:rPr>
          <w:rFonts w:cs="Times New Roman"/>
        </w:rPr>
        <w:t>。</w:t>
      </w:r>
    </w:p>
    <w:p w14:paraId="7CED374C">
      <w:pPr>
        <w:widowControl/>
        <w:spacing w:before="0" w:beforeLines="0" w:line="240" w:lineRule="auto"/>
        <w:ind w:firstLine="0" w:firstLineChars="0"/>
        <w:rPr>
          <w:rFonts w:cs="Arial"/>
          <w:bCs/>
          <w:kern w:val="2"/>
          <w:sz w:val="21"/>
          <w:szCs w:val="22"/>
        </w:rPr>
      </w:pPr>
      <w:r>
        <w:br w:type="page"/>
      </w:r>
    </w:p>
    <w:p w14:paraId="1813E779">
      <w:pPr>
        <w:keepNext/>
        <w:keepLines/>
        <w:pageBreakBefore/>
        <w:spacing w:before="120" w:after="120" w:afterLines="50"/>
        <w:ind w:firstLine="480" w:firstLineChars="0"/>
        <w:jc w:val="center"/>
        <w:outlineLvl w:val="0"/>
        <w:rPr>
          <w:rFonts w:eastAsia="黑体" w:cs="Times New Roman"/>
          <w:b/>
          <w:bCs/>
          <w:kern w:val="2"/>
          <w:sz w:val="32"/>
          <w:szCs w:val="28"/>
          <w:lang w:val="zh-CN"/>
        </w:rPr>
      </w:pPr>
      <w:bookmarkStart w:id="155" w:name="_Toc32221"/>
      <w:bookmarkStart w:id="156" w:name="_Toc184373676"/>
      <w:bookmarkStart w:id="157" w:name="_Toc86099359"/>
      <w:r>
        <w:rPr>
          <w:rFonts w:eastAsia="黑体" w:cs="Times New Roman"/>
          <w:b/>
          <w:bCs/>
          <w:kern w:val="2"/>
          <w:sz w:val="32"/>
          <w:szCs w:val="28"/>
          <w:lang w:val="zh-CN"/>
        </w:rPr>
        <w:t>第</w:t>
      </w:r>
      <w:r>
        <w:rPr>
          <w:rFonts w:hint="eastAsia" w:eastAsia="黑体" w:cs="Times New Roman"/>
          <w:b/>
          <w:bCs/>
          <w:kern w:val="2"/>
          <w:sz w:val="32"/>
          <w:szCs w:val="28"/>
        </w:rPr>
        <w:t>七</w:t>
      </w:r>
      <w:r>
        <w:rPr>
          <w:rFonts w:eastAsia="黑体" w:cs="Times New Roman"/>
          <w:b/>
          <w:bCs/>
          <w:kern w:val="2"/>
          <w:sz w:val="32"/>
          <w:szCs w:val="28"/>
          <w:lang w:val="zh-CN"/>
        </w:rPr>
        <w:t>节</w:t>
      </w:r>
      <w:r>
        <w:rPr>
          <w:rFonts w:hint="eastAsia" w:eastAsia="黑体" w:cs="Times New Roman"/>
          <w:b/>
          <w:bCs/>
          <w:kern w:val="2"/>
          <w:sz w:val="32"/>
          <w:szCs w:val="28"/>
        </w:rPr>
        <w:t xml:space="preserve"> </w:t>
      </w:r>
      <w:r>
        <w:rPr>
          <w:rFonts w:hint="eastAsia" w:eastAsia="黑体" w:cs="Times New Roman"/>
          <w:b/>
          <w:bCs/>
          <w:kern w:val="2"/>
          <w:sz w:val="32"/>
          <w:szCs w:val="28"/>
          <w:lang w:val="zh-CN"/>
        </w:rPr>
        <w:t>风险因素</w:t>
      </w:r>
      <w:bookmarkEnd w:id="155"/>
    </w:p>
    <w:p w14:paraId="7C8583C8">
      <w:pPr>
        <w:widowControl/>
        <w:spacing w:before="120"/>
        <w:ind w:firstLine="480"/>
        <w:rPr>
          <w:rFonts w:hint="eastAsia" w:ascii="宋体" w:hAnsi="宋体"/>
          <w:color w:val="000000"/>
          <w:lang w:bidi="ar"/>
        </w:rPr>
      </w:pPr>
      <w:r>
        <w:rPr>
          <w:rFonts w:hint="eastAsia" w:ascii="宋体" w:hAnsi="宋体"/>
          <w:color w:val="000000"/>
          <w:lang w:bidi="ar"/>
        </w:rPr>
        <w:t>投资者在评价公司本次交易时，还应特别认真地考虑下述各项风险因素：</w:t>
      </w:r>
    </w:p>
    <w:p w14:paraId="2E46014C">
      <w:pPr>
        <w:pStyle w:val="860"/>
        <w:spacing w:before="120" w:after="120"/>
        <w:rPr>
          <w:b w:val="0"/>
          <w:bCs w:val="0"/>
          <w:color w:val="000000" w:themeColor="text1"/>
          <w14:textFill>
            <w14:solidFill>
              <w14:schemeClr w14:val="tx1"/>
            </w14:solidFill>
          </w14:textFill>
        </w:rPr>
      </w:pPr>
      <w:bookmarkStart w:id="158" w:name="_Toc24296"/>
      <w:r>
        <w:rPr>
          <w:rFonts w:hint="eastAsia"/>
          <w:color w:val="000000" w:themeColor="text1"/>
          <w14:textFill>
            <w14:solidFill>
              <w14:schemeClr w14:val="tx1"/>
            </w14:solidFill>
          </w14:textFill>
        </w:rPr>
        <w:t>一、与本次交易相关的风险</w:t>
      </w:r>
      <w:bookmarkEnd w:id="158"/>
    </w:p>
    <w:p w14:paraId="67929246">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（一）审批风险</w:t>
      </w:r>
    </w:p>
    <w:p w14:paraId="123C7002">
      <w:pPr>
        <w:spacing w:before="120" w:after="120" w:afterLines="50"/>
        <w:ind w:firstLine="480"/>
        <w:jc w:val="both"/>
        <w:rPr>
          <w:rFonts w:cs="Times New Roman"/>
          <w:kern w:val="2"/>
          <w:szCs w:val="22"/>
        </w:rPr>
      </w:pPr>
      <w:r>
        <w:rPr>
          <w:rFonts w:hint="eastAsia" w:cs="Times New Roman"/>
          <w:kern w:val="2"/>
          <w:szCs w:val="22"/>
        </w:rPr>
        <w:t>本次交易已由上市公司第三届董事会第三十二次会议、第三届监事会第二十八次会议审议通过，本次交易尚需满足多项条件方可完成，包括但不限于：</w:t>
      </w:r>
    </w:p>
    <w:p w14:paraId="11A27DF2">
      <w:pPr>
        <w:spacing w:before="120" w:after="120" w:afterLines="50"/>
        <w:ind w:firstLine="480"/>
        <w:jc w:val="both"/>
        <w:rPr>
          <w:rFonts w:cs="Times New Roman"/>
          <w:kern w:val="2"/>
          <w:szCs w:val="22"/>
        </w:rPr>
      </w:pPr>
      <w:r>
        <w:rPr>
          <w:rFonts w:hint="eastAsia" w:cs="Times New Roman"/>
          <w:kern w:val="2"/>
          <w:szCs w:val="22"/>
        </w:rPr>
        <w:t>1、本次交易涉及的标的资产审计、评估工作完成后，上市公司将再次召开董事会审议通过本次交易的相关议案；</w:t>
      </w:r>
    </w:p>
    <w:p w14:paraId="08A0DBE8">
      <w:pPr>
        <w:spacing w:before="120" w:after="120" w:afterLines="50"/>
        <w:ind w:firstLine="480"/>
        <w:jc w:val="both"/>
        <w:rPr>
          <w:rFonts w:cs="Times New Roman"/>
          <w:kern w:val="2"/>
          <w:szCs w:val="22"/>
        </w:rPr>
      </w:pPr>
      <w:r>
        <w:rPr>
          <w:rFonts w:hint="eastAsia" w:cs="Times New Roman"/>
          <w:kern w:val="2"/>
          <w:szCs w:val="22"/>
        </w:rPr>
        <w:t>2、本次交易正式方案经交易对方内部有权机构审议通过；</w:t>
      </w:r>
    </w:p>
    <w:p w14:paraId="492DA6B5">
      <w:pPr>
        <w:spacing w:before="120" w:after="120" w:afterLines="50"/>
        <w:ind w:firstLine="480"/>
        <w:jc w:val="both"/>
        <w:rPr>
          <w:rFonts w:cs="Times New Roman"/>
          <w:kern w:val="2"/>
          <w:szCs w:val="22"/>
        </w:rPr>
      </w:pPr>
      <w:r>
        <w:rPr>
          <w:rFonts w:hint="eastAsia" w:cs="Times New Roman"/>
          <w:kern w:val="2"/>
          <w:szCs w:val="22"/>
        </w:rPr>
        <w:t>3、本次交易正式方案经上市公司股东会审议通过；</w:t>
      </w:r>
    </w:p>
    <w:p w14:paraId="4EEEE44D">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4、本次交易正式方案经标的公司股东大会审议通过；</w:t>
      </w:r>
    </w:p>
    <w:p w14:paraId="14F2F597">
      <w:pPr>
        <w:adjustRightInd w:val="0"/>
        <w:snapToGrid w:val="0"/>
        <w:spacing w:before="120"/>
        <w:ind w:firstLine="480"/>
        <w:jc w:val="both"/>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5、本次交易经深交所审核通过并经中国证监会同意注册；</w:t>
      </w:r>
    </w:p>
    <w:p w14:paraId="2BC40D0B">
      <w:pPr>
        <w:spacing w:before="120" w:after="120" w:afterLines="50"/>
        <w:ind w:firstLine="480"/>
        <w:jc w:val="both"/>
        <w:rPr>
          <w:rFonts w:cs="Times New Roman"/>
          <w:kern w:val="2"/>
          <w:szCs w:val="22"/>
        </w:rPr>
      </w:pPr>
      <w:r>
        <w:rPr>
          <w:rFonts w:hint="eastAsia" w:cs="Times New Roman"/>
          <w:kern w:val="2"/>
          <w:szCs w:val="22"/>
        </w:rPr>
        <w:t>6、标的公司完成公司形式由股份有限公司变更为有限责任公司的相关工商变更手续；</w:t>
      </w:r>
    </w:p>
    <w:p w14:paraId="1819EF37">
      <w:pPr>
        <w:spacing w:before="120" w:after="120" w:afterLines="50"/>
        <w:ind w:firstLine="480"/>
        <w:jc w:val="both"/>
        <w:rPr>
          <w:rFonts w:cs="Times New Roman"/>
          <w:kern w:val="2"/>
          <w:szCs w:val="22"/>
        </w:rPr>
      </w:pPr>
      <w:r>
        <w:rPr>
          <w:rFonts w:hint="eastAsia" w:cs="Times New Roman"/>
          <w:kern w:val="2"/>
          <w:szCs w:val="22"/>
        </w:rPr>
        <w:t>7、相关法律法规所要求的其他可能涉及必要的批准、核准、备案或许可（如适用）。</w:t>
      </w:r>
    </w:p>
    <w:p w14:paraId="578B2C07">
      <w:pPr>
        <w:spacing w:before="120" w:after="120" w:afterLines="50"/>
        <w:ind w:firstLine="480"/>
        <w:jc w:val="both"/>
        <w:rPr>
          <w:rFonts w:cs="Times New Roman"/>
          <w:kern w:val="2"/>
          <w:szCs w:val="22"/>
        </w:rPr>
      </w:pPr>
      <w:r>
        <w:rPr>
          <w:rFonts w:hint="eastAsia" w:cs="Times New Roman"/>
          <w:kern w:val="2"/>
          <w:szCs w:val="22"/>
        </w:rPr>
        <w:t>本次交易能否取得上述批准、审核通过或同意注册，以及最终取得批准、审核通过或同意注册的时间均存在不确定性，提请广大投资者注意投资风险。</w:t>
      </w:r>
    </w:p>
    <w:p w14:paraId="06A096EF">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（二）本次交易可能被暂停、中止或者取消的风险</w:t>
      </w:r>
    </w:p>
    <w:p w14:paraId="6E9AD83B">
      <w:pPr>
        <w:spacing w:before="120" w:after="120" w:afterLines="50"/>
        <w:ind w:firstLine="480"/>
        <w:jc w:val="both"/>
        <w:rPr>
          <w:rFonts w:hint="eastAsia" w:ascii="宋体" w:hAnsi="宋体"/>
          <w:color w:val="000000"/>
        </w:rPr>
      </w:pPr>
      <w:r>
        <w:rPr>
          <w:rFonts w:hint="eastAsia" w:ascii="宋体" w:hAnsi="宋体"/>
          <w:color w:val="000000"/>
        </w:rPr>
        <w:t>由于本次交易涉及向深交所、中国证监会等相关监管机构申请审核注册工作，上述工作能否如期顺利完成可能对本次交易的时间进度产生重大影响。除此之外，本次交易存在如下被暂停、中止或取消的风险：</w:t>
      </w:r>
    </w:p>
    <w:p w14:paraId="371CA712">
      <w:pPr>
        <w:spacing w:before="120" w:after="120" w:afterLines="50"/>
        <w:ind w:firstLine="480"/>
        <w:jc w:val="both"/>
        <w:rPr>
          <w:rFonts w:cs="Times New Roman"/>
          <w:kern w:val="2"/>
          <w:szCs w:val="22"/>
        </w:rPr>
      </w:pPr>
      <w:r>
        <w:rPr>
          <w:rFonts w:hint="eastAsia" w:cs="Times New Roman"/>
          <w:kern w:val="2"/>
          <w:szCs w:val="22"/>
        </w:rPr>
        <w:t>1、上市公司制定了严格的内幕信息管理制度，上市公司在与交易对方的协商过程中尽可能缩小内幕信息知情人范围，避免内幕信息的泄漏、传播。</w:t>
      </w:r>
      <w:r>
        <w:rPr>
          <w:rFonts w:ascii="宋体" w:hAnsi="宋体"/>
          <w:color w:val="000000"/>
        </w:rPr>
        <w:t>尽管如此，受限于查询范围和核查手段的有限性，</w:t>
      </w:r>
      <w:r>
        <w:rPr>
          <w:rFonts w:hint="eastAsia" w:cs="Times New Roman"/>
          <w:kern w:val="2"/>
          <w:szCs w:val="22"/>
        </w:rPr>
        <w:t>仍无法避免有关机构和个人利用本次交易内幕信息进行内幕交易的可能，本次交易存在因可能涉嫌内幕交易导致上市公司股价的异常波动或异常交易，而被暂停、中止或取消的风险。</w:t>
      </w:r>
    </w:p>
    <w:p w14:paraId="5B09ECB4">
      <w:pPr>
        <w:spacing w:before="120" w:after="120" w:afterLines="50"/>
        <w:ind w:firstLine="480"/>
        <w:jc w:val="both"/>
        <w:rPr>
          <w:rFonts w:hint="eastAsia" w:ascii="宋体" w:hAnsi="宋体"/>
          <w:color w:val="000000"/>
        </w:rPr>
      </w:pPr>
      <w:r>
        <w:rPr>
          <w:rFonts w:hint="eastAsia" w:cs="Times New Roman"/>
          <w:kern w:val="2"/>
          <w:szCs w:val="22"/>
        </w:rPr>
        <w:t>2、</w:t>
      </w:r>
      <w:r>
        <w:rPr>
          <w:rFonts w:hint="eastAsia" w:ascii="宋体" w:hAnsi="宋体"/>
          <w:color w:val="000000"/>
        </w:rPr>
        <w:t>本次交易存在因交易各方在后续的商务谈判中产生重大分歧，而被暂停、中止或取消的风险。</w:t>
      </w:r>
    </w:p>
    <w:p w14:paraId="60945429">
      <w:pPr>
        <w:spacing w:before="120" w:after="120" w:afterLines="50"/>
        <w:ind w:firstLine="480"/>
        <w:jc w:val="both"/>
        <w:rPr>
          <w:rFonts w:hint="eastAsia" w:ascii="宋体" w:hAnsi="宋体"/>
        </w:rPr>
      </w:pPr>
      <w:r>
        <w:rPr>
          <w:rFonts w:cs="Times New Roman"/>
          <w:color w:val="000000"/>
        </w:rPr>
        <w:t>3</w:t>
      </w:r>
      <w:r>
        <w:rPr>
          <w:rFonts w:hint="eastAsia" w:ascii="宋体" w:hAnsi="宋体"/>
          <w:color w:val="000000"/>
        </w:rPr>
        <w:t>、本次交易存在因标的资产出现无法预见的风险事件，而被暂停、中止或取消的风险。</w:t>
      </w:r>
    </w:p>
    <w:p w14:paraId="396AC1FA">
      <w:pPr>
        <w:spacing w:before="120" w:after="120" w:afterLines="50"/>
        <w:ind w:firstLine="480"/>
        <w:jc w:val="both"/>
        <w:rPr>
          <w:rFonts w:hint="eastAsia" w:ascii="宋体" w:hAnsi="宋体"/>
          <w:color w:val="000000"/>
        </w:rPr>
      </w:pPr>
      <w:r>
        <w:rPr>
          <w:rFonts w:cs="Times New Roman"/>
          <w:color w:val="000000"/>
        </w:rPr>
        <w:t>4</w:t>
      </w:r>
      <w:r>
        <w:rPr>
          <w:rFonts w:hint="eastAsia" w:ascii="宋体" w:hAnsi="宋体"/>
          <w:color w:val="000000"/>
        </w:rPr>
        <w:t>、其他无法预见的可能导致本次交易被暂停、中止或取消的重大影响事项。</w:t>
      </w:r>
    </w:p>
    <w:p w14:paraId="21CC855A">
      <w:pPr>
        <w:spacing w:before="120" w:after="120" w:afterLines="50"/>
        <w:ind w:firstLine="480"/>
        <w:jc w:val="both"/>
        <w:rPr>
          <w:rFonts w:hint="eastAsia" w:ascii="宋体" w:hAnsi="宋体"/>
          <w:color w:val="000000"/>
        </w:rPr>
      </w:pPr>
      <w:r>
        <w:rPr>
          <w:rFonts w:hint="eastAsia" w:ascii="宋体" w:hAnsi="宋体"/>
          <w:color w:val="000000"/>
        </w:rPr>
        <w:t>上述情形可能导致本次交易暂停、中止或取消，特此提醒广大投资者注意投资风险。上市公司董事会将在本次交易过程中，及时公告相关工作进展，以便投资者了解本次交易进程，并做出相应判断。</w:t>
      </w:r>
    </w:p>
    <w:p w14:paraId="6250F4DF">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（三）审计、评估工作尚未完成的风险</w:t>
      </w:r>
    </w:p>
    <w:p w14:paraId="285B1F9F">
      <w:pPr>
        <w:spacing w:before="120" w:after="120" w:afterLines="50"/>
        <w:ind w:firstLine="480"/>
        <w:jc w:val="both"/>
        <w:rPr>
          <w:rFonts w:hint="eastAsia" w:ascii="宋体" w:hAnsi="宋体"/>
          <w:color w:val="000000"/>
        </w:rPr>
      </w:pPr>
      <w:r>
        <w:rPr>
          <w:rFonts w:hint="eastAsia" w:ascii="宋体" w:hAnsi="宋体"/>
          <w:color w:val="000000"/>
        </w:rPr>
        <w:t>截至本预案签署日，与本次交易相关的审计、评估工作尚未完成，标的资产的评估价值及交易作价尚未确定。本预案引用的标的公司主要财务指标、经营业绩存在后续调整的可能，仅供投资者参考之用。</w:t>
      </w:r>
    </w:p>
    <w:p w14:paraId="651FFDA1">
      <w:pPr>
        <w:spacing w:before="120" w:after="120" w:afterLines="50"/>
        <w:ind w:firstLine="480"/>
        <w:jc w:val="both"/>
        <w:rPr>
          <w:rFonts w:hint="eastAsia" w:ascii="宋体" w:hAnsi="宋体"/>
          <w:color w:val="000000"/>
        </w:rPr>
      </w:pPr>
      <w:r>
        <w:rPr>
          <w:rFonts w:hint="eastAsia" w:ascii="宋体" w:hAnsi="宋体"/>
          <w:color w:val="000000"/>
        </w:rPr>
        <w:t>标的公司相关数据应以符合《证券法》规定的会计师事务所、资产评估机构出具的审计报告、评估报告为准。标的公司经审计的财务数据、评估结果将在重组报告书中予以披露。提请投资者注意，相关资产经审计的财务数据、评估或估值最终结果可能与预案披露情况存在较大差异的风险。</w:t>
      </w:r>
    </w:p>
    <w:p w14:paraId="3F5D683F">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（四）交易作价尚未确定的风险</w:t>
      </w:r>
    </w:p>
    <w:p w14:paraId="6F329EB9">
      <w:pPr>
        <w:spacing w:before="120" w:after="120" w:afterLines="50"/>
        <w:ind w:firstLine="480"/>
        <w:jc w:val="both"/>
        <w:rPr>
          <w:rFonts w:hint="eastAsia" w:ascii="宋体" w:hAnsi="宋体"/>
        </w:rPr>
      </w:pPr>
      <w:r>
        <w:rPr>
          <w:rFonts w:hint="eastAsia" w:ascii="宋体" w:hAnsi="宋体"/>
          <w:color w:val="000000"/>
        </w:rPr>
        <w:t>截至本预案签署日，本次交易初步方案已确定，但鉴于本次重组标的资产的审计、评估工作尚未完成，本次交易标的资产的交易价格尚未确定。标的资产的最终交易价格将以符合《证券法》规定的资产评估机构出具的评估报告的评估结果为基础，经交易双方充分协商确定，最终评估结果与交易价格将在重组报告书中予以披露。提请广大投资者注意相关风险。</w:t>
      </w:r>
    </w:p>
    <w:p w14:paraId="43D81F59">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（五）本次交易方案调整的风险</w:t>
      </w:r>
    </w:p>
    <w:p w14:paraId="57C14426">
      <w:pPr>
        <w:spacing w:before="120" w:after="120" w:afterLines="50"/>
        <w:ind w:firstLine="480"/>
        <w:jc w:val="both"/>
        <w:rPr>
          <w:rFonts w:hint="eastAsia" w:ascii="宋体" w:hAnsi="宋体"/>
          <w:color w:val="000000"/>
        </w:rPr>
      </w:pPr>
      <w:r>
        <w:rPr>
          <w:rFonts w:hint="eastAsia" w:ascii="宋体" w:hAnsi="宋体"/>
          <w:color w:val="000000"/>
        </w:rPr>
        <w:t>截至本预案签署日，本次重组标的资产的审计、评估工作尚未完成，交易各方可能会根据审计、评估结果和市场行情对交易方案进行调整。本预案披露的方案仅为本次交易的初步方案，最终方案将在重组报告书中予以披露。本次交易存在方案后续调整的可能性。</w:t>
      </w:r>
    </w:p>
    <w:p w14:paraId="7D04EFD7">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（六）业绩承诺的风险</w:t>
      </w:r>
    </w:p>
    <w:p w14:paraId="3741354E">
      <w:pPr>
        <w:spacing w:before="120" w:after="120" w:afterLines="50"/>
        <w:ind w:firstLine="480"/>
        <w:jc w:val="both"/>
        <w:rPr>
          <w:rFonts w:hint="eastAsia" w:ascii="宋体" w:hAnsi="宋体"/>
        </w:rPr>
      </w:pPr>
      <w:r>
        <w:rPr>
          <w:rFonts w:hint="eastAsia" w:ascii="宋体" w:hAnsi="宋体"/>
          <w:color w:val="000000"/>
        </w:rPr>
        <w:t>截至本预案签署日，本次交易的初步方案已确定，但由于本次重组标的资产的审计、评估工作尚未完成，本次交易各方暂未签订明确的业绩承诺补偿协议。待标的公司审计、评估工作完成后，上市公司将与业绩承诺方另行签订业绩补偿协议进行约定，届时将对补偿期间、承诺净利润、实现净利润的确认、补偿方式、补偿计算公式、补偿实施方式、标的资产减值测试补偿、违约责任等具体内容作出约定。由于标的公司后续业绩承诺的实现情况会受到政策环境、行业需求以及企业经营状况等多种因素的影响，标的公司存在实现业绩不能达到承诺业绩的风险。</w:t>
      </w:r>
    </w:p>
    <w:p w14:paraId="4E48ADC7">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（七）收购整合的风险</w:t>
      </w:r>
    </w:p>
    <w:p w14:paraId="56355DBA">
      <w:pPr>
        <w:spacing w:before="120" w:after="120" w:afterLines="50"/>
        <w:ind w:firstLine="480"/>
        <w:jc w:val="both"/>
        <w:rPr>
          <w:rFonts w:hint="eastAsia" w:ascii="宋体" w:hAnsi="宋体"/>
          <w:color w:val="000000"/>
        </w:rPr>
      </w:pPr>
      <w:r>
        <w:rPr>
          <w:rFonts w:hint="eastAsia" w:ascii="宋体" w:hAnsi="宋体"/>
          <w:color w:val="000000"/>
        </w:rPr>
        <w:t>本次交易完成后，标的公司将纳入上市公司管理及合并报表范围，上市公司将派驻管理人员在组织结构、管理制度、业务体系、企业文化等方面对标的公司进行整合。鉴于上市公司与标的公司在具体产品、生产经营和管理制度等方面存在差异，本次交易完成后上市公司能否通过整合保持标的资产原有竞争优势并充分发挥并购整合的协同效应具有不确定性，提请投资者关注本次交易涉及的收购整合风险。</w:t>
      </w:r>
    </w:p>
    <w:p w14:paraId="0E09AC70">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（八）商誉减值的风险</w:t>
      </w:r>
    </w:p>
    <w:p w14:paraId="0DF3971F">
      <w:pPr>
        <w:spacing w:before="120" w:after="120" w:afterLines="50"/>
        <w:ind w:firstLine="480"/>
        <w:jc w:val="both"/>
        <w:rPr>
          <w:rFonts w:hint="eastAsia" w:ascii="宋体" w:hAnsi="宋体"/>
        </w:rPr>
      </w:pPr>
      <w:r>
        <w:rPr>
          <w:rFonts w:hint="eastAsia" w:ascii="宋体" w:hAnsi="宋体"/>
          <w:color w:val="000000"/>
        </w:rPr>
        <w:t>本次交易系非同一控制下的企业合并，根据《企业会计准则》相关规定，本次交易形成的商誉不作摊销处理，但需要在未来每年年终进行减值测试。如果标的公司未来经营状况未达预期，将产生商誉减值的风险，从而对上市公司未来经营业绩产生不利影响。</w:t>
      </w:r>
    </w:p>
    <w:p w14:paraId="21121182">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（九）发行股份后可能摊薄上市公司即期回报的风险</w:t>
      </w:r>
    </w:p>
    <w:p w14:paraId="6B4BD031">
      <w:pPr>
        <w:spacing w:before="120" w:after="120" w:afterLines="50"/>
        <w:ind w:firstLine="480"/>
        <w:jc w:val="both"/>
        <w:rPr>
          <w:rFonts w:hint="eastAsia" w:ascii="宋体" w:hAnsi="宋体"/>
          <w:color w:val="000000"/>
        </w:rPr>
      </w:pPr>
      <w:r>
        <w:rPr>
          <w:rFonts w:hint="eastAsia" w:ascii="宋体" w:hAnsi="宋体"/>
          <w:color w:val="000000"/>
        </w:rPr>
        <w:t>由于与本次交易相关的审计、评估工作尚未完成，尚无法对本次交易完成后上市公司的合并财务状况和盈利能力进行准确的定量分析。本次交易实施完成后，上市公司的总股本规模将相应增加。若标的公司的未来经营效益不及预期，则上市公司的每股收益等即期回报指标将面临被摊薄的风险。</w:t>
      </w:r>
    </w:p>
    <w:p w14:paraId="24CC1A07">
      <w:pPr>
        <w:pStyle w:val="860"/>
        <w:spacing w:before="120" w:after="120"/>
        <w:rPr>
          <w:b w:val="0"/>
          <w:bCs w:val="0"/>
          <w:color w:val="000000" w:themeColor="text1"/>
          <w14:textFill>
            <w14:solidFill>
              <w14:schemeClr w14:val="tx1"/>
            </w14:solidFill>
          </w14:textFill>
        </w:rPr>
      </w:pPr>
      <w:bookmarkStart w:id="159" w:name="_Toc3382"/>
      <w:r>
        <w:rPr>
          <w:rFonts w:hint="eastAsia"/>
          <w:color w:val="000000" w:themeColor="text1"/>
          <w14:textFill>
            <w14:solidFill>
              <w14:schemeClr w14:val="tx1"/>
            </w14:solidFill>
          </w14:textFill>
        </w:rPr>
        <w:t>二、与标的资产相关的风险</w:t>
      </w:r>
      <w:bookmarkEnd w:id="159"/>
    </w:p>
    <w:p w14:paraId="13D6721E">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（一）宏观经济波动风险</w:t>
      </w:r>
    </w:p>
    <w:p w14:paraId="5C3F638E">
      <w:pPr>
        <w:spacing w:before="120"/>
        <w:ind w:firstLine="480"/>
        <w:jc w:val="both"/>
        <w:rPr>
          <w:rFonts w:hint="eastAsia" w:ascii="宋体" w:hAnsi="宋体"/>
          <w:color w:val="000000"/>
        </w:rPr>
      </w:pPr>
      <w:r>
        <w:rPr>
          <w:rFonts w:hint="eastAsia" w:ascii="宋体" w:hAnsi="宋体"/>
          <w:color w:val="000000"/>
        </w:rPr>
        <w:t>随着人口规模增长放缓，人口红利效应逐渐消失，以及国际、国内宏观经济格局复杂多变，经济运行中面临一定的挑战和波动风险，消费者未来的消费能力和消费意愿可能发生变化，从而影响到线下自助设备智能化行业整体规模及经营业绩，并对标的公司的盈利能力产生不利影响。</w:t>
      </w:r>
    </w:p>
    <w:p w14:paraId="7F4AE3A6">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（二）市场竞争加剧的风险</w:t>
      </w:r>
    </w:p>
    <w:p w14:paraId="386EAF4D">
      <w:pPr>
        <w:spacing w:before="120"/>
        <w:ind w:firstLine="480"/>
        <w:jc w:val="both"/>
        <w:rPr>
          <w:rFonts w:hint="eastAsia" w:ascii="宋体" w:hAnsi="宋体"/>
          <w:color w:val="000000"/>
        </w:rPr>
      </w:pPr>
      <w:r>
        <w:rPr>
          <w:rFonts w:hint="eastAsia" w:ascii="宋体" w:hAnsi="宋体"/>
          <w:color w:val="000000"/>
        </w:rPr>
        <w:t>随着自助设备数量规模逐步增长，国内对自助设备智能化平台的市场需求逐步扩大，新的竞争者将进入行业，导致市场竞争更为剧烈。如果标的公司不能持续在技术研发、产品开发等方面保持创新或改进，不能准确预测市场的最新需求并及时跟进市场前沿的新技术，导致无法实现新老技术产品的过渡，可能会使标的公司核心技术的发展进程出现偏差，对标的公司的核心竞争力及经营状况产生不利影响，并存在被同行业竞争对手赶超的风险，从而对标的公司的盈利能力造成不利影响。</w:t>
      </w:r>
    </w:p>
    <w:p w14:paraId="0AC6089D">
      <w:pPr>
        <w:keepNext/>
        <w:keepLines/>
        <w:spacing w:before="120" w:after="120" w:afterLines="50"/>
        <w:ind w:firstLine="0" w:firstLineChars="0"/>
        <w:jc w:val="both"/>
        <w:outlineLvl w:val="2"/>
        <w:rPr>
          <w:rFonts w:ascii="sans-serif" w:hAnsi="sans-serif" w:eastAsia="sans-serif" w:cs="sans-serif"/>
          <w:sz w:val="15"/>
          <w:szCs w:val="15"/>
          <w:shd w:val="clear" w:color="auto" w:fill="FFFFFF"/>
        </w:rPr>
      </w:pPr>
      <w:r>
        <w:rPr>
          <w:rFonts w:hint="eastAsia" w:eastAsia="黑体" w:cs="Times New Roman"/>
          <w:b/>
          <w:bCs/>
          <w:kern w:val="2"/>
          <w:szCs w:val="28"/>
        </w:rPr>
        <w:t>（三）技术研发和技术创新风险</w:t>
      </w:r>
    </w:p>
    <w:p w14:paraId="2EBEE261">
      <w:pPr>
        <w:spacing w:before="120"/>
        <w:ind w:firstLine="480"/>
        <w:jc w:val="both"/>
        <w:rPr>
          <w:rFonts w:hint="eastAsia" w:ascii="宋体" w:hAnsi="宋体"/>
          <w:color w:val="000000"/>
        </w:rPr>
      </w:pPr>
      <w:r>
        <w:rPr>
          <w:rFonts w:hint="eastAsia" w:ascii="宋体" w:hAnsi="宋体"/>
          <w:color w:val="000000"/>
        </w:rPr>
        <w:t>标的公司所处的行业属于技术驱动的自助设备智能化领域，作为新兴行业，具有用户需求变化快，商业模式创新频繁的特点，因此技术创新是整个行业发展的重要动力。标的公司虽然已在行业内不同应用场景拥有一定积累，但如果未来标的公司不能把握行业技术的发展方向，相关技术和产品的更新迭代无法跟随行业发展趋势，则标的公司无法维持技术优势，未来的竞争力和可持续经营能力面临不利影响。</w:t>
      </w:r>
    </w:p>
    <w:p w14:paraId="0C194226">
      <w:pPr>
        <w:pStyle w:val="860"/>
        <w:spacing w:before="120" w:after="120"/>
        <w:rPr>
          <w:b w:val="0"/>
          <w:bCs w:val="0"/>
          <w:color w:val="000000" w:themeColor="text1"/>
          <w14:textFill>
            <w14:solidFill>
              <w14:schemeClr w14:val="tx1"/>
            </w14:solidFill>
          </w14:textFill>
        </w:rPr>
      </w:pPr>
      <w:bookmarkStart w:id="160" w:name="_Toc9904"/>
      <w:r>
        <w:rPr>
          <w:rFonts w:hint="eastAsia"/>
          <w:color w:val="000000" w:themeColor="text1"/>
          <w14:textFill>
            <w14:solidFill>
              <w14:schemeClr w14:val="tx1"/>
            </w14:solidFill>
          </w14:textFill>
        </w:rPr>
        <w:t>三、其他风险</w:t>
      </w:r>
      <w:bookmarkEnd w:id="160"/>
    </w:p>
    <w:p w14:paraId="44E074BA">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（一）股票价格波动风险</w:t>
      </w:r>
    </w:p>
    <w:p w14:paraId="008D2A5F">
      <w:pPr>
        <w:spacing w:before="120"/>
        <w:ind w:firstLine="480"/>
        <w:jc w:val="both"/>
        <w:rPr>
          <w:rFonts w:hint="eastAsia" w:ascii="宋体" w:hAnsi="宋体"/>
        </w:rPr>
      </w:pPr>
      <w:r>
        <w:rPr>
          <w:rFonts w:hint="eastAsia" w:ascii="宋体" w:hAnsi="宋体"/>
          <w:color w:val="000000"/>
        </w:rPr>
        <w:t>股票市场投资收益与投资风险并存。股票价格不仅取决于公司的盈利水平及发展前景，还受宏观经济周期、国家经济政策、资金、供求关系等因素的影响，同时也会因国际、国内政治经济形势及投资者心理因素的变化而产生波动。本次交易需要有关部门审批且需要一定的时间方能完成，在此期间股票市场价格可能出现波动，从而给投资者带来一定的风险。</w:t>
      </w:r>
    </w:p>
    <w:p w14:paraId="79C5E5F5">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（二）其他不可控风险</w:t>
      </w:r>
    </w:p>
    <w:p w14:paraId="4A062318">
      <w:pPr>
        <w:spacing w:before="120"/>
        <w:ind w:firstLine="480"/>
        <w:jc w:val="both"/>
        <w:rPr>
          <w:rFonts w:hint="eastAsia" w:ascii="宋体" w:hAnsi="宋体"/>
          <w:color w:val="000000"/>
        </w:rPr>
      </w:pPr>
      <w:r>
        <w:rPr>
          <w:rFonts w:hint="eastAsia" w:ascii="宋体" w:hAnsi="宋体"/>
          <w:color w:val="000000"/>
        </w:rPr>
        <w:t>本次交易不排除因政治、经济、自然灾害等其他不可控因素带来不利影响的可能性。提请投资者关注相关风险。</w:t>
      </w:r>
    </w:p>
    <w:bookmarkEnd w:id="156"/>
    <w:bookmarkEnd w:id="157"/>
    <w:p w14:paraId="2F7BF1A7">
      <w:pPr>
        <w:keepNext/>
        <w:keepLines/>
        <w:pageBreakBefore/>
        <w:spacing w:before="120" w:after="120" w:afterLines="50"/>
        <w:ind w:firstLine="480" w:firstLineChars="0"/>
        <w:jc w:val="center"/>
        <w:outlineLvl w:val="0"/>
        <w:rPr>
          <w:rFonts w:eastAsia="黑体" w:cs="Times New Roman"/>
          <w:b/>
          <w:bCs/>
          <w:kern w:val="2"/>
          <w:sz w:val="32"/>
          <w:szCs w:val="28"/>
          <w:lang w:val="zh-CN"/>
        </w:rPr>
      </w:pPr>
      <w:bookmarkStart w:id="161" w:name="_Toc25346"/>
      <w:r>
        <w:rPr>
          <w:rFonts w:hint="eastAsia" w:eastAsia="黑体" w:cs="Times New Roman"/>
          <w:b/>
          <w:bCs/>
          <w:kern w:val="2"/>
          <w:sz w:val="32"/>
          <w:szCs w:val="28"/>
          <w:lang w:val="zh-CN"/>
        </w:rPr>
        <w:t>第八节</w:t>
      </w:r>
      <w:r>
        <w:rPr>
          <w:rFonts w:hint="eastAsia" w:eastAsia="黑体" w:cs="Times New Roman"/>
          <w:b/>
          <w:bCs/>
          <w:kern w:val="2"/>
          <w:sz w:val="32"/>
          <w:szCs w:val="28"/>
        </w:rPr>
        <w:t xml:space="preserve"> </w:t>
      </w:r>
      <w:r>
        <w:rPr>
          <w:rFonts w:hint="eastAsia" w:eastAsia="黑体" w:cs="Times New Roman"/>
          <w:b/>
          <w:bCs/>
          <w:kern w:val="2"/>
          <w:sz w:val="32"/>
          <w:szCs w:val="28"/>
          <w:lang w:val="zh-CN"/>
        </w:rPr>
        <w:t>其他重要事项</w:t>
      </w:r>
      <w:bookmarkEnd w:id="161"/>
    </w:p>
    <w:p w14:paraId="2573CC8B">
      <w:pPr>
        <w:keepNext/>
        <w:keepLines/>
        <w:spacing w:before="120" w:after="120" w:afterLines="50"/>
        <w:ind w:firstLine="0" w:firstLineChars="0"/>
        <w:jc w:val="both"/>
        <w:outlineLvl w:val="1"/>
        <w:rPr>
          <w:rFonts w:eastAsia="黑体" w:cs="Times New Roman"/>
          <w:b/>
          <w:bCs/>
          <w:kern w:val="2"/>
          <w:sz w:val="28"/>
          <w:szCs w:val="28"/>
        </w:rPr>
      </w:pPr>
      <w:bookmarkStart w:id="162" w:name="_Toc29176"/>
      <w:bookmarkStart w:id="163" w:name="_Toc184373677"/>
      <w:r>
        <w:rPr>
          <w:rFonts w:hint="eastAsia" w:eastAsia="黑体" w:cs="Times New Roman"/>
          <w:b/>
          <w:bCs/>
          <w:kern w:val="2"/>
          <w:sz w:val="28"/>
          <w:szCs w:val="28"/>
        </w:rPr>
        <w:t>一、上市公司控股股东、实际控制人对本次交易的原则性意见</w:t>
      </w:r>
      <w:bookmarkEnd w:id="162"/>
      <w:bookmarkEnd w:id="163"/>
    </w:p>
    <w:p w14:paraId="65D5823A">
      <w:pPr>
        <w:snapToGrid w:val="0"/>
        <w:spacing w:before="120" w:after="50"/>
        <w:ind w:firstLine="480"/>
        <w:jc w:val="both"/>
        <w:rPr>
          <w:rFonts w:cs="Times New Roman"/>
          <w:kern w:val="2"/>
        </w:rPr>
      </w:pPr>
      <w:bookmarkStart w:id="164" w:name="_Toc86099361"/>
      <w:bookmarkStart w:id="165" w:name="_Hlk146297635"/>
      <w:r>
        <w:rPr>
          <w:rFonts w:hint="eastAsia"/>
        </w:rPr>
        <w:t>上市公司控股股东、实际控制人已出具关于本次交易的原则性意见：</w:t>
      </w:r>
    </w:p>
    <w:p w14:paraId="2EB6EAA1">
      <w:pPr>
        <w:numPr>
          <w:ilvl w:val="0"/>
          <w:numId w:val="7"/>
        </w:numPr>
        <w:snapToGrid w:val="0"/>
        <w:spacing w:before="120" w:after="50"/>
        <w:ind w:firstLine="480"/>
        <w:jc w:val="both"/>
        <w:rPr>
          <w:rFonts w:cs="Times New Roman"/>
          <w:kern w:val="2"/>
        </w:rPr>
      </w:pPr>
      <w:r>
        <w:rPr>
          <w:rFonts w:hint="eastAsia" w:cs="Times New Roman"/>
          <w:kern w:val="2"/>
        </w:rPr>
        <w:t>本人已知悉上市公司本次交易的相关信息和方案，本人认为，本次交易符合相关法律、法规及监管规则的要求，有利于增强上市公司持续经营能力、抗风险能力和综合竞争实力，有利于维护上市公司及全体股东的利益，本人原则上同意本次交易。</w:t>
      </w:r>
    </w:p>
    <w:p w14:paraId="1FB741BE">
      <w:pPr>
        <w:snapToGrid w:val="0"/>
        <w:spacing w:before="120" w:after="50"/>
        <w:ind w:firstLine="480"/>
        <w:jc w:val="both"/>
        <w:rPr>
          <w:rFonts w:cs="Times New Roman"/>
          <w:kern w:val="2"/>
        </w:rPr>
      </w:pPr>
      <w:r>
        <w:rPr>
          <w:rFonts w:hint="eastAsia" w:cs="Times New Roman"/>
          <w:kern w:val="2"/>
        </w:rPr>
        <w:t>2、本人将坚持在有利于上市公司的前提下，积极促成本次交易顺利进行。</w:t>
      </w:r>
    </w:p>
    <w:bookmarkEnd w:id="164"/>
    <w:bookmarkEnd w:id="165"/>
    <w:p w14:paraId="53F5F736">
      <w:pPr>
        <w:spacing w:before="120" w:after="100" w:afterAutospacing="1"/>
        <w:ind w:firstLine="0" w:firstLineChars="0"/>
        <w:jc w:val="both"/>
        <w:outlineLvl w:val="1"/>
        <w:rPr>
          <w:rFonts w:eastAsia="黑体" w:cs="Times New Roman"/>
          <w:b/>
          <w:bCs/>
          <w:kern w:val="2"/>
          <w:sz w:val="28"/>
          <w:szCs w:val="28"/>
        </w:rPr>
      </w:pPr>
      <w:bookmarkStart w:id="166" w:name="_Toc184373678"/>
      <w:bookmarkStart w:id="167" w:name="_Toc7877"/>
      <w:r>
        <w:rPr>
          <w:rFonts w:hint="eastAsia" w:eastAsia="黑体" w:cs="Times New Roman"/>
          <w:b/>
          <w:bCs/>
          <w:kern w:val="2"/>
          <w:sz w:val="28"/>
          <w:szCs w:val="28"/>
        </w:rPr>
        <w:t>二、上市公司控股股东、实际控制人及公司董事、监事、高级管理人员本次重组预案公告之日起至实施完毕期间的股份减持计划</w:t>
      </w:r>
      <w:bookmarkEnd w:id="166"/>
      <w:bookmarkEnd w:id="167"/>
    </w:p>
    <w:p w14:paraId="7E13F655">
      <w:pPr>
        <w:keepNext/>
        <w:keepLines/>
        <w:spacing w:before="120" w:after="120" w:afterLines="50"/>
        <w:ind w:firstLine="0" w:firstLineChars="0"/>
        <w:jc w:val="both"/>
        <w:outlineLvl w:val="2"/>
      </w:pPr>
      <w:r>
        <w:rPr>
          <w:rFonts w:hint="eastAsia" w:eastAsia="黑体" w:cs="Times New Roman"/>
          <w:b/>
          <w:bCs/>
          <w:kern w:val="2"/>
          <w:szCs w:val="28"/>
        </w:rPr>
        <w:t>（一）上市公司控股股东、实际控制人自本次重组预案披露之日起至实施完毕期间的股份减持计划</w:t>
      </w:r>
    </w:p>
    <w:p w14:paraId="2955455A">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截至本预案签署日，上市公司控股股东、实际控制人</w:t>
      </w:r>
      <w:r>
        <w:rPr>
          <w:rFonts w:hint="eastAsia" w:ascii="宋体" w:hAnsi="宋体"/>
        </w:rPr>
        <w:t>林明玲、马学沛</w:t>
      </w:r>
      <w:r>
        <w:rPr>
          <w:rFonts w:hint="eastAsia" w:cs="Times New Roman"/>
          <w:color w:val="000000"/>
          <w:kern w:val="2"/>
          <w:szCs w:val="30"/>
          <w:shd w:val="clear" w:color="auto" w:fill="FFFFFF"/>
          <w:lang w:val="zh-CN"/>
        </w:rPr>
        <w:t>出具了关于股份减持计划的承诺：</w:t>
      </w:r>
    </w:p>
    <w:p w14:paraId="1B8E66DA">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“1、截至本承诺函出具之日，本人不存在减持上市公司股份的计划。</w:t>
      </w:r>
    </w:p>
    <w:p w14:paraId="3E605C6B">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2、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04904DBF">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3、如本人后续根据自身实际情况需要或市场变化拟减持上市公司股份的，本人将依据相关法律法规的规定及时履行信息披露义务。</w:t>
      </w:r>
    </w:p>
    <w:p w14:paraId="5A2A4B0B">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4、若本人的减持承诺与证券监管机构的最新监管意见不相符，本人将根据相关证券监管机构的监管意见进行调整。</w:t>
      </w:r>
    </w:p>
    <w:p w14:paraId="07196571">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5、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p>
    <w:p w14:paraId="24C3924F">
      <w:pPr>
        <w:keepNext/>
        <w:keepLines/>
        <w:spacing w:before="120" w:after="120" w:afterLines="50"/>
        <w:ind w:firstLine="0" w:firstLineChars="0"/>
        <w:jc w:val="both"/>
        <w:outlineLvl w:val="2"/>
      </w:pPr>
      <w:r>
        <w:rPr>
          <w:rFonts w:hint="eastAsia" w:eastAsia="黑体" w:cs="Times New Roman"/>
          <w:b/>
          <w:bCs/>
          <w:kern w:val="2"/>
          <w:szCs w:val="28"/>
        </w:rPr>
        <w:t>（二）上市公司董事、监事、高级管理人员自本次重组预案披露之日起至实施完毕期间的股份减持计划</w:t>
      </w:r>
    </w:p>
    <w:p w14:paraId="0B1A405C">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截至本预案签署日，上市公司全体董事、监事、高级管理人员出具了关于股份减持计划的承诺：</w:t>
      </w:r>
    </w:p>
    <w:p w14:paraId="49F62BA0">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“1、截至本承诺函出具之日，本人不存在减持上市公司股份的计划。</w:t>
      </w:r>
    </w:p>
    <w:p w14:paraId="151227DE">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2、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521EF727">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3、如本人后续根据自身实际情况需要或市场变化拟减持上市公司股份的，本人将依据相关法律法规的规定及时履行信息披露义务。</w:t>
      </w:r>
    </w:p>
    <w:p w14:paraId="15597DD5">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4、若本人的减持承诺与证券监管机构的最新监管意见不相符，本人将根据相关证券监管机构的监管意见进行调整。</w:t>
      </w:r>
    </w:p>
    <w:p w14:paraId="1CE9F838">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5、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p>
    <w:p w14:paraId="1C964EF7">
      <w:pPr>
        <w:keepNext/>
        <w:keepLines/>
        <w:spacing w:before="120" w:after="120" w:afterLines="50"/>
        <w:ind w:firstLine="0" w:firstLineChars="0"/>
        <w:jc w:val="both"/>
        <w:outlineLvl w:val="1"/>
        <w:rPr>
          <w:rFonts w:eastAsia="黑体" w:cs="Times New Roman"/>
          <w:b/>
          <w:bCs/>
          <w:kern w:val="2"/>
          <w:sz w:val="28"/>
          <w:szCs w:val="28"/>
        </w:rPr>
      </w:pPr>
      <w:bookmarkStart w:id="168" w:name="_Toc184373679"/>
      <w:bookmarkStart w:id="169" w:name="_Toc23294"/>
      <w:r>
        <w:rPr>
          <w:rFonts w:hint="eastAsia" w:eastAsia="黑体" w:cs="Times New Roman"/>
          <w:b/>
          <w:bCs/>
          <w:kern w:val="2"/>
          <w:sz w:val="28"/>
          <w:szCs w:val="28"/>
        </w:rPr>
        <w:t>三、本次重组对中小投资者权益保护的安排</w:t>
      </w:r>
      <w:bookmarkEnd w:id="168"/>
      <w:bookmarkEnd w:id="169"/>
    </w:p>
    <w:p w14:paraId="10BC056B">
      <w:pPr>
        <w:spacing w:before="120" w:after="120" w:afterLines="50"/>
        <w:ind w:firstLine="480"/>
        <w:jc w:val="both"/>
        <w:rPr>
          <w:rFonts w:hint="eastAsia" w:ascii="宋体" w:hAnsi="宋体"/>
          <w:color w:val="000000"/>
          <w:kern w:val="2"/>
        </w:rPr>
      </w:pPr>
      <w:r>
        <w:rPr>
          <w:rFonts w:hint="eastAsia" w:ascii="宋体" w:hAnsi="宋体"/>
          <w:color w:val="000000"/>
          <w:kern w:val="2"/>
        </w:rPr>
        <w:t>本次交易中，上市公司主要采取如下安排和措施，以保护投资者尤其是中小投资者的合法权益。</w:t>
      </w:r>
    </w:p>
    <w:p w14:paraId="15A40B30">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（一）严格履行上市公司信息披露义务</w:t>
      </w:r>
    </w:p>
    <w:p w14:paraId="06DB10CC">
      <w:pPr>
        <w:spacing w:before="120" w:after="120" w:afterLines="50"/>
        <w:ind w:firstLine="480"/>
        <w:jc w:val="both"/>
        <w:rPr>
          <w:rFonts w:hint="eastAsia" w:ascii="宋体" w:hAnsi="宋体"/>
          <w:color w:val="000000"/>
          <w:kern w:val="2"/>
        </w:rPr>
      </w:pPr>
      <w:r>
        <w:rPr>
          <w:rFonts w:hint="eastAsia" w:ascii="宋体" w:hAnsi="宋体"/>
          <w:color w:val="000000"/>
          <w:kern w:val="2"/>
        </w:rPr>
        <w:t>公司及相关信息披露义务人将严格按照《证券法》《重组管理办法》等相关规定，切实履行信息披露义务，公平地向所有投资者披露可能对上市公司股票交易价格产生较大影响的重大事件。本预案披露后，公司将继续按照相关法规的要求，及时、准确地披露公司重组的进展情况。</w:t>
      </w:r>
    </w:p>
    <w:p w14:paraId="3D999F37">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（二）严格履行上市公司审议及表决程序</w:t>
      </w:r>
    </w:p>
    <w:p w14:paraId="68F75B39">
      <w:pPr>
        <w:spacing w:before="120" w:after="120" w:afterLines="50"/>
        <w:ind w:firstLine="480"/>
        <w:jc w:val="both"/>
        <w:rPr>
          <w:rFonts w:hint="eastAsia" w:ascii="宋体" w:hAnsi="宋体"/>
          <w:color w:val="000000"/>
          <w:kern w:val="2"/>
        </w:rPr>
      </w:pPr>
      <w:r>
        <w:rPr>
          <w:rFonts w:hint="eastAsia" w:ascii="宋体" w:hAnsi="宋体"/>
          <w:color w:val="000000"/>
          <w:kern w:val="2"/>
        </w:rPr>
        <w:t>上市公司在本次交易过程中严格按照相关规定履行法定程序进行表决和披露。公司召开董事会、监事会审议通过本次交易的相关议案，有关决议符合《公司法》等相关法律、行政法规、部门规章等规范性文件及《公司章程》的相关规定，本次重组事项已经公司独立董事专门会议审议通过。</w:t>
      </w:r>
    </w:p>
    <w:p w14:paraId="1EBE0331">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（三）确保本次交易的定价公平、公允</w:t>
      </w:r>
    </w:p>
    <w:p w14:paraId="7F78706B">
      <w:pPr>
        <w:spacing w:before="120" w:after="120" w:afterLines="50"/>
        <w:ind w:firstLine="480"/>
        <w:jc w:val="both"/>
        <w:rPr>
          <w:rFonts w:hint="eastAsia" w:ascii="宋体" w:hAnsi="宋体"/>
          <w:color w:val="000000"/>
          <w:kern w:val="2"/>
        </w:rPr>
      </w:pPr>
      <w:r>
        <w:rPr>
          <w:rFonts w:hint="eastAsia" w:ascii="宋体" w:hAnsi="宋体"/>
          <w:color w:val="000000"/>
          <w:kern w:val="2"/>
        </w:rPr>
        <w:t>上市公司拟聘请符合《证券法》规定的审计机构、评估机构对标的公司进行审计和评估；并聘请独立财务顾问和法律顾问对本次交易所涉及的资产定价、标的资产的权属状况等情况进行核查，对实施过程、相关协议及承诺的履行情况和相关后续事项的合规性及风险进行核查，发表明确意见，以确保本次交易标的资产定价公平、公允，定价过程合法合规，不损害上市公司股东利益。</w:t>
      </w:r>
    </w:p>
    <w:p w14:paraId="1B4F78B5">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（四）股东会的网络投票安排</w:t>
      </w:r>
    </w:p>
    <w:p w14:paraId="3A5B239B">
      <w:pPr>
        <w:spacing w:before="120" w:after="120" w:afterLines="50"/>
        <w:ind w:firstLine="480"/>
        <w:jc w:val="both"/>
        <w:rPr>
          <w:rFonts w:hint="eastAsia" w:ascii="宋体" w:hAnsi="宋体"/>
          <w:color w:val="000000"/>
          <w:kern w:val="2"/>
        </w:rPr>
      </w:pPr>
      <w:r>
        <w:rPr>
          <w:rFonts w:hint="eastAsia" w:ascii="宋体" w:hAnsi="宋体"/>
          <w:color w:val="000000"/>
          <w:kern w:val="2"/>
        </w:rPr>
        <w:t>公司将根据中国证监会《关于加强社会公众股股东权益保护的若干规定》等有关规定，为参加股东会的股东提供便利。上市公司将通过交易所交易系统和互联网投票系统向全体股东提供网络形式的投票平台，股东可以通过交易系统或互联网投票系统参加网络投票，以切实保护股东的合法权益。</w:t>
      </w:r>
    </w:p>
    <w:p w14:paraId="4AE345CC">
      <w:pPr>
        <w:spacing w:before="120" w:after="120" w:afterLines="50"/>
        <w:ind w:firstLine="480"/>
        <w:jc w:val="both"/>
        <w:rPr>
          <w:rFonts w:hint="eastAsia" w:ascii="宋体" w:hAnsi="宋体"/>
          <w:color w:val="000000"/>
          <w:kern w:val="2"/>
        </w:rPr>
      </w:pPr>
      <w:r>
        <w:rPr>
          <w:rFonts w:hint="eastAsia" w:ascii="宋体" w:hAnsi="宋体"/>
          <w:color w:val="000000"/>
          <w:kern w:val="2"/>
        </w:rPr>
        <w:t>针对审议本次交易的股东会投票情况，上市公司将单独统计并予以披露除公司的董事、监事、高级管理人员、单独或者合计持有上市公司</w:t>
      </w:r>
      <w:r>
        <w:rPr>
          <w:rFonts w:cs="Times New Roman"/>
          <w:color w:val="000000"/>
          <w:kern w:val="2"/>
        </w:rPr>
        <w:t>5%</w:t>
      </w:r>
      <w:r>
        <w:rPr>
          <w:rFonts w:hint="eastAsia" w:ascii="宋体" w:hAnsi="宋体"/>
          <w:color w:val="000000"/>
          <w:kern w:val="2"/>
        </w:rPr>
        <w:t>以上股份的股东以外的其他股东的投票情况。</w:t>
      </w:r>
    </w:p>
    <w:p w14:paraId="1B4F1C9D">
      <w:pPr>
        <w:keepNext/>
        <w:keepLines/>
        <w:spacing w:before="120" w:after="120" w:afterLines="50"/>
        <w:ind w:firstLine="0" w:firstLineChars="0"/>
        <w:jc w:val="both"/>
        <w:outlineLvl w:val="2"/>
        <w:rPr>
          <w:rFonts w:eastAsia="黑体" w:cs="Times New Roman"/>
          <w:b/>
          <w:bCs/>
          <w:kern w:val="2"/>
          <w:szCs w:val="28"/>
        </w:rPr>
      </w:pPr>
      <w:r>
        <w:rPr>
          <w:rFonts w:hint="eastAsia" w:eastAsia="黑体" w:cs="Times New Roman"/>
          <w:b/>
          <w:bCs/>
          <w:kern w:val="2"/>
          <w:szCs w:val="28"/>
        </w:rPr>
        <w:t>（五）其他保护投资者权益的措施</w:t>
      </w:r>
    </w:p>
    <w:p w14:paraId="5499C3EC">
      <w:pPr>
        <w:spacing w:before="120" w:after="120" w:afterLines="50"/>
        <w:ind w:firstLine="480"/>
        <w:jc w:val="both"/>
        <w:rPr>
          <w:rFonts w:hint="eastAsia" w:ascii="宋体" w:hAnsi="宋体"/>
          <w:color w:val="000000"/>
          <w:kern w:val="2"/>
        </w:rPr>
      </w:pPr>
      <w:r>
        <w:rPr>
          <w:rFonts w:hint="eastAsia" w:ascii="宋体" w:hAnsi="宋体"/>
          <w:color w:val="000000"/>
          <w:kern w:val="2"/>
        </w:rPr>
        <w:t>根据《公司法》《证券法》《重组管理办法》《上市规则》等法律、法规及规范性文件的要求，上市公司将及时提供本次交易相关信息，并保证所提供的信息真实、准确、完整，并对所提供信息的真实性、准确性和完整性承担相应的法律责任。</w:t>
      </w:r>
    </w:p>
    <w:p w14:paraId="47209E28">
      <w:pPr>
        <w:keepNext/>
        <w:keepLines/>
        <w:spacing w:before="120" w:after="120" w:afterLines="50"/>
        <w:ind w:firstLine="0" w:firstLineChars="0"/>
        <w:jc w:val="both"/>
        <w:outlineLvl w:val="1"/>
        <w:rPr>
          <w:rFonts w:eastAsia="黑体" w:cs="Times New Roman"/>
          <w:b/>
          <w:bCs/>
          <w:kern w:val="2"/>
          <w:sz w:val="28"/>
          <w:szCs w:val="28"/>
        </w:rPr>
      </w:pPr>
      <w:bookmarkStart w:id="170" w:name="_Toc12132"/>
      <w:bookmarkStart w:id="171" w:name="_Toc184373680"/>
      <w:r>
        <w:rPr>
          <w:rFonts w:hint="eastAsia" w:eastAsia="黑体" w:cs="Times New Roman"/>
          <w:b/>
          <w:bCs/>
          <w:kern w:val="2"/>
          <w:sz w:val="28"/>
          <w:szCs w:val="28"/>
        </w:rPr>
        <w:t>四、本次交易的相关主体不存在依据《上市公司监管指引第7号——上市公司重大资产重组相关股票异常交易监管》第十二条不得参与任何上市公司重大资产重组的情形</w:t>
      </w:r>
      <w:bookmarkEnd w:id="170"/>
      <w:bookmarkEnd w:id="171"/>
    </w:p>
    <w:p w14:paraId="1228C222">
      <w:pPr>
        <w:tabs>
          <w:tab w:val="left" w:pos="868"/>
        </w:tabs>
        <w:spacing w:before="120" w:after="120" w:afterLines="50"/>
        <w:ind w:firstLine="480"/>
        <w:jc w:val="both"/>
        <w:rPr>
          <w:color w:val="000000"/>
        </w:rPr>
      </w:pPr>
      <w:bookmarkStart w:id="172" w:name="_Toc481026559"/>
      <w:bookmarkStart w:id="173" w:name="_Toc86099363"/>
      <w:r>
        <w:rPr>
          <w:rFonts w:hint="eastAsia"/>
          <w:color w:val="000000"/>
        </w:rPr>
        <w:t>截至本预案签署日，本次交易相关主体均不存在因涉嫌本次交易相关的内幕交易被立案调查或立案侦查的情形，亦不存在最近36个月内因与重大资产重组相关的内幕交易被证监会作出行政处罚或者被司法机关依法追究刑事责任的情形。</w:t>
      </w:r>
    </w:p>
    <w:p w14:paraId="646D7CCC">
      <w:pPr>
        <w:tabs>
          <w:tab w:val="left" w:pos="868"/>
        </w:tabs>
        <w:spacing w:before="120" w:after="120" w:afterLines="50"/>
        <w:ind w:firstLine="480"/>
        <w:jc w:val="both"/>
        <w:rPr>
          <w:color w:val="000000"/>
        </w:rPr>
      </w:pPr>
      <w:r>
        <w:rPr>
          <w:rFonts w:hint="eastAsia"/>
          <w:color w:val="000000"/>
        </w:rPr>
        <w:t>综上，本次交易相关主体不存在依据《上市公司监管指引第7号—上市公司重大资产重组相关股票异常交易监管》第十二条规定的不得参与任何上市公司重大资产重组的情形。</w:t>
      </w:r>
    </w:p>
    <w:bookmarkEnd w:id="172"/>
    <w:bookmarkEnd w:id="173"/>
    <w:p w14:paraId="18B3C109">
      <w:pPr>
        <w:keepNext/>
        <w:keepLines/>
        <w:spacing w:before="120" w:after="120" w:afterLines="50"/>
        <w:ind w:firstLine="0" w:firstLineChars="0"/>
        <w:jc w:val="both"/>
        <w:outlineLvl w:val="1"/>
        <w:rPr>
          <w:rFonts w:eastAsia="黑体" w:cs="Times New Roman"/>
          <w:b/>
          <w:bCs/>
          <w:kern w:val="2"/>
          <w:sz w:val="28"/>
          <w:szCs w:val="28"/>
        </w:rPr>
      </w:pPr>
      <w:bookmarkStart w:id="174" w:name="_Toc184373681"/>
      <w:bookmarkStart w:id="175" w:name="_Toc25645"/>
      <w:r>
        <w:rPr>
          <w:rFonts w:hint="eastAsia" w:eastAsia="黑体" w:cs="Times New Roman"/>
          <w:b/>
          <w:bCs/>
          <w:kern w:val="2"/>
          <w:sz w:val="28"/>
          <w:szCs w:val="28"/>
        </w:rPr>
        <w:t>五、</w:t>
      </w:r>
      <w:bookmarkStart w:id="176" w:name="OLE_LINK10"/>
      <w:r>
        <w:rPr>
          <w:rFonts w:hint="eastAsia" w:eastAsia="黑体" w:cs="Times New Roman"/>
          <w:b/>
          <w:bCs/>
          <w:kern w:val="2"/>
          <w:sz w:val="28"/>
          <w:szCs w:val="28"/>
        </w:rPr>
        <w:t>本公司最近十二个月内重大资产购买或出售情况</w:t>
      </w:r>
      <w:bookmarkEnd w:id="174"/>
      <w:bookmarkEnd w:id="175"/>
      <w:bookmarkEnd w:id="176"/>
    </w:p>
    <w:p w14:paraId="33133272">
      <w:pPr>
        <w:tabs>
          <w:tab w:val="left" w:pos="868"/>
        </w:tabs>
        <w:spacing w:before="120" w:after="120" w:afterLines="50"/>
        <w:ind w:firstLine="480"/>
        <w:jc w:val="both"/>
        <w:rPr>
          <w:color w:val="000000"/>
        </w:rPr>
      </w:pPr>
      <w:bookmarkStart w:id="177" w:name="_Toc86099364"/>
      <w:r>
        <w:rPr>
          <w:rFonts w:hint="eastAsia"/>
          <w:color w:val="000000"/>
        </w:rPr>
        <w:t>截至本预案签署日，上市公司在最近十二个月内不存在《重组管理办法》认定的重大资产交易情况，不存在购买、出售与本次交易标的资产为同一或相关资产的情形。</w:t>
      </w:r>
    </w:p>
    <w:bookmarkEnd w:id="177"/>
    <w:p w14:paraId="53AE51A0">
      <w:pPr>
        <w:keepNext/>
        <w:keepLines/>
        <w:spacing w:before="120" w:after="120" w:afterLines="50"/>
        <w:ind w:firstLine="0" w:firstLineChars="0"/>
        <w:jc w:val="both"/>
        <w:outlineLvl w:val="1"/>
        <w:rPr>
          <w:rFonts w:eastAsia="黑体" w:cs="Times New Roman"/>
          <w:b/>
          <w:bCs/>
          <w:kern w:val="2"/>
          <w:sz w:val="28"/>
          <w:szCs w:val="28"/>
        </w:rPr>
      </w:pPr>
      <w:bookmarkStart w:id="178" w:name="_Toc2129"/>
      <w:bookmarkStart w:id="179" w:name="_Toc184373682"/>
      <w:r>
        <w:rPr>
          <w:rFonts w:hint="eastAsia" w:eastAsia="黑体" w:cs="Times New Roman"/>
          <w:b/>
          <w:bCs/>
          <w:kern w:val="2"/>
          <w:sz w:val="28"/>
          <w:szCs w:val="28"/>
        </w:rPr>
        <w:t>六、本次交易披露前上市公司股票价格波动情况</w:t>
      </w:r>
      <w:bookmarkEnd w:id="178"/>
      <w:bookmarkEnd w:id="179"/>
    </w:p>
    <w:p w14:paraId="70A3BB53">
      <w:pPr>
        <w:spacing w:before="120" w:after="120" w:afterLines="50"/>
        <w:ind w:firstLine="480"/>
        <w:jc w:val="both"/>
        <w:rPr>
          <w:rFonts w:cs="Times New Roman"/>
          <w:kern w:val="2"/>
        </w:rPr>
      </w:pPr>
      <w:r>
        <w:rPr>
          <w:rFonts w:hint="eastAsia"/>
          <w:color w:val="000000"/>
        </w:rPr>
        <w:t>为了保证公平信息披露、维护投资者利益，避免对公司股价造成重大影响</w:t>
      </w:r>
      <w:r>
        <w:rPr>
          <w:rFonts w:hint="eastAsia" w:cs="Times New Roman"/>
          <w:kern w:val="2"/>
        </w:rPr>
        <w:t>，经向深圳证券交易所申请，公司股票于2025年6月10日起停牌。本次交易事项申请连续停牌前20个交易日的股票价格波动情况，该期间创业板指数以及同行业板块波动情况如下：</w:t>
      </w:r>
    </w:p>
    <w:tbl>
      <w:tblPr>
        <w:tblStyle w:val="7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470"/>
        <w:gridCol w:w="2630"/>
        <w:gridCol w:w="2372"/>
        <w:gridCol w:w="1056"/>
      </w:tblGrid>
      <w:tr w14:paraId="1B442F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1448" w:type="pct"/>
            <w:shd w:val="clear" w:color="auto" w:fill="auto"/>
            <w:vAlign w:val="center"/>
          </w:tcPr>
          <w:p w14:paraId="08EF7AAC">
            <w:pPr>
              <w:keepNext/>
              <w:spacing w:before="0" w:beforeLines="0" w:line="240" w:lineRule="auto"/>
              <w:ind w:firstLine="0" w:firstLineChars="0"/>
              <w:jc w:val="center"/>
              <w:rPr>
                <w:rFonts w:cs="Times New Roman"/>
                <w:b/>
                <w:kern w:val="2"/>
                <w:sz w:val="21"/>
              </w:rPr>
            </w:pPr>
            <w:r>
              <w:rPr>
                <w:rFonts w:cs="Times New Roman"/>
                <w:b/>
                <w:kern w:val="2"/>
                <w:sz w:val="21"/>
              </w:rPr>
              <w:t>项目</w:t>
            </w:r>
          </w:p>
        </w:tc>
        <w:tc>
          <w:tcPr>
            <w:tcW w:w="1542" w:type="pct"/>
            <w:shd w:val="clear" w:color="auto" w:fill="auto"/>
            <w:vAlign w:val="center"/>
          </w:tcPr>
          <w:p w14:paraId="42CB650A">
            <w:pPr>
              <w:keepNext/>
              <w:spacing w:before="0" w:beforeLines="0" w:line="240" w:lineRule="auto"/>
              <w:ind w:firstLine="0" w:firstLineChars="0"/>
              <w:jc w:val="center"/>
              <w:rPr>
                <w:rFonts w:cs="Times New Roman"/>
                <w:b/>
                <w:kern w:val="2"/>
                <w:sz w:val="21"/>
              </w:rPr>
            </w:pPr>
            <w:r>
              <w:rPr>
                <w:rFonts w:hint="eastAsia" w:cs="Times New Roman"/>
                <w:b/>
                <w:kern w:val="2"/>
                <w:sz w:val="21"/>
              </w:rPr>
              <w:t>停牌</w:t>
            </w:r>
            <w:r>
              <w:rPr>
                <w:rFonts w:cs="Times New Roman"/>
                <w:b/>
                <w:kern w:val="2"/>
                <w:sz w:val="21"/>
              </w:rPr>
              <w:t>前</w:t>
            </w:r>
            <w:r>
              <w:rPr>
                <w:rFonts w:hint="eastAsia" w:cs="Times New Roman"/>
                <w:b/>
                <w:kern w:val="2"/>
                <w:sz w:val="21"/>
              </w:rPr>
              <w:t>第</w:t>
            </w:r>
            <w:r>
              <w:rPr>
                <w:rFonts w:cs="Times New Roman"/>
                <w:b/>
                <w:kern w:val="2"/>
                <w:sz w:val="21"/>
              </w:rPr>
              <w:t>21个交易日（202</w:t>
            </w:r>
            <w:r>
              <w:rPr>
                <w:rFonts w:hint="eastAsia" w:cs="Times New Roman"/>
                <w:b/>
                <w:kern w:val="2"/>
                <w:sz w:val="21"/>
              </w:rPr>
              <w:t>5</w:t>
            </w:r>
            <w:r>
              <w:rPr>
                <w:rFonts w:cs="Times New Roman"/>
                <w:b/>
                <w:kern w:val="2"/>
                <w:sz w:val="21"/>
              </w:rPr>
              <w:t>年</w:t>
            </w:r>
            <w:r>
              <w:rPr>
                <w:rFonts w:hint="eastAsia" w:cs="Times New Roman"/>
                <w:b/>
                <w:kern w:val="2"/>
                <w:sz w:val="21"/>
              </w:rPr>
              <w:t>5</w:t>
            </w:r>
            <w:r>
              <w:rPr>
                <w:rFonts w:cs="Times New Roman"/>
                <w:b/>
                <w:kern w:val="2"/>
                <w:sz w:val="21"/>
              </w:rPr>
              <w:t>月</w:t>
            </w:r>
            <w:r>
              <w:rPr>
                <w:rFonts w:hint="eastAsia" w:cs="Times New Roman"/>
                <w:b/>
                <w:kern w:val="2"/>
                <w:sz w:val="21"/>
              </w:rPr>
              <w:t>9</w:t>
            </w:r>
            <w:r>
              <w:rPr>
                <w:rFonts w:cs="Times New Roman"/>
                <w:b/>
                <w:kern w:val="2"/>
                <w:sz w:val="21"/>
              </w:rPr>
              <w:t>日）</w:t>
            </w:r>
          </w:p>
        </w:tc>
        <w:tc>
          <w:tcPr>
            <w:tcW w:w="1391" w:type="pct"/>
            <w:shd w:val="clear" w:color="auto" w:fill="auto"/>
            <w:vAlign w:val="center"/>
          </w:tcPr>
          <w:p w14:paraId="1058A55F">
            <w:pPr>
              <w:keepNext/>
              <w:spacing w:before="0" w:beforeLines="0" w:line="240" w:lineRule="auto"/>
              <w:ind w:firstLine="0" w:firstLineChars="0"/>
              <w:jc w:val="center"/>
              <w:rPr>
                <w:rFonts w:cs="Times New Roman"/>
                <w:b/>
                <w:kern w:val="2"/>
                <w:sz w:val="21"/>
              </w:rPr>
            </w:pPr>
            <w:r>
              <w:rPr>
                <w:rFonts w:hint="eastAsia" w:cs="Times New Roman"/>
                <w:b/>
                <w:kern w:val="2"/>
                <w:sz w:val="21"/>
              </w:rPr>
              <w:t>停牌</w:t>
            </w:r>
            <w:r>
              <w:rPr>
                <w:rFonts w:cs="Times New Roman"/>
                <w:b/>
                <w:kern w:val="2"/>
                <w:sz w:val="21"/>
              </w:rPr>
              <w:t>前</w:t>
            </w:r>
            <w:r>
              <w:rPr>
                <w:rFonts w:hint="eastAsia" w:cs="Times New Roman"/>
                <w:b/>
                <w:kern w:val="2"/>
                <w:sz w:val="21"/>
              </w:rPr>
              <w:t>第</w:t>
            </w:r>
            <w:r>
              <w:rPr>
                <w:rFonts w:cs="Times New Roman"/>
                <w:b/>
                <w:kern w:val="2"/>
                <w:sz w:val="21"/>
              </w:rPr>
              <w:t>1个交易日（202</w:t>
            </w:r>
            <w:r>
              <w:rPr>
                <w:rFonts w:hint="eastAsia" w:cs="Times New Roman"/>
                <w:b/>
                <w:kern w:val="2"/>
                <w:sz w:val="21"/>
              </w:rPr>
              <w:t>5</w:t>
            </w:r>
            <w:r>
              <w:rPr>
                <w:rFonts w:cs="Times New Roman"/>
                <w:b/>
                <w:kern w:val="2"/>
                <w:sz w:val="21"/>
              </w:rPr>
              <w:t>年</w:t>
            </w:r>
            <w:r>
              <w:rPr>
                <w:rFonts w:hint="eastAsia" w:cs="Times New Roman"/>
                <w:b/>
                <w:kern w:val="2"/>
                <w:sz w:val="21"/>
              </w:rPr>
              <w:t>6</w:t>
            </w:r>
            <w:r>
              <w:rPr>
                <w:rFonts w:cs="Times New Roman"/>
                <w:b/>
                <w:kern w:val="2"/>
                <w:sz w:val="21"/>
              </w:rPr>
              <w:t>月</w:t>
            </w:r>
            <w:r>
              <w:rPr>
                <w:rFonts w:hint="eastAsia" w:cs="Times New Roman"/>
                <w:b/>
                <w:kern w:val="2"/>
                <w:sz w:val="21"/>
              </w:rPr>
              <w:t>9</w:t>
            </w:r>
            <w:r>
              <w:rPr>
                <w:rFonts w:cs="Times New Roman"/>
                <w:b/>
                <w:kern w:val="2"/>
                <w:sz w:val="21"/>
              </w:rPr>
              <w:t>日）</w:t>
            </w:r>
          </w:p>
        </w:tc>
        <w:tc>
          <w:tcPr>
            <w:tcW w:w="619" w:type="pct"/>
            <w:shd w:val="clear" w:color="auto" w:fill="auto"/>
            <w:vAlign w:val="center"/>
          </w:tcPr>
          <w:p w14:paraId="361CE8C5">
            <w:pPr>
              <w:keepNext/>
              <w:spacing w:before="0" w:beforeLines="0" w:line="240" w:lineRule="auto"/>
              <w:ind w:firstLine="0" w:firstLineChars="0"/>
              <w:jc w:val="center"/>
              <w:rPr>
                <w:rFonts w:cs="Times New Roman"/>
                <w:b/>
                <w:kern w:val="2"/>
                <w:sz w:val="21"/>
              </w:rPr>
            </w:pPr>
            <w:r>
              <w:rPr>
                <w:rFonts w:cs="Times New Roman"/>
                <w:b/>
                <w:kern w:val="2"/>
                <w:sz w:val="21"/>
              </w:rPr>
              <w:t>涨跌幅</w:t>
            </w:r>
          </w:p>
        </w:tc>
      </w:tr>
      <w:tr w14:paraId="60E750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448" w:type="pct"/>
            <w:shd w:val="clear" w:color="auto" w:fill="auto"/>
            <w:vAlign w:val="center"/>
          </w:tcPr>
          <w:p w14:paraId="707102B8">
            <w:pPr>
              <w:spacing w:before="0" w:beforeLines="0" w:line="240" w:lineRule="auto"/>
              <w:ind w:firstLine="0" w:firstLineChars="0"/>
              <w:jc w:val="both"/>
              <w:rPr>
                <w:rFonts w:cs="Times New Roman"/>
                <w:kern w:val="2"/>
                <w:sz w:val="21"/>
                <w:szCs w:val="21"/>
              </w:rPr>
            </w:pPr>
            <w:r>
              <w:rPr>
                <w:rFonts w:cs="Times New Roman"/>
                <w:kern w:val="2"/>
                <w:sz w:val="21"/>
                <w:szCs w:val="21"/>
              </w:rPr>
              <w:t>公司股票收盘价（元/股）</w:t>
            </w:r>
          </w:p>
        </w:tc>
        <w:tc>
          <w:tcPr>
            <w:tcW w:w="1542" w:type="pct"/>
            <w:shd w:val="clear" w:color="auto" w:fill="auto"/>
            <w:vAlign w:val="center"/>
          </w:tcPr>
          <w:p w14:paraId="341CD791">
            <w:pPr>
              <w:spacing w:before="0" w:beforeLines="0" w:line="240" w:lineRule="auto"/>
              <w:ind w:firstLine="0" w:firstLineChars="0"/>
              <w:jc w:val="right"/>
              <w:rPr>
                <w:rFonts w:eastAsia="等线" w:cs="Times New Roman"/>
                <w:color w:val="000000"/>
                <w:sz w:val="21"/>
                <w:szCs w:val="21"/>
              </w:rPr>
            </w:pPr>
            <w:r>
              <w:rPr>
                <w:rFonts w:hint="eastAsia" w:eastAsia="等线" w:cs="Times New Roman"/>
                <w:color w:val="000000"/>
                <w:kern w:val="2"/>
                <w:sz w:val="21"/>
                <w:szCs w:val="21"/>
              </w:rPr>
              <w:t>35.92</w:t>
            </w:r>
          </w:p>
        </w:tc>
        <w:tc>
          <w:tcPr>
            <w:tcW w:w="1391" w:type="pct"/>
            <w:shd w:val="clear" w:color="auto" w:fill="auto"/>
            <w:vAlign w:val="center"/>
          </w:tcPr>
          <w:p w14:paraId="1949ED0F">
            <w:pPr>
              <w:spacing w:before="0" w:beforeLines="0" w:line="240" w:lineRule="auto"/>
              <w:ind w:firstLine="0" w:firstLineChars="0"/>
              <w:jc w:val="right"/>
              <w:rPr>
                <w:rFonts w:cs="Times New Roman"/>
                <w:kern w:val="2"/>
                <w:sz w:val="21"/>
              </w:rPr>
            </w:pPr>
            <w:r>
              <w:rPr>
                <w:rFonts w:hint="eastAsia" w:eastAsia="等线" w:cs="Times New Roman"/>
                <w:color w:val="000000"/>
                <w:kern w:val="2"/>
                <w:sz w:val="21"/>
                <w:szCs w:val="21"/>
              </w:rPr>
              <w:t>44.51</w:t>
            </w:r>
          </w:p>
        </w:tc>
        <w:tc>
          <w:tcPr>
            <w:tcW w:w="619" w:type="pct"/>
            <w:shd w:val="clear" w:color="auto" w:fill="auto"/>
            <w:vAlign w:val="center"/>
          </w:tcPr>
          <w:p w14:paraId="5D96A5D0">
            <w:pPr>
              <w:spacing w:before="0" w:beforeLines="0" w:line="240" w:lineRule="auto"/>
              <w:ind w:firstLine="0" w:firstLineChars="0"/>
              <w:jc w:val="right"/>
              <w:rPr>
                <w:rFonts w:cs="Times New Roman"/>
                <w:kern w:val="2"/>
                <w:sz w:val="21"/>
              </w:rPr>
            </w:pPr>
            <w:r>
              <w:rPr>
                <w:rFonts w:hint="eastAsia" w:eastAsia="等线" w:cs="Times New Roman"/>
                <w:color w:val="000000"/>
                <w:kern w:val="2"/>
                <w:sz w:val="21"/>
                <w:szCs w:val="21"/>
              </w:rPr>
              <w:t>23.91</w:t>
            </w:r>
            <w:r>
              <w:rPr>
                <w:rFonts w:eastAsia="等线" w:cs="Times New Roman"/>
                <w:color w:val="000000"/>
                <w:kern w:val="2"/>
                <w:sz w:val="21"/>
                <w:szCs w:val="21"/>
              </w:rPr>
              <w:t>%</w:t>
            </w:r>
          </w:p>
        </w:tc>
      </w:tr>
      <w:tr w14:paraId="0F99B9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470" w:type="dxa"/>
            <w:shd w:val="clear" w:color="auto" w:fill="auto"/>
            <w:vAlign w:val="center"/>
          </w:tcPr>
          <w:p w14:paraId="522FDE35">
            <w:pPr>
              <w:spacing w:before="0" w:beforeLines="0" w:line="240" w:lineRule="auto"/>
              <w:ind w:firstLine="0" w:firstLineChars="0"/>
              <w:rPr>
                <w:rFonts w:cs="Times New Roman"/>
                <w:kern w:val="2"/>
                <w:sz w:val="21"/>
                <w:szCs w:val="21"/>
              </w:rPr>
            </w:pPr>
            <w:r>
              <w:rPr>
                <w:rFonts w:hint="eastAsia" w:cs="Times New Roman"/>
                <w:kern w:val="2"/>
                <w:sz w:val="21"/>
                <w:szCs w:val="21"/>
              </w:rPr>
              <w:t>创业板综合指数（399102.SZ）</w:t>
            </w:r>
          </w:p>
        </w:tc>
        <w:tc>
          <w:tcPr>
            <w:tcW w:w="2630" w:type="dxa"/>
            <w:shd w:val="clear" w:color="auto" w:fill="auto"/>
            <w:vAlign w:val="center"/>
          </w:tcPr>
          <w:p w14:paraId="51261328">
            <w:pPr>
              <w:spacing w:before="0" w:beforeLines="0" w:line="240" w:lineRule="auto"/>
              <w:ind w:firstLine="0" w:firstLineChars="0"/>
              <w:jc w:val="right"/>
              <w:rPr>
                <w:rFonts w:eastAsia="等线" w:cs="Times New Roman"/>
                <w:color w:val="000000"/>
                <w:sz w:val="21"/>
                <w:szCs w:val="21"/>
              </w:rPr>
            </w:pPr>
            <w:r>
              <w:rPr>
                <w:rFonts w:hint="eastAsia" w:eastAsia="等线" w:cs="Times New Roman"/>
                <w:color w:val="000000"/>
                <w:kern w:val="2"/>
                <w:sz w:val="21"/>
                <w:szCs w:val="21"/>
              </w:rPr>
              <w:t>2,790.34</w:t>
            </w:r>
          </w:p>
        </w:tc>
        <w:tc>
          <w:tcPr>
            <w:tcW w:w="2372" w:type="dxa"/>
            <w:shd w:val="clear" w:color="auto" w:fill="auto"/>
            <w:vAlign w:val="center"/>
          </w:tcPr>
          <w:p w14:paraId="3DD0EE8A">
            <w:pPr>
              <w:spacing w:before="0" w:beforeLines="0" w:line="240" w:lineRule="auto"/>
              <w:ind w:firstLine="0" w:firstLineChars="0"/>
              <w:jc w:val="right"/>
              <w:rPr>
                <w:rFonts w:cs="Times New Roman"/>
                <w:kern w:val="2"/>
                <w:sz w:val="21"/>
              </w:rPr>
            </w:pPr>
            <w:r>
              <w:rPr>
                <w:rFonts w:hint="eastAsia" w:eastAsia="等线" w:cs="Times New Roman"/>
                <w:color w:val="000000"/>
                <w:kern w:val="2"/>
                <w:sz w:val="21"/>
                <w:szCs w:val="21"/>
              </w:rPr>
              <w:t>2,907.29</w:t>
            </w:r>
          </w:p>
        </w:tc>
        <w:tc>
          <w:tcPr>
            <w:tcW w:w="1056" w:type="dxa"/>
            <w:shd w:val="clear" w:color="auto" w:fill="auto"/>
            <w:vAlign w:val="center"/>
          </w:tcPr>
          <w:p w14:paraId="031EB99F">
            <w:pPr>
              <w:spacing w:before="0" w:beforeLines="0" w:line="240" w:lineRule="auto"/>
              <w:ind w:firstLine="0" w:firstLineChars="0"/>
              <w:jc w:val="right"/>
              <w:rPr>
                <w:rFonts w:cs="Times New Roman"/>
                <w:kern w:val="2"/>
                <w:sz w:val="21"/>
              </w:rPr>
            </w:pPr>
            <w:r>
              <w:rPr>
                <w:rFonts w:hint="eastAsia" w:cs="Times New Roman"/>
                <w:kern w:val="2"/>
                <w:sz w:val="21"/>
              </w:rPr>
              <w:t>4.19%</w:t>
            </w:r>
          </w:p>
        </w:tc>
      </w:tr>
      <w:tr w14:paraId="464AFC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448" w:type="pct"/>
            <w:shd w:val="clear" w:color="auto" w:fill="auto"/>
            <w:vAlign w:val="center"/>
          </w:tcPr>
          <w:p w14:paraId="066A13BE">
            <w:pPr>
              <w:spacing w:before="0" w:beforeLines="0" w:line="240" w:lineRule="auto"/>
              <w:ind w:firstLine="0" w:firstLineChars="0"/>
              <w:rPr>
                <w:rFonts w:cs="Times New Roman"/>
                <w:kern w:val="2"/>
                <w:sz w:val="21"/>
                <w:szCs w:val="21"/>
              </w:rPr>
            </w:pPr>
            <w:r>
              <w:rPr>
                <w:rFonts w:hint="eastAsia" w:cs="Times New Roman"/>
                <w:kern w:val="2"/>
                <w:sz w:val="21"/>
                <w:szCs w:val="21"/>
              </w:rPr>
              <w:t>长江证券系统集成指数（003281.CJ）</w:t>
            </w:r>
          </w:p>
        </w:tc>
        <w:tc>
          <w:tcPr>
            <w:tcW w:w="1542" w:type="pct"/>
            <w:shd w:val="clear" w:color="auto" w:fill="auto"/>
            <w:vAlign w:val="center"/>
          </w:tcPr>
          <w:p w14:paraId="4C97E454">
            <w:pPr>
              <w:spacing w:before="0" w:beforeLines="0" w:line="240" w:lineRule="auto"/>
              <w:ind w:firstLine="0" w:firstLineChars="0"/>
              <w:jc w:val="right"/>
              <w:rPr>
                <w:rFonts w:eastAsia="等线" w:cs="Times New Roman"/>
                <w:color w:val="000000"/>
                <w:sz w:val="21"/>
                <w:szCs w:val="21"/>
              </w:rPr>
            </w:pPr>
            <w:r>
              <w:rPr>
                <w:rFonts w:hint="eastAsia" w:eastAsia="等线" w:cs="Times New Roman"/>
                <w:color w:val="000000"/>
                <w:sz w:val="21"/>
                <w:szCs w:val="21"/>
              </w:rPr>
              <w:t>1,409.46</w:t>
            </w:r>
          </w:p>
        </w:tc>
        <w:tc>
          <w:tcPr>
            <w:tcW w:w="1391" w:type="pct"/>
            <w:shd w:val="clear" w:color="auto" w:fill="auto"/>
            <w:vAlign w:val="center"/>
          </w:tcPr>
          <w:p w14:paraId="6783E8BA">
            <w:pPr>
              <w:spacing w:before="0" w:beforeLines="0" w:line="240" w:lineRule="auto"/>
              <w:ind w:firstLine="0" w:firstLineChars="0"/>
              <w:jc w:val="right"/>
              <w:rPr>
                <w:rFonts w:cs="Times New Roman"/>
                <w:kern w:val="2"/>
                <w:sz w:val="21"/>
              </w:rPr>
            </w:pPr>
            <w:r>
              <w:rPr>
                <w:rFonts w:hint="eastAsia" w:cs="Times New Roman"/>
                <w:kern w:val="2"/>
                <w:sz w:val="21"/>
              </w:rPr>
              <w:t>1,533.34</w:t>
            </w:r>
          </w:p>
        </w:tc>
        <w:tc>
          <w:tcPr>
            <w:tcW w:w="619" w:type="pct"/>
            <w:shd w:val="clear" w:color="auto" w:fill="auto"/>
            <w:vAlign w:val="center"/>
          </w:tcPr>
          <w:p w14:paraId="1E467F62">
            <w:pPr>
              <w:spacing w:before="0" w:beforeLines="0" w:line="240" w:lineRule="auto"/>
              <w:ind w:firstLine="0" w:firstLineChars="0"/>
              <w:jc w:val="right"/>
              <w:rPr>
                <w:rFonts w:cs="Times New Roman"/>
                <w:kern w:val="2"/>
                <w:sz w:val="21"/>
              </w:rPr>
            </w:pPr>
            <w:r>
              <w:rPr>
                <w:rFonts w:hint="eastAsia" w:cs="Times New Roman"/>
                <w:kern w:val="2"/>
                <w:sz w:val="21"/>
              </w:rPr>
              <w:t>8.79%</w:t>
            </w:r>
          </w:p>
        </w:tc>
      </w:tr>
      <w:tr w14:paraId="039DD9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81" w:type="pct"/>
            <w:gridSpan w:val="3"/>
            <w:shd w:val="clear" w:color="auto" w:fill="auto"/>
            <w:vAlign w:val="center"/>
          </w:tcPr>
          <w:p w14:paraId="22B73CF5">
            <w:pPr>
              <w:spacing w:before="0" w:beforeLines="0" w:line="240" w:lineRule="auto"/>
              <w:ind w:firstLine="0" w:firstLineChars="0"/>
              <w:jc w:val="both"/>
              <w:rPr>
                <w:rFonts w:cs="Times New Roman"/>
                <w:kern w:val="2"/>
                <w:sz w:val="21"/>
              </w:rPr>
            </w:pPr>
            <w:r>
              <w:rPr>
                <w:rFonts w:cs="Times New Roman"/>
                <w:kern w:val="2"/>
                <w:sz w:val="21"/>
              </w:rPr>
              <w:t>剔除大盘因素影响后的涨跌幅</w:t>
            </w:r>
          </w:p>
        </w:tc>
        <w:tc>
          <w:tcPr>
            <w:tcW w:w="1056" w:type="dxa"/>
            <w:shd w:val="clear" w:color="auto" w:fill="auto"/>
            <w:vAlign w:val="center"/>
          </w:tcPr>
          <w:p w14:paraId="25CFF91A">
            <w:pPr>
              <w:spacing w:before="0" w:beforeLines="0" w:line="240" w:lineRule="auto"/>
              <w:ind w:firstLine="0" w:firstLineChars="0"/>
              <w:jc w:val="right"/>
              <w:rPr>
                <w:rFonts w:cs="Times New Roman"/>
                <w:kern w:val="2"/>
                <w:sz w:val="21"/>
              </w:rPr>
            </w:pPr>
            <w:r>
              <w:rPr>
                <w:rFonts w:hint="eastAsia" w:cs="Times New Roman"/>
                <w:kern w:val="2"/>
                <w:sz w:val="21"/>
              </w:rPr>
              <w:t>19.72%</w:t>
            </w:r>
          </w:p>
        </w:tc>
      </w:tr>
      <w:tr w14:paraId="2652FA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381" w:type="pct"/>
            <w:gridSpan w:val="3"/>
            <w:shd w:val="clear" w:color="auto" w:fill="auto"/>
            <w:vAlign w:val="center"/>
          </w:tcPr>
          <w:p w14:paraId="3C185C1D">
            <w:pPr>
              <w:spacing w:before="0" w:beforeLines="0" w:line="240" w:lineRule="auto"/>
              <w:ind w:firstLine="0" w:firstLineChars="0"/>
              <w:jc w:val="both"/>
              <w:rPr>
                <w:rFonts w:cs="Times New Roman"/>
                <w:kern w:val="2"/>
                <w:sz w:val="21"/>
              </w:rPr>
            </w:pPr>
            <w:r>
              <w:rPr>
                <w:rFonts w:cs="Times New Roman"/>
                <w:kern w:val="2"/>
                <w:sz w:val="21"/>
              </w:rPr>
              <w:t>剔除同行业板块影响后的涨跌幅</w:t>
            </w:r>
          </w:p>
        </w:tc>
        <w:tc>
          <w:tcPr>
            <w:tcW w:w="1056" w:type="dxa"/>
            <w:shd w:val="clear" w:color="auto" w:fill="auto"/>
            <w:vAlign w:val="center"/>
          </w:tcPr>
          <w:p w14:paraId="4119606D">
            <w:pPr>
              <w:spacing w:before="0" w:beforeLines="0" w:line="240" w:lineRule="auto"/>
              <w:ind w:firstLine="0" w:firstLineChars="0"/>
              <w:jc w:val="right"/>
              <w:rPr>
                <w:rFonts w:cs="Times New Roman"/>
                <w:kern w:val="2"/>
                <w:sz w:val="21"/>
              </w:rPr>
            </w:pPr>
            <w:r>
              <w:rPr>
                <w:rFonts w:hint="eastAsia" w:cs="Times New Roman"/>
                <w:kern w:val="2"/>
                <w:sz w:val="21"/>
              </w:rPr>
              <w:t>15.13%</w:t>
            </w:r>
          </w:p>
        </w:tc>
      </w:tr>
    </w:tbl>
    <w:p w14:paraId="525D535C">
      <w:pPr>
        <w:spacing w:before="0" w:beforeLines="0"/>
        <w:ind w:firstLine="480"/>
        <w:jc w:val="both"/>
        <w:rPr>
          <w:rFonts w:cs="Times New Roman"/>
          <w:kern w:val="2"/>
          <w:szCs w:val="21"/>
        </w:rPr>
      </w:pPr>
      <w:r>
        <w:rPr>
          <w:rFonts w:hint="eastAsia" w:cs="Times New Roman"/>
          <w:kern w:val="2"/>
          <w:szCs w:val="21"/>
        </w:rPr>
        <w:t>公司股价在停牌前20个交易日内的累计涨幅为23.91%;</w:t>
      </w:r>
      <w:r>
        <w:rPr>
          <w:rFonts w:cs="Times New Roman"/>
          <w:kern w:val="2"/>
          <w:szCs w:val="21"/>
        </w:rPr>
        <w:t>剔除</w:t>
      </w:r>
      <w:r>
        <w:rPr>
          <w:rFonts w:hint="eastAsia" w:cs="Times New Roman"/>
          <w:kern w:val="2"/>
          <w:szCs w:val="21"/>
        </w:rPr>
        <w:t>同期</w:t>
      </w:r>
      <w:r>
        <w:rPr>
          <w:rFonts w:cs="Times New Roman"/>
          <w:kern w:val="2"/>
          <w:szCs w:val="21"/>
        </w:rPr>
        <w:t>大盘因素</w:t>
      </w:r>
      <w:r>
        <w:rPr>
          <w:rFonts w:hint="eastAsia" w:cs="Times New Roman"/>
          <w:kern w:val="2"/>
          <w:szCs w:val="21"/>
        </w:rPr>
        <w:t>或同板块因素影响，公司股价在本次交易首次披露前20个交易日内累计涨跌幅均未超过20%，未构成异常波动情况。</w:t>
      </w:r>
    </w:p>
    <w:p w14:paraId="35A549C9">
      <w:pPr>
        <w:keepNext/>
        <w:keepLines/>
        <w:spacing w:before="120" w:after="120" w:afterLines="50"/>
        <w:ind w:firstLine="0" w:firstLineChars="0"/>
        <w:jc w:val="both"/>
        <w:outlineLvl w:val="1"/>
        <w:rPr>
          <w:rFonts w:eastAsia="黑体" w:cs="Times New Roman"/>
          <w:b/>
          <w:bCs/>
          <w:kern w:val="2"/>
          <w:sz w:val="28"/>
          <w:szCs w:val="28"/>
        </w:rPr>
      </w:pPr>
      <w:bookmarkStart w:id="180" w:name="_Toc184373683"/>
      <w:bookmarkStart w:id="181" w:name="_Toc2844"/>
      <w:r>
        <w:rPr>
          <w:rFonts w:hint="eastAsia" w:eastAsia="黑体" w:cs="Times New Roman"/>
          <w:b/>
          <w:bCs/>
          <w:kern w:val="2"/>
          <w:sz w:val="28"/>
          <w:szCs w:val="28"/>
        </w:rPr>
        <w:t>七、本次交易对上市公司治理机制的影响</w:t>
      </w:r>
      <w:bookmarkEnd w:id="180"/>
      <w:bookmarkEnd w:id="181"/>
    </w:p>
    <w:p w14:paraId="08383637">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本次交易完成前，上市公司已按照《公司法》《证券法》等法律、法规、规范性文件及《公司章程》的规定建立了规范的法人治理结构和独立运营的公司管理体制，做到了业务独立、资产独立、财务独立、机构独立、人员独立。同时，上市公司根据相关法律、法规的要求结合公司实际工作需要，制定了《股东大会议事规则》《董事会议事规则》《监事会议事规则》和《信息披露事务管理制度》，建立了相关的内部控制制度。上述制度的制定与实行，保障了上市公司治理的规范性。</w:t>
      </w:r>
    </w:p>
    <w:p w14:paraId="38C40157">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上市公司将依据有关法律法规的要求持续完善公司法人治理结构，继续完善公司《股东大会议事规则》《董事会议事规则》《监事会议事规则》等规章制度的建设与实施，维护上市公司及中小股东的利益。</w:t>
      </w:r>
    </w:p>
    <w:p w14:paraId="59B45885">
      <w:pPr>
        <w:keepNext/>
        <w:keepLines/>
        <w:pageBreakBefore/>
        <w:spacing w:before="120" w:after="120" w:afterLines="50"/>
        <w:ind w:firstLine="480" w:firstLineChars="0"/>
        <w:jc w:val="center"/>
        <w:outlineLvl w:val="0"/>
        <w:rPr>
          <w:rFonts w:eastAsia="黑体" w:cs="Times New Roman"/>
          <w:b/>
          <w:bCs/>
          <w:kern w:val="2"/>
          <w:sz w:val="32"/>
          <w:szCs w:val="28"/>
        </w:rPr>
      </w:pPr>
      <w:bookmarkStart w:id="182" w:name="_Toc20743"/>
      <w:bookmarkStart w:id="183" w:name="_Toc184373684"/>
      <w:r>
        <w:rPr>
          <w:rFonts w:hint="eastAsia" w:eastAsia="黑体" w:cs="Times New Roman"/>
          <w:b/>
          <w:bCs/>
          <w:kern w:val="2"/>
          <w:sz w:val="32"/>
          <w:szCs w:val="28"/>
          <w:lang w:val="zh-CN"/>
        </w:rPr>
        <w:t>第</w:t>
      </w:r>
      <w:r>
        <w:rPr>
          <w:rFonts w:hint="eastAsia" w:eastAsia="黑体" w:cs="Times New Roman"/>
          <w:b/>
          <w:bCs/>
          <w:kern w:val="2"/>
          <w:sz w:val="32"/>
          <w:szCs w:val="28"/>
        </w:rPr>
        <w:t>九</w:t>
      </w:r>
      <w:r>
        <w:rPr>
          <w:rFonts w:hint="eastAsia" w:eastAsia="黑体" w:cs="Times New Roman"/>
          <w:b/>
          <w:bCs/>
          <w:kern w:val="2"/>
          <w:sz w:val="32"/>
          <w:szCs w:val="28"/>
          <w:lang w:val="zh-CN"/>
        </w:rPr>
        <w:t>节</w:t>
      </w:r>
      <w:r>
        <w:rPr>
          <w:rFonts w:hint="eastAsia" w:eastAsia="黑体" w:cs="Times New Roman"/>
          <w:b/>
          <w:bCs/>
          <w:kern w:val="2"/>
          <w:sz w:val="32"/>
          <w:szCs w:val="28"/>
        </w:rPr>
        <w:t xml:space="preserve"> 独立董事专门会议审核意见</w:t>
      </w:r>
      <w:bookmarkEnd w:id="182"/>
      <w:bookmarkEnd w:id="183"/>
    </w:p>
    <w:p w14:paraId="5697F8C2">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根据《公司法》《证券法》《重组管理办法》《上市公司独立董事管理办法》《上市规则》等有关法律、法规、规范性文件以及《公司章程》的有关规定，在提交董事会审议前，公司已召开独立董事专门会议对本次交易相关议案进行审议，形成审核意见如下：</w:t>
      </w:r>
    </w:p>
    <w:p w14:paraId="3FC9446B">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1、本次交易符合《中华人民共和国公司法》《中华人民共和国证券法》《上市公司重大资产重组管理办法》《上市公司证券发行注册管理办法》以及《上市公司监管指引第9号——上市公司筹划和实施重大资产重组的监管要求》等有关法律、行政法规和规范性文件所规定的发行股份及支付现金购买资产并募集配套资金的相关条件。本次交易将有利于提高公司的资产质量、改善财务状况、增强持续经营能力和抗风险能力，符合公司及全体股东的利益，不存在损害中小股东利益的情形。</w:t>
      </w:r>
    </w:p>
    <w:p w14:paraId="5E3EEF96">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2、公司就本次交易编制的发行股份及支付现金购买资产并募集配套资金方案符合公司的实际情况，该方案的实施有利于提高公司的资产质量和持续经营能力，有利于增强公司的市场抗风险能力，未损害中小股东的利益。</w:t>
      </w:r>
    </w:p>
    <w:p w14:paraId="1D9198FA">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3、公司就本次交易制定的《广东天亿马信息产业股份有限公司发行股份及支付现金购买资产并募集配套</w:t>
      </w:r>
      <w:r>
        <w:rPr>
          <w:rFonts w:hint="eastAsia" w:cs="Times New Roman"/>
          <w:color w:val="000000"/>
          <w:kern w:val="2"/>
          <w:szCs w:val="30"/>
          <w:shd w:val="clear" w:color="auto" w:fill="FFFFFF"/>
          <w:lang w:val="en-US" w:eastAsia="zh-CN"/>
        </w:rPr>
        <w:t>资金</w:t>
      </w:r>
      <w:r>
        <w:rPr>
          <w:rFonts w:hint="eastAsia" w:cs="Times New Roman"/>
          <w:color w:val="000000"/>
          <w:kern w:val="2"/>
          <w:szCs w:val="30"/>
          <w:shd w:val="clear" w:color="auto" w:fill="FFFFFF"/>
        </w:rPr>
        <w:t>暨关联交易</w:t>
      </w:r>
      <w:r>
        <w:rPr>
          <w:rFonts w:hint="eastAsia" w:cs="Times New Roman"/>
          <w:color w:val="000000"/>
          <w:kern w:val="2"/>
          <w:szCs w:val="30"/>
          <w:shd w:val="clear" w:color="auto" w:fill="FFFFFF"/>
          <w:lang w:val="zh-CN"/>
        </w:rPr>
        <w:t>预案》及其摘要内容真实、准确、完整，不存在虚假记载、误导性陈述或重大遗漏，已经充分、详细披露了本次交易需要履行的法律程序及本次交易的相关风险事项，有效保护了公司及投资者的利益，符合《中华人民共和国公司法》《中华人民共和国证券法》《上市公司重大资产重组管理办法》《上市公司监管指引第</w:t>
      </w:r>
      <w:r>
        <w:rPr>
          <w:rFonts w:hint="eastAsia" w:cs="Times New Roman"/>
          <w:color w:val="000000"/>
          <w:kern w:val="2"/>
          <w:szCs w:val="30"/>
          <w:shd w:val="clear" w:color="auto" w:fill="FFFFFF"/>
        </w:rPr>
        <w:t>9</w:t>
      </w:r>
      <w:r>
        <w:rPr>
          <w:rFonts w:hint="eastAsia" w:cs="Times New Roman"/>
          <w:color w:val="000000"/>
          <w:kern w:val="2"/>
          <w:szCs w:val="30"/>
          <w:shd w:val="clear" w:color="auto" w:fill="FFFFFF"/>
          <w:lang w:val="zh-CN"/>
        </w:rPr>
        <w:t>号——上市公司筹划和实施重大资产重组的监管要求》《上市公司证券发行注册管理办法》等相关法律、行政法规、部门规章和规范性文件的规定。</w:t>
      </w:r>
    </w:p>
    <w:p w14:paraId="2A275254">
      <w:pPr>
        <w:shd w:val="clear" w:color="auto" w:fill="FFFFFF"/>
        <w:spacing w:before="120" w:after="120" w:afterLines="50"/>
        <w:ind w:firstLine="480"/>
        <w:jc w:val="both"/>
        <w:rPr>
          <w:rFonts w:cs="Times New Roman"/>
          <w:color w:val="000000"/>
          <w:kern w:val="2"/>
          <w:szCs w:val="30"/>
          <w:shd w:val="clear" w:color="auto" w:fill="FFFFFF"/>
          <w:lang w:val="zh-CN"/>
        </w:rPr>
      </w:pPr>
      <w:r>
        <w:rPr>
          <w:rFonts w:hint="eastAsia" w:cs="Times New Roman"/>
          <w:color w:val="000000"/>
          <w:kern w:val="2"/>
          <w:szCs w:val="30"/>
          <w:shd w:val="clear" w:color="auto" w:fill="FFFFFF"/>
          <w:lang w:val="zh-CN"/>
        </w:rPr>
        <w:t>4、公司拟就本次交易与交易对方签署附生效条件的《发行股份及支付现金购买资产协议》，相关协议符合《中华人民共和国公司法》《中华人民共和国证券法》《上市公司重大资产重组管理办法》《上市公司监管指引第9号——上市公司筹划和实施重大资产重组的监管要求》《上市公司证券发行注册管理办法》等相关法律、行政法规、部门规章和规范性文件的规定，具备可行性和可操作性，不存在损害公司及其他股东、特别是中小股东利益的情形。</w:t>
      </w:r>
    </w:p>
    <w:p w14:paraId="1E2B8F14">
      <w:pPr>
        <w:shd w:val="clear" w:color="auto" w:fill="FFFFFF"/>
        <w:spacing w:before="120" w:after="120" w:afterLines="50"/>
        <w:ind w:firstLine="480"/>
        <w:jc w:val="both"/>
        <w:rPr>
          <w:rFonts w:cs="Times New Roman"/>
          <w:color w:val="000000"/>
          <w:kern w:val="2"/>
          <w:szCs w:val="30"/>
          <w:shd w:val="clear" w:color="auto" w:fill="FFFFFF"/>
          <w:lang w:val="zh-CN"/>
        </w:rPr>
      </w:pPr>
      <w:r>
        <w:rPr>
          <w:rFonts w:cs="Times New Roman"/>
          <w:color w:val="000000"/>
          <w:kern w:val="2"/>
          <w:szCs w:val="30"/>
          <w:shd w:val="clear" w:color="auto" w:fill="FFFFFF"/>
          <w:lang w:val="zh-CN"/>
        </w:rPr>
        <w:t>综上，独立董事同意公司本次交易方案，本次交易有利于公司长远发展，符合公司和全体股东利益，不存在损害上市公司及其股东利益的情况。</w:t>
      </w:r>
    </w:p>
    <w:p w14:paraId="21FE7E9F">
      <w:pPr>
        <w:spacing w:before="120"/>
        <w:ind w:firstLine="480"/>
      </w:pPr>
      <w:r>
        <w:br w:type="page"/>
      </w:r>
    </w:p>
    <w:p w14:paraId="7D7EA623">
      <w:pPr>
        <w:keepNext/>
        <w:keepLines/>
        <w:pageBreakBefore/>
        <w:spacing w:before="120" w:after="120" w:afterLines="50"/>
        <w:ind w:firstLine="480" w:firstLineChars="0"/>
        <w:jc w:val="center"/>
        <w:outlineLvl w:val="0"/>
        <w:rPr>
          <w:rFonts w:eastAsia="黑体" w:cs="Times New Roman"/>
          <w:b/>
          <w:bCs/>
          <w:kern w:val="2"/>
          <w:sz w:val="32"/>
          <w:szCs w:val="28"/>
        </w:rPr>
      </w:pPr>
      <w:bookmarkStart w:id="184" w:name="_Toc184373685"/>
      <w:bookmarkStart w:id="185" w:name="_Toc144"/>
      <w:r>
        <w:rPr>
          <w:rFonts w:hint="eastAsia" w:eastAsia="黑体" w:cs="Times New Roman"/>
          <w:b/>
          <w:bCs/>
          <w:kern w:val="2"/>
          <w:sz w:val="32"/>
          <w:szCs w:val="28"/>
          <w:lang w:val="zh-CN"/>
        </w:rPr>
        <w:t>第</w:t>
      </w:r>
      <w:r>
        <w:rPr>
          <w:rFonts w:hint="eastAsia" w:eastAsia="黑体" w:cs="Times New Roman"/>
          <w:b/>
          <w:bCs/>
          <w:kern w:val="2"/>
          <w:sz w:val="32"/>
          <w:szCs w:val="28"/>
        </w:rPr>
        <w:t>十</w:t>
      </w:r>
      <w:r>
        <w:rPr>
          <w:rFonts w:hint="eastAsia" w:eastAsia="黑体" w:cs="Times New Roman"/>
          <w:b/>
          <w:bCs/>
          <w:kern w:val="2"/>
          <w:sz w:val="32"/>
          <w:szCs w:val="28"/>
          <w:lang w:val="zh-CN"/>
        </w:rPr>
        <w:t>节</w:t>
      </w:r>
      <w:r>
        <w:rPr>
          <w:rFonts w:hint="eastAsia" w:eastAsia="黑体" w:cs="Times New Roman"/>
          <w:b/>
          <w:bCs/>
          <w:kern w:val="2"/>
          <w:sz w:val="32"/>
          <w:szCs w:val="28"/>
        </w:rPr>
        <w:t xml:space="preserve"> 声明与承诺</w:t>
      </w:r>
      <w:bookmarkEnd w:id="184"/>
      <w:bookmarkEnd w:id="185"/>
    </w:p>
    <w:p w14:paraId="7F4356A4">
      <w:pPr>
        <w:keepNext/>
        <w:keepLines/>
        <w:spacing w:before="120" w:after="120" w:afterLines="50"/>
        <w:ind w:firstLine="480" w:firstLineChars="0"/>
        <w:jc w:val="both"/>
        <w:outlineLvl w:val="1"/>
        <w:rPr>
          <w:rFonts w:eastAsia="黑体" w:cs="Times New Roman"/>
          <w:b/>
          <w:bCs/>
          <w:kern w:val="2"/>
          <w:sz w:val="28"/>
          <w:szCs w:val="28"/>
        </w:rPr>
      </w:pPr>
      <w:bookmarkStart w:id="186" w:name="_Toc27019"/>
      <w:bookmarkStart w:id="187" w:name="_Toc184373686"/>
      <w:r>
        <w:rPr>
          <w:rFonts w:hint="eastAsia" w:eastAsia="黑体" w:cs="Times New Roman"/>
          <w:b/>
          <w:bCs/>
          <w:kern w:val="2"/>
          <w:sz w:val="28"/>
          <w:szCs w:val="28"/>
        </w:rPr>
        <w:t>一、上市公司全体董事声明</w:t>
      </w:r>
      <w:bookmarkEnd w:id="186"/>
      <w:bookmarkEnd w:id="187"/>
    </w:p>
    <w:p w14:paraId="1BEC9179">
      <w:pPr>
        <w:widowControl/>
        <w:spacing w:before="120"/>
        <w:ind w:firstLine="480"/>
        <w:jc w:val="both"/>
        <w:rPr>
          <w:rFonts w:cs="Times New Roman"/>
        </w:rPr>
      </w:pPr>
      <w:r>
        <w:rPr>
          <w:rFonts w:hint="eastAsia" w:cs="Times New Roman"/>
        </w:rPr>
        <w:t>本公司及全体董事承诺，保证本预案及其摘要的内容真实、准确、完整，不存在虚假记载、误导性陈述或重大遗漏，并对其真实性、准确性和完整性承担相应的法律责任。</w:t>
      </w:r>
    </w:p>
    <w:p w14:paraId="1DD5DE40">
      <w:pPr>
        <w:widowControl/>
        <w:spacing w:before="120"/>
        <w:ind w:firstLine="480"/>
        <w:jc w:val="both"/>
        <w:rPr>
          <w:rFonts w:hint="eastAsia" w:ascii="宋体" w:hAnsi="宋体"/>
          <w:color w:val="000000"/>
          <w:kern w:val="2"/>
        </w:rPr>
      </w:pPr>
      <w:r>
        <w:rPr>
          <w:rFonts w:hint="eastAsia" w:ascii="宋体" w:hAnsi="宋体"/>
          <w:color w:val="000000"/>
          <w:kern w:val="2"/>
        </w:rPr>
        <w:t>与本次交易相关的审计、评估工作尚未完成，本预案中涉及的相关数据尚未经过符合《证券法》规定的审计、评估机构的审计和评估，相关资产经审计的财务数据、资产评估结果将在重组报告书中予以披露。本公司及全体董事保证本预案及其摘要所引用的相关数据的真实性和合理性。</w:t>
      </w:r>
    </w:p>
    <w:p w14:paraId="25D633C4">
      <w:pPr>
        <w:widowControl/>
        <w:spacing w:before="120"/>
        <w:ind w:firstLine="480"/>
        <w:jc w:val="both"/>
      </w:pPr>
      <w:r>
        <w:rPr>
          <w:rFonts w:hint="eastAsia" w:ascii="宋体" w:hAnsi="宋体"/>
          <w:color w:val="000000"/>
          <w:kern w:val="2"/>
        </w:rPr>
        <w:t>本预案及其摘要所述事项并不代表中国证监会、交易所对本次交易相关事项的实质性判断、确认或批准。</w:t>
      </w:r>
    </w:p>
    <w:p w14:paraId="411C37A7">
      <w:pPr>
        <w:spacing w:before="120"/>
        <w:ind w:firstLine="480"/>
      </w:pPr>
      <w:r>
        <w:rPr>
          <w:rFonts w:hint="eastAsia"/>
        </w:rPr>
        <w:t>全体董事签字：</w:t>
      </w:r>
    </w:p>
    <w:p w14:paraId="2FBFA90E">
      <w:pPr>
        <w:spacing w:before="120"/>
        <w:ind w:firstLine="480"/>
      </w:pPr>
    </w:p>
    <w:p w14:paraId="49D422A4">
      <w:pPr>
        <w:spacing w:before="120"/>
        <w:ind w:firstLine="420"/>
        <w:jc w:val="both"/>
        <w:rPr>
          <w:rFonts w:cs="Times New Roman"/>
          <w:kern w:val="2"/>
          <w:sz w:val="21"/>
          <w:szCs w:val="22"/>
        </w:rPr>
      </w:pPr>
    </w:p>
    <w:tbl>
      <w:tblPr>
        <w:tblStyle w:val="76"/>
        <w:tblW w:w="8315" w:type="dxa"/>
        <w:tblInd w:w="0" w:type="dxa"/>
        <w:tblLayout w:type="autofit"/>
        <w:tblCellMar>
          <w:top w:w="0" w:type="dxa"/>
          <w:left w:w="108" w:type="dxa"/>
          <w:bottom w:w="0" w:type="dxa"/>
          <w:right w:w="108" w:type="dxa"/>
        </w:tblCellMar>
      </w:tblPr>
      <w:tblGrid>
        <w:gridCol w:w="1663"/>
        <w:gridCol w:w="1656"/>
        <w:gridCol w:w="1665"/>
        <w:gridCol w:w="1657"/>
        <w:gridCol w:w="8"/>
        <w:gridCol w:w="1657"/>
        <w:gridCol w:w="9"/>
      </w:tblGrid>
      <w:tr w14:paraId="242E9E70">
        <w:tblPrEx>
          <w:tblCellMar>
            <w:top w:w="0" w:type="dxa"/>
            <w:left w:w="108" w:type="dxa"/>
            <w:bottom w:w="0" w:type="dxa"/>
            <w:right w:w="108" w:type="dxa"/>
          </w:tblCellMar>
        </w:tblPrEx>
        <w:trPr>
          <w:gridAfter w:val="1"/>
          <w:wAfter w:w="9" w:type="dxa"/>
          <w:trHeight w:val="1191" w:hRule="atLeast"/>
        </w:trPr>
        <w:tc>
          <w:tcPr>
            <w:tcW w:w="1663" w:type="dxa"/>
            <w:tcBorders>
              <w:top w:val="single" w:color="auto" w:sz="4" w:space="0"/>
              <w:bottom w:val="single" w:color="auto" w:sz="4" w:space="0"/>
            </w:tcBorders>
          </w:tcPr>
          <w:p w14:paraId="37419C14">
            <w:pPr>
              <w:snapToGrid w:val="0"/>
              <w:spacing w:before="120" w:after="120" w:afterLines="50"/>
              <w:ind w:firstLine="0" w:firstLineChars="0"/>
              <w:jc w:val="center"/>
              <w:rPr>
                <w:rFonts w:hint="eastAsia" w:ascii="宋体" w:hAnsi="宋体"/>
                <w:bCs/>
              </w:rPr>
            </w:pPr>
            <w:r>
              <w:rPr>
                <w:rFonts w:hint="eastAsia" w:ascii="宋体" w:hAnsi="宋体"/>
                <w:bCs/>
              </w:rPr>
              <w:t>林明玲</w:t>
            </w:r>
          </w:p>
        </w:tc>
        <w:tc>
          <w:tcPr>
            <w:tcW w:w="1656" w:type="dxa"/>
          </w:tcPr>
          <w:p w14:paraId="0771A8B7">
            <w:pPr>
              <w:snapToGrid w:val="0"/>
              <w:spacing w:before="120" w:after="120" w:afterLines="50"/>
              <w:ind w:firstLine="480"/>
              <w:jc w:val="center"/>
              <w:rPr>
                <w:rFonts w:hint="eastAsia" w:ascii="宋体" w:hAnsi="宋体"/>
                <w:bCs/>
              </w:rPr>
            </w:pPr>
          </w:p>
        </w:tc>
        <w:tc>
          <w:tcPr>
            <w:tcW w:w="1665" w:type="dxa"/>
            <w:tcBorders>
              <w:top w:val="single" w:color="auto" w:sz="4" w:space="0"/>
              <w:bottom w:val="single" w:color="auto" w:sz="4" w:space="0"/>
            </w:tcBorders>
          </w:tcPr>
          <w:p w14:paraId="109EC2CC">
            <w:pPr>
              <w:snapToGrid w:val="0"/>
              <w:spacing w:before="120" w:after="120" w:afterLines="50"/>
              <w:ind w:firstLine="0" w:firstLineChars="0"/>
              <w:jc w:val="center"/>
              <w:rPr>
                <w:rFonts w:hint="eastAsia" w:ascii="宋体" w:hAnsi="宋体"/>
              </w:rPr>
            </w:pPr>
            <w:r>
              <w:rPr>
                <w:rFonts w:hint="eastAsia" w:ascii="宋体" w:hAnsi="宋体"/>
                <w:bCs/>
              </w:rPr>
              <w:t>马学沛</w:t>
            </w:r>
          </w:p>
        </w:tc>
        <w:tc>
          <w:tcPr>
            <w:tcW w:w="1657" w:type="dxa"/>
          </w:tcPr>
          <w:p w14:paraId="0803C26B">
            <w:pPr>
              <w:snapToGrid w:val="0"/>
              <w:spacing w:before="120" w:after="120" w:afterLines="50"/>
              <w:ind w:firstLine="480"/>
              <w:jc w:val="center"/>
              <w:rPr>
                <w:rFonts w:hint="eastAsia" w:ascii="宋体" w:hAnsi="宋体"/>
                <w:bCs/>
              </w:rPr>
            </w:pPr>
          </w:p>
        </w:tc>
        <w:tc>
          <w:tcPr>
            <w:tcW w:w="1665" w:type="dxa"/>
            <w:gridSpan w:val="2"/>
            <w:tcBorders>
              <w:top w:val="single" w:color="auto" w:sz="4" w:space="0"/>
              <w:bottom w:val="single" w:color="auto" w:sz="4" w:space="0"/>
            </w:tcBorders>
          </w:tcPr>
          <w:p w14:paraId="14DF2872">
            <w:pPr>
              <w:tabs>
                <w:tab w:val="center" w:pos="724"/>
              </w:tabs>
              <w:snapToGrid w:val="0"/>
              <w:spacing w:before="120" w:after="120" w:afterLines="50"/>
              <w:ind w:firstLine="0" w:firstLineChars="0"/>
              <w:rPr>
                <w:color w:val="000000"/>
              </w:rPr>
            </w:pPr>
            <w:r>
              <w:rPr>
                <w:color w:val="000000"/>
              </w:rPr>
              <w:tab/>
            </w:r>
            <w:r>
              <w:rPr>
                <w:rFonts w:hint="eastAsia"/>
                <w:color w:val="000000"/>
              </w:rPr>
              <w:t>张毅</w:t>
            </w:r>
          </w:p>
        </w:tc>
      </w:tr>
      <w:tr w14:paraId="0E4685AC">
        <w:tblPrEx>
          <w:tblCellMar>
            <w:top w:w="0" w:type="dxa"/>
            <w:left w:w="108" w:type="dxa"/>
            <w:bottom w:w="0" w:type="dxa"/>
            <w:right w:w="108" w:type="dxa"/>
          </w:tblCellMar>
        </w:tblPrEx>
        <w:trPr>
          <w:gridAfter w:val="1"/>
          <w:wAfter w:w="9" w:type="dxa"/>
          <w:trHeight w:val="1191" w:hRule="atLeast"/>
        </w:trPr>
        <w:tc>
          <w:tcPr>
            <w:tcW w:w="1663" w:type="dxa"/>
            <w:tcBorders>
              <w:top w:val="single" w:color="auto" w:sz="4" w:space="0"/>
            </w:tcBorders>
          </w:tcPr>
          <w:p w14:paraId="26DF87C9">
            <w:pPr>
              <w:snapToGrid w:val="0"/>
              <w:spacing w:before="120" w:after="120" w:afterLines="50"/>
              <w:ind w:firstLine="0" w:firstLineChars="0"/>
              <w:jc w:val="center"/>
              <w:rPr>
                <w:rFonts w:hint="eastAsia" w:ascii="宋体" w:hAnsi="宋体"/>
                <w:bCs/>
              </w:rPr>
            </w:pPr>
            <w:r>
              <w:rPr>
                <w:rFonts w:hint="eastAsia" w:ascii="宋体" w:hAnsi="宋体"/>
                <w:bCs/>
              </w:rPr>
              <w:t>马淦江</w:t>
            </w:r>
          </w:p>
        </w:tc>
        <w:tc>
          <w:tcPr>
            <w:tcW w:w="1656" w:type="dxa"/>
          </w:tcPr>
          <w:p w14:paraId="2EE0E7B2">
            <w:pPr>
              <w:snapToGrid w:val="0"/>
              <w:spacing w:before="120" w:after="120" w:afterLines="50"/>
              <w:ind w:firstLine="480"/>
              <w:jc w:val="center"/>
              <w:rPr>
                <w:rFonts w:hint="eastAsia" w:ascii="宋体" w:hAnsi="宋体"/>
                <w:bCs/>
              </w:rPr>
            </w:pPr>
          </w:p>
        </w:tc>
        <w:tc>
          <w:tcPr>
            <w:tcW w:w="1665" w:type="dxa"/>
            <w:tcBorders>
              <w:top w:val="single" w:color="auto" w:sz="4" w:space="0"/>
            </w:tcBorders>
          </w:tcPr>
          <w:p w14:paraId="5E180D53">
            <w:pPr>
              <w:tabs>
                <w:tab w:val="center" w:pos="724"/>
              </w:tabs>
              <w:snapToGrid w:val="0"/>
              <w:spacing w:before="120" w:after="120" w:afterLines="50"/>
              <w:ind w:firstLine="0" w:firstLineChars="0"/>
              <w:rPr>
                <w:rFonts w:hint="eastAsia" w:ascii="宋体" w:hAnsi="宋体"/>
                <w:bCs/>
              </w:rPr>
            </w:pPr>
            <w:r>
              <w:rPr>
                <w:rFonts w:ascii="宋体" w:hAnsi="宋体"/>
                <w:bCs/>
              </w:rPr>
              <w:tab/>
            </w:r>
            <w:r>
              <w:rPr>
                <w:rFonts w:hint="eastAsia" w:ascii="宋体" w:hAnsi="宋体"/>
                <w:bCs/>
              </w:rPr>
              <w:t>高俊斌</w:t>
            </w:r>
          </w:p>
        </w:tc>
        <w:tc>
          <w:tcPr>
            <w:tcW w:w="1657" w:type="dxa"/>
          </w:tcPr>
          <w:p w14:paraId="5720CF94">
            <w:pPr>
              <w:snapToGrid w:val="0"/>
              <w:spacing w:before="120" w:after="120" w:afterLines="50"/>
              <w:ind w:firstLine="480"/>
              <w:jc w:val="center"/>
              <w:rPr>
                <w:rFonts w:hint="eastAsia" w:ascii="宋体" w:hAnsi="宋体"/>
                <w:bCs/>
              </w:rPr>
            </w:pPr>
          </w:p>
        </w:tc>
        <w:tc>
          <w:tcPr>
            <w:tcW w:w="1665" w:type="dxa"/>
            <w:gridSpan w:val="2"/>
            <w:tcBorders>
              <w:top w:val="single" w:color="auto" w:sz="4" w:space="0"/>
            </w:tcBorders>
          </w:tcPr>
          <w:p w14:paraId="0B1D0A41">
            <w:pPr>
              <w:tabs>
                <w:tab w:val="center" w:pos="724"/>
              </w:tabs>
              <w:snapToGrid w:val="0"/>
              <w:spacing w:before="120" w:after="120" w:afterLines="50"/>
              <w:ind w:firstLine="0" w:firstLineChars="0"/>
              <w:rPr>
                <w:rFonts w:hint="eastAsia" w:ascii="宋体" w:hAnsi="宋体"/>
                <w:bCs/>
              </w:rPr>
            </w:pPr>
            <w:r>
              <w:rPr>
                <w:rFonts w:ascii="宋体" w:hAnsi="宋体"/>
                <w:bCs/>
              </w:rPr>
              <w:tab/>
            </w:r>
            <w:r>
              <w:rPr>
                <w:rFonts w:hint="eastAsia" w:ascii="宋体" w:hAnsi="宋体"/>
                <w:bCs/>
              </w:rPr>
              <w:t>曹丽梅</w:t>
            </w:r>
          </w:p>
        </w:tc>
      </w:tr>
      <w:tr w14:paraId="25F1D3C0">
        <w:tblPrEx>
          <w:tblCellMar>
            <w:top w:w="0" w:type="dxa"/>
            <w:left w:w="108" w:type="dxa"/>
            <w:bottom w:w="0" w:type="dxa"/>
            <w:right w:w="108" w:type="dxa"/>
          </w:tblCellMar>
        </w:tblPrEx>
        <w:tc>
          <w:tcPr>
            <w:tcW w:w="1663" w:type="dxa"/>
            <w:tcBorders>
              <w:top w:val="single" w:color="auto" w:sz="4" w:space="0"/>
            </w:tcBorders>
          </w:tcPr>
          <w:p w14:paraId="047D9522">
            <w:pPr>
              <w:snapToGrid w:val="0"/>
              <w:spacing w:before="120" w:after="120" w:afterLines="50"/>
              <w:ind w:firstLine="0" w:firstLineChars="0"/>
              <w:jc w:val="center"/>
              <w:rPr>
                <w:rFonts w:hint="eastAsia" w:ascii="宋体" w:hAnsi="宋体"/>
                <w:bCs/>
              </w:rPr>
            </w:pPr>
            <w:r>
              <w:rPr>
                <w:rFonts w:hint="eastAsia" w:ascii="宋体" w:hAnsi="宋体"/>
                <w:bCs/>
              </w:rPr>
              <w:t>石洁芝</w:t>
            </w:r>
          </w:p>
        </w:tc>
        <w:tc>
          <w:tcPr>
            <w:tcW w:w="1656" w:type="dxa"/>
          </w:tcPr>
          <w:p w14:paraId="39C28EAD">
            <w:pPr>
              <w:snapToGrid w:val="0"/>
              <w:spacing w:before="120" w:after="120" w:afterLines="50"/>
              <w:ind w:firstLine="480"/>
              <w:jc w:val="center"/>
              <w:rPr>
                <w:rFonts w:hint="eastAsia" w:ascii="宋体" w:hAnsi="宋体"/>
                <w:bCs/>
              </w:rPr>
            </w:pPr>
          </w:p>
        </w:tc>
        <w:tc>
          <w:tcPr>
            <w:tcW w:w="1665" w:type="dxa"/>
            <w:tcBorders>
              <w:top w:val="single" w:color="auto" w:sz="4" w:space="0"/>
            </w:tcBorders>
          </w:tcPr>
          <w:p w14:paraId="2C3FF6A6">
            <w:pPr>
              <w:snapToGrid w:val="0"/>
              <w:spacing w:before="120" w:after="120" w:afterLines="50"/>
              <w:ind w:firstLine="0" w:firstLineChars="0"/>
              <w:jc w:val="center"/>
            </w:pPr>
            <w:r>
              <w:rPr>
                <w:rFonts w:hint="eastAsia" w:ascii="宋体" w:hAnsi="宋体"/>
                <w:bCs/>
              </w:rPr>
              <w:t>蔡浩</w:t>
            </w:r>
          </w:p>
        </w:tc>
        <w:tc>
          <w:tcPr>
            <w:tcW w:w="1665" w:type="dxa"/>
            <w:gridSpan w:val="2"/>
            <w:tcBorders>
              <w:right w:val="nil"/>
            </w:tcBorders>
          </w:tcPr>
          <w:p w14:paraId="6E7AF9C9">
            <w:pPr>
              <w:widowControl/>
              <w:spacing w:before="0" w:beforeLines="0" w:line="240" w:lineRule="auto"/>
              <w:ind w:firstLine="0" w:firstLineChars="0"/>
            </w:pPr>
          </w:p>
        </w:tc>
        <w:tc>
          <w:tcPr>
            <w:tcW w:w="1666" w:type="dxa"/>
            <w:gridSpan w:val="2"/>
            <w:tcBorders>
              <w:top w:val="nil"/>
              <w:left w:val="nil"/>
              <w:bottom w:val="nil"/>
              <w:right w:val="nil"/>
            </w:tcBorders>
          </w:tcPr>
          <w:p w14:paraId="58A493B8">
            <w:pPr>
              <w:snapToGrid w:val="0"/>
              <w:spacing w:before="120" w:after="120" w:afterLines="50"/>
              <w:ind w:firstLine="0" w:firstLineChars="0"/>
              <w:jc w:val="center"/>
            </w:pPr>
          </w:p>
        </w:tc>
      </w:tr>
    </w:tbl>
    <w:p w14:paraId="1B7EDCAE">
      <w:pPr>
        <w:widowControl/>
        <w:spacing w:before="120"/>
        <w:ind w:firstLine="480"/>
        <w:jc w:val="both"/>
      </w:pPr>
    </w:p>
    <w:p w14:paraId="7B08BCBA">
      <w:pPr>
        <w:widowControl/>
        <w:spacing w:before="120"/>
        <w:ind w:firstLine="480"/>
        <w:jc w:val="right"/>
      </w:pPr>
    </w:p>
    <w:p w14:paraId="2884C224">
      <w:pPr>
        <w:widowControl/>
        <w:spacing w:before="120"/>
        <w:ind w:firstLine="0" w:firstLineChars="0"/>
        <w:jc w:val="both"/>
      </w:pPr>
    </w:p>
    <w:p w14:paraId="7F0F9154">
      <w:pPr>
        <w:widowControl/>
        <w:spacing w:before="120"/>
        <w:ind w:firstLine="480"/>
        <w:jc w:val="right"/>
      </w:pPr>
      <w:r>
        <w:rPr>
          <w:rFonts w:hint="eastAsia"/>
        </w:rPr>
        <w:t>广东天亿马信息产业股份有限公司</w:t>
      </w:r>
    </w:p>
    <w:p w14:paraId="0FB97949">
      <w:pPr>
        <w:widowControl/>
        <w:spacing w:before="120"/>
        <w:ind w:firstLine="480"/>
        <w:jc w:val="right"/>
      </w:pPr>
      <w:r>
        <w:rPr>
          <w:rFonts w:hint="eastAsia"/>
        </w:rPr>
        <w:t>2025年6月23日</w:t>
      </w:r>
    </w:p>
    <w:p w14:paraId="1C38D626">
      <w:pPr>
        <w:spacing w:before="120"/>
        <w:ind w:firstLine="480"/>
      </w:pPr>
      <w:r>
        <w:br w:type="page"/>
      </w:r>
    </w:p>
    <w:p w14:paraId="125FC330">
      <w:pPr>
        <w:keepNext/>
        <w:keepLines/>
        <w:spacing w:before="120" w:after="120" w:afterLines="50"/>
        <w:ind w:firstLine="480" w:firstLineChars="0"/>
        <w:jc w:val="both"/>
        <w:outlineLvl w:val="1"/>
        <w:rPr>
          <w:rFonts w:eastAsia="黑体" w:cs="Times New Roman"/>
          <w:b/>
          <w:bCs/>
          <w:kern w:val="2"/>
          <w:sz w:val="28"/>
          <w:szCs w:val="28"/>
        </w:rPr>
      </w:pPr>
      <w:bookmarkStart w:id="188" w:name="_Toc5509"/>
      <w:bookmarkStart w:id="189" w:name="_Toc184373687"/>
      <w:r>
        <w:rPr>
          <w:rFonts w:hint="eastAsia" w:eastAsia="黑体" w:cs="Times New Roman"/>
          <w:b/>
          <w:bCs/>
          <w:kern w:val="2"/>
          <w:sz w:val="28"/>
          <w:szCs w:val="28"/>
        </w:rPr>
        <w:t>二、上市公司全体监事声明</w:t>
      </w:r>
      <w:bookmarkEnd w:id="188"/>
      <w:bookmarkEnd w:id="189"/>
    </w:p>
    <w:p w14:paraId="0BE198A4">
      <w:pPr>
        <w:widowControl/>
        <w:spacing w:before="120"/>
        <w:ind w:firstLine="480"/>
        <w:jc w:val="both"/>
        <w:rPr>
          <w:rFonts w:cs="Times New Roman"/>
        </w:rPr>
      </w:pPr>
      <w:r>
        <w:rPr>
          <w:rFonts w:hint="eastAsia" w:cs="Times New Roman"/>
        </w:rPr>
        <w:t>本公司及全体监事承诺，保证本预案及其摘要的内容真实、准确、完整，不存在虚假记载、误导性陈述或重大遗漏，并对其真实性、准确性和完整性承担相应法律责任。</w:t>
      </w:r>
    </w:p>
    <w:p w14:paraId="3990DE5D">
      <w:pPr>
        <w:widowControl/>
        <w:spacing w:before="120"/>
        <w:ind w:firstLine="480"/>
        <w:jc w:val="both"/>
        <w:rPr>
          <w:rFonts w:cs="Times New Roman"/>
        </w:rPr>
      </w:pPr>
      <w:r>
        <w:rPr>
          <w:rFonts w:hint="eastAsia" w:cs="Times New Roman"/>
        </w:rPr>
        <w:t>与本次交易相关的审计、评估工作尚未完成，本预案中涉及的相关数据尚未经过符合《证券法》规定的审计、评估机构的审计和评估，相关资产经审计的财务数据、资产评估结果将在重组报告书中予以披露。本公司及全体监事保证本预案及其摘要所引用的相关数据的真实性和合理性。</w:t>
      </w:r>
    </w:p>
    <w:p w14:paraId="7758F3B3">
      <w:pPr>
        <w:widowControl/>
        <w:spacing w:before="120"/>
        <w:ind w:firstLine="480"/>
        <w:jc w:val="both"/>
        <w:rPr>
          <w:rFonts w:cs="Times New Roman"/>
        </w:rPr>
      </w:pPr>
      <w:r>
        <w:rPr>
          <w:rFonts w:hint="eastAsia" w:ascii="宋体" w:hAnsi="宋体"/>
          <w:color w:val="000000"/>
          <w:kern w:val="2"/>
        </w:rPr>
        <w:t>本预案及其摘要所述事项并不代表中国证监会、交易所对本次交易相关事项的实质性判断、确认或批准。</w:t>
      </w:r>
    </w:p>
    <w:p w14:paraId="409EC588">
      <w:pPr>
        <w:widowControl/>
        <w:spacing w:before="120"/>
        <w:ind w:firstLine="480"/>
        <w:jc w:val="both"/>
      </w:pPr>
      <w:r>
        <w:rPr>
          <w:rFonts w:hint="eastAsia"/>
        </w:rPr>
        <w:t>全体监事签字：</w:t>
      </w:r>
    </w:p>
    <w:p w14:paraId="32DC5AEE">
      <w:pPr>
        <w:widowControl/>
        <w:spacing w:before="120"/>
        <w:ind w:firstLine="480"/>
        <w:jc w:val="both"/>
      </w:pPr>
    </w:p>
    <w:p w14:paraId="7FC351A3">
      <w:pPr>
        <w:widowControl/>
        <w:spacing w:before="120"/>
        <w:ind w:firstLine="480"/>
        <w:jc w:val="both"/>
      </w:pPr>
    </w:p>
    <w:p w14:paraId="004D2C3B">
      <w:pPr>
        <w:widowControl/>
        <w:spacing w:before="120"/>
        <w:ind w:firstLine="480"/>
        <w:jc w:val="both"/>
      </w:pPr>
    </w:p>
    <w:tbl>
      <w:tblPr>
        <w:tblStyle w:val="7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4"/>
        <w:gridCol w:w="1656"/>
        <w:gridCol w:w="1664"/>
        <w:gridCol w:w="1657"/>
        <w:gridCol w:w="1665"/>
      </w:tblGrid>
      <w:tr w14:paraId="312EC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4" w:type="dxa"/>
            <w:tcBorders>
              <w:top w:val="nil"/>
              <w:left w:val="nil"/>
              <w:bottom w:val="single" w:color="auto" w:sz="4" w:space="0"/>
              <w:right w:val="nil"/>
            </w:tcBorders>
            <w:shd w:val="clear" w:color="auto" w:fill="auto"/>
          </w:tcPr>
          <w:p w14:paraId="6D13B432">
            <w:pPr>
              <w:snapToGrid w:val="0"/>
              <w:spacing w:before="120" w:after="120" w:afterLines="50" w:line="240" w:lineRule="auto"/>
              <w:ind w:firstLine="0" w:firstLineChars="0"/>
              <w:jc w:val="center"/>
              <w:rPr>
                <w:rFonts w:hint="eastAsia" w:ascii="宋体" w:hAnsi="宋体" w:cs="Times New Roman"/>
                <w:bCs/>
                <w:kern w:val="2"/>
              </w:rPr>
            </w:pPr>
          </w:p>
        </w:tc>
        <w:tc>
          <w:tcPr>
            <w:tcW w:w="1656" w:type="dxa"/>
            <w:tcBorders>
              <w:top w:val="nil"/>
              <w:left w:val="nil"/>
              <w:bottom w:val="nil"/>
              <w:right w:val="nil"/>
            </w:tcBorders>
            <w:shd w:val="clear" w:color="auto" w:fill="auto"/>
          </w:tcPr>
          <w:p w14:paraId="5EAE8A6F">
            <w:pPr>
              <w:snapToGrid w:val="0"/>
              <w:spacing w:before="120" w:after="120" w:afterLines="50" w:line="240" w:lineRule="auto"/>
              <w:ind w:firstLine="0" w:firstLineChars="0"/>
              <w:jc w:val="center"/>
              <w:rPr>
                <w:rFonts w:hint="eastAsia" w:ascii="宋体" w:hAnsi="宋体" w:cs="Times New Roman"/>
                <w:bCs/>
                <w:kern w:val="2"/>
              </w:rPr>
            </w:pPr>
          </w:p>
        </w:tc>
        <w:tc>
          <w:tcPr>
            <w:tcW w:w="1664" w:type="dxa"/>
            <w:tcBorders>
              <w:top w:val="nil"/>
              <w:left w:val="nil"/>
              <w:bottom w:val="single" w:color="auto" w:sz="4" w:space="0"/>
              <w:right w:val="nil"/>
            </w:tcBorders>
            <w:shd w:val="clear" w:color="auto" w:fill="auto"/>
          </w:tcPr>
          <w:p w14:paraId="66396C8F">
            <w:pPr>
              <w:snapToGrid w:val="0"/>
              <w:spacing w:before="120" w:after="120" w:afterLines="50" w:line="240" w:lineRule="auto"/>
              <w:ind w:firstLine="0" w:firstLineChars="0"/>
              <w:jc w:val="center"/>
              <w:rPr>
                <w:rFonts w:hint="eastAsia" w:ascii="宋体" w:hAnsi="宋体" w:cs="Times New Roman"/>
                <w:bCs/>
                <w:kern w:val="2"/>
              </w:rPr>
            </w:pPr>
          </w:p>
        </w:tc>
        <w:tc>
          <w:tcPr>
            <w:tcW w:w="1657" w:type="dxa"/>
            <w:tcBorders>
              <w:top w:val="nil"/>
              <w:left w:val="nil"/>
              <w:bottom w:val="nil"/>
              <w:right w:val="nil"/>
            </w:tcBorders>
            <w:shd w:val="clear" w:color="auto" w:fill="auto"/>
          </w:tcPr>
          <w:p w14:paraId="573E9D13">
            <w:pPr>
              <w:snapToGrid w:val="0"/>
              <w:spacing w:before="120" w:after="120" w:afterLines="50" w:line="240" w:lineRule="auto"/>
              <w:ind w:firstLine="0" w:firstLineChars="0"/>
              <w:jc w:val="center"/>
              <w:rPr>
                <w:rFonts w:hint="eastAsia" w:ascii="宋体" w:hAnsi="宋体" w:cs="Times New Roman"/>
                <w:bCs/>
                <w:kern w:val="2"/>
              </w:rPr>
            </w:pPr>
          </w:p>
        </w:tc>
        <w:tc>
          <w:tcPr>
            <w:tcW w:w="1665" w:type="dxa"/>
            <w:tcBorders>
              <w:top w:val="nil"/>
              <w:left w:val="nil"/>
              <w:bottom w:val="single" w:color="auto" w:sz="4" w:space="0"/>
              <w:right w:val="nil"/>
            </w:tcBorders>
            <w:shd w:val="clear" w:color="auto" w:fill="auto"/>
          </w:tcPr>
          <w:p w14:paraId="095B32C3">
            <w:pPr>
              <w:snapToGrid w:val="0"/>
              <w:spacing w:before="120" w:after="120" w:afterLines="50" w:line="240" w:lineRule="auto"/>
              <w:ind w:firstLine="0" w:firstLineChars="0"/>
              <w:jc w:val="center"/>
              <w:rPr>
                <w:rFonts w:hint="eastAsia" w:ascii="宋体" w:hAnsi="宋体" w:cs="Times New Roman"/>
                <w:bCs/>
                <w:kern w:val="2"/>
              </w:rPr>
            </w:pPr>
          </w:p>
        </w:tc>
      </w:tr>
      <w:tr w14:paraId="7BD55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4" w:type="dxa"/>
            <w:tcBorders>
              <w:top w:val="single" w:color="auto" w:sz="4" w:space="0"/>
              <w:left w:val="nil"/>
              <w:bottom w:val="nil"/>
              <w:right w:val="nil"/>
            </w:tcBorders>
            <w:shd w:val="clear" w:color="auto" w:fill="auto"/>
          </w:tcPr>
          <w:p w14:paraId="2EE0C15D">
            <w:pPr>
              <w:snapToGrid w:val="0"/>
              <w:spacing w:before="120" w:after="120" w:afterLines="50" w:line="240" w:lineRule="auto"/>
              <w:ind w:firstLine="0" w:firstLineChars="0"/>
              <w:jc w:val="center"/>
              <w:rPr>
                <w:rFonts w:hint="eastAsia" w:ascii="宋体" w:hAnsi="宋体" w:cs="Times New Roman"/>
                <w:bCs/>
                <w:kern w:val="2"/>
              </w:rPr>
            </w:pPr>
            <w:r>
              <w:rPr>
                <w:rFonts w:hint="eastAsia" w:ascii="宋体" w:hAnsi="宋体" w:cs="Times New Roman"/>
                <w:bCs/>
                <w:kern w:val="2"/>
              </w:rPr>
              <w:t>毛晓玲</w:t>
            </w:r>
          </w:p>
        </w:tc>
        <w:tc>
          <w:tcPr>
            <w:tcW w:w="1656" w:type="dxa"/>
            <w:tcBorders>
              <w:top w:val="nil"/>
              <w:left w:val="nil"/>
              <w:bottom w:val="nil"/>
              <w:right w:val="nil"/>
            </w:tcBorders>
            <w:shd w:val="clear" w:color="auto" w:fill="auto"/>
          </w:tcPr>
          <w:p w14:paraId="35935AB1">
            <w:pPr>
              <w:snapToGrid w:val="0"/>
              <w:spacing w:before="120" w:after="120" w:afterLines="50" w:line="240" w:lineRule="auto"/>
              <w:ind w:firstLine="0" w:firstLineChars="0"/>
              <w:jc w:val="center"/>
              <w:rPr>
                <w:rFonts w:hint="eastAsia" w:ascii="宋体" w:hAnsi="宋体" w:cs="Times New Roman"/>
                <w:bCs/>
                <w:kern w:val="2"/>
              </w:rPr>
            </w:pPr>
          </w:p>
        </w:tc>
        <w:tc>
          <w:tcPr>
            <w:tcW w:w="1664" w:type="dxa"/>
            <w:tcBorders>
              <w:top w:val="single" w:color="auto" w:sz="4" w:space="0"/>
              <w:left w:val="nil"/>
              <w:bottom w:val="nil"/>
              <w:right w:val="nil"/>
            </w:tcBorders>
            <w:shd w:val="clear" w:color="auto" w:fill="auto"/>
          </w:tcPr>
          <w:p w14:paraId="12DEBAA9">
            <w:pPr>
              <w:snapToGrid w:val="0"/>
              <w:spacing w:before="120" w:after="120" w:afterLines="50" w:line="240" w:lineRule="auto"/>
              <w:ind w:firstLine="0" w:firstLineChars="0"/>
              <w:jc w:val="center"/>
              <w:rPr>
                <w:rFonts w:hint="eastAsia" w:ascii="宋体" w:hAnsi="宋体" w:cs="Times New Roman"/>
                <w:bCs/>
                <w:kern w:val="2"/>
              </w:rPr>
            </w:pPr>
            <w:r>
              <w:rPr>
                <w:rFonts w:hint="eastAsia" w:ascii="宋体" w:hAnsi="宋体" w:cs="Times New Roman"/>
                <w:bCs/>
                <w:kern w:val="2"/>
              </w:rPr>
              <w:t>刘培璇</w:t>
            </w:r>
          </w:p>
        </w:tc>
        <w:tc>
          <w:tcPr>
            <w:tcW w:w="1657" w:type="dxa"/>
            <w:tcBorders>
              <w:top w:val="nil"/>
              <w:left w:val="nil"/>
              <w:bottom w:val="nil"/>
              <w:right w:val="nil"/>
            </w:tcBorders>
            <w:shd w:val="clear" w:color="auto" w:fill="auto"/>
          </w:tcPr>
          <w:p w14:paraId="075883FD">
            <w:pPr>
              <w:snapToGrid w:val="0"/>
              <w:spacing w:before="120" w:after="120" w:afterLines="50" w:line="240" w:lineRule="auto"/>
              <w:ind w:firstLine="0" w:firstLineChars="0"/>
              <w:jc w:val="center"/>
              <w:rPr>
                <w:rFonts w:hint="eastAsia" w:ascii="宋体" w:hAnsi="宋体" w:cs="Times New Roman"/>
                <w:bCs/>
                <w:kern w:val="2"/>
              </w:rPr>
            </w:pPr>
          </w:p>
        </w:tc>
        <w:tc>
          <w:tcPr>
            <w:tcW w:w="1665" w:type="dxa"/>
            <w:tcBorders>
              <w:top w:val="single" w:color="auto" w:sz="4" w:space="0"/>
              <w:left w:val="nil"/>
              <w:bottom w:val="nil"/>
              <w:right w:val="nil"/>
            </w:tcBorders>
            <w:shd w:val="clear" w:color="auto" w:fill="auto"/>
          </w:tcPr>
          <w:p w14:paraId="757FA0B1">
            <w:pPr>
              <w:snapToGrid w:val="0"/>
              <w:spacing w:before="120" w:after="120" w:afterLines="50" w:line="240" w:lineRule="auto"/>
              <w:ind w:firstLine="0" w:firstLineChars="0"/>
              <w:jc w:val="center"/>
              <w:rPr>
                <w:rFonts w:hint="eastAsia" w:ascii="宋体" w:hAnsi="宋体" w:cs="Times New Roman"/>
                <w:bCs/>
                <w:kern w:val="2"/>
              </w:rPr>
            </w:pPr>
            <w:r>
              <w:rPr>
                <w:rFonts w:hint="eastAsia" w:ascii="宋体" w:hAnsi="宋体" w:cs="Times New Roman"/>
                <w:bCs/>
                <w:kern w:val="2"/>
              </w:rPr>
              <w:t>黄素芳</w:t>
            </w:r>
          </w:p>
        </w:tc>
      </w:tr>
    </w:tbl>
    <w:p w14:paraId="18BB2793">
      <w:pPr>
        <w:snapToGrid w:val="0"/>
        <w:spacing w:before="100" w:beforeLines="0" w:beforeAutospacing="1" w:after="100" w:afterAutospacing="1" w:line="240" w:lineRule="auto"/>
        <w:ind w:firstLine="0" w:firstLineChars="0"/>
        <w:jc w:val="right"/>
        <w:rPr>
          <w:rFonts w:cs="Times New Roman"/>
          <w:kern w:val="2"/>
          <w:sz w:val="21"/>
        </w:rPr>
      </w:pPr>
    </w:p>
    <w:p w14:paraId="4F656C62">
      <w:pPr>
        <w:snapToGrid w:val="0"/>
        <w:spacing w:before="100" w:beforeLines="0" w:beforeAutospacing="1" w:after="100" w:afterAutospacing="1" w:line="240" w:lineRule="auto"/>
        <w:ind w:firstLine="0" w:firstLineChars="0"/>
        <w:jc w:val="right"/>
        <w:rPr>
          <w:rFonts w:cs="Times New Roman"/>
          <w:kern w:val="2"/>
          <w:sz w:val="21"/>
        </w:rPr>
      </w:pPr>
    </w:p>
    <w:p w14:paraId="3B659813">
      <w:pPr>
        <w:snapToGrid w:val="0"/>
        <w:spacing w:before="100" w:beforeLines="0" w:beforeAutospacing="1" w:after="100" w:afterAutospacing="1" w:line="240" w:lineRule="auto"/>
        <w:ind w:firstLine="0" w:firstLineChars="0"/>
        <w:jc w:val="both"/>
        <w:rPr>
          <w:rFonts w:cs="Times New Roman"/>
          <w:kern w:val="2"/>
          <w:sz w:val="21"/>
        </w:rPr>
      </w:pPr>
    </w:p>
    <w:p w14:paraId="113ED4FB">
      <w:pPr>
        <w:snapToGrid w:val="0"/>
        <w:spacing w:before="100" w:beforeLines="0" w:beforeAutospacing="1" w:after="100" w:afterAutospacing="1" w:line="240" w:lineRule="auto"/>
        <w:ind w:firstLine="0" w:firstLineChars="0"/>
        <w:jc w:val="right"/>
        <w:rPr>
          <w:rFonts w:cs="Times New Roman"/>
          <w:kern w:val="2"/>
          <w:sz w:val="21"/>
        </w:rPr>
      </w:pPr>
    </w:p>
    <w:p w14:paraId="4A57120C">
      <w:pPr>
        <w:snapToGrid w:val="0"/>
        <w:spacing w:before="100" w:beforeLines="0" w:beforeAutospacing="1" w:after="100" w:afterAutospacing="1" w:line="240" w:lineRule="auto"/>
        <w:ind w:firstLine="0" w:firstLineChars="0"/>
        <w:jc w:val="right"/>
        <w:rPr>
          <w:rFonts w:cs="Times New Roman"/>
          <w:kern w:val="2"/>
          <w:sz w:val="21"/>
        </w:rPr>
      </w:pPr>
    </w:p>
    <w:p w14:paraId="3BF1C449">
      <w:pPr>
        <w:snapToGrid w:val="0"/>
        <w:spacing w:before="100" w:beforeLines="0" w:beforeAutospacing="1" w:after="100" w:afterAutospacing="1" w:line="240" w:lineRule="auto"/>
        <w:ind w:firstLine="0" w:firstLineChars="0"/>
        <w:jc w:val="right"/>
        <w:rPr>
          <w:rFonts w:cs="Times New Roman"/>
          <w:kern w:val="2"/>
          <w:sz w:val="21"/>
        </w:rPr>
      </w:pPr>
    </w:p>
    <w:p w14:paraId="529A1494">
      <w:pPr>
        <w:widowControl/>
        <w:spacing w:before="120"/>
        <w:ind w:firstLine="480"/>
        <w:jc w:val="right"/>
      </w:pPr>
      <w:r>
        <w:rPr>
          <w:rFonts w:hint="eastAsia"/>
        </w:rPr>
        <w:t>广东天亿马信息产业股份有限公司</w:t>
      </w:r>
    </w:p>
    <w:p w14:paraId="00A5ABB7">
      <w:pPr>
        <w:widowControl/>
        <w:spacing w:before="120"/>
        <w:ind w:firstLine="480"/>
        <w:jc w:val="right"/>
        <w:rPr>
          <w:rFonts w:cs="Times New Roman"/>
          <w:color w:val="000000"/>
          <w:kern w:val="2"/>
          <w:szCs w:val="30"/>
          <w:shd w:val="clear" w:color="auto" w:fill="FFFFFF"/>
        </w:rPr>
      </w:pPr>
      <w:r>
        <w:rPr>
          <w:rFonts w:hint="eastAsia"/>
        </w:rPr>
        <w:t>2025年6月23日</w:t>
      </w:r>
    </w:p>
    <w:p w14:paraId="31AD761F">
      <w:pPr>
        <w:widowControl/>
        <w:spacing w:before="0" w:beforeLines="0" w:line="240" w:lineRule="auto"/>
        <w:ind w:firstLine="0" w:firstLineChars="0"/>
        <w:rPr>
          <w:rFonts w:ascii="Calibri" w:hAnsi="Calibri" w:cs="Times New Roman"/>
          <w:color w:val="000000"/>
          <w:szCs w:val="30"/>
          <w:shd w:val="clear" w:color="auto" w:fill="FFFFFF"/>
        </w:rPr>
      </w:pPr>
      <w:r>
        <w:br w:type="page"/>
      </w:r>
    </w:p>
    <w:p w14:paraId="460DD873">
      <w:pPr>
        <w:keepNext/>
        <w:keepLines/>
        <w:spacing w:before="120" w:after="120" w:afterLines="50"/>
        <w:ind w:firstLine="480" w:firstLineChars="0"/>
        <w:jc w:val="both"/>
        <w:outlineLvl w:val="1"/>
        <w:rPr>
          <w:rFonts w:eastAsia="黑体" w:cs="Times New Roman"/>
          <w:b/>
          <w:bCs/>
          <w:kern w:val="2"/>
          <w:sz w:val="28"/>
          <w:szCs w:val="28"/>
        </w:rPr>
      </w:pPr>
      <w:bookmarkStart w:id="190" w:name="_Toc13260"/>
      <w:bookmarkStart w:id="191" w:name="_Toc184373688"/>
      <w:bookmarkStart w:id="192" w:name="_Hlk189310764"/>
      <w:r>
        <w:rPr>
          <w:rFonts w:hint="eastAsia" w:eastAsia="黑体" w:cs="Times New Roman"/>
          <w:b/>
          <w:bCs/>
          <w:kern w:val="2"/>
          <w:sz w:val="28"/>
          <w:szCs w:val="28"/>
        </w:rPr>
        <w:t>三、上市公司全体高级管理人员声明</w:t>
      </w:r>
      <w:bookmarkEnd w:id="190"/>
      <w:bookmarkEnd w:id="191"/>
    </w:p>
    <w:p w14:paraId="2DE49DC0">
      <w:pPr>
        <w:widowControl/>
        <w:spacing w:before="120"/>
        <w:ind w:firstLine="480"/>
        <w:jc w:val="both"/>
        <w:rPr>
          <w:rFonts w:cs="Times New Roman"/>
        </w:rPr>
      </w:pPr>
      <w:r>
        <w:rPr>
          <w:rFonts w:hint="eastAsia" w:cs="Times New Roman"/>
        </w:rPr>
        <w:t>本公司及全体高级管理人员承诺，保证本预案及其摘要的内容真实、准确、完整，不存在虚假记载、误导性陈述或重大遗漏，并对其真实性、准确性和完整性承担相应法律责任。</w:t>
      </w:r>
    </w:p>
    <w:p w14:paraId="6915AA99">
      <w:pPr>
        <w:widowControl/>
        <w:spacing w:before="120"/>
        <w:ind w:firstLine="480"/>
        <w:jc w:val="both"/>
        <w:rPr>
          <w:rFonts w:cs="Times New Roman"/>
        </w:rPr>
      </w:pPr>
      <w:r>
        <w:rPr>
          <w:rFonts w:hint="eastAsia" w:cs="Times New Roman"/>
        </w:rPr>
        <w:t>与本次交易相关的审计、评估工作尚未完成，本预案中涉及的相关数据尚未经过符合《证券法》规定的审计、评估机构的审计和评估，相关资产经审计的财务数据、资产评估结果将在重组报告书中予以披露。本公司及全体高级管理人员保证本预案及其摘要所引用的相关数据的真实性和合理性。</w:t>
      </w:r>
    </w:p>
    <w:p w14:paraId="5BD07C74">
      <w:pPr>
        <w:widowControl/>
        <w:spacing w:before="120"/>
        <w:ind w:firstLine="480"/>
        <w:jc w:val="both"/>
        <w:rPr>
          <w:rFonts w:cs="Times New Roman"/>
        </w:rPr>
      </w:pPr>
      <w:r>
        <w:rPr>
          <w:rFonts w:hint="eastAsia" w:cs="Times New Roman"/>
        </w:rPr>
        <w:t>本预案及其摘要所述事项并不代表中国证监会、交易所对本次交易相关事项的实质性判断、确认或批准。</w:t>
      </w:r>
    </w:p>
    <w:p w14:paraId="51BB71F9">
      <w:pPr>
        <w:widowControl/>
        <w:spacing w:before="120"/>
        <w:ind w:firstLine="480"/>
        <w:jc w:val="both"/>
        <w:rPr>
          <w:rFonts w:cs="Times New Roman"/>
        </w:rPr>
      </w:pPr>
    </w:p>
    <w:bookmarkEnd w:id="192"/>
    <w:p w14:paraId="766589C0">
      <w:pPr>
        <w:widowControl/>
        <w:spacing w:before="120"/>
        <w:ind w:firstLine="480"/>
        <w:jc w:val="both"/>
      </w:pPr>
      <w:r>
        <w:rPr>
          <w:rFonts w:hint="eastAsia"/>
        </w:rPr>
        <w:t>全体高级管理人员签字：</w:t>
      </w:r>
    </w:p>
    <w:p w14:paraId="2AE56E88">
      <w:pPr>
        <w:widowControl/>
        <w:spacing w:before="120"/>
        <w:ind w:firstLine="480"/>
        <w:jc w:val="both"/>
      </w:pPr>
    </w:p>
    <w:p w14:paraId="4A585F32">
      <w:pPr>
        <w:widowControl/>
        <w:spacing w:before="120"/>
        <w:ind w:firstLine="480"/>
        <w:jc w:val="both"/>
      </w:pPr>
    </w:p>
    <w:tbl>
      <w:tblPr>
        <w:tblStyle w:val="76"/>
        <w:tblW w:w="8306" w:type="dxa"/>
        <w:tblInd w:w="0" w:type="dxa"/>
        <w:tblLayout w:type="autofit"/>
        <w:tblCellMar>
          <w:top w:w="0" w:type="dxa"/>
          <w:left w:w="108" w:type="dxa"/>
          <w:bottom w:w="0" w:type="dxa"/>
          <w:right w:w="108" w:type="dxa"/>
        </w:tblCellMar>
      </w:tblPr>
      <w:tblGrid>
        <w:gridCol w:w="1663"/>
        <w:gridCol w:w="1656"/>
        <w:gridCol w:w="1665"/>
        <w:gridCol w:w="1657"/>
        <w:gridCol w:w="1665"/>
      </w:tblGrid>
      <w:tr w14:paraId="62BF0748">
        <w:tblPrEx>
          <w:tblCellMar>
            <w:top w:w="0" w:type="dxa"/>
            <w:left w:w="108" w:type="dxa"/>
            <w:bottom w:w="0" w:type="dxa"/>
            <w:right w:w="108" w:type="dxa"/>
          </w:tblCellMar>
        </w:tblPrEx>
        <w:trPr>
          <w:trHeight w:val="1625" w:hRule="atLeast"/>
        </w:trPr>
        <w:tc>
          <w:tcPr>
            <w:tcW w:w="1663" w:type="dxa"/>
            <w:tcBorders>
              <w:top w:val="single" w:color="auto" w:sz="4" w:space="0"/>
              <w:bottom w:val="single" w:color="auto" w:sz="4" w:space="0"/>
            </w:tcBorders>
          </w:tcPr>
          <w:p w14:paraId="51278FC6">
            <w:pPr>
              <w:snapToGrid w:val="0"/>
              <w:spacing w:before="120" w:after="120" w:afterLines="50"/>
              <w:ind w:firstLine="0" w:firstLineChars="0"/>
              <w:jc w:val="center"/>
              <w:rPr>
                <w:rFonts w:hint="eastAsia" w:ascii="宋体" w:hAnsi="宋体"/>
                <w:bCs/>
              </w:rPr>
            </w:pPr>
            <w:r>
              <w:rPr>
                <w:rFonts w:hint="eastAsia" w:ascii="宋体" w:hAnsi="宋体"/>
                <w:bCs/>
              </w:rPr>
              <w:t>马学沛</w:t>
            </w:r>
          </w:p>
        </w:tc>
        <w:tc>
          <w:tcPr>
            <w:tcW w:w="1656" w:type="dxa"/>
          </w:tcPr>
          <w:p w14:paraId="46B035B9">
            <w:pPr>
              <w:snapToGrid w:val="0"/>
              <w:spacing w:before="120" w:after="120" w:afterLines="50"/>
              <w:ind w:firstLine="480"/>
              <w:jc w:val="center"/>
              <w:rPr>
                <w:rFonts w:hint="eastAsia" w:ascii="宋体" w:hAnsi="宋体"/>
                <w:bCs/>
              </w:rPr>
            </w:pPr>
          </w:p>
        </w:tc>
        <w:tc>
          <w:tcPr>
            <w:tcW w:w="1665" w:type="dxa"/>
            <w:tcBorders>
              <w:top w:val="single" w:color="auto" w:sz="4" w:space="0"/>
              <w:bottom w:val="single" w:color="auto" w:sz="4" w:space="0"/>
            </w:tcBorders>
          </w:tcPr>
          <w:p w14:paraId="0A80A649">
            <w:pPr>
              <w:snapToGrid w:val="0"/>
              <w:spacing w:before="120" w:after="120" w:afterLines="50"/>
              <w:ind w:firstLine="0" w:firstLineChars="0"/>
              <w:jc w:val="center"/>
              <w:rPr>
                <w:rFonts w:hint="eastAsia" w:ascii="宋体" w:hAnsi="宋体"/>
              </w:rPr>
            </w:pPr>
            <w:r>
              <w:rPr>
                <w:rFonts w:hint="eastAsia" w:ascii="宋体" w:hAnsi="宋体"/>
                <w:bCs/>
              </w:rPr>
              <w:t>李华青</w:t>
            </w:r>
          </w:p>
        </w:tc>
        <w:tc>
          <w:tcPr>
            <w:tcW w:w="1657" w:type="dxa"/>
          </w:tcPr>
          <w:p w14:paraId="16BD83B2">
            <w:pPr>
              <w:snapToGrid w:val="0"/>
              <w:spacing w:before="120" w:after="120" w:afterLines="50"/>
              <w:ind w:firstLine="480"/>
              <w:jc w:val="center"/>
              <w:rPr>
                <w:rFonts w:hint="eastAsia" w:ascii="宋体" w:hAnsi="宋体"/>
                <w:bCs/>
              </w:rPr>
            </w:pPr>
          </w:p>
        </w:tc>
        <w:tc>
          <w:tcPr>
            <w:tcW w:w="1665" w:type="dxa"/>
            <w:tcBorders>
              <w:top w:val="single" w:color="auto" w:sz="4" w:space="0"/>
              <w:bottom w:val="nil"/>
            </w:tcBorders>
          </w:tcPr>
          <w:p w14:paraId="420FEFC1">
            <w:pPr>
              <w:tabs>
                <w:tab w:val="center" w:pos="724"/>
              </w:tabs>
              <w:snapToGrid w:val="0"/>
              <w:spacing w:before="120" w:after="120" w:afterLines="50"/>
              <w:ind w:firstLine="0" w:firstLineChars="0"/>
              <w:rPr>
                <w:color w:val="000000"/>
              </w:rPr>
            </w:pPr>
            <w:r>
              <w:rPr>
                <w:color w:val="000000"/>
              </w:rPr>
              <w:tab/>
            </w:r>
            <w:r>
              <w:rPr>
                <w:rFonts w:hint="eastAsia"/>
                <w:color w:val="000000"/>
              </w:rPr>
              <w:t>林少勇</w:t>
            </w:r>
          </w:p>
        </w:tc>
      </w:tr>
      <w:tr w14:paraId="40E5BBA3">
        <w:tblPrEx>
          <w:tblCellMar>
            <w:top w:w="0" w:type="dxa"/>
            <w:left w:w="108" w:type="dxa"/>
            <w:bottom w:w="0" w:type="dxa"/>
            <w:right w:w="108" w:type="dxa"/>
          </w:tblCellMar>
        </w:tblPrEx>
        <w:trPr>
          <w:trHeight w:val="1191" w:hRule="atLeast"/>
        </w:trPr>
        <w:tc>
          <w:tcPr>
            <w:tcW w:w="1663" w:type="dxa"/>
            <w:tcBorders>
              <w:top w:val="single" w:color="auto" w:sz="4" w:space="0"/>
            </w:tcBorders>
          </w:tcPr>
          <w:p w14:paraId="01ED991E">
            <w:pPr>
              <w:snapToGrid w:val="0"/>
              <w:spacing w:before="120" w:after="120" w:afterLines="50"/>
              <w:ind w:firstLine="0" w:firstLineChars="0"/>
              <w:jc w:val="center"/>
              <w:rPr>
                <w:rFonts w:hint="eastAsia" w:ascii="宋体" w:hAnsi="宋体"/>
                <w:bCs/>
              </w:rPr>
            </w:pPr>
            <w:r>
              <w:rPr>
                <w:rFonts w:hint="eastAsia" w:ascii="宋体" w:hAnsi="宋体"/>
                <w:bCs/>
              </w:rPr>
              <w:t>陈焕盛</w:t>
            </w:r>
          </w:p>
        </w:tc>
        <w:tc>
          <w:tcPr>
            <w:tcW w:w="1656" w:type="dxa"/>
          </w:tcPr>
          <w:p w14:paraId="2B9B2E83">
            <w:pPr>
              <w:snapToGrid w:val="0"/>
              <w:spacing w:before="120" w:after="120" w:afterLines="50"/>
              <w:ind w:firstLine="480"/>
              <w:jc w:val="center"/>
              <w:rPr>
                <w:rFonts w:hint="eastAsia" w:ascii="宋体" w:hAnsi="宋体"/>
                <w:bCs/>
              </w:rPr>
            </w:pPr>
          </w:p>
        </w:tc>
        <w:tc>
          <w:tcPr>
            <w:tcW w:w="1665" w:type="dxa"/>
            <w:tcBorders>
              <w:top w:val="single" w:color="auto" w:sz="4" w:space="0"/>
            </w:tcBorders>
          </w:tcPr>
          <w:p w14:paraId="153C05C5">
            <w:pPr>
              <w:tabs>
                <w:tab w:val="center" w:pos="724"/>
              </w:tabs>
              <w:snapToGrid w:val="0"/>
              <w:spacing w:before="120" w:after="120" w:afterLines="50"/>
              <w:ind w:firstLine="0" w:firstLineChars="0"/>
              <w:jc w:val="center"/>
              <w:rPr>
                <w:rFonts w:hint="eastAsia" w:ascii="宋体" w:hAnsi="宋体"/>
                <w:bCs/>
              </w:rPr>
            </w:pPr>
            <w:r>
              <w:rPr>
                <w:rFonts w:hint="eastAsia" w:ascii="宋体" w:hAnsi="宋体"/>
                <w:bCs/>
              </w:rPr>
              <w:t>曹维</w:t>
            </w:r>
          </w:p>
        </w:tc>
        <w:tc>
          <w:tcPr>
            <w:tcW w:w="1657" w:type="dxa"/>
            <w:tcBorders>
              <w:right w:val="nil"/>
            </w:tcBorders>
          </w:tcPr>
          <w:p w14:paraId="2A3060E6">
            <w:pPr>
              <w:snapToGrid w:val="0"/>
              <w:spacing w:before="120" w:after="120" w:afterLines="50"/>
              <w:ind w:firstLine="480"/>
              <w:jc w:val="center"/>
              <w:rPr>
                <w:rFonts w:hint="eastAsia" w:ascii="宋体" w:hAnsi="宋体"/>
                <w:bCs/>
              </w:rPr>
            </w:pPr>
          </w:p>
        </w:tc>
        <w:tc>
          <w:tcPr>
            <w:tcW w:w="1665" w:type="dxa"/>
            <w:tcBorders>
              <w:top w:val="nil"/>
              <w:left w:val="nil"/>
              <w:bottom w:val="nil"/>
              <w:right w:val="nil"/>
            </w:tcBorders>
          </w:tcPr>
          <w:p w14:paraId="56A5D390">
            <w:pPr>
              <w:tabs>
                <w:tab w:val="center" w:pos="724"/>
              </w:tabs>
              <w:snapToGrid w:val="0"/>
              <w:spacing w:before="120" w:after="120" w:afterLines="50"/>
              <w:ind w:firstLine="0" w:firstLineChars="0"/>
              <w:jc w:val="center"/>
              <w:rPr>
                <w:rFonts w:hint="eastAsia" w:ascii="宋体" w:hAnsi="宋体"/>
                <w:bCs/>
              </w:rPr>
            </w:pPr>
          </w:p>
        </w:tc>
      </w:tr>
    </w:tbl>
    <w:p w14:paraId="643F1E40">
      <w:pPr>
        <w:widowControl/>
        <w:spacing w:before="120"/>
        <w:ind w:firstLine="480"/>
        <w:jc w:val="both"/>
        <w:rPr>
          <w:rFonts w:cs="Times New Roman"/>
        </w:rPr>
      </w:pPr>
    </w:p>
    <w:p w14:paraId="53B5630C">
      <w:pPr>
        <w:widowControl/>
        <w:spacing w:before="120"/>
        <w:ind w:firstLine="480"/>
        <w:jc w:val="both"/>
        <w:rPr>
          <w:rFonts w:cs="Times New Roman"/>
        </w:rPr>
      </w:pPr>
    </w:p>
    <w:p w14:paraId="65794F62">
      <w:pPr>
        <w:widowControl/>
        <w:spacing w:before="120"/>
        <w:ind w:firstLine="480"/>
        <w:jc w:val="both"/>
        <w:rPr>
          <w:rFonts w:cs="Times New Roman"/>
        </w:rPr>
      </w:pPr>
    </w:p>
    <w:p w14:paraId="4D249883">
      <w:pPr>
        <w:snapToGrid w:val="0"/>
        <w:spacing w:before="100" w:beforeLines="0" w:beforeAutospacing="1" w:after="100" w:afterAutospacing="1" w:line="240" w:lineRule="auto"/>
        <w:ind w:firstLine="0" w:firstLineChars="0"/>
        <w:jc w:val="right"/>
        <w:rPr>
          <w:rFonts w:cs="Times New Roman"/>
          <w:kern w:val="2"/>
          <w:sz w:val="21"/>
        </w:rPr>
      </w:pPr>
    </w:p>
    <w:p w14:paraId="30F93E89">
      <w:pPr>
        <w:widowControl/>
        <w:spacing w:before="120"/>
        <w:ind w:firstLine="480"/>
        <w:jc w:val="right"/>
      </w:pPr>
      <w:r>
        <w:rPr>
          <w:rFonts w:hint="eastAsia"/>
        </w:rPr>
        <w:t>广东天亿马信息产业股份有限公司</w:t>
      </w:r>
    </w:p>
    <w:p w14:paraId="61BEB40A">
      <w:pPr>
        <w:widowControl/>
        <w:spacing w:before="120"/>
        <w:ind w:firstLine="480"/>
        <w:jc w:val="right"/>
      </w:pPr>
      <w:r>
        <w:rPr>
          <w:rFonts w:hint="eastAsia"/>
        </w:rPr>
        <w:t>2025年6月23日</w:t>
      </w:r>
    </w:p>
    <w:p w14:paraId="76208C2C">
      <w:pPr>
        <w:widowControl/>
        <w:spacing w:before="0" w:beforeLines="0" w:line="240" w:lineRule="auto"/>
        <w:ind w:firstLine="0" w:firstLineChars="0"/>
        <w:rPr>
          <w:rFonts w:ascii="Calibri" w:hAnsi="Calibri" w:cs="Times New Roman"/>
          <w:color w:val="000000"/>
          <w:szCs w:val="30"/>
          <w:shd w:val="clear" w:color="auto" w:fill="FFFFFF"/>
        </w:rPr>
      </w:pPr>
      <w:r>
        <w:br w:type="page"/>
      </w:r>
    </w:p>
    <w:p w14:paraId="76EEB588">
      <w:pPr>
        <w:tabs>
          <w:tab w:val="left" w:pos="868"/>
        </w:tabs>
        <w:spacing w:before="120" w:after="120" w:afterLines="50"/>
        <w:ind w:firstLine="0" w:firstLineChars="0"/>
        <w:jc w:val="both"/>
      </w:pPr>
      <w:r>
        <w:rPr>
          <w:rFonts w:hint="eastAsia"/>
        </w:rPr>
        <w:t>（本页无正文，为《广东天亿马信息产业股份有限公司发行股份及支付现金购买资产并募集配套资金暨关联交易预案》之盖章页）</w:t>
      </w:r>
    </w:p>
    <w:p w14:paraId="621B7A3F">
      <w:pPr>
        <w:spacing w:before="120"/>
        <w:ind w:firstLine="480"/>
      </w:pPr>
    </w:p>
    <w:p w14:paraId="4F0AC370">
      <w:pPr>
        <w:spacing w:before="120"/>
        <w:ind w:firstLine="480"/>
      </w:pPr>
    </w:p>
    <w:p w14:paraId="0AEE9FF6">
      <w:pPr>
        <w:spacing w:before="120"/>
        <w:ind w:firstLine="480"/>
      </w:pPr>
    </w:p>
    <w:p w14:paraId="29DC1CD3">
      <w:pPr>
        <w:spacing w:before="120"/>
        <w:ind w:right="720" w:firstLine="480"/>
        <w:jc w:val="right"/>
      </w:pPr>
    </w:p>
    <w:p w14:paraId="69F598F9">
      <w:pPr>
        <w:spacing w:before="120"/>
        <w:ind w:right="720" w:firstLine="480"/>
        <w:jc w:val="right"/>
      </w:pPr>
    </w:p>
    <w:p w14:paraId="18254035">
      <w:pPr>
        <w:spacing w:before="120"/>
        <w:ind w:right="720" w:firstLine="480"/>
        <w:jc w:val="right"/>
      </w:pPr>
    </w:p>
    <w:p w14:paraId="24470725">
      <w:pPr>
        <w:spacing w:before="120"/>
        <w:ind w:right="720" w:firstLine="480"/>
        <w:jc w:val="right"/>
      </w:pPr>
    </w:p>
    <w:p w14:paraId="52367835">
      <w:pPr>
        <w:spacing w:before="120"/>
        <w:ind w:right="720" w:firstLine="480"/>
        <w:jc w:val="right"/>
      </w:pPr>
    </w:p>
    <w:p w14:paraId="2111C476">
      <w:pPr>
        <w:spacing w:before="120"/>
        <w:ind w:right="720" w:firstLine="480"/>
        <w:jc w:val="right"/>
      </w:pPr>
    </w:p>
    <w:p w14:paraId="00DF7153">
      <w:pPr>
        <w:widowControl/>
        <w:spacing w:before="120"/>
        <w:ind w:firstLine="480"/>
        <w:jc w:val="right"/>
      </w:pPr>
      <w:r>
        <w:rPr>
          <w:rFonts w:hint="eastAsia"/>
        </w:rPr>
        <w:t>广东天亿马信息产业股份有限公司</w:t>
      </w:r>
    </w:p>
    <w:p w14:paraId="6D682477">
      <w:pPr>
        <w:widowControl/>
        <w:spacing w:before="120"/>
        <w:ind w:firstLine="480"/>
        <w:jc w:val="right"/>
      </w:pPr>
      <w:r>
        <w:rPr>
          <w:rFonts w:hint="eastAsia"/>
        </w:rPr>
        <w:t>2025年6月23日</w:t>
      </w:r>
    </w:p>
    <w:p w14:paraId="1886CE90">
      <w:pPr>
        <w:pStyle w:val="952"/>
      </w:pPr>
    </w:p>
    <w:sectPr>
      <w:pgSz w:w="11906" w:h="16838"/>
      <w:pgMar w:top="1440" w:right="1797" w:bottom="1440" w:left="1797" w:header="851" w:footer="992" w:gutter="0"/>
      <w:cols w:space="425"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Garamond">
    <w:panose1 w:val="02020404030301010803"/>
    <w:charset w:val="00"/>
    <w:family w:val="roman"/>
    <w:pitch w:val="default"/>
    <w:sig w:usb0="00000287" w:usb1="00000000" w:usb2="00000000" w:usb3="00000000" w:csb0="0000009F" w:csb1="DFD70000"/>
  </w:font>
  <w:font w:name="昆仑楷体">
    <w:altName w:val="宋体"/>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MS Sans Serif">
    <w:altName w:val="Segoe Print"/>
    <w:panose1 w:val="00000000000000000000"/>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文鼎小标宋简">
    <w:altName w:val="微软雅黑"/>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UBSHeadline">
    <w:altName w:val="Segoe Print"/>
    <w:panose1 w:val="00000000000000000000"/>
    <w:charset w:val="00"/>
    <w:family w:val="roman"/>
    <w:pitch w:val="default"/>
    <w:sig w:usb0="00000000" w:usb1="00000000" w:usb2="00000000" w:usb3="00000000" w:csb0="00000193" w:csb1="00000000"/>
  </w:font>
  <w:font w:name="华文楷体">
    <w:panose1 w:val="02010600040101010101"/>
    <w:charset w:val="86"/>
    <w:family w:val="auto"/>
    <w:pitch w:val="default"/>
    <w:sig w:usb0="00000287" w:usb1="080F0000" w:usb2="00000000" w:usb3="00000000" w:csb0="0004009F" w:csb1="DFD70000"/>
  </w:font>
  <w:font w:name="Angsana New">
    <w:altName w:val="Microsoft Sans Serif"/>
    <w:panose1 w:val="02020603050405020304"/>
    <w:charset w:val="DE"/>
    <w:family w:val="roman"/>
    <w:pitch w:val="default"/>
    <w:sig w:usb0="00000000" w:usb1="00000000" w:usb2="00000000" w:usb3="00000000" w:csb0="00010001" w:csb1="00000000"/>
  </w:font>
  <w:font w:name="Microsoft Sans Serif">
    <w:panose1 w:val="020B0604020202020204"/>
    <w:charset w:val="00"/>
    <w:family w:val="auto"/>
    <w:pitch w:val="default"/>
    <w:sig w:usb0="E5002EFF" w:usb1="C000605B" w:usb2="00000029" w:usb3="00000000" w:csb0="200101FF" w:csb1="20280000"/>
  </w:font>
  <w:font w:name="ˎ̥">
    <w:altName w:val="宋体"/>
    <w:panose1 w:val="00000000000000000000"/>
    <w:charset w:val="86"/>
    <w:family w:val="auto"/>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2000019F" w:csb1="4F010000"/>
  </w:font>
  <w:font w:name="方正小标宋简体">
    <w:altName w:val="黑体"/>
    <w:panose1 w:val="03000509000000000000"/>
    <w:charset w:val="86"/>
    <w:family w:val="script"/>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汉鼎简中黑">
    <w:altName w:val="黑体"/>
    <w:panose1 w:val="00000000000000000000"/>
    <w:charset w:val="86"/>
    <w:family w:val="modern"/>
    <w:pitch w:val="default"/>
    <w:sig w:usb0="00000000" w:usb1="00000000" w:usb2="00000010" w:usb3="00000000" w:csb0="00040000" w:csb1="00000000"/>
  </w:font>
  <w:font w:name="??">
    <w:altName w:val="Segoe Print"/>
    <w:panose1 w:val="00000000000000000000"/>
    <w:charset w:val="00"/>
    <w:family w:val="roman"/>
    <w:pitch w:val="default"/>
    <w:sig w:usb0="00000000" w:usb1="00000000" w:usb2="00000000" w:usb3="00000000" w:csb0="00000001" w:csb1="00000000"/>
  </w:font>
  <w:font w:name="Tms Rmn">
    <w:altName w:val="Segoe Print"/>
    <w:panose1 w:val="02020603040505020304"/>
    <w:charset w:val="00"/>
    <w:family w:val="roman"/>
    <w:pitch w:val="default"/>
    <w:sig w:usb0="00000000" w:usb1="00000000" w:usb2="00000000" w:usb3="00000000" w:csb0="00000001" w:csb1="00000000"/>
  </w:font>
  <w:font w:name="方正书宋简体">
    <w:altName w:val="宋体"/>
    <w:panose1 w:val="00000000000000000000"/>
    <w:charset w:val="86"/>
    <w:family w:val="script"/>
    <w:pitch w:val="default"/>
    <w:sig w:usb0="00000000" w:usb1="00000000" w:usb2="00000010" w:usb3="00000000" w:csb0="00040000"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隶书">
    <w:panose1 w:val="0201050906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 w:name="oúì.">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FZFSJW--GB1-0">
    <w:altName w:val="宋体"/>
    <w:panose1 w:val="00000000000000000000"/>
    <w:charset w:val="86"/>
    <w:family w:val="auto"/>
    <w:pitch w:val="default"/>
    <w:sig w:usb0="00000000" w:usb1="00000000" w:usb2="00000000" w:usb3="00000000" w:csb0="00040000" w:csb1="00000000"/>
  </w:font>
  <w:font w:name="TimesNewRomanPSMT">
    <w:altName w:val="Times New Roman"/>
    <w:panose1 w:val="00000000000000000000"/>
    <w:charset w:val="00"/>
    <w:family w:val="roman"/>
    <w:pitch w:val="default"/>
    <w:sig w:usb0="00000000" w:usb1="00000000" w:usb2="00000001" w:usb3="00000000" w:csb0="400001BF" w:csb1="DFF70000"/>
  </w:font>
  <w:font w:name="TimesNewRomanPS-BoldMT">
    <w:altName w:val="PMingLiU-ExtB"/>
    <w:panose1 w:val="00000000000000000000"/>
    <w:charset w:val="00"/>
    <w:family w:val="roman"/>
    <w:pitch w:val="default"/>
    <w:sig w:usb0="00000000" w:usb1="00000000" w:usb2="00000001" w:usb3="00000000" w:csb0="400001BF" w:csb1="DFF70000"/>
  </w:font>
  <w:font w:name="PMingLiU-ExtB">
    <w:panose1 w:val="02020500000000000000"/>
    <w:charset w:val="88"/>
    <w:family w:val="auto"/>
    <w:pitch w:val="default"/>
    <w:sig w:usb0="8000002F" w:usb1="02000008" w:usb2="00000000" w:usb3="00000000" w:csb0="00100001" w:csb1="00000000"/>
  </w:font>
  <w:font w:name="等线 Light">
    <w:panose1 w:val="02010600030101010101"/>
    <w:charset w:val="86"/>
    <w:family w:val="auto"/>
    <w:pitch w:val="default"/>
    <w:sig w:usb0="A00002BF" w:usb1="38CF7CFA" w:usb2="00000016" w:usb3="00000000" w:csb0="0004000F" w:csb1="00000000"/>
  </w:font>
  <w:font w:name="Times New Roman Regular">
    <w:altName w:val="Times New Roman"/>
    <w:panose1 w:val="00000000000000000000"/>
    <w:charset w:val="00"/>
    <w:family w:val="auto"/>
    <w:pitch w:val="default"/>
    <w:sig w:usb0="00000000" w:usb1="00000000" w:usb2="00000001" w:usb3="00000000" w:csb0="400001BF" w:csb1="DFF70000"/>
  </w:font>
  <w:font w:name="Helvetica Neue">
    <w:altName w:val="Times New Roman"/>
    <w:panose1 w:val="00000000000000000000"/>
    <w:charset w:val="00"/>
    <w:family w:val="auto"/>
    <w:pitch w:val="default"/>
    <w:sig w:usb0="00000000" w:usb1="00000000" w:usb2="00000010" w:usb3="00000000" w:csb0="00000000" w:csb1="00000000"/>
  </w:font>
  <w:font w:name="sans-serif">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4004652"/>
    </w:sdtPr>
    <w:sdtEndPr>
      <w:rPr>
        <w:rFonts w:ascii="Times New Roman" w:hAnsi="Times New Roman"/>
        <w:sz w:val="21"/>
        <w:szCs w:val="21"/>
      </w:rPr>
    </w:sdtEndPr>
    <w:sdtContent>
      <w:p w14:paraId="0D294753">
        <w:pPr>
          <w:pStyle w:val="48"/>
          <w:spacing w:before="120" w:after="120"/>
          <w:ind w:firstLine="360"/>
          <w:jc w:val="center"/>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PAGE   \* MERGEFORMAT</w:instrText>
        </w:r>
        <w:r>
          <w:rPr>
            <w:rFonts w:ascii="Times New Roman" w:hAnsi="Times New Roman"/>
            <w:sz w:val="21"/>
            <w:szCs w:val="21"/>
          </w:rPr>
          <w:fldChar w:fldCharType="separate"/>
        </w:r>
        <w:r>
          <w:rPr>
            <w:rFonts w:ascii="Times New Roman" w:hAnsi="Times New Roman"/>
            <w:sz w:val="21"/>
            <w:szCs w:val="21"/>
          </w:rPr>
          <w:t>2</w:t>
        </w:r>
        <w:r>
          <w:rPr>
            <w:rFonts w:ascii="Times New Roman" w:hAnsi="Times New Roman"/>
            <w:sz w:val="21"/>
            <w:szCs w:val="21"/>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BDA56">
    <w:pPr>
      <w:pStyle w:val="48"/>
      <w:spacing w:before="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CDB655">
    <w:pPr>
      <w:pStyle w:val="48"/>
      <w:spacing w:before="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5445BD">
    <w:pPr>
      <w:pStyle w:val="48"/>
      <w:spacing w:before="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B05EB">
    <w:pPr>
      <w:pStyle w:val="48"/>
      <w:spacing w:before="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9AFF5">
    <w:pPr>
      <w:pStyle w:val="50"/>
      <w:spacing w:before="0" w:beforeLines="0" w:line="240" w:lineRule="auto"/>
      <w:ind w:firstLine="0" w:firstLineChars="0"/>
    </w:pPr>
    <w:r>
      <w:rPr>
        <w:rFonts w:hint="eastAsia"/>
      </w:rPr>
      <w:t>广东天亿马信息产业股份有限公司发行股份及支付现金购买资产并募集配套资金</w:t>
    </w:r>
    <w:r>
      <w:rPr>
        <w:rFonts w:hint="eastAsia"/>
        <w:lang w:val="en-US"/>
      </w:rPr>
      <w:t>暨关联交易</w:t>
    </w:r>
    <w:r>
      <w:rPr>
        <w:rFonts w:hint="eastAsia"/>
      </w:rPr>
      <w:t>预案</w:t>
    </w:r>
  </w:p>
  <w:p w14:paraId="2E63F55B">
    <w:pPr>
      <w:pStyle w:val="50"/>
      <w:pBdr>
        <w:bottom w:val="none" w:color="auto" w:sz="0" w:space="0"/>
      </w:pBdr>
      <w:spacing w:before="0" w:beforeLines="0" w:line="240" w:lineRule="auto"/>
      <w:ind w:firstLine="0" w:firstLineChars="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18903">
    <w:pPr>
      <w:pStyle w:val="50"/>
      <w:spacing w:before="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79C27">
    <w:pPr>
      <w:pStyle w:val="50"/>
      <w:pBdr>
        <w:bottom w:val="none" w:color="auto" w:sz="0" w:space="0"/>
      </w:pBdr>
      <w:spacing w:beforeLines="0" w:line="240" w:lineRule="auto"/>
      <w:ind w:firstLine="0" w:firstLineChars="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419DB4">
    <w:pPr>
      <w:spacing w:before="120"/>
      <w:ind w:firstLine="48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93FFA">
    <w:pPr>
      <w:pStyle w:val="50"/>
      <w:spacing w:before="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9DFD8F"/>
    <w:multiLevelType w:val="singleLevel"/>
    <w:tmpl w:val="B49DFD8F"/>
    <w:lvl w:ilvl="0" w:tentative="0">
      <w:start w:val="1"/>
      <w:numFmt w:val="chineseCounting"/>
      <w:suff w:val="nothing"/>
      <w:lvlText w:val="%1、"/>
      <w:lvlJc w:val="left"/>
      <w:rPr>
        <w:rFonts w:hint="eastAsia"/>
      </w:rPr>
    </w:lvl>
  </w:abstractNum>
  <w:abstractNum w:abstractNumId="1">
    <w:nsid w:val="B64218FF"/>
    <w:multiLevelType w:val="singleLevel"/>
    <w:tmpl w:val="B64218FF"/>
    <w:lvl w:ilvl="0" w:tentative="0">
      <w:start w:val="1"/>
      <w:numFmt w:val="decimal"/>
      <w:suff w:val="nothing"/>
      <w:lvlText w:val="%1、"/>
      <w:lvlJc w:val="left"/>
    </w:lvl>
  </w:abstractNum>
  <w:abstractNum w:abstractNumId="2">
    <w:nsid w:val="0000000A"/>
    <w:multiLevelType w:val="multilevel"/>
    <w:tmpl w:val="0000000A"/>
    <w:lvl w:ilvl="0" w:tentative="0">
      <w:start w:val="1"/>
      <w:numFmt w:val="decimal"/>
      <w:pStyle w:val="142"/>
      <w:lvlText w:val="%1."/>
      <w:lvlJc w:val="left"/>
      <w:pPr>
        <w:tabs>
          <w:tab w:val="left" w:pos="720"/>
        </w:tabs>
        <w:ind w:left="720" w:hanging="720"/>
      </w:pPr>
      <w:rPr>
        <w:rFonts w:cs="Times New Roman"/>
      </w:rPr>
    </w:lvl>
    <w:lvl w:ilvl="1" w:tentative="0">
      <w:start w:val="1"/>
      <w:numFmt w:val="decimal"/>
      <w:lvlText w:val="%1.%2"/>
      <w:lvlJc w:val="left"/>
      <w:pPr>
        <w:tabs>
          <w:tab w:val="left" w:pos="720"/>
        </w:tabs>
        <w:ind w:left="720" w:hanging="720"/>
      </w:pPr>
      <w:rPr>
        <w:rFonts w:cs="Times New Roman"/>
      </w:rPr>
    </w:lvl>
    <w:lvl w:ilvl="2" w:tentative="0">
      <w:start w:val="1"/>
      <w:numFmt w:val="decimal"/>
      <w:lvlText w:val="%1.%2.%3"/>
      <w:lvlJc w:val="left"/>
      <w:pPr>
        <w:tabs>
          <w:tab w:val="left" w:pos="720"/>
        </w:tabs>
        <w:ind w:left="720" w:hanging="720"/>
      </w:pPr>
      <w:rPr>
        <w:rFonts w:cs="Times New Roman"/>
      </w:rPr>
    </w:lvl>
    <w:lvl w:ilvl="3" w:tentative="0">
      <w:start w:val="1"/>
      <w:numFmt w:val="decimal"/>
      <w:lvlText w:val="%1.%2.%3.%4"/>
      <w:lvlJc w:val="left"/>
      <w:pPr>
        <w:tabs>
          <w:tab w:val="left" w:pos="864"/>
        </w:tabs>
        <w:ind w:left="864" w:hanging="864"/>
      </w:pPr>
      <w:rPr>
        <w:rFonts w:cs="Times New Roman"/>
      </w:rPr>
    </w:lvl>
    <w:lvl w:ilvl="4" w:tentative="0">
      <w:start w:val="1"/>
      <w:numFmt w:val="decimal"/>
      <w:lvlText w:val="%1.%2.%3.%4.%5"/>
      <w:lvlJc w:val="left"/>
      <w:pPr>
        <w:tabs>
          <w:tab w:val="left" w:pos="1008"/>
        </w:tabs>
        <w:ind w:left="1008" w:hanging="1008"/>
      </w:pPr>
      <w:rPr>
        <w:rFonts w:cs="Times New Roman"/>
      </w:rPr>
    </w:lvl>
    <w:lvl w:ilvl="5" w:tentative="0">
      <w:start w:val="1"/>
      <w:numFmt w:val="decimal"/>
      <w:lvlText w:val="%1.%2.%3.%4.%5.%6"/>
      <w:lvlJc w:val="left"/>
      <w:pPr>
        <w:tabs>
          <w:tab w:val="left" w:pos="1152"/>
        </w:tabs>
        <w:ind w:left="1152" w:hanging="1152"/>
      </w:pPr>
      <w:rPr>
        <w:rFonts w:cs="Times New Roman"/>
      </w:rPr>
    </w:lvl>
    <w:lvl w:ilvl="6" w:tentative="0">
      <w:start w:val="1"/>
      <w:numFmt w:val="decimal"/>
      <w:lvlText w:val="%1.%2.%3.%4.%5.%6.%7"/>
      <w:lvlJc w:val="left"/>
      <w:pPr>
        <w:tabs>
          <w:tab w:val="left" w:pos="1296"/>
        </w:tabs>
        <w:ind w:left="1296" w:hanging="1296"/>
      </w:pPr>
      <w:rPr>
        <w:rFonts w:cs="Times New Roman"/>
      </w:rPr>
    </w:lvl>
    <w:lvl w:ilvl="7" w:tentative="0">
      <w:start w:val="1"/>
      <w:numFmt w:val="decimal"/>
      <w:lvlText w:val="%1.%2.%3.%4.%5.%6.%7.%8"/>
      <w:lvlJc w:val="left"/>
      <w:pPr>
        <w:tabs>
          <w:tab w:val="left" w:pos="1440"/>
        </w:tabs>
        <w:ind w:left="1440" w:hanging="1440"/>
      </w:pPr>
      <w:rPr>
        <w:rFonts w:cs="Times New Roman"/>
      </w:rPr>
    </w:lvl>
    <w:lvl w:ilvl="8" w:tentative="0">
      <w:start w:val="1"/>
      <w:numFmt w:val="decimal"/>
      <w:lvlText w:val="%1.%2.%3.%4.%5.%6.%7.%8.%9"/>
      <w:lvlJc w:val="left"/>
      <w:pPr>
        <w:tabs>
          <w:tab w:val="left" w:pos="1584"/>
        </w:tabs>
        <w:ind w:left="1584" w:hanging="1584"/>
      </w:pPr>
      <w:rPr>
        <w:rFonts w:cs="Times New Roman"/>
      </w:rPr>
    </w:lvl>
  </w:abstractNum>
  <w:abstractNum w:abstractNumId="3">
    <w:nsid w:val="4A862F56"/>
    <w:multiLevelType w:val="multilevel"/>
    <w:tmpl w:val="4A862F56"/>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080"/>
        </w:tabs>
        <w:ind w:left="1080" w:hanging="360"/>
      </w:pPr>
      <w:rPr>
        <w:rFonts w:hint="default" w:ascii="Wingdings" w:hAnsi="Wingdings"/>
      </w:rPr>
    </w:lvl>
    <w:lvl w:ilvl="2" w:tentative="0">
      <w:start w:val="1"/>
      <w:numFmt w:val="bullet"/>
      <w:lvlText w:val=""/>
      <w:lvlJc w:val="left"/>
      <w:pPr>
        <w:tabs>
          <w:tab w:val="left" w:pos="1440"/>
        </w:tabs>
        <w:ind w:left="1440" w:hanging="360"/>
      </w:pPr>
      <w:rPr>
        <w:rFonts w:hint="default" w:ascii="Wingdings" w:hAnsi="Wingdings"/>
      </w:rPr>
    </w:lvl>
    <w:lvl w:ilvl="3" w:tentative="0">
      <w:start w:val="1"/>
      <w:numFmt w:val="bullet"/>
      <w:lvlText w:val=""/>
      <w:lvlJc w:val="left"/>
      <w:pPr>
        <w:tabs>
          <w:tab w:val="left" w:pos="1800"/>
        </w:tabs>
        <w:ind w:left="1800" w:hanging="360"/>
      </w:pPr>
      <w:rPr>
        <w:rFonts w:hint="default" w:ascii="Wingdings" w:hAnsi="Wingdings"/>
      </w:rPr>
    </w:lvl>
    <w:lvl w:ilvl="4" w:tentative="0">
      <w:start w:val="1"/>
      <w:numFmt w:val="bullet"/>
      <w:lvlText w:val=""/>
      <w:lvlJc w:val="left"/>
      <w:pPr>
        <w:tabs>
          <w:tab w:val="left" w:pos="2160"/>
        </w:tabs>
        <w:ind w:left="2160" w:hanging="360"/>
      </w:pPr>
      <w:rPr>
        <w:rFonts w:hint="default" w:ascii="Wingdings" w:hAnsi="Wingdings"/>
      </w:rPr>
    </w:lvl>
    <w:lvl w:ilvl="5" w:tentative="0">
      <w:start w:val="1"/>
      <w:numFmt w:val="bullet"/>
      <w:pStyle w:val="653"/>
      <w:lvlText w:val=""/>
      <w:lvlJc w:val="left"/>
      <w:pPr>
        <w:tabs>
          <w:tab w:val="left" w:pos="2520"/>
        </w:tabs>
        <w:ind w:left="2520" w:hanging="360"/>
      </w:pPr>
      <w:rPr>
        <w:rFonts w:hint="default" w:ascii="Wingdings" w:hAnsi="Wingdings"/>
      </w:rPr>
    </w:lvl>
    <w:lvl w:ilvl="6" w:tentative="0">
      <w:start w:val="1"/>
      <w:numFmt w:val="bullet"/>
      <w:pStyle w:val="654"/>
      <w:lvlText w:val=""/>
      <w:lvlJc w:val="left"/>
      <w:pPr>
        <w:tabs>
          <w:tab w:val="left" w:pos="2880"/>
        </w:tabs>
        <w:ind w:left="2880" w:hanging="360"/>
      </w:pPr>
      <w:rPr>
        <w:rFonts w:hint="default" w:ascii="Wingdings" w:hAnsi="Wingdings"/>
      </w:rPr>
    </w:lvl>
    <w:lvl w:ilvl="7" w:tentative="0">
      <w:start w:val="1"/>
      <w:numFmt w:val="bullet"/>
      <w:pStyle w:val="655"/>
      <w:lvlText w:val=""/>
      <w:lvlJc w:val="left"/>
      <w:pPr>
        <w:tabs>
          <w:tab w:val="left" w:pos="3240"/>
        </w:tabs>
        <w:ind w:left="3240" w:hanging="360"/>
      </w:pPr>
      <w:rPr>
        <w:rFonts w:hint="default" w:ascii="Wingdings" w:hAnsi="Wingdings"/>
      </w:rPr>
    </w:lvl>
    <w:lvl w:ilvl="8" w:tentative="0">
      <w:start w:val="1"/>
      <w:numFmt w:val="bullet"/>
      <w:pStyle w:val="656"/>
      <w:lvlText w:val=""/>
      <w:lvlJc w:val="left"/>
      <w:pPr>
        <w:tabs>
          <w:tab w:val="left" w:pos="3600"/>
        </w:tabs>
        <w:ind w:left="3600" w:hanging="360"/>
      </w:pPr>
      <w:rPr>
        <w:rFonts w:hint="default" w:ascii="Wingdings" w:hAnsi="Wingdings"/>
      </w:rPr>
    </w:lvl>
  </w:abstractNum>
  <w:abstractNum w:abstractNumId="4">
    <w:nsid w:val="4F257378"/>
    <w:multiLevelType w:val="multilevel"/>
    <w:tmpl w:val="4F257378"/>
    <w:lvl w:ilvl="0" w:tentative="0">
      <w:start w:val="1"/>
      <w:numFmt w:val="decimal"/>
      <w:pStyle w:val="999"/>
      <w:lvlText w:val="表%1："/>
      <w:lvlJc w:val="left"/>
      <w:pPr>
        <w:tabs>
          <w:tab w:val="left" w:pos="72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565546F2"/>
    <w:multiLevelType w:val="multilevel"/>
    <w:tmpl w:val="565546F2"/>
    <w:lvl w:ilvl="0" w:tentative="0">
      <w:start w:val="1"/>
      <w:numFmt w:val="decimal"/>
      <w:pStyle w:val="1904"/>
      <w:lvlText w:val="%1."/>
      <w:lvlJc w:val="left"/>
      <w:pPr>
        <w:tabs>
          <w:tab w:val="left" w:pos="1220"/>
        </w:tabs>
        <w:ind w:left="1220" w:hanging="360"/>
      </w:pPr>
      <w:rPr>
        <w:rFonts w:hint="default"/>
      </w:rPr>
    </w:lvl>
    <w:lvl w:ilvl="1" w:tentative="0">
      <w:start w:val="1"/>
      <w:numFmt w:val="decimal"/>
      <w:lvlText w:val="（%2）"/>
      <w:lvlJc w:val="left"/>
      <w:pPr>
        <w:tabs>
          <w:tab w:val="left" w:pos="1287"/>
        </w:tabs>
        <w:ind w:left="987" w:hanging="420"/>
      </w:pPr>
      <w:rPr>
        <w:rFonts w:hint="eastAsia" w:eastAsia="宋体"/>
      </w:rPr>
    </w:lvl>
    <w:lvl w:ilvl="2" w:tentative="0">
      <w:start w:val="1"/>
      <w:numFmt w:val="decimal"/>
      <w:lvlText w:val="（%3）"/>
      <w:lvlJc w:val="left"/>
      <w:pPr>
        <w:tabs>
          <w:tab w:val="left" w:pos="1980"/>
        </w:tabs>
        <w:ind w:left="1980" w:hanging="720"/>
      </w:pPr>
      <w:rPr>
        <w:rFonts w:hint="default"/>
      </w:rPr>
    </w:lvl>
    <w:lvl w:ilvl="3" w:tentative="0">
      <w:start w:val="1"/>
      <w:numFmt w:val="decimal"/>
      <w:lvlText w:val="%4）"/>
      <w:lvlJc w:val="left"/>
      <w:pPr>
        <w:tabs>
          <w:tab w:val="left" w:pos="2040"/>
        </w:tabs>
        <w:ind w:left="2040" w:hanging="360"/>
      </w:pPr>
      <w:rPr>
        <w:rFonts w:hint="default"/>
      </w:r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6">
    <w:nsid w:val="793F81A9"/>
    <w:multiLevelType w:val="singleLevel"/>
    <w:tmpl w:val="793F81A9"/>
    <w:lvl w:ilvl="0" w:tentative="0">
      <w:start w:val="3"/>
      <w:numFmt w:val="chineseCounting"/>
      <w:suff w:val="nothing"/>
      <w:lvlText w:val="%1、"/>
      <w:lvlJc w:val="left"/>
      <w:rPr>
        <w:rFonts w:hint="eastAsia"/>
      </w:rPr>
    </w:lvl>
  </w:abstractNum>
  <w:num w:numId="1">
    <w:abstractNumId w:val="2"/>
  </w:num>
  <w:num w:numId="2">
    <w:abstractNumId w:val="3"/>
  </w:num>
  <w:num w:numId="3">
    <w:abstractNumId w:val="4"/>
  </w:num>
  <w:num w:numId="4">
    <w:abstractNumId w:val="5"/>
  </w:num>
  <w:num w:numId="5">
    <w:abstractNumId w:val="6"/>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hideSpellingErrors/>
  <w:hideGrammaticalErrors/>
  <w:documentProtection w:edit="readOnly" w:enforcement="0"/>
  <w:defaultTabStop w:val="420"/>
  <w:autoHyphenation/>
  <w:drawingGridHorizontalSpacing w:val="120"/>
  <w:drawingGridVerticalSpacing w:val="163"/>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I4MTIwYmRlYThjOWI2MTk1NDZkYzg2M2QxY2E5OTMifQ=="/>
  </w:docVars>
  <w:rsids>
    <w:rsidRoot w:val="009716D1"/>
    <w:rsid w:val="0000048A"/>
    <w:rsid w:val="00001300"/>
    <w:rsid w:val="00001B1C"/>
    <w:rsid w:val="000023E2"/>
    <w:rsid w:val="00002599"/>
    <w:rsid w:val="000027C5"/>
    <w:rsid w:val="0000294A"/>
    <w:rsid w:val="00002E15"/>
    <w:rsid w:val="00003204"/>
    <w:rsid w:val="0000328B"/>
    <w:rsid w:val="00003786"/>
    <w:rsid w:val="00003CEF"/>
    <w:rsid w:val="000040D8"/>
    <w:rsid w:val="0000438E"/>
    <w:rsid w:val="00004577"/>
    <w:rsid w:val="00004B78"/>
    <w:rsid w:val="00004D4B"/>
    <w:rsid w:val="00004FC1"/>
    <w:rsid w:val="00004FCF"/>
    <w:rsid w:val="000050E8"/>
    <w:rsid w:val="0000563E"/>
    <w:rsid w:val="00005BDC"/>
    <w:rsid w:val="00005CD2"/>
    <w:rsid w:val="00007308"/>
    <w:rsid w:val="00007661"/>
    <w:rsid w:val="00007A3F"/>
    <w:rsid w:val="00007DEA"/>
    <w:rsid w:val="00007EC6"/>
    <w:rsid w:val="00007F65"/>
    <w:rsid w:val="0001152C"/>
    <w:rsid w:val="00011677"/>
    <w:rsid w:val="000121BB"/>
    <w:rsid w:val="000121CC"/>
    <w:rsid w:val="000126EA"/>
    <w:rsid w:val="00012C5D"/>
    <w:rsid w:val="00012DDC"/>
    <w:rsid w:val="0001395B"/>
    <w:rsid w:val="00013987"/>
    <w:rsid w:val="00013D2E"/>
    <w:rsid w:val="000142C0"/>
    <w:rsid w:val="00014485"/>
    <w:rsid w:val="0001463A"/>
    <w:rsid w:val="0001479A"/>
    <w:rsid w:val="000151DB"/>
    <w:rsid w:val="0001575C"/>
    <w:rsid w:val="000158C4"/>
    <w:rsid w:val="00015918"/>
    <w:rsid w:val="00015A9B"/>
    <w:rsid w:val="00015B87"/>
    <w:rsid w:val="00015F6B"/>
    <w:rsid w:val="00016380"/>
    <w:rsid w:val="00016A6E"/>
    <w:rsid w:val="00016B81"/>
    <w:rsid w:val="00016D60"/>
    <w:rsid w:val="00016E68"/>
    <w:rsid w:val="0001764A"/>
    <w:rsid w:val="0002063C"/>
    <w:rsid w:val="00020A15"/>
    <w:rsid w:val="00020F0A"/>
    <w:rsid w:val="00021599"/>
    <w:rsid w:val="00021817"/>
    <w:rsid w:val="00022947"/>
    <w:rsid w:val="000232C8"/>
    <w:rsid w:val="000236D4"/>
    <w:rsid w:val="000239C7"/>
    <w:rsid w:val="00023BED"/>
    <w:rsid w:val="00023DF1"/>
    <w:rsid w:val="00023E91"/>
    <w:rsid w:val="00023FAB"/>
    <w:rsid w:val="000246A8"/>
    <w:rsid w:val="000246CC"/>
    <w:rsid w:val="000246E6"/>
    <w:rsid w:val="00024B51"/>
    <w:rsid w:val="000255A8"/>
    <w:rsid w:val="0002561E"/>
    <w:rsid w:val="00025C45"/>
    <w:rsid w:val="00026527"/>
    <w:rsid w:val="00026F4E"/>
    <w:rsid w:val="00027357"/>
    <w:rsid w:val="000273D2"/>
    <w:rsid w:val="0002769C"/>
    <w:rsid w:val="00027778"/>
    <w:rsid w:val="00027A19"/>
    <w:rsid w:val="00030A6A"/>
    <w:rsid w:val="00030D85"/>
    <w:rsid w:val="00030E4C"/>
    <w:rsid w:val="00031844"/>
    <w:rsid w:val="00031FF4"/>
    <w:rsid w:val="000332C4"/>
    <w:rsid w:val="00033951"/>
    <w:rsid w:val="0003605F"/>
    <w:rsid w:val="000361E1"/>
    <w:rsid w:val="00036C4A"/>
    <w:rsid w:val="00040B03"/>
    <w:rsid w:val="00041295"/>
    <w:rsid w:val="000412FF"/>
    <w:rsid w:val="000413E9"/>
    <w:rsid w:val="000414DA"/>
    <w:rsid w:val="000429C9"/>
    <w:rsid w:val="00042F06"/>
    <w:rsid w:val="00043207"/>
    <w:rsid w:val="0004359D"/>
    <w:rsid w:val="000435FE"/>
    <w:rsid w:val="000439AE"/>
    <w:rsid w:val="00043A66"/>
    <w:rsid w:val="00044211"/>
    <w:rsid w:val="0004492C"/>
    <w:rsid w:val="00044A02"/>
    <w:rsid w:val="00044A7C"/>
    <w:rsid w:val="000456D4"/>
    <w:rsid w:val="0004582B"/>
    <w:rsid w:val="0004600C"/>
    <w:rsid w:val="00046468"/>
    <w:rsid w:val="000464DF"/>
    <w:rsid w:val="000466A3"/>
    <w:rsid w:val="000467E0"/>
    <w:rsid w:val="00046F60"/>
    <w:rsid w:val="0004704B"/>
    <w:rsid w:val="000470D3"/>
    <w:rsid w:val="0004758A"/>
    <w:rsid w:val="00047B2C"/>
    <w:rsid w:val="00047E25"/>
    <w:rsid w:val="0005014F"/>
    <w:rsid w:val="0005027F"/>
    <w:rsid w:val="000507BA"/>
    <w:rsid w:val="0005104C"/>
    <w:rsid w:val="000516C5"/>
    <w:rsid w:val="00051CE7"/>
    <w:rsid w:val="0005271B"/>
    <w:rsid w:val="000527C2"/>
    <w:rsid w:val="00052B05"/>
    <w:rsid w:val="00052E40"/>
    <w:rsid w:val="00052F17"/>
    <w:rsid w:val="00053413"/>
    <w:rsid w:val="00054D9B"/>
    <w:rsid w:val="0005561B"/>
    <w:rsid w:val="000568AA"/>
    <w:rsid w:val="00056C17"/>
    <w:rsid w:val="00057052"/>
    <w:rsid w:val="00057302"/>
    <w:rsid w:val="00057951"/>
    <w:rsid w:val="00060410"/>
    <w:rsid w:val="0006128B"/>
    <w:rsid w:val="00061C21"/>
    <w:rsid w:val="00062132"/>
    <w:rsid w:val="00062355"/>
    <w:rsid w:val="00062450"/>
    <w:rsid w:val="00062CF4"/>
    <w:rsid w:val="00063493"/>
    <w:rsid w:val="00064078"/>
    <w:rsid w:val="0006533C"/>
    <w:rsid w:val="0006545F"/>
    <w:rsid w:val="00065A73"/>
    <w:rsid w:val="00065FEC"/>
    <w:rsid w:val="000660B3"/>
    <w:rsid w:val="00066608"/>
    <w:rsid w:val="000669A4"/>
    <w:rsid w:val="00066D77"/>
    <w:rsid w:val="00066F73"/>
    <w:rsid w:val="000675E1"/>
    <w:rsid w:val="000676BC"/>
    <w:rsid w:val="00067BBC"/>
    <w:rsid w:val="00067FC4"/>
    <w:rsid w:val="00070AFA"/>
    <w:rsid w:val="00070FE9"/>
    <w:rsid w:val="00071531"/>
    <w:rsid w:val="00071904"/>
    <w:rsid w:val="00071A28"/>
    <w:rsid w:val="00071FBF"/>
    <w:rsid w:val="00071FE2"/>
    <w:rsid w:val="00072B3B"/>
    <w:rsid w:val="00073196"/>
    <w:rsid w:val="000731BA"/>
    <w:rsid w:val="000732E8"/>
    <w:rsid w:val="0007336E"/>
    <w:rsid w:val="00073D4B"/>
    <w:rsid w:val="00073E3C"/>
    <w:rsid w:val="00073FEB"/>
    <w:rsid w:val="0007452E"/>
    <w:rsid w:val="0007459B"/>
    <w:rsid w:val="00074BB6"/>
    <w:rsid w:val="00074DC2"/>
    <w:rsid w:val="0007519B"/>
    <w:rsid w:val="0007523A"/>
    <w:rsid w:val="000760DA"/>
    <w:rsid w:val="00076368"/>
    <w:rsid w:val="000763F5"/>
    <w:rsid w:val="000768C8"/>
    <w:rsid w:val="000779F6"/>
    <w:rsid w:val="00077BD2"/>
    <w:rsid w:val="00077CDC"/>
    <w:rsid w:val="00077DE3"/>
    <w:rsid w:val="00080021"/>
    <w:rsid w:val="00080B90"/>
    <w:rsid w:val="0008101A"/>
    <w:rsid w:val="000813F7"/>
    <w:rsid w:val="00081507"/>
    <w:rsid w:val="0008160C"/>
    <w:rsid w:val="000816E6"/>
    <w:rsid w:val="000817A6"/>
    <w:rsid w:val="00081C44"/>
    <w:rsid w:val="00081D96"/>
    <w:rsid w:val="00081FF0"/>
    <w:rsid w:val="000820C0"/>
    <w:rsid w:val="00082298"/>
    <w:rsid w:val="00082306"/>
    <w:rsid w:val="00082922"/>
    <w:rsid w:val="00082B97"/>
    <w:rsid w:val="00082CD5"/>
    <w:rsid w:val="00082D2A"/>
    <w:rsid w:val="0008339F"/>
    <w:rsid w:val="00083C66"/>
    <w:rsid w:val="00083DBC"/>
    <w:rsid w:val="00083E75"/>
    <w:rsid w:val="0008446D"/>
    <w:rsid w:val="00084608"/>
    <w:rsid w:val="000857FF"/>
    <w:rsid w:val="00085E05"/>
    <w:rsid w:val="0008647F"/>
    <w:rsid w:val="00086516"/>
    <w:rsid w:val="0008665E"/>
    <w:rsid w:val="00086A07"/>
    <w:rsid w:val="00086B2E"/>
    <w:rsid w:val="00086FD8"/>
    <w:rsid w:val="00087346"/>
    <w:rsid w:val="00090656"/>
    <w:rsid w:val="0009099B"/>
    <w:rsid w:val="000913FE"/>
    <w:rsid w:val="000916D0"/>
    <w:rsid w:val="00091736"/>
    <w:rsid w:val="00091A04"/>
    <w:rsid w:val="00091BBD"/>
    <w:rsid w:val="00091E6D"/>
    <w:rsid w:val="00092393"/>
    <w:rsid w:val="000927D1"/>
    <w:rsid w:val="00092857"/>
    <w:rsid w:val="00092ABD"/>
    <w:rsid w:val="00092AC7"/>
    <w:rsid w:val="00093275"/>
    <w:rsid w:val="0009333C"/>
    <w:rsid w:val="00093402"/>
    <w:rsid w:val="00093B53"/>
    <w:rsid w:val="000948C3"/>
    <w:rsid w:val="00094930"/>
    <w:rsid w:val="00094A33"/>
    <w:rsid w:val="00094B6C"/>
    <w:rsid w:val="000953BC"/>
    <w:rsid w:val="00095728"/>
    <w:rsid w:val="000958C6"/>
    <w:rsid w:val="00095D93"/>
    <w:rsid w:val="000967F8"/>
    <w:rsid w:val="00096BFE"/>
    <w:rsid w:val="000972D5"/>
    <w:rsid w:val="000A0C42"/>
    <w:rsid w:val="000A2174"/>
    <w:rsid w:val="000A2706"/>
    <w:rsid w:val="000A2C36"/>
    <w:rsid w:val="000A32A2"/>
    <w:rsid w:val="000A34EB"/>
    <w:rsid w:val="000A367D"/>
    <w:rsid w:val="000A3903"/>
    <w:rsid w:val="000A44C0"/>
    <w:rsid w:val="000A4888"/>
    <w:rsid w:val="000A49CB"/>
    <w:rsid w:val="000A4A10"/>
    <w:rsid w:val="000A4C37"/>
    <w:rsid w:val="000A55D9"/>
    <w:rsid w:val="000A59C9"/>
    <w:rsid w:val="000A6B89"/>
    <w:rsid w:val="000A6DC0"/>
    <w:rsid w:val="000A78F8"/>
    <w:rsid w:val="000B0064"/>
    <w:rsid w:val="000B101D"/>
    <w:rsid w:val="000B104A"/>
    <w:rsid w:val="000B128B"/>
    <w:rsid w:val="000B214D"/>
    <w:rsid w:val="000B221A"/>
    <w:rsid w:val="000B22E1"/>
    <w:rsid w:val="000B2313"/>
    <w:rsid w:val="000B2EB5"/>
    <w:rsid w:val="000B3122"/>
    <w:rsid w:val="000B39F9"/>
    <w:rsid w:val="000B3A1D"/>
    <w:rsid w:val="000B3BB0"/>
    <w:rsid w:val="000B3E82"/>
    <w:rsid w:val="000B46BE"/>
    <w:rsid w:val="000B4CB8"/>
    <w:rsid w:val="000B4CCA"/>
    <w:rsid w:val="000B4FEF"/>
    <w:rsid w:val="000B52B0"/>
    <w:rsid w:val="000B59C5"/>
    <w:rsid w:val="000B5BAC"/>
    <w:rsid w:val="000B5C81"/>
    <w:rsid w:val="000B5C9F"/>
    <w:rsid w:val="000B5ECC"/>
    <w:rsid w:val="000B630D"/>
    <w:rsid w:val="000B693E"/>
    <w:rsid w:val="000B6CBF"/>
    <w:rsid w:val="000B6DC5"/>
    <w:rsid w:val="000B7602"/>
    <w:rsid w:val="000B7692"/>
    <w:rsid w:val="000C1318"/>
    <w:rsid w:val="000C1473"/>
    <w:rsid w:val="000C1985"/>
    <w:rsid w:val="000C20D3"/>
    <w:rsid w:val="000C2382"/>
    <w:rsid w:val="000C287F"/>
    <w:rsid w:val="000C28AD"/>
    <w:rsid w:val="000C2F67"/>
    <w:rsid w:val="000C2FE4"/>
    <w:rsid w:val="000C3D6F"/>
    <w:rsid w:val="000C3DC0"/>
    <w:rsid w:val="000C3F71"/>
    <w:rsid w:val="000C4667"/>
    <w:rsid w:val="000C4CAF"/>
    <w:rsid w:val="000C515A"/>
    <w:rsid w:val="000C5519"/>
    <w:rsid w:val="000C623B"/>
    <w:rsid w:val="000C6296"/>
    <w:rsid w:val="000C638F"/>
    <w:rsid w:val="000C69DA"/>
    <w:rsid w:val="000C6FA1"/>
    <w:rsid w:val="000C703C"/>
    <w:rsid w:val="000C72EA"/>
    <w:rsid w:val="000C7F4F"/>
    <w:rsid w:val="000D02F7"/>
    <w:rsid w:val="000D03BA"/>
    <w:rsid w:val="000D0815"/>
    <w:rsid w:val="000D0A41"/>
    <w:rsid w:val="000D0B00"/>
    <w:rsid w:val="000D1446"/>
    <w:rsid w:val="000D1534"/>
    <w:rsid w:val="000D1645"/>
    <w:rsid w:val="000D26F6"/>
    <w:rsid w:val="000D2E39"/>
    <w:rsid w:val="000D3494"/>
    <w:rsid w:val="000D3E43"/>
    <w:rsid w:val="000D464D"/>
    <w:rsid w:val="000D4C49"/>
    <w:rsid w:val="000D4D95"/>
    <w:rsid w:val="000D52EC"/>
    <w:rsid w:val="000D5E72"/>
    <w:rsid w:val="000D61B1"/>
    <w:rsid w:val="000D6E41"/>
    <w:rsid w:val="000D7148"/>
    <w:rsid w:val="000D74C7"/>
    <w:rsid w:val="000D74E8"/>
    <w:rsid w:val="000E00F3"/>
    <w:rsid w:val="000E065A"/>
    <w:rsid w:val="000E087B"/>
    <w:rsid w:val="000E09A2"/>
    <w:rsid w:val="000E0A0A"/>
    <w:rsid w:val="000E0DCF"/>
    <w:rsid w:val="000E0DD8"/>
    <w:rsid w:val="000E1595"/>
    <w:rsid w:val="000E174C"/>
    <w:rsid w:val="000E1CB2"/>
    <w:rsid w:val="000E1EDA"/>
    <w:rsid w:val="000E1F0E"/>
    <w:rsid w:val="000E2439"/>
    <w:rsid w:val="000E2B88"/>
    <w:rsid w:val="000E2C23"/>
    <w:rsid w:val="000E31D6"/>
    <w:rsid w:val="000E31FD"/>
    <w:rsid w:val="000E32E3"/>
    <w:rsid w:val="000E407D"/>
    <w:rsid w:val="000E4D0F"/>
    <w:rsid w:val="000E4DCA"/>
    <w:rsid w:val="000E4FD5"/>
    <w:rsid w:val="000E57FB"/>
    <w:rsid w:val="000E599D"/>
    <w:rsid w:val="000E61F8"/>
    <w:rsid w:val="000E64FF"/>
    <w:rsid w:val="000E69BD"/>
    <w:rsid w:val="000E6B6C"/>
    <w:rsid w:val="000E7095"/>
    <w:rsid w:val="000E716B"/>
    <w:rsid w:val="000F0121"/>
    <w:rsid w:val="000F0373"/>
    <w:rsid w:val="000F0874"/>
    <w:rsid w:val="000F0B42"/>
    <w:rsid w:val="000F11A0"/>
    <w:rsid w:val="000F173E"/>
    <w:rsid w:val="000F17EE"/>
    <w:rsid w:val="000F1812"/>
    <w:rsid w:val="000F1C1A"/>
    <w:rsid w:val="000F1F4B"/>
    <w:rsid w:val="000F2129"/>
    <w:rsid w:val="000F222B"/>
    <w:rsid w:val="000F245E"/>
    <w:rsid w:val="000F2A5F"/>
    <w:rsid w:val="000F2D28"/>
    <w:rsid w:val="000F30B7"/>
    <w:rsid w:val="000F36CE"/>
    <w:rsid w:val="000F4400"/>
    <w:rsid w:val="000F47A0"/>
    <w:rsid w:val="000F5041"/>
    <w:rsid w:val="000F5ABE"/>
    <w:rsid w:val="000F62E4"/>
    <w:rsid w:val="000F6BD9"/>
    <w:rsid w:val="000F6D2F"/>
    <w:rsid w:val="000F7606"/>
    <w:rsid w:val="000F7AAF"/>
    <w:rsid w:val="00100AC1"/>
    <w:rsid w:val="00100DE6"/>
    <w:rsid w:val="00100F3C"/>
    <w:rsid w:val="00100F4B"/>
    <w:rsid w:val="001010A2"/>
    <w:rsid w:val="0010133E"/>
    <w:rsid w:val="0010165B"/>
    <w:rsid w:val="00102444"/>
    <w:rsid w:val="00102492"/>
    <w:rsid w:val="0010260B"/>
    <w:rsid w:val="001029E7"/>
    <w:rsid w:val="00102AE0"/>
    <w:rsid w:val="00102D6E"/>
    <w:rsid w:val="00102E8E"/>
    <w:rsid w:val="001030AE"/>
    <w:rsid w:val="0010337F"/>
    <w:rsid w:val="00103852"/>
    <w:rsid w:val="00103A78"/>
    <w:rsid w:val="00103CDD"/>
    <w:rsid w:val="00103FC5"/>
    <w:rsid w:val="00104BED"/>
    <w:rsid w:val="00104E30"/>
    <w:rsid w:val="001056C8"/>
    <w:rsid w:val="001056F2"/>
    <w:rsid w:val="00106BED"/>
    <w:rsid w:val="001070AE"/>
    <w:rsid w:val="00110159"/>
    <w:rsid w:val="00110310"/>
    <w:rsid w:val="001103AD"/>
    <w:rsid w:val="00110B56"/>
    <w:rsid w:val="00110FE6"/>
    <w:rsid w:val="00111180"/>
    <w:rsid w:val="001111C2"/>
    <w:rsid w:val="00111228"/>
    <w:rsid w:val="001116BE"/>
    <w:rsid w:val="00111BE0"/>
    <w:rsid w:val="00111D18"/>
    <w:rsid w:val="00112BE0"/>
    <w:rsid w:val="001132DE"/>
    <w:rsid w:val="0011354A"/>
    <w:rsid w:val="00114B07"/>
    <w:rsid w:val="00114B80"/>
    <w:rsid w:val="0011588F"/>
    <w:rsid w:val="00116556"/>
    <w:rsid w:val="0011678F"/>
    <w:rsid w:val="00116DC4"/>
    <w:rsid w:val="00116E05"/>
    <w:rsid w:val="00117050"/>
    <w:rsid w:val="00117096"/>
    <w:rsid w:val="001178E6"/>
    <w:rsid w:val="00117DEF"/>
    <w:rsid w:val="0012004A"/>
    <w:rsid w:val="0012010F"/>
    <w:rsid w:val="00120184"/>
    <w:rsid w:val="001201C8"/>
    <w:rsid w:val="001203AA"/>
    <w:rsid w:val="001208E9"/>
    <w:rsid w:val="00120B51"/>
    <w:rsid w:val="00120F9E"/>
    <w:rsid w:val="001214A0"/>
    <w:rsid w:val="00121A3C"/>
    <w:rsid w:val="00122181"/>
    <w:rsid w:val="001221B2"/>
    <w:rsid w:val="00122477"/>
    <w:rsid w:val="00122702"/>
    <w:rsid w:val="00122E74"/>
    <w:rsid w:val="001231A1"/>
    <w:rsid w:val="00123614"/>
    <w:rsid w:val="0012478D"/>
    <w:rsid w:val="00124D86"/>
    <w:rsid w:val="001251C3"/>
    <w:rsid w:val="0012528C"/>
    <w:rsid w:val="00125A74"/>
    <w:rsid w:val="00125D16"/>
    <w:rsid w:val="00126071"/>
    <w:rsid w:val="00126519"/>
    <w:rsid w:val="00126ED9"/>
    <w:rsid w:val="001273E9"/>
    <w:rsid w:val="00127644"/>
    <w:rsid w:val="001277DC"/>
    <w:rsid w:val="0012783E"/>
    <w:rsid w:val="001279B7"/>
    <w:rsid w:val="00127B21"/>
    <w:rsid w:val="001301B6"/>
    <w:rsid w:val="0013024A"/>
    <w:rsid w:val="00130412"/>
    <w:rsid w:val="0013076B"/>
    <w:rsid w:val="00130A5C"/>
    <w:rsid w:val="00130AF0"/>
    <w:rsid w:val="00131253"/>
    <w:rsid w:val="00131CCB"/>
    <w:rsid w:val="00132AD0"/>
    <w:rsid w:val="00132D4D"/>
    <w:rsid w:val="00133218"/>
    <w:rsid w:val="001345A2"/>
    <w:rsid w:val="00134CC5"/>
    <w:rsid w:val="00134E35"/>
    <w:rsid w:val="0013506A"/>
    <w:rsid w:val="001350BC"/>
    <w:rsid w:val="001350E2"/>
    <w:rsid w:val="001352A2"/>
    <w:rsid w:val="00135336"/>
    <w:rsid w:val="0013563D"/>
    <w:rsid w:val="00135E4A"/>
    <w:rsid w:val="00136B8E"/>
    <w:rsid w:val="0013709C"/>
    <w:rsid w:val="0013772B"/>
    <w:rsid w:val="00140104"/>
    <w:rsid w:val="00140A37"/>
    <w:rsid w:val="00140CDF"/>
    <w:rsid w:val="00140D87"/>
    <w:rsid w:val="00140E2E"/>
    <w:rsid w:val="00140EA2"/>
    <w:rsid w:val="00140FDD"/>
    <w:rsid w:val="0014100F"/>
    <w:rsid w:val="00141166"/>
    <w:rsid w:val="0014235A"/>
    <w:rsid w:val="001428A6"/>
    <w:rsid w:val="00142FB8"/>
    <w:rsid w:val="00142FF4"/>
    <w:rsid w:val="00143488"/>
    <w:rsid w:val="00144F80"/>
    <w:rsid w:val="001456A0"/>
    <w:rsid w:val="0014591A"/>
    <w:rsid w:val="00145A7C"/>
    <w:rsid w:val="00145C75"/>
    <w:rsid w:val="00145DF3"/>
    <w:rsid w:val="00146148"/>
    <w:rsid w:val="001467DF"/>
    <w:rsid w:val="00146AC1"/>
    <w:rsid w:val="00146C3B"/>
    <w:rsid w:val="00146F34"/>
    <w:rsid w:val="00147082"/>
    <w:rsid w:val="00147119"/>
    <w:rsid w:val="00147407"/>
    <w:rsid w:val="001474E4"/>
    <w:rsid w:val="00147C0E"/>
    <w:rsid w:val="001500BB"/>
    <w:rsid w:val="001503B1"/>
    <w:rsid w:val="00150FB0"/>
    <w:rsid w:val="00151169"/>
    <w:rsid w:val="00151596"/>
    <w:rsid w:val="001518B4"/>
    <w:rsid w:val="00151FA6"/>
    <w:rsid w:val="00152337"/>
    <w:rsid w:val="00152532"/>
    <w:rsid w:val="00152641"/>
    <w:rsid w:val="00152D96"/>
    <w:rsid w:val="001540DA"/>
    <w:rsid w:val="001546D6"/>
    <w:rsid w:val="001551AF"/>
    <w:rsid w:val="00157711"/>
    <w:rsid w:val="00157D84"/>
    <w:rsid w:val="00157DAA"/>
    <w:rsid w:val="00161273"/>
    <w:rsid w:val="00161409"/>
    <w:rsid w:val="0016193B"/>
    <w:rsid w:val="001619D2"/>
    <w:rsid w:val="00161E2E"/>
    <w:rsid w:val="00161F5E"/>
    <w:rsid w:val="001625D4"/>
    <w:rsid w:val="0016261F"/>
    <w:rsid w:val="00162662"/>
    <w:rsid w:val="00162ECD"/>
    <w:rsid w:val="00163206"/>
    <w:rsid w:val="00163461"/>
    <w:rsid w:val="00163850"/>
    <w:rsid w:val="00163DBB"/>
    <w:rsid w:val="00163E90"/>
    <w:rsid w:val="00163F20"/>
    <w:rsid w:val="0016425D"/>
    <w:rsid w:val="0016478A"/>
    <w:rsid w:val="00165C5E"/>
    <w:rsid w:val="00166224"/>
    <w:rsid w:val="001663FE"/>
    <w:rsid w:val="00167479"/>
    <w:rsid w:val="00167C5D"/>
    <w:rsid w:val="00167EF2"/>
    <w:rsid w:val="00170188"/>
    <w:rsid w:val="001705C0"/>
    <w:rsid w:val="0017083D"/>
    <w:rsid w:val="00171183"/>
    <w:rsid w:val="001711A3"/>
    <w:rsid w:val="0017140D"/>
    <w:rsid w:val="00171750"/>
    <w:rsid w:val="0017183B"/>
    <w:rsid w:val="00171C1A"/>
    <w:rsid w:val="00172105"/>
    <w:rsid w:val="00172395"/>
    <w:rsid w:val="00173129"/>
    <w:rsid w:val="0017374B"/>
    <w:rsid w:val="00173759"/>
    <w:rsid w:val="00173875"/>
    <w:rsid w:val="00174B6C"/>
    <w:rsid w:val="00175014"/>
    <w:rsid w:val="0017537D"/>
    <w:rsid w:val="00175527"/>
    <w:rsid w:val="00175CC3"/>
    <w:rsid w:val="00176096"/>
    <w:rsid w:val="00176455"/>
    <w:rsid w:val="00176489"/>
    <w:rsid w:val="00176571"/>
    <w:rsid w:val="0017667F"/>
    <w:rsid w:val="001766BA"/>
    <w:rsid w:val="00176932"/>
    <w:rsid w:val="00176E6B"/>
    <w:rsid w:val="00176F98"/>
    <w:rsid w:val="00177983"/>
    <w:rsid w:val="00177D87"/>
    <w:rsid w:val="00177DE0"/>
    <w:rsid w:val="00180089"/>
    <w:rsid w:val="00180413"/>
    <w:rsid w:val="00180D35"/>
    <w:rsid w:val="00181D19"/>
    <w:rsid w:val="00181DDB"/>
    <w:rsid w:val="0018207D"/>
    <w:rsid w:val="001824E5"/>
    <w:rsid w:val="00182B41"/>
    <w:rsid w:val="001837B0"/>
    <w:rsid w:val="001837F0"/>
    <w:rsid w:val="001838A4"/>
    <w:rsid w:val="00183BB0"/>
    <w:rsid w:val="00184648"/>
    <w:rsid w:val="00184FA2"/>
    <w:rsid w:val="00185A03"/>
    <w:rsid w:val="00185A27"/>
    <w:rsid w:val="00185DC6"/>
    <w:rsid w:val="00185DE9"/>
    <w:rsid w:val="00186071"/>
    <w:rsid w:val="001864FC"/>
    <w:rsid w:val="001869D4"/>
    <w:rsid w:val="00186FD4"/>
    <w:rsid w:val="00187643"/>
    <w:rsid w:val="0018767E"/>
    <w:rsid w:val="00187CC0"/>
    <w:rsid w:val="00190243"/>
    <w:rsid w:val="001920CE"/>
    <w:rsid w:val="00192291"/>
    <w:rsid w:val="0019229A"/>
    <w:rsid w:val="00192B92"/>
    <w:rsid w:val="001947C9"/>
    <w:rsid w:val="00194A9B"/>
    <w:rsid w:val="00194F05"/>
    <w:rsid w:val="0019545D"/>
    <w:rsid w:val="0019583F"/>
    <w:rsid w:val="001958C8"/>
    <w:rsid w:val="001959E4"/>
    <w:rsid w:val="00196635"/>
    <w:rsid w:val="00196DA1"/>
    <w:rsid w:val="0019716C"/>
    <w:rsid w:val="001973BB"/>
    <w:rsid w:val="001A0C32"/>
    <w:rsid w:val="001A0EA1"/>
    <w:rsid w:val="001A1058"/>
    <w:rsid w:val="001A14CE"/>
    <w:rsid w:val="001A1AD4"/>
    <w:rsid w:val="001A203B"/>
    <w:rsid w:val="001A2751"/>
    <w:rsid w:val="001A2F66"/>
    <w:rsid w:val="001A3F8F"/>
    <w:rsid w:val="001A40F7"/>
    <w:rsid w:val="001A426E"/>
    <w:rsid w:val="001A43E7"/>
    <w:rsid w:val="001A45B7"/>
    <w:rsid w:val="001A4C37"/>
    <w:rsid w:val="001A509F"/>
    <w:rsid w:val="001A54C0"/>
    <w:rsid w:val="001A5A0F"/>
    <w:rsid w:val="001A5F96"/>
    <w:rsid w:val="001A6392"/>
    <w:rsid w:val="001A69A3"/>
    <w:rsid w:val="001A7AF1"/>
    <w:rsid w:val="001B0318"/>
    <w:rsid w:val="001B0A0D"/>
    <w:rsid w:val="001B111E"/>
    <w:rsid w:val="001B1593"/>
    <w:rsid w:val="001B1C14"/>
    <w:rsid w:val="001B20AF"/>
    <w:rsid w:val="001B25DB"/>
    <w:rsid w:val="001B3803"/>
    <w:rsid w:val="001B3BAB"/>
    <w:rsid w:val="001B40F8"/>
    <w:rsid w:val="001B4366"/>
    <w:rsid w:val="001B47FD"/>
    <w:rsid w:val="001B4987"/>
    <w:rsid w:val="001B4CE9"/>
    <w:rsid w:val="001B4E38"/>
    <w:rsid w:val="001B57B6"/>
    <w:rsid w:val="001B57BD"/>
    <w:rsid w:val="001B595A"/>
    <w:rsid w:val="001B5EBD"/>
    <w:rsid w:val="001B613E"/>
    <w:rsid w:val="001B6376"/>
    <w:rsid w:val="001B69AC"/>
    <w:rsid w:val="001B6DEB"/>
    <w:rsid w:val="001B6FF9"/>
    <w:rsid w:val="001B70DA"/>
    <w:rsid w:val="001B7C15"/>
    <w:rsid w:val="001B7C42"/>
    <w:rsid w:val="001B7D3E"/>
    <w:rsid w:val="001C0461"/>
    <w:rsid w:val="001C07F4"/>
    <w:rsid w:val="001C0E3E"/>
    <w:rsid w:val="001C0FD2"/>
    <w:rsid w:val="001C1332"/>
    <w:rsid w:val="001C1AEA"/>
    <w:rsid w:val="001C21BE"/>
    <w:rsid w:val="001C30B8"/>
    <w:rsid w:val="001C3C32"/>
    <w:rsid w:val="001C4396"/>
    <w:rsid w:val="001C44F2"/>
    <w:rsid w:val="001C5039"/>
    <w:rsid w:val="001C5786"/>
    <w:rsid w:val="001C5B74"/>
    <w:rsid w:val="001C5BCE"/>
    <w:rsid w:val="001C5E45"/>
    <w:rsid w:val="001C5EB7"/>
    <w:rsid w:val="001C612A"/>
    <w:rsid w:val="001C6CBC"/>
    <w:rsid w:val="001C705B"/>
    <w:rsid w:val="001C7093"/>
    <w:rsid w:val="001C70BF"/>
    <w:rsid w:val="001C7652"/>
    <w:rsid w:val="001C7B59"/>
    <w:rsid w:val="001C7FA9"/>
    <w:rsid w:val="001D0282"/>
    <w:rsid w:val="001D2132"/>
    <w:rsid w:val="001D26BA"/>
    <w:rsid w:val="001D29C1"/>
    <w:rsid w:val="001D37D2"/>
    <w:rsid w:val="001D3B9E"/>
    <w:rsid w:val="001D3FDA"/>
    <w:rsid w:val="001D4A5E"/>
    <w:rsid w:val="001D4C48"/>
    <w:rsid w:val="001D4DAD"/>
    <w:rsid w:val="001D4F79"/>
    <w:rsid w:val="001D5CD5"/>
    <w:rsid w:val="001D5D81"/>
    <w:rsid w:val="001D5DC0"/>
    <w:rsid w:val="001D6179"/>
    <w:rsid w:val="001D733E"/>
    <w:rsid w:val="001D764B"/>
    <w:rsid w:val="001D782D"/>
    <w:rsid w:val="001D7D30"/>
    <w:rsid w:val="001E02AD"/>
    <w:rsid w:val="001E03F0"/>
    <w:rsid w:val="001E0CEE"/>
    <w:rsid w:val="001E0D77"/>
    <w:rsid w:val="001E0EF1"/>
    <w:rsid w:val="001E0F20"/>
    <w:rsid w:val="001E1B3B"/>
    <w:rsid w:val="001E1F11"/>
    <w:rsid w:val="001E25F8"/>
    <w:rsid w:val="001E30CC"/>
    <w:rsid w:val="001E348D"/>
    <w:rsid w:val="001E35B7"/>
    <w:rsid w:val="001E4734"/>
    <w:rsid w:val="001E6159"/>
    <w:rsid w:val="001E6BEF"/>
    <w:rsid w:val="001E6CFB"/>
    <w:rsid w:val="001E70CF"/>
    <w:rsid w:val="001E711E"/>
    <w:rsid w:val="001E712C"/>
    <w:rsid w:val="001F0680"/>
    <w:rsid w:val="001F0D6B"/>
    <w:rsid w:val="001F1127"/>
    <w:rsid w:val="001F1953"/>
    <w:rsid w:val="001F237F"/>
    <w:rsid w:val="001F2798"/>
    <w:rsid w:val="001F2B41"/>
    <w:rsid w:val="001F2FF1"/>
    <w:rsid w:val="001F3259"/>
    <w:rsid w:val="001F413C"/>
    <w:rsid w:val="001F4696"/>
    <w:rsid w:val="001F551C"/>
    <w:rsid w:val="001F620C"/>
    <w:rsid w:val="001F6B9F"/>
    <w:rsid w:val="001F6C1C"/>
    <w:rsid w:val="001F7034"/>
    <w:rsid w:val="001F73B4"/>
    <w:rsid w:val="001F789C"/>
    <w:rsid w:val="001F7D37"/>
    <w:rsid w:val="001F7D53"/>
    <w:rsid w:val="001F7E78"/>
    <w:rsid w:val="002004C9"/>
    <w:rsid w:val="00200CA7"/>
    <w:rsid w:val="002013D5"/>
    <w:rsid w:val="002013F8"/>
    <w:rsid w:val="00201BEE"/>
    <w:rsid w:val="00202A2A"/>
    <w:rsid w:val="0020380D"/>
    <w:rsid w:val="002039DD"/>
    <w:rsid w:val="0020421F"/>
    <w:rsid w:val="002044A5"/>
    <w:rsid w:val="002046BA"/>
    <w:rsid w:val="00204A2B"/>
    <w:rsid w:val="00204B99"/>
    <w:rsid w:val="00205746"/>
    <w:rsid w:val="002061CA"/>
    <w:rsid w:val="0020776E"/>
    <w:rsid w:val="0020795A"/>
    <w:rsid w:val="00207CF2"/>
    <w:rsid w:val="00210231"/>
    <w:rsid w:val="00210770"/>
    <w:rsid w:val="00210FB7"/>
    <w:rsid w:val="00211E2D"/>
    <w:rsid w:val="00212527"/>
    <w:rsid w:val="002131F3"/>
    <w:rsid w:val="00213B09"/>
    <w:rsid w:val="00213E12"/>
    <w:rsid w:val="00214BCB"/>
    <w:rsid w:val="00214C1E"/>
    <w:rsid w:val="00214E3E"/>
    <w:rsid w:val="0021505A"/>
    <w:rsid w:val="00215C7C"/>
    <w:rsid w:val="00215EC1"/>
    <w:rsid w:val="00216177"/>
    <w:rsid w:val="002163B6"/>
    <w:rsid w:val="00216578"/>
    <w:rsid w:val="00216AF4"/>
    <w:rsid w:val="00216B78"/>
    <w:rsid w:val="00216EB8"/>
    <w:rsid w:val="00216F45"/>
    <w:rsid w:val="002170AB"/>
    <w:rsid w:val="00217239"/>
    <w:rsid w:val="00217C7E"/>
    <w:rsid w:val="00220012"/>
    <w:rsid w:val="0022156F"/>
    <w:rsid w:val="002222AC"/>
    <w:rsid w:val="00222525"/>
    <w:rsid w:val="002228D9"/>
    <w:rsid w:val="00222944"/>
    <w:rsid w:val="002229C7"/>
    <w:rsid w:val="00222EC1"/>
    <w:rsid w:val="00223540"/>
    <w:rsid w:val="002236B8"/>
    <w:rsid w:val="00224193"/>
    <w:rsid w:val="002244CE"/>
    <w:rsid w:val="00224786"/>
    <w:rsid w:val="00224916"/>
    <w:rsid w:val="00224F99"/>
    <w:rsid w:val="002253F4"/>
    <w:rsid w:val="00225765"/>
    <w:rsid w:val="0022690D"/>
    <w:rsid w:val="00226970"/>
    <w:rsid w:val="00226BD9"/>
    <w:rsid w:val="00227DC4"/>
    <w:rsid w:val="00227F75"/>
    <w:rsid w:val="00230109"/>
    <w:rsid w:val="002316C3"/>
    <w:rsid w:val="00231803"/>
    <w:rsid w:val="002320E5"/>
    <w:rsid w:val="002337C6"/>
    <w:rsid w:val="00233CB9"/>
    <w:rsid w:val="00233CF7"/>
    <w:rsid w:val="00233EF7"/>
    <w:rsid w:val="00233EFE"/>
    <w:rsid w:val="00234EC5"/>
    <w:rsid w:val="002358D0"/>
    <w:rsid w:val="00236226"/>
    <w:rsid w:val="00236B6D"/>
    <w:rsid w:val="00236E33"/>
    <w:rsid w:val="00236FDC"/>
    <w:rsid w:val="002371DA"/>
    <w:rsid w:val="002372E5"/>
    <w:rsid w:val="00237447"/>
    <w:rsid w:val="00237598"/>
    <w:rsid w:val="002379DA"/>
    <w:rsid w:val="00237C22"/>
    <w:rsid w:val="0024095D"/>
    <w:rsid w:val="00241BDB"/>
    <w:rsid w:val="00241BEB"/>
    <w:rsid w:val="002425C6"/>
    <w:rsid w:val="00242746"/>
    <w:rsid w:val="00242773"/>
    <w:rsid w:val="0024409D"/>
    <w:rsid w:val="0024483D"/>
    <w:rsid w:val="00244E17"/>
    <w:rsid w:val="00244E8F"/>
    <w:rsid w:val="0024515E"/>
    <w:rsid w:val="00245491"/>
    <w:rsid w:val="0024565D"/>
    <w:rsid w:val="002458D1"/>
    <w:rsid w:val="002459B9"/>
    <w:rsid w:val="00245D28"/>
    <w:rsid w:val="002465A1"/>
    <w:rsid w:val="00246832"/>
    <w:rsid w:val="00246C05"/>
    <w:rsid w:val="002473A2"/>
    <w:rsid w:val="00247458"/>
    <w:rsid w:val="002474AB"/>
    <w:rsid w:val="00247DBB"/>
    <w:rsid w:val="00247DDF"/>
    <w:rsid w:val="002501E8"/>
    <w:rsid w:val="00250612"/>
    <w:rsid w:val="002508E8"/>
    <w:rsid w:val="0025096E"/>
    <w:rsid w:val="00250BBA"/>
    <w:rsid w:val="002525BB"/>
    <w:rsid w:val="002528EB"/>
    <w:rsid w:val="00252D96"/>
    <w:rsid w:val="00252DB0"/>
    <w:rsid w:val="0025361E"/>
    <w:rsid w:val="00253701"/>
    <w:rsid w:val="00254A4C"/>
    <w:rsid w:val="00254B47"/>
    <w:rsid w:val="0025538B"/>
    <w:rsid w:val="002554EC"/>
    <w:rsid w:val="00255864"/>
    <w:rsid w:val="002560A2"/>
    <w:rsid w:val="00257625"/>
    <w:rsid w:val="0025779C"/>
    <w:rsid w:val="00257BCD"/>
    <w:rsid w:val="00257E3F"/>
    <w:rsid w:val="00257FF5"/>
    <w:rsid w:val="002603B8"/>
    <w:rsid w:val="0026079D"/>
    <w:rsid w:val="00260C5F"/>
    <w:rsid w:val="00260F13"/>
    <w:rsid w:val="00261129"/>
    <w:rsid w:val="002614C0"/>
    <w:rsid w:val="00261D80"/>
    <w:rsid w:val="002620DF"/>
    <w:rsid w:val="00262337"/>
    <w:rsid w:val="00262939"/>
    <w:rsid w:val="0026314E"/>
    <w:rsid w:val="00264C2D"/>
    <w:rsid w:val="00264DFD"/>
    <w:rsid w:val="00265A50"/>
    <w:rsid w:val="0026639F"/>
    <w:rsid w:val="00266CE2"/>
    <w:rsid w:val="0026712A"/>
    <w:rsid w:val="00267286"/>
    <w:rsid w:val="0026785F"/>
    <w:rsid w:val="00267B51"/>
    <w:rsid w:val="00267B7D"/>
    <w:rsid w:val="0027024E"/>
    <w:rsid w:val="002703F0"/>
    <w:rsid w:val="002704BD"/>
    <w:rsid w:val="0027053D"/>
    <w:rsid w:val="00270638"/>
    <w:rsid w:val="0027079B"/>
    <w:rsid w:val="00270AE9"/>
    <w:rsid w:val="00271776"/>
    <w:rsid w:val="00272028"/>
    <w:rsid w:val="002730CD"/>
    <w:rsid w:val="00273359"/>
    <w:rsid w:val="002747EA"/>
    <w:rsid w:val="00274984"/>
    <w:rsid w:val="00275640"/>
    <w:rsid w:val="00275D86"/>
    <w:rsid w:val="00275EB4"/>
    <w:rsid w:val="00276309"/>
    <w:rsid w:val="002767E3"/>
    <w:rsid w:val="00276B35"/>
    <w:rsid w:val="00277161"/>
    <w:rsid w:val="002771B3"/>
    <w:rsid w:val="002778B7"/>
    <w:rsid w:val="0028012F"/>
    <w:rsid w:val="00281CBE"/>
    <w:rsid w:val="00281F55"/>
    <w:rsid w:val="002820B0"/>
    <w:rsid w:val="0028231E"/>
    <w:rsid w:val="002825A4"/>
    <w:rsid w:val="002825B5"/>
    <w:rsid w:val="00282814"/>
    <w:rsid w:val="00283382"/>
    <w:rsid w:val="0028374E"/>
    <w:rsid w:val="002838A3"/>
    <w:rsid w:val="002844B4"/>
    <w:rsid w:val="002844EF"/>
    <w:rsid w:val="00284AF5"/>
    <w:rsid w:val="00284B26"/>
    <w:rsid w:val="00284B62"/>
    <w:rsid w:val="00284D2B"/>
    <w:rsid w:val="002853E4"/>
    <w:rsid w:val="00285D5E"/>
    <w:rsid w:val="00285DE0"/>
    <w:rsid w:val="00285FFD"/>
    <w:rsid w:val="00286131"/>
    <w:rsid w:val="002863B1"/>
    <w:rsid w:val="002865C1"/>
    <w:rsid w:val="00286B2E"/>
    <w:rsid w:val="00286B37"/>
    <w:rsid w:val="00287129"/>
    <w:rsid w:val="00287FBC"/>
    <w:rsid w:val="00290082"/>
    <w:rsid w:val="0029035D"/>
    <w:rsid w:val="0029035E"/>
    <w:rsid w:val="00291618"/>
    <w:rsid w:val="0029169E"/>
    <w:rsid w:val="00291837"/>
    <w:rsid w:val="00291E71"/>
    <w:rsid w:val="00291E9B"/>
    <w:rsid w:val="0029261F"/>
    <w:rsid w:val="00292656"/>
    <w:rsid w:val="002926D5"/>
    <w:rsid w:val="002927EE"/>
    <w:rsid w:val="002930F7"/>
    <w:rsid w:val="002931B9"/>
    <w:rsid w:val="002939AC"/>
    <w:rsid w:val="002939D8"/>
    <w:rsid w:val="00293FDD"/>
    <w:rsid w:val="0029412A"/>
    <w:rsid w:val="0029441B"/>
    <w:rsid w:val="002945AD"/>
    <w:rsid w:val="00294C3F"/>
    <w:rsid w:val="00294FBF"/>
    <w:rsid w:val="00295214"/>
    <w:rsid w:val="002953FD"/>
    <w:rsid w:val="0029588C"/>
    <w:rsid w:val="00295A7C"/>
    <w:rsid w:val="00295D7B"/>
    <w:rsid w:val="00296231"/>
    <w:rsid w:val="0029741D"/>
    <w:rsid w:val="00297631"/>
    <w:rsid w:val="0029782C"/>
    <w:rsid w:val="00297CE7"/>
    <w:rsid w:val="00297E2D"/>
    <w:rsid w:val="002A0243"/>
    <w:rsid w:val="002A04C1"/>
    <w:rsid w:val="002A0548"/>
    <w:rsid w:val="002A05D4"/>
    <w:rsid w:val="002A0754"/>
    <w:rsid w:val="002A0857"/>
    <w:rsid w:val="002A0D75"/>
    <w:rsid w:val="002A0F1F"/>
    <w:rsid w:val="002A1302"/>
    <w:rsid w:val="002A14AD"/>
    <w:rsid w:val="002A221F"/>
    <w:rsid w:val="002A24E2"/>
    <w:rsid w:val="002A29D9"/>
    <w:rsid w:val="002A2C10"/>
    <w:rsid w:val="002A33F4"/>
    <w:rsid w:val="002A3AA9"/>
    <w:rsid w:val="002A3E53"/>
    <w:rsid w:val="002A4083"/>
    <w:rsid w:val="002A43B7"/>
    <w:rsid w:val="002A4901"/>
    <w:rsid w:val="002A4C0E"/>
    <w:rsid w:val="002A550A"/>
    <w:rsid w:val="002A5AF9"/>
    <w:rsid w:val="002A5D9E"/>
    <w:rsid w:val="002A5E96"/>
    <w:rsid w:val="002A60BC"/>
    <w:rsid w:val="002A6933"/>
    <w:rsid w:val="002A7389"/>
    <w:rsid w:val="002A7C59"/>
    <w:rsid w:val="002B078E"/>
    <w:rsid w:val="002B0A91"/>
    <w:rsid w:val="002B0B11"/>
    <w:rsid w:val="002B13EE"/>
    <w:rsid w:val="002B1743"/>
    <w:rsid w:val="002B2A7E"/>
    <w:rsid w:val="002B2B94"/>
    <w:rsid w:val="002B375D"/>
    <w:rsid w:val="002B3774"/>
    <w:rsid w:val="002B395E"/>
    <w:rsid w:val="002B3DE3"/>
    <w:rsid w:val="002B45C0"/>
    <w:rsid w:val="002B5166"/>
    <w:rsid w:val="002B52E3"/>
    <w:rsid w:val="002B5BF4"/>
    <w:rsid w:val="002B5C88"/>
    <w:rsid w:val="002B5D81"/>
    <w:rsid w:val="002B5DA1"/>
    <w:rsid w:val="002B62C6"/>
    <w:rsid w:val="002B6351"/>
    <w:rsid w:val="002B6804"/>
    <w:rsid w:val="002B6AB3"/>
    <w:rsid w:val="002B7194"/>
    <w:rsid w:val="002B7ECB"/>
    <w:rsid w:val="002C08FA"/>
    <w:rsid w:val="002C12E6"/>
    <w:rsid w:val="002C1A95"/>
    <w:rsid w:val="002C218A"/>
    <w:rsid w:val="002C2A66"/>
    <w:rsid w:val="002C2C24"/>
    <w:rsid w:val="002C3049"/>
    <w:rsid w:val="002C37E9"/>
    <w:rsid w:val="002C3A20"/>
    <w:rsid w:val="002C4887"/>
    <w:rsid w:val="002C4B64"/>
    <w:rsid w:val="002C4C2C"/>
    <w:rsid w:val="002C4F2B"/>
    <w:rsid w:val="002C6203"/>
    <w:rsid w:val="002C6251"/>
    <w:rsid w:val="002C65A3"/>
    <w:rsid w:val="002C67E9"/>
    <w:rsid w:val="002C6D38"/>
    <w:rsid w:val="002C6D6F"/>
    <w:rsid w:val="002C703B"/>
    <w:rsid w:val="002C74FF"/>
    <w:rsid w:val="002C78FB"/>
    <w:rsid w:val="002D06A9"/>
    <w:rsid w:val="002D15EA"/>
    <w:rsid w:val="002D1904"/>
    <w:rsid w:val="002D204F"/>
    <w:rsid w:val="002D2CC9"/>
    <w:rsid w:val="002D2FFF"/>
    <w:rsid w:val="002D35CD"/>
    <w:rsid w:val="002D3ED3"/>
    <w:rsid w:val="002D47E3"/>
    <w:rsid w:val="002D5437"/>
    <w:rsid w:val="002D5475"/>
    <w:rsid w:val="002D5F41"/>
    <w:rsid w:val="002D669B"/>
    <w:rsid w:val="002D76D5"/>
    <w:rsid w:val="002D774D"/>
    <w:rsid w:val="002D7777"/>
    <w:rsid w:val="002D7E62"/>
    <w:rsid w:val="002E1779"/>
    <w:rsid w:val="002E1AB4"/>
    <w:rsid w:val="002E1E96"/>
    <w:rsid w:val="002E253E"/>
    <w:rsid w:val="002E271D"/>
    <w:rsid w:val="002E3107"/>
    <w:rsid w:val="002E312C"/>
    <w:rsid w:val="002E3687"/>
    <w:rsid w:val="002E4754"/>
    <w:rsid w:val="002E4872"/>
    <w:rsid w:val="002E4B03"/>
    <w:rsid w:val="002E58BE"/>
    <w:rsid w:val="002E5CC2"/>
    <w:rsid w:val="002E5DAF"/>
    <w:rsid w:val="002E5E5E"/>
    <w:rsid w:val="002E67CC"/>
    <w:rsid w:val="002E6A51"/>
    <w:rsid w:val="002E6CC4"/>
    <w:rsid w:val="002E6F39"/>
    <w:rsid w:val="002E7BDC"/>
    <w:rsid w:val="002E7DFC"/>
    <w:rsid w:val="002F03C0"/>
    <w:rsid w:val="002F06C5"/>
    <w:rsid w:val="002F06E4"/>
    <w:rsid w:val="002F1354"/>
    <w:rsid w:val="002F144A"/>
    <w:rsid w:val="002F2F02"/>
    <w:rsid w:val="002F3046"/>
    <w:rsid w:val="002F30C1"/>
    <w:rsid w:val="002F34EC"/>
    <w:rsid w:val="002F35B4"/>
    <w:rsid w:val="002F3A03"/>
    <w:rsid w:val="002F3F21"/>
    <w:rsid w:val="002F40D9"/>
    <w:rsid w:val="002F4447"/>
    <w:rsid w:val="002F4890"/>
    <w:rsid w:val="002F4922"/>
    <w:rsid w:val="002F5082"/>
    <w:rsid w:val="002F594D"/>
    <w:rsid w:val="002F59E7"/>
    <w:rsid w:val="002F5DBB"/>
    <w:rsid w:val="002F5F6A"/>
    <w:rsid w:val="002F6C0F"/>
    <w:rsid w:val="002F6E6C"/>
    <w:rsid w:val="002F77ED"/>
    <w:rsid w:val="003002D9"/>
    <w:rsid w:val="0030097D"/>
    <w:rsid w:val="003009CD"/>
    <w:rsid w:val="00300D70"/>
    <w:rsid w:val="00300DE0"/>
    <w:rsid w:val="00301100"/>
    <w:rsid w:val="0030185A"/>
    <w:rsid w:val="00302E16"/>
    <w:rsid w:val="003031E5"/>
    <w:rsid w:val="0030354B"/>
    <w:rsid w:val="003035BD"/>
    <w:rsid w:val="00304281"/>
    <w:rsid w:val="003053B8"/>
    <w:rsid w:val="0030583E"/>
    <w:rsid w:val="003062BF"/>
    <w:rsid w:val="00306862"/>
    <w:rsid w:val="00306AF7"/>
    <w:rsid w:val="003070FE"/>
    <w:rsid w:val="00307930"/>
    <w:rsid w:val="00307DA0"/>
    <w:rsid w:val="00310931"/>
    <w:rsid w:val="003109B4"/>
    <w:rsid w:val="00310ADF"/>
    <w:rsid w:val="00310B94"/>
    <w:rsid w:val="00312577"/>
    <w:rsid w:val="00312685"/>
    <w:rsid w:val="00312AC2"/>
    <w:rsid w:val="00313505"/>
    <w:rsid w:val="00313594"/>
    <w:rsid w:val="00313929"/>
    <w:rsid w:val="003139CC"/>
    <w:rsid w:val="00313BA9"/>
    <w:rsid w:val="00313DE5"/>
    <w:rsid w:val="00313F0E"/>
    <w:rsid w:val="00313F1A"/>
    <w:rsid w:val="00314517"/>
    <w:rsid w:val="00314B16"/>
    <w:rsid w:val="003153E0"/>
    <w:rsid w:val="003154DA"/>
    <w:rsid w:val="00315E86"/>
    <w:rsid w:val="00315F4E"/>
    <w:rsid w:val="00316445"/>
    <w:rsid w:val="00316C73"/>
    <w:rsid w:val="00317A3C"/>
    <w:rsid w:val="00317A4B"/>
    <w:rsid w:val="00317D40"/>
    <w:rsid w:val="00321354"/>
    <w:rsid w:val="00321BDA"/>
    <w:rsid w:val="00321C2F"/>
    <w:rsid w:val="00322307"/>
    <w:rsid w:val="003224CF"/>
    <w:rsid w:val="0032260C"/>
    <w:rsid w:val="00323059"/>
    <w:rsid w:val="003234AE"/>
    <w:rsid w:val="00323733"/>
    <w:rsid w:val="00323F60"/>
    <w:rsid w:val="00323F68"/>
    <w:rsid w:val="00324087"/>
    <w:rsid w:val="00324C91"/>
    <w:rsid w:val="00324E5A"/>
    <w:rsid w:val="0032585A"/>
    <w:rsid w:val="0032592A"/>
    <w:rsid w:val="00325AD7"/>
    <w:rsid w:val="00325D5A"/>
    <w:rsid w:val="00325E52"/>
    <w:rsid w:val="00325E84"/>
    <w:rsid w:val="0032629D"/>
    <w:rsid w:val="003268CB"/>
    <w:rsid w:val="00326DCF"/>
    <w:rsid w:val="003275CE"/>
    <w:rsid w:val="00327839"/>
    <w:rsid w:val="00327AFD"/>
    <w:rsid w:val="00327B1D"/>
    <w:rsid w:val="00330E06"/>
    <w:rsid w:val="00331116"/>
    <w:rsid w:val="003312CD"/>
    <w:rsid w:val="003319C4"/>
    <w:rsid w:val="00331D58"/>
    <w:rsid w:val="0033249F"/>
    <w:rsid w:val="003326A4"/>
    <w:rsid w:val="003331F1"/>
    <w:rsid w:val="003337A5"/>
    <w:rsid w:val="0033389C"/>
    <w:rsid w:val="00333A6C"/>
    <w:rsid w:val="00333A8D"/>
    <w:rsid w:val="00333C32"/>
    <w:rsid w:val="00333EB2"/>
    <w:rsid w:val="00333FFA"/>
    <w:rsid w:val="003342EC"/>
    <w:rsid w:val="0033447A"/>
    <w:rsid w:val="003347F0"/>
    <w:rsid w:val="00334A02"/>
    <w:rsid w:val="003358D7"/>
    <w:rsid w:val="00335A68"/>
    <w:rsid w:val="00336074"/>
    <w:rsid w:val="0033629F"/>
    <w:rsid w:val="00336B52"/>
    <w:rsid w:val="0033743C"/>
    <w:rsid w:val="00337583"/>
    <w:rsid w:val="0033776A"/>
    <w:rsid w:val="00337AD0"/>
    <w:rsid w:val="0034038B"/>
    <w:rsid w:val="003404AE"/>
    <w:rsid w:val="00340F41"/>
    <w:rsid w:val="00341544"/>
    <w:rsid w:val="003416B7"/>
    <w:rsid w:val="00341B21"/>
    <w:rsid w:val="003420F2"/>
    <w:rsid w:val="00343600"/>
    <w:rsid w:val="00343DF1"/>
    <w:rsid w:val="00343E9E"/>
    <w:rsid w:val="00344019"/>
    <w:rsid w:val="0034418E"/>
    <w:rsid w:val="0034420E"/>
    <w:rsid w:val="003449BA"/>
    <w:rsid w:val="00344B87"/>
    <w:rsid w:val="00344EF2"/>
    <w:rsid w:val="00344F9F"/>
    <w:rsid w:val="003451C5"/>
    <w:rsid w:val="00345677"/>
    <w:rsid w:val="0034568E"/>
    <w:rsid w:val="003461F6"/>
    <w:rsid w:val="0034660D"/>
    <w:rsid w:val="003468BD"/>
    <w:rsid w:val="00347F87"/>
    <w:rsid w:val="003502E7"/>
    <w:rsid w:val="003506B9"/>
    <w:rsid w:val="00351306"/>
    <w:rsid w:val="00352189"/>
    <w:rsid w:val="003521B8"/>
    <w:rsid w:val="003536C4"/>
    <w:rsid w:val="00354107"/>
    <w:rsid w:val="0035449C"/>
    <w:rsid w:val="003552C2"/>
    <w:rsid w:val="003558C7"/>
    <w:rsid w:val="00355CF3"/>
    <w:rsid w:val="003561C7"/>
    <w:rsid w:val="00356B8C"/>
    <w:rsid w:val="00357106"/>
    <w:rsid w:val="00357B46"/>
    <w:rsid w:val="00357F0F"/>
    <w:rsid w:val="00360284"/>
    <w:rsid w:val="0036038C"/>
    <w:rsid w:val="0036051A"/>
    <w:rsid w:val="00360540"/>
    <w:rsid w:val="00360681"/>
    <w:rsid w:val="00360B6B"/>
    <w:rsid w:val="0036162C"/>
    <w:rsid w:val="00361803"/>
    <w:rsid w:val="00361EA9"/>
    <w:rsid w:val="00361F57"/>
    <w:rsid w:val="00362861"/>
    <w:rsid w:val="00362E60"/>
    <w:rsid w:val="00363141"/>
    <w:rsid w:val="003638D7"/>
    <w:rsid w:val="00363910"/>
    <w:rsid w:val="00363AF7"/>
    <w:rsid w:val="00363C8A"/>
    <w:rsid w:val="00363CA5"/>
    <w:rsid w:val="00364013"/>
    <w:rsid w:val="0036425F"/>
    <w:rsid w:val="00365639"/>
    <w:rsid w:val="00365C4C"/>
    <w:rsid w:val="0036642A"/>
    <w:rsid w:val="00366503"/>
    <w:rsid w:val="0036708F"/>
    <w:rsid w:val="00367519"/>
    <w:rsid w:val="00371AD7"/>
    <w:rsid w:val="00372F7C"/>
    <w:rsid w:val="0037327E"/>
    <w:rsid w:val="0037343D"/>
    <w:rsid w:val="00374947"/>
    <w:rsid w:val="00374CAA"/>
    <w:rsid w:val="00374CAB"/>
    <w:rsid w:val="00374D6B"/>
    <w:rsid w:val="00376F7C"/>
    <w:rsid w:val="0038002D"/>
    <w:rsid w:val="003808CE"/>
    <w:rsid w:val="00380EED"/>
    <w:rsid w:val="0038125E"/>
    <w:rsid w:val="00381C77"/>
    <w:rsid w:val="0038282E"/>
    <w:rsid w:val="00382C95"/>
    <w:rsid w:val="00382E99"/>
    <w:rsid w:val="003833D6"/>
    <w:rsid w:val="00383B91"/>
    <w:rsid w:val="00383BB4"/>
    <w:rsid w:val="003841B8"/>
    <w:rsid w:val="00384D9A"/>
    <w:rsid w:val="00385ED9"/>
    <w:rsid w:val="00386492"/>
    <w:rsid w:val="00386632"/>
    <w:rsid w:val="00386F48"/>
    <w:rsid w:val="003872B2"/>
    <w:rsid w:val="003875DC"/>
    <w:rsid w:val="00387A0A"/>
    <w:rsid w:val="00390F27"/>
    <w:rsid w:val="003910A8"/>
    <w:rsid w:val="0039136E"/>
    <w:rsid w:val="003920BB"/>
    <w:rsid w:val="00392CCA"/>
    <w:rsid w:val="0039365F"/>
    <w:rsid w:val="003937A1"/>
    <w:rsid w:val="00393DA8"/>
    <w:rsid w:val="003942B6"/>
    <w:rsid w:val="0039448C"/>
    <w:rsid w:val="003948B7"/>
    <w:rsid w:val="00394A1E"/>
    <w:rsid w:val="00394D3C"/>
    <w:rsid w:val="00394F12"/>
    <w:rsid w:val="003966EF"/>
    <w:rsid w:val="003967B3"/>
    <w:rsid w:val="00396962"/>
    <w:rsid w:val="00396BA5"/>
    <w:rsid w:val="00397910"/>
    <w:rsid w:val="00397BA6"/>
    <w:rsid w:val="00397DA7"/>
    <w:rsid w:val="00397ED0"/>
    <w:rsid w:val="003A06CE"/>
    <w:rsid w:val="003A09A0"/>
    <w:rsid w:val="003A12AC"/>
    <w:rsid w:val="003A12F2"/>
    <w:rsid w:val="003A214A"/>
    <w:rsid w:val="003A245B"/>
    <w:rsid w:val="003A24A1"/>
    <w:rsid w:val="003A27C9"/>
    <w:rsid w:val="003A281E"/>
    <w:rsid w:val="003A295F"/>
    <w:rsid w:val="003A2C13"/>
    <w:rsid w:val="003A3101"/>
    <w:rsid w:val="003A352E"/>
    <w:rsid w:val="003A427D"/>
    <w:rsid w:val="003A4317"/>
    <w:rsid w:val="003A452F"/>
    <w:rsid w:val="003A4EE0"/>
    <w:rsid w:val="003A5449"/>
    <w:rsid w:val="003A564D"/>
    <w:rsid w:val="003A5C99"/>
    <w:rsid w:val="003A5FE1"/>
    <w:rsid w:val="003A610A"/>
    <w:rsid w:val="003A693B"/>
    <w:rsid w:val="003A6BF9"/>
    <w:rsid w:val="003A7757"/>
    <w:rsid w:val="003A7CDF"/>
    <w:rsid w:val="003B0257"/>
    <w:rsid w:val="003B04D0"/>
    <w:rsid w:val="003B0DD2"/>
    <w:rsid w:val="003B172B"/>
    <w:rsid w:val="003B1AFA"/>
    <w:rsid w:val="003B1B15"/>
    <w:rsid w:val="003B2D3E"/>
    <w:rsid w:val="003B2DF6"/>
    <w:rsid w:val="003B2F43"/>
    <w:rsid w:val="003B4224"/>
    <w:rsid w:val="003B430D"/>
    <w:rsid w:val="003B4B86"/>
    <w:rsid w:val="003B5080"/>
    <w:rsid w:val="003B50C9"/>
    <w:rsid w:val="003B5169"/>
    <w:rsid w:val="003B53CE"/>
    <w:rsid w:val="003B5717"/>
    <w:rsid w:val="003B5873"/>
    <w:rsid w:val="003B59E4"/>
    <w:rsid w:val="003B5FBA"/>
    <w:rsid w:val="003B6AF7"/>
    <w:rsid w:val="003B6CF7"/>
    <w:rsid w:val="003B6FD1"/>
    <w:rsid w:val="003B7669"/>
    <w:rsid w:val="003C08A1"/>
    <w:rsid w:val="003C12CB"/>
    <w:rsid w:val="003C1408"/>
    <w:rsid w:val="003C166C"/>
    <w:rsid w:val="003C1C1E"/>
    <w:rsid w:val="003C2BB1"/>
    <w:rsid w:val="003C3A37"/>
    <w:rsid w:val="003C3ACB"/>
    <w:rsid w:val="003C3FC5"/>
    <w:rsid w:val="003C4381"/>
    <w:rsid w:val="003C43F8"/>
    <w:rsid w:val="003C4A83"/>
    <w:rsid w:val="003C5054"/>
    <w:rsid w:val="003C5280"/>
    <w:rsid w:val="003C5413"/>
    <w:rsid w:val="003C547A"/>
    <w:rsid w:val="003C5E46"/>
    <w:rsid w:val="003C6509"/>
    <w:rsid w:val="003C6D0B"/>
    <w:rsid w:val="003C6DBD"/>
    <w:rsid w:val="003C6FD7"/>
    <w:rsid w:val="003C703F"/>
    <w:rsid w:val="003C7349"/>
    <w:rsid w:val="003C7431"/>
    <w:rsid w:val="003C7753"/>
    <w:rsid w:val="003C77B6"/>
    <w:rsid w:val="003C7D8E"/>
    <w:rsid w:val="003C7F44"/>
    <w:rsid w:val="003D0275"/>
    <w:rsid w:val="003D0A63"/>
    <w:rsid w:val="003D1221"/>
    <w:rsid w:val="003D12C6"/>
    <w:rsid w:val="003D168D"/>
    <w:rsid w:val="003D1811"/>
    <w:rsid w:val="003D1A0E"/>
    <w:rsid w:val="003D1F89"/>
    <w:rsid w:val="003D21B3"/>
    <w:rsid w:val="003D25A8"/>
    <w:rsid w:val="003D290C"/>
    <w:rsid w:val="003D2BB6"/>
    <w:rsid w:val="003D3007"/>
    <w:rsid w:val="003D43A6"/>
    <w:rsid w:val="003D447A"/>
    <w:rsid w:val="003D54C1"/>
    <w:rsid w:val="003D55B4"/>
    <w:rsid w:val="003D59CC"/>
    <w:rsid w:val="003D6258"/>
    <w:rsid w:val="003D6C04"/>
    <w:rsid w:val="003D70B6"/>
    <w:rsid w:val="003D76DC"/>
    <w:rsid w:val="003D7CAF"/>
    <w:rsid w:val="003D7D73"/>
    <w:rsid w:val="003E0698"/>
    <w:rsid w:val="003E0ED8"/>
    <w:rsid w:val="003E1776"/>
    <w:rsid w:val="003E2902"/>
    <w:rsid w:val="003E3015"/>
    <w:rsid w:val="003E3701"/>
    <w:rsid w:val="003E3E58"/>
    <w:rsid w:val="003E3EC6"/>
    <w:rsid w:val="003E4108"/>
    <w:rsid w:val="003E4138"/>
    <w:rsid w:val="003E4168"/>
    <w:rsid w:val="003E4446"/>
    <w:rsid w:val="003E482C"/>
    <w:rsid w:val="003E564B"/>
    <w:rsid w:val="003E57C9"/>
    <w:rsid w:val="003E611F"/>
    <w:rsid w:val="003E7F27"/>
    <w:rsid w:val="003F0130"/>
    <w:rsid w:val="003F037B"/>
    <w:rsid w:val="003F12E8"/>
    <w:rsid w:val="003F1AA1"/>
    <w:rsid w:val="003F1D9B"/>
    <w:rsid w:val="003F20C2"/>
    <w:rsid w:val="003F22B0"/>
    <w:rsid w:val="003F2734"/>
    <w:rsid w:val="003F39CB"/>
    <w:rsid w:val="003F4493"/>
    <w:rsid w:val="003F519B"/>
    <w:rsid w:val="003F52D9"/>
    <w:rsid w:val="003F5A81"/>
    <w:rsid w:val="003F5F06"/>
    <w:rsid w:val="003F6116"/>
    <w:rsid w:val="003F612D"/>
    <w:rsid w:val="003F6FDA"/>
    <w:rsid w:val="003F7024"/>
    <w:rsid w:val="004009DB"/>
    <w:rsid w:val="00400DF2"/>
    <w:rsid w:val="00401791"/>
    <w:rsid w:val="00401F68"/>
    <w:rsid w:val="00403D61"/>
    <w:rsid w:val="00403DED"/>
    <w:rsid w:val="004042DC"/>
    <w:rsid w:val="00404529"/>
    <w:rsid w:val="00405EC6"/>
    <w:rsid w:val="004064E1"/>
    <w:rsid w:val="00406714"/>
    <w:rsid w:val="00406ECC"/>
    <w:rsid w:val="00407A69"/>
    <w:rsid w:val="00407F11"/>
    <w:rsid w:val="00410396"/>
    <w:rsid w:val="0041045A"/>
    <w:rsid w:val="004104B6"/>
    <w:rsid w:val="004106D7"/>
    <w:rsid w:val="00410980"/>
    <w:rsid w:val="00410C11"/>
    <w:rsid w:val="00410CC3"/>
    <w:rsid w:val="00411EC7"/>
    <w:rsid w:val="004129BE"/>
    <w:rsid w:val="004129C3"/>
    <w:rsid w:val="00412A86"/>
    <w:rsid w:val="00412E97"/>
    <w:rsid w:val="004131DF"/>
    <w:rsid w:val="00413328"/>
    <w:rsid w:val="00413665"/>
    <w:rsid w:val="004136B0"/>
    <w:rsid w:val="0041371A"/>
    <w:rsid w:val="00413F55"/>
    <w:rsid w:val="0041436B"/>
    <w:rsid w:val="00414AC3"/>
    <w:rsid w:val="00414C01"/>
    <w:rsid w:val="00414CFA"/>
    <w:rsid w:val="00415C69"/>
    <w:rsid w:val="00415CA5"/>
    <w:rsid w:val="00415D42"/>
    <w:rsid w:val="00415E19"/>
    <w:rsid w:val="00416525"/>
    <w:rsid w:val="004165BB"/>
    <w:rsid w:val="00416998"/>
    <w:rsid w:val="00417B01"/>
    <w:rsid w:val="004203F0"/>
    <w:rsid w:val="004203F2"/>
    <w:rsid w:val="00420C63"/>
    <w:rsid w:val="00420EC1"/>
    <w:rsid w:val="0042166E"/>
    <w:rsid w:val="004222FF"/>
    <w:rsid w:val="00422446"/>
    <w:rsid w:val="00422B96"/>
    <w:rsid w:val="00423378"/>
    <w:rsid w:val="004238EF"/>
    <w:rsid w:val="00423B86"/>
    <w:rsid w:val="00423D0D"/>
    <w:rsid w:val="00424308"/>
    <w:rsid w:val="004254DB"/>
    <w:rsid w:val="004260BA"/>
    <w:rsid w:val="004264EB"/>
    <w:rsid w:val="00426BB4"/>
    <w:rsid w:val="00426D9D"/>
    <w:rsid w:val="00426F0F"/>
    <w:rsid w:val="004271BE"/>
    <w:rsid w:val="004273BC"/>
    <w:rsid w:val="004314CD"/>
    <w:rsid w:val="004316A9"/>
    <w:rsid w:val="0043180B"/>
    <w:rsid w:val="00432144"/>
    <w:rsid w:val="004323D6"/>
    <w:rsid w:val="004323FB"/>
    <w:rsid w:val="00432A14"/>
    <w:rsid w:val="00432C81"/>
    <w:rsid w:val="00433FF8"/>
    <w:rsid w:val="0043414B"/>
    <w:rsid w:val="0043456B"/>
    <w:rsid w:val="00434BBD"/>
    <w:rsid w:val="00434C0F"/>
    <w:rsid w:val="00434DCC"/>
    <w:rsid w:val="00435B01"/>
    <w:rsid w:val="00435BA8"/>
    <w:rsid w:val="00435E59"/>
    <w:rsid w:val="00436D2A"/>
    <w:rsid w:val="004377D7"/>
    <w:rsid w:val="0043797A"/>
    <w:rsid w:val="00437D19"/>
    <w:rsid w:val="0044017B"/>
    <w:rsid w:val="00440939"/>
    <w:rsid w:val="00441126"/>
    <w:rsid w:val="00441814"/>
    <w:rsid w:val="0044296E"/>
    <w:rsid w:val="00443005"/>
    <w:rsid w:val="00443265"/>
    <w:rsid w:val="00443469"/>
    <w:rsid w:val="00443653"/>
    <w:rsid w:val="0044373C"/>
    <w:rsid w:val="004443A8"/>
    <w:rsid w:val="00444BB4"/>
    <w:rsid w:val="00445268"/>
    <w:rsid w:val="00445614"/>
    <w:rsid w:val="00445F8A"/>
    <w:rsid w:val="0044658F"/>
    <w:rsid w:val="00447874"/>
    <w:rsid w:val="00447DA4"/>
    <w:rsid w:val="004505FE"/>
    <w:rsid w:val="004509CB"/>
    <w:rsid w:val="00450E30"/>
    <w:rsid w:val="004517BC"/>
    <w:rsid w:val="00451823"/>
    <w:rsid w:val="00451F4C"/>
    <w:rsid w:val="0045233C"/>
    <w:rsid w:val="00452382"/>
    <w:rsid w:val="004525C5"/>
    <w:rsid w:val="00452892"/>
    <w:rsid w:val="00452E63"/>
    <w:rsid w:val="0045301E"/>
    <w:rsid w:val="00453139"/>
    <w:rsid w:val="0045328A"/>
    <w:rsid w:val="00453DC7"/>
    <w:rsid w:val="00453E36"/>
    <w:rsid w:val="00454092"/>
    <w:rsid w:val="0045462E"/>
    <w:rsid w:val="0045488C"/>
    <w:rsid w:val="00454E59"/>
    <w:rsid w:val="00454F65"/>
    <w:rsid w:val="004550AA"/>
    <w:rsid w:val="004557E7"/>
    <w:rsid w:val="004559FC"/>
    <w:rsid w:val="00456A0F"/>
    <w:rsid w:val="00456A15"/>
    <w:rsid w:val="00456EDC"/>
    <w:rsid w:val="00457468"/>
    <w:rsid w:val="0045758A"/>
    <w:rsid w:val="00457D00"/>
    <w:rsid w:val="00457E18"/>
    <w:rsid w:val="00460187"/>
    <w:rsid w:val="00460347"/>
    <w:rsid w:val="004614EF"/>
    <w:rsid w:val="0046157F"/>
    <w:rsid w:val="004616EE"/>
    <w:rsid w:val="004617D3"/>
    <w:rsid w:val="00461A36"/>
    <w:rsid w:val="00462166"/>
    <w:rsid w:val="004621AB"/>
    <w:rsid w:val="00462A71"/>
    <w:rsid w:val="004632B8"/>
    <w:rsid w:val="0046358C"/>
    <w:rsid w:val="00463BB0"/>
    <w:rsid w:val="00464517"/>
    <w:rsid w:val="0046451B"/>
    <w:rsid w:val="0046513A"/>
    <w:rsid w:val="004654A0"/>
    <w:rsid w:val="00465FF5"/>
    <w:rsid w:val="00466395"/>
    <w:rsid w:val="004675A7"/>
    <w:rsid w:val="00467B3C"/>
    <w:rsid w:val="00467DBE"/>
    <w:rsid w:val="0047047F"/>
    <w:rsid w:val="00470C70"/>
    <w:rsid w:val="00470D59"/>
    <w:rsid w:val="004717E3"/>
    <w:rsid w:val="00471EB7"/>
    <w:rsid w:val="00472496"/>
    <w:rsid w:val="0047269D"/>
    <w:rsid w:val="004726D8"/>
    <w:rsid w:val="0047270D"/>
    <w:rsid w:val="00472D2D"/>
    <w:rsid w:val="004734F1"/>
    <w:rsid w:val="004735B7"/>
    <w:rsid w:val="00473824"/>
    <w:rsid w:val="00473AC2"/>
    <w:rsid w:val="00473C14"/>
    <w:rsid w:val="00473D9C"/>
    <w:rsid w:val="00473EA6"/>
    <w:rsid w:val="0047401A"/>
    <w:rsid w:val="0047402A"/>
    <w:rsid w:val="004744C1"/>
    <w:rsid w:val="00475412"/>
    <w:rsid w:val="00475E4B"/>
    <w:rsid w:val="004767E0"/>
    <w:rsid w:val="004770AB"/>
    <w:rsid w:val="004772D7"/>
    <w:rsid w:val="00477636"/>
    <w:rsid w:val="00477B45"/>
    <w:rsid w:val="00477BCF"/>
    <w:rsid w:val="00481198"/>
    <w:rsid w:val="00481648"/>
    <w:rsid w:val="00481710"/>
    <w:rsid w:val="00481CF9"/>
    <w:rsid w:val="00481DC4"/>
    <w:rsid w:val="004825B7"/>
    <w:rsid w:val="00482A91"/>
    <w:rsid w:val="0048364C"/>
    <w:rsid w:val="004836D6"/>
    <w:rsid w:val="0048389E"/>
    <w:rsid w:val="0048425A"/>
    <w:rsid w:val="004843A5"/>
    <w:rsid w:val="00484535"/>
    <w:rsid w:val="00485CA8"/>
    <w:rsid w:val="00485D4B"/>
    <w:rsid w:val="00486487"/>
    <w:rsid w:val="0048654E"/>
    <w:rsid w:val="00486B3C"/>
    <w:rsid w:val="00486D08"/>
    <w:rsid w:val="00486DFF"/>
    <w:rsid w:val="00487153"/>
    <w:rsid w:val="0048726E"/>
    <w:rsid w:val="00487592"/>
    <w:rsid w:val="00487741"/>
    <w:rsid w:val="00490479"/>
    <w:rsid w:val="004904A0"/>
    <w:rsid w:val="0049073F"/>
    <w:rsid w:val="00490FAF"/>
    <w:rsid w:val="00491A09"/>
    <w:rsid w:val="00491CD3"/>
    <w:rsid w:val="00491CE3"/>
    <w:rsid w:val="0049207B"/>
    <w:rsid w:val="004924E0"/>
    <w:rsid w:val="00492A26"/>
    <w:rsid w:val="00492AEE"/>
    <w:rsid w:val="00492F45"/>
    <w:rsid w:val="004931A8"/>
    <w:rsid w:val="00493B7D"/>
    <w:rsid w:val="00494368"/>
    <w:rsid w:val="004944D3"/>
    <w:rsid w:val="00494F11"/>
    <w:rsid w:val="00494F4A"/>
    <w:rsid w:val="004952AC"/>
    <w:rsid w:val="00495446"/>
    <w:rsid w:val="00495AEC"/>
    <w:rsid w:val="00495BCC"/>
    <w:rsid w:val="00496094"/>
    <w:rsid w:val="00497D76"/>
    <w:rsid w:val="00497FA4"/>
    <w:rsid w:val="004A010B"/>
    <w:rsid w:val="004A016E"/>
    <w:rsid w:val="004A028E"/>
    <w:rsid w:val="004A1326"/>
    <w:rsid w:val="004A29E0"/>
    <w:rsid w:val="004A2DA5"/>
    <w:rsid w:val="004A301A"/>
    <w:rsid w:val="004A3269"/>
    <w:rsid w:val="004A3E6F"/>
    <w:rsid w:val="004A4984"/>
    <w:rsid w:val="004A4D2D"/>
    <w:rsid w:val="004A5BBB"/>
    <w:rsid w:val="004A63BB"/>
    <w:rsid w:val="004A68CF"/>
    <w:rsid w:val="004A6967"/>
    <w:rsid w:val="004A74C5"/>
    <w:rsid w:val="004A785B"/>
    <w:rsid w:val="004A7AA4"/>
    <w:rsid w:val="004B0969"/>
    <w:rsid w:val="004B15FD"/>
    <w:rsid w:val="004B17B9"/>
    <w:rsid w:val="004B1AEA"/>
    <w:rsid w:val="004B21CE"/>
    <w:rsid w:val="004B234D"/>
    <w:rsid w:val="004B23E9"/>
    <w:rsid w:val="004B282B"/>
    <w:rsid w:val="004B2AC5"/>
    <w:rsid w:val="004B2C7F"/>
    <w:rsid w:val="004B37EE"/>
    <w:rsid w:val="004B3A5A"/>
    <w:rsid w:val="004B3B03"/>
    <w:rsid w:val="004B3FDD"/>
    <w:rsid w:val="004B40D9"/>
    <w:rsid w:val="004B45CF"/>
    <w:rsid w:val="004B45D4"/>
    <w:rsid w:val="004B4D5A"/>
    <w:rsid w:val="004B5290"/>
    <w:rsid w:val="004B5890"/>
    <w:rsid w:val="004B5B5C"/>
    <w:rsid w:val="004B5D70"/>
    <w:rsid w:val="004B602F"/>
    <w:rsid w:val="004B623D"/>
    <w:rsid w:val="004B64E2"/>
    <w:rsid w:val="004B6A77"/>
    <w:rsid w:val="004B6F45"/>
    <w:rsid w:val="004B6F47"/>
    <w:rsid w:val="004B71FE"/>
    <w:rsid w:val="004B74B4"/>
    <w:rsid w:val="004B77FE"/>
    <w:rsid w:val="004B7DC8"/>
    <w:rsid w:val="004B7EC0"/>
    <w:rsid w:val="004C03A4"/>
    <w:rsid w:val="004C0676"/>
    <w:rsid w:val="004C07C0"/>
    <w:rsid w:val="004C09B5"/>
    <w:rsid w:val="004C0D44"/>
    <w:rsid w:val="004C0E4C"/>
    <w:rsid w:val="004C10C4"/>
    <w:rsid w:val="004C1A01"/>
    <w:rsid w:val="004C26B9"/>
    <w:rsid w:val="004C2A34"/>
    <w:rsid w:val="004C2C95"/>
    <w:rsid w:val="004C37F8"/>
    <w:rsid w:val="004C3A3F"/>
    <w:rsid w:val="004C3AD0"/>
    <w:rsid w:val="004C3CE6"/>
    <w:rsid w:val="004C3D2D"/>
    <w:rsid w:val="004C3FA3"/>
    <w:rsid w:val="004C432A"/>
    <w:rsid w:val="004C4F2D"/>
    <w:rsid w:val="004C535A"/>
    <w:rsid w:val="004C5BB4"/>
    <w:rsid w:val="004C5C9A"/>
    <w:rsid w:val="004C63AB"/>
    <w:rsid w:val="004C66F8"/>
    <w:rsid w:val="004C6D16"/>
    <w:rsid w:val="004C7038"/>
    <w:rsid w:val="004C78F0"/>
    <w:rsid w:val="004C7D30"/>
    <w:rsid w:val="004D049E"/>
    <w:rsid w:val="004D0B98"/>
    <w:rsid w:val="004D117E"/>
    <w:rsid w:val="004D19F6"/>
    <w:rsid w:val="004D1A11"/>
    <w:rsid w:val="004D24DC"/>
    <w:rsid w:val="004D3222"/>
    <w:rsid w:val="004D3392"/>
    <w:rsid w:val="004D390D"/>
    <w:rsid w:val="004D4818"/>
    <w:rsid w:val="004D4F88"/>
    <w:rsid w:val="004D50A2"/>
    <w:rsid w:val="004D51DE"/>
    <w:rsid w:val="004D5B5F"/>
    <w:rsid w:val="004D5FE7"/>
    <w:rsid w:val="004D6F45"/>
    <w:rsid w:val="004D701E"/>
    <w:rsid w:val="004D70DB"/>
    <w:rsid w:val="004D74E1"/>
    <w:rsid w:val="004D7854"/>
    <w:rsid w:val="004D794C"/>
    <w:rsid w:val="004D7A4A"/>
    <w:rsid w:val="004E0226"/>
    <w:rsid w:val="004E0CCE"/>
    <w:rsid w:val="004E11BB"/>
    <w:rsid w:val="004E1A65"/>
    <w:rsid w:val="004E1BAC"/>
    <w:rsid w:val="004E1CC5"/>
    <w:rsid w:val="004E2557"/>
    <w:rsid w:val="004E27A4"/>
    <w:rsid w:val="004E29A2"/>
    <w:rsid w:val="004E2A96"/>
    <w:rsid w:val="004E3505"/>
    <w:rsid w:val="004E385C"/>
    <w:rsid w:val="004E424A"/>
    <w:rsid w:val="004E5172"/>
    <w:rsid w:val="004E548B"/>
    <w:rsid w:val="004E54ED"/>
    <w:rsid w:val="004E5EC7"/>
    <w:rsid w:val="004E609D"/>
    <w:rsid w:val="004E6140"/>
    <w:rsid w:val="004E69CA"/>
    <w:rsid w:val="004E6F74"/>
    <w:rsid w:val="004E70C3"/>
    <w:rsid w:val="004E7275"/>
    <w:rsid w:val="004E77A6"/>
    <w:rsid w:val="004E7EB8"/>
    <w:rsid w:val="004F088D"/>
    <w:rsid w:val="004F0C66"/>
    <w:rsid w:val="004F0D4F"/>
    <w:rsid w:val="004F0D63"/>
    <w:rsid w:val="004F10EF"/>
    <w:rsid w:val="004F1CB4"/>
    <w:rsid w:val="004F253F"/>
    <w:rsid w:val="004F2670"/>
    <w:rsid w:val="004F2BA2"/>
    <w:rsid w:val="004F34BD"/>
    <w:rsid w:val="004F361E"/>
    <w:rsid w:val="004F467D"/>
    <w:rsid w:val="004F4837"/>
    <w:rsid w:val="004F4F96"/>
    <w:rsid w:val="004F5311"/>
    <w:rsid w:val="004F5979"/>
    <w:rsid w:val="004F5A27"/>
    <w:rsid w:val="004F5E34"/>
    <w:rsid w:val="004F61F9"/>
    <w:rsid w:val="004F64E7"/>
    <w:rsid w:val="004F64FE"/>
    <w:rsid w:val="004F6A59"/>
    <w:rsid w:val="004F6AE1"/>
    <w:rsid w:val="004F72F8"/>
    <w:rsid w:val="004F76C4"/>
    <w:rsid w:val="005007E0"/>
    <w:rsid w:val="005008C4"/>
    <w:rsid w:val="005019D8"/>
    <w:rsid w:val="00501A2D"/>
    <w:rsid w:val="005021BB"/>
    <w:rsid w:val="00502A46"/>
    <w:rsid w:val="005036F5"/>
    <w:rsid w:val="00503E3C"/>
    <w:rsid w:val="00504006"/>
    <w:rsid w:val="0050493A"/>
    <w:rsid w:val="00504CBD"/>
    <w:rsid w:val="005061C2"/>
    <w:rsid w:val="005061F9"/>
    <w:rsid w:val="005062CD"/>
    <w:rsid w:val="0050659F"/>
    <w:rsid w:val="00506A7B"/>
    <w:rsid w:val="005074F7"/>
    <w:rsid w:val="005077A3"/>
    <w:rsid w:val="00507835"/>
    <w:rsid w:val="00507A83"/>
    <w:rsid w:val="00507D76"/>
    <w:rsid w:val="00510CD2"/>
    <w:rsid w:val="00510E11"/>
    <w:rsid w:val="00511F62"/>
    <w:rsid w:val="00512709"/>
    <w:rsid w:val="00512992"/>
    <w:rsid w:val="00512B32"/>
    <w:rsid w:val="00512B48"/>
    <w:rsid w:val="00512DE1"/>
    <w:rsid w:val="00513618"/>
    <w:rsid w:val="005137D2"/>
    <w:rsid w:val="005139BA"/>
    <w:rsid w:val="00514092"/>
    <w:rsid w:val="00514255"/>
    <w:rsid w:val="00514AC8"/>
    <w:rsid w:val="005154C4"/>
    <w:rsid w:val="00516120"/>
    <w:rsid w:val="00516615"/>
    <w:rsid w:val="00516700"/>
    <w:rsid w:val="0051686B"/>
    <w:rsid w:val="00516CAE"/>
    <w:rsid w:val="00517257"/>
    <w:rsid w:val="00517389"/>
    <w:rsid w:val="00517509"/>
    <w:rsid w:val="00517E9D"/>
    <w:rsid w:val="0052068F"/>
    <w:rsid w:val="00520AD7"/>
    <w:rsid w:val="00520DCA"/>
    <w:rsid w:val="00521EE9"/>
    <w:rsid w:val="005226F7"/>
    <w:rsid w:val="00522956"/>
    <w:rsid w:val="00523435"/>
    <w:rsid w:val="00523456"/>
    <w:rsid w:val="00523498"/>
    <w:rsid w:val="005238B3"/>
    <w:rsid w:val="00523B65"/>
    <w:rsid w:val="00524068"/>
    <w:rsid w:val="00525660"/>
    <w:rsid w:val="005258DF"/>
    <w:rsid w:val="00525A01"/>
    <w:rsid w:val="005261B8"/>
    <w:rsid w:val="00526A25"/>
    <w:rsid w:val="00526B55"/>
    <w:rsid w:val="00526EE4"/>
    <w:rsid w:val="00527072"/>
    <w:rsid w:val="00527125"/>
    <w:rsid w:val="0052715D"/>
    <w:rsid w:val="005271F6"/>
    <w:rsid w:val="00530889"/>
    <w:rsid w:val="005309AA"/>
    <w:rsid w:val="00530D4D"/>
    <w:rsid w:val="00530DB8"/>
    <w:rsid w:val="0053139B"/>
    <w:rsid w:val="005313AA"/>
    <w:rsid w:val="005326BA"/>
    <w:rsid w:val="005339DA"/>
    <w:rsid w:val="00533B0B"/>
    <w:rsid w:val="00533C62"/>
    <w:rsid w:val="0053439C"/>
    <w:rsid w:val="00534624"/>
    <w:rsid w:val="005353FE"/>
    <w:rsid w:val="00535AB4"/>
    <w:rsid w:val="00536AF1"/>
    <w:rsid w:val="005370E6"/>
    <w:rsid w:val="005406E5"/>
    <w:rsid w:val="00540CC5"/>
    <w:rsid w:val="00540FAB"/>
    <w:rsid w:val="00541314"/>
    <w:rsid w:val="00541A40"/>
    <w:rsid w:val="00541F54"/>
    <w:rsid w:val="00541F8E"/>
    <w:rsid w:val="005423DE"/>
    <w:rsid w:val="00543931"/>
    <w:rsid w:val="00543A1F"/>
    <w:rsid w:val="00543D7A"/>
    <w:rsid w:val="00543FCF"/>
    <w:rsid w:val="0054405F"/>
    <w:rsid w:val="00544673"/>
    <w:rsid w:val="00544CE5"/>
    <w:rsid w:val="00544E9B"/>
    <w:rsid w:val="00545486"/>
    <w:rsid w:val="005454C7"/>
    <w:rsid w:val="00545F8F"/>
    <w:rsid w:val="00546302"/>
    <w:rsid w:val="005469B7"/>
    <w:rsid w:val="00546B5C"/>
    <w:rsid w:val="005475A7"/>
    <w:rsid w:val="0054772B"/>
    <w:rsid w:val="0054790A"/>
    <w:rsid w:val="005479D9"/>
    <w:rsid w:val="00547F8A"/>
    <w:rsid w:val="00550A5C"/>
    <w:rsid w:val="00551003"/>
    <w:rsid w:val="0055199E"/>
    <w:rsid w:val="00551D65"/>
    <w:rsid w:val="00551DAE"/>
    <w:rsid w:val="00553278"/>
    <w:rsid w:val="0055411D"/>
    <w:rsid w:val="0055441D"/>
    <w:rsid w:val="00554840"/>
    <w:rsid w:val="00554C94"/>
    <w:rsid w:val="0055560A"/>
    <w:rsid w:val="00557B6D"/>
    <w:rsid w:val="00557FB5"/>
    <w:rsid w:val="00560262"/>
    <w:rsid w:val="005603DC"/>
    <w:rsid w:val="00560566"/>
    <w:rsid w:val="005610C8"/>
    <w:rsid w:val="005611F4"/>
    <w:rsid w:val="0056134C"/>
    <w:rsid w:val="00561392"/>
    <w:rsid w:val="00561E10"/>
    <w:rsid w:val="00562372"/>
    <w:rsid w:val="00562600"/>
    <w:rsid w:val="005638EE"/>
    <w:rsid w:val="00563E74"/>
    <w:rsid w:val="00564E52"/>
    <w:rsid w:val="00565AD2"/>
    <w:rsid w:val="005664C9"/>
    <w:rsid w:val="00566CD7"/>
    <w:rsid w:val="00566DEE"/>
    <w:rsid w:val="00566F52"/>
    <w:rsid w:val="005671BC"/>
    <w:rsid w:val="005678B9"/>
    <w:rsid w:val="00570999"/>
    <w:rsid w:val="005714BA"/>
    <w:rsid w:val="00571A0F"/>
    <w:rsid w:val="00571D81"/>
    <w:rsid w:val="0057331B"/>
    <w:rsid w:val="005733C7"/>
    <w:rsid w:val="0057361E"/>
    <w:rsid w:val="0057389F"/>
    <w:rsid w:val="005747F8"/>
    <w:rsid w:val="00574934"/>
    <w:rsid w:val="0057581E"/>
    <w:rsid w:val="00575B04"/>
    <w:rsid w:val="00575D38"/>
    <w:rsid w:val="00575F72"/>
    <w:rsid w:val="00576785"/>
    <w:rsid w:val="00576987"/>
    <w:rsid w:val="00576D7C"/>
    <w:rsid w:val="00577085"/>
    <w:rsid w:val="005773E8"/>
    <w:rsid w:val="00577502"/>
    <w:rsid w:val="00577D21"/>
    <w:rsid w:val="0058008F"/>
    <w:rsid w:val="005803D5"/>
    <w:rsid w:val="00580C1F"/>
    <w:rsid w:val="00581246"/>
    <w:rsid w:val="00581469"/>
    <w:rsid w:val="00581887"/>
    <w:rsid w:val="00581D2B"/>
    <w:rsid w:val="005826F4"/>
    <w:rsid w:val="0058281C"/>
    <w:rsid w:val="00582DA4"/>
    <w:rsid w:val="005831B6"/>
    <w:rsid w:val="00583245"/>
    <w:rsid w:val="0058337B"/>
    <w:rsid w:val="00583DD9"/>
    <w:rsid w:val="00584317"/>
    <w:rsid w:val="0058444A"/>
    <w:rsid w:val="005854F7"/>
    <w:rsid w:val="005858ED"/>
    <w:rsid w:val="00585BFA"/>
    <w:rsid w:val="00586725"/>
    <w:rsid w:val="00586757"/>
    <w:rsid w:val="00586D4D"/>
    <w:rsid w:val="00586E2F"/>
    <w:rsid w:val="005900A4"/>
    <w:rsid w:val="00590638"/>
    <w:rsid w:val="00590B7B"/>
    <w:rsid w:val="00590F7F"/>
    <w:rsid w:val="005910DE"/>
    <w:rsid w:val="005911E6"/>
    <w:rsid w:val="0059140A"/>
    <w:rsid w:val="00591509"/>
    <w:rsid w:val="00591C90"/>
    <w:rsid w:val="0059286C"/>
    <w:rsid w:val="00592B25"/>
    <w:rsid w:val="00592B3D"/>
    <w:rsid w:val="00592C30"/>
    <w:rsid w:val="00592DE2"/>
    <w:rsid w:val="00593174"/>
    <w:rsid w:val="00593350"/>
    <w:rsid w:val="005933DE"/>
    <w:rsid w:val="00593545"/>
    <w:rsid w:val="00593A5E"/>
    <w:rsid w:val="0059400B"/>
    <w:rsid w:val="005940A4"/>
    <w:rsid w:val="0059540C"/>
    <w:rsid w:val="005957BD"/>
    <w:rsid w:val="005968FA"/>
    <w:rsid w:val="00596A2B"/>
    <w:rsid w:val="00597448"/>
    <w:rsid w:val="00597641"/>
    <w:rsid w:val="00597737"/>
    <w:rsid w:val="005A279B"/>
    <w:rsid w:val="005A27F6"/>
    <w:rsid w:val="005A2C57"/>
    <w:rsid w:val="005A2DB9"/>
    <w:rsid w:val="005A304B"/>
    <w:rsid w:val="005A4460"/>
    <w:rsid w:val="005A47E5"/>
    <w:rsid w:val="005A49AF"/>
    <w:rsid w:val="005A50D9"/>
    <w:rsid w:val="005A55A2"/>
    <w:rsid w:val="005A560E"/>
    <w:rsid w:val="005A57D2"/>
    <w:rsid w:val="005A59A8"/>
    <w:rsid w:val="005A5C8D"/>
    <w:rsid w:val="005A6B37"/>
    <w:rsid w:val="005A7B3B"/>
    <w:rsid w:val="005A7F12"/>
    <w:rsid w:val="005B0142"/>
    <w:rsid w:val="005B0587"/>
    <w:rsid w:val="005B0BFE"/>
    <w:rsid w:val="005B1441"/>
    <w:rsid w:val="005B152D"/>
    <w:rsid w:val="005B1BB5"/>
    <w:rsid w:val="005B1F87"/>
    <w:rsid w:val="005B2118"/>
    <w:rsid w:val="005B211E"/>
    <w:rsid w:val="005B221A"/>
    <w:rsid w:val="005B289C"/>
    <w:rsid w:val="005B2C97"/>
    <w:rsid w:val="005B354F"/>
    <w:rsid w:val="005B3EC6"/>
    <w:rsid w:val="005B4471"/>
    <w:rsid w:val="005B4A17"/>
    <w:rsid w:val="005B53C1"/>
    <w:rsid w:val="005B56E9"/>
    <w:rsid w:val="005B5A3C"/>
    <w:rsid w:val="005B5E4D"/>
    <w:rsid w:val="005B5FCB"/>
    <w:rsid w:val="005B69A7"/>
    <w:rsid w:val="005B7098"/>
    <w:rsid w:val="005B7960"/>
    <w:rsid w:val="005B7DE7"/>
    <w:rsid w:val="005C0D5C"/>
    <w:rsid w:val="005C0D84"/>
    <w:rsid w:val="005C10CE"/>
    <w:rsid w:val="005C12DF"/>
    <w:rsid w:val="005C167E"/>
    <w:rsid w:val="005C22AB"/>
    <w:rsid w:val="005C2618"/>
    <w:rsid w:val="005C28C2"/>
    <w:rsid w:val="005C2D17"/>
    <w:rsid w:val="005C4489"/>
    <w:rsid w:val="005C44C2"/>
    <w:rsid w:val="005C49AE"/>
    <w:rsid w:val="005C50BA"/>
    <w:rsid w:val="005C5430"/>
    <w:rsid w:val="005C5638"/>
    <w:rsid w:val="005C5AD9"/>
    <w:rsid w:val="005C5C88"/>
    <w:rsid w:val="005C5FCA"/>
    <w:rsid w:val="005C6148"/>
    <w:rsid w:val="005C65C8"/>
    <w:rsid w:val="005C6643"/>
    <w:rsid w:val="005C6B93"/>
    <w:rsid w:val="005C6F2B"/>
    <w:rsid w:val="005C7D8A"/>
    <w:rsid w:val="005C7DA1"/>
    <w:rsid w:val="005D091F"/>
    <w:rsid w:val="005D102A"/>
    <w:rsid w:val="005D12ED"/>
    <w:rsid w:val="005D1DB2"/>
    <w:rsid w:val="005D222E"/>
    <w:rsid w:val="005D2CC6"/>
    <w:rsid w:val="005D2FB2"/>
    <w:rsid w:val="005D3A21"/>
    <w:rsid w:val="005D3AF4"/>
    <w:rsid w:val="005D3BA9"/>
    <w:rsid w:val="005D4920"/>
    <w:rsid w:val="005D68FA"/>
    <w:rsid w:val="005D6F72"/>
    <w:rsid w:val="005D6FBB"/>
    <w:rsid w:val="005D7299"/>
    <w:rsid w:val="005D77B7"/>
    <w:rsid w:val="005E029F"/>
    <w:rsid w:val="005E02E9"/>
    <w:rsid w:val="005E05C0"/>
    <w:rsid w:val="005E0BD1"/>
    <w:rsid w:val="005E0DC6"/>
    <w:rsid w:val="005E1463"/>
    <w:rsid w:val="005E15E4"/>
    <w:rsid w:val="005E1929"/>
    <w:rsid w:val="005E25A6"/>
    <w:rsid w:val="005E25CE"/>
    <w:rsid w:val="005E30AB"/>
    <w:rsid w:val="005E31A4"/>
    <w:rsid w:val="005E3B05"/>
    <w:rsid w:val="005E3D61"/>
    <w:rsid w:val="005E4023"/>
    <w:rsid w:val="005E4883"/>
    <w:rsid w:val="005E505A"/>
    <w:rsid w:val="005E50C2"/>
    <w:rsid w:val="005E519F"/>
    <w:rsid w:val="005E5211"/>
    <w:rsid w:val="005E5A80"/>
    <w:rsid w:val="005E5D79"/>
    <w:rsid w:val="005E63BE"/>
    <w:rsid w:val="005E68C7"/>
    <w:rsid w:val="005E7152"/>
    <w:rsid w:val="005E79D8"/>
    <w:rsid w:val="005F0255"/>
    <w:rsid w:val="005F0732"/>
    <w:rsid w:val="005F0970"/>
    <w:rsid w:val="005F0FC0"/>
    <w:rsid w:val="005F120B"/>
    <w:rsid w:val="005F1EA6"/>
    <w:rsid w:val="005F27BA"/>
    <w:rsid w:val="005F3440"/>
    <w:rsid w:val="005F3A7A"/>
    <w:rsid w:val="005F3B69"/>
    <w:rsid w:val="005F468E"/>
    <w:rsid w:val="005F564D"/>
    <w:rsid w:val="005F5B4B"/>
    <w:rsid w:val="005F5DFA"/>
    <w:rsid w:val="005F6593"/>
    <w:rsid w:val="005F7337"/>
    <w:rsid w:val="005F754C"/>
    <w:rsid w:val="005F7FFC"/>
    <w:rsid w:val="006010AA"/>
    <w:rsid w:val="006013A4"/>
    <w:rsid w:val="006018C5"/>
    <w:rsid w:val="006027CF"/>
    <w:rsid w:val="006027D2"/>
    <w:rsid w:val="006034BA"/>
    <w:rsid w:val="00603D4D"/>
    <w:rsid w:val="00603D70"/>
    <w:rsid w:val="0060409C"/>
    <w:rsid w:val="0060422B"/>
    <w:rsid w:val="00605023"/>
    <w:rsid w:val="00605246"/>
    <w:rsid w:val="00605E78"/>
    <w:rsid w:val="0060665D"/>
    <w:rsid w:val="00606BFB"/>
    <w:rsid w:val="006075D9"/>
    <w:rsid w:val="0060796B"/>
    <w:rsid w:val="00607F42"/>
    <w:rsid w:val="00610561"/>
    <w:rsid w:val="00610DAC"/>
    <w:rsid w:val="00611720"/>
    <w:rsid w:val="00611DFC"/>
    <w:rsid w:val="00612B30"/>
    <w:rsid w:val="0061333C"/>
    <w:rsid w:val="00613D70"/>
    <w:rsid w:val="00614A2C"/>
    <w:rsid w:val="00614D86"/>
    <w:rsid w:val="00614F9D"/>
    <w:rsid w:val="006150FB"/>
    <w:rsid w:val="00615E85"/>
    <w:rsid w:val="00615F03"/>
    <w:rsid w:val="006168DF"/>
    <w:rsid w:val="00616D5B"/>
    <w:rsid w:val="0061746C"/>
    <w:rsid w:val="00617535"/>
    <w:rsid w:val="00617A03"/>
    <w:rsid w:val="0062070E"/>
    <w:rsid w:val="00620B67"/>
    <w:rsid w:val="00620FA8"/>
    <w:rsid w:val="00620FBC"/>
    <w:rsid w:val="00621329"/>
    <w:rsid w:val="0062186D"/>
    <w:rsid w:val="006219B0"/>
    <w:rsid w:val="00621E56"/>
    <w:rsid w:val="00622009"/>
    <w:rsid w:val="006221A3"/>
    <w:rsid w:val="00622D67"/>
    <w:rsid w:val="006232E7"/>
    <w:rsid w:val="006236E3"/>
    <w:rsid w:val="00623777"/>
    <w:rsid w:val="00623D44"/>
    <w:rsid w:val="00623EBD"/>
    <w:rsid w:val="006242D9"/>
    <w:rsid w:val="00624709"/>
    <w:rsid w:val="00624A77"/>
    <w:rsid w:val="00624B6C"/>
    <w:rsid w:val="00624E6C"/>
    <w:rsid w:val="006250E1"/>
    <w:rsid w:val="00625B99"/>
    <w:rsid w:val="00625C27"/>
    <w:rsid w:val="00625E5F"/>
    <w:rsid w:val="00627D53"/>
    <w:rsid w:val="00630569"/>
    <w:rsid w:val="006317EF"/>
    <w:rsid w:val="0063182B"/>
    <w:rsid w:val="00631E82"/>
    <w:rsid w:val="00631FBE"/>
    <w:rsid w:val="006325EB"/>
    <w:rsid w:val="00632F15"/>
    <w:rsid w:val="00633C70"/>
    <w:rsid w:val="00633DE9"/>
    <w:rsid w:val="00634342"/>
    <w:rsid w:val="0063483F"/>
    <w:rsid w:val="00634867"/>
    <w:rsid w:val="00634A0A"/>
    <w:rsid w:val="00634A88"/>
    <w:rsid w:val="00634B04"/>
    <w:rsid w:val="006350A2"/>
    <w:rsid w:val="006351FB"/>
    <w:rsid w:val="006353A5"/>
    <w:rsid w:val="00635A32"/>
    <w:rsid w:val="0063611B"/>
    <w:rsid w:val="006361BC"/>
    <w:rsid w:val="00636829"/>
    <w:rsid w:val="0063745E"/>
    <w:rsid w:val="00637FC0"/>
    <w:rsid w:val="00640E0A"/>
    <w:rsid w:val="00640EFC"/>
    <w:rsid w:val="006410F9"/>
    <w:rsid w:val="006412B9"/>
    <w:rsid w:val="006413C8"/>
    <w:rsid w:val="00641516"/>
    <w:rsid w:val="0064189B"/>
    <w:rsid w:val="006419C8"/>
    <w:rsid w:val="006425C4"/>
    <w:rsid w:val="00642A5E"/>
    <w:rsid w:val="00642AB8"/>
    <w:rsid w:val="00643209"/>
    <w:rsid w:val="00643AE5"/>
    <w:rsid w:val="00645134"/>
    <w:rsid w:val="00645530"/>
    <w:rsid w:val="0064553B"/>
    <w:rsid w:val="0064564E"/>
    <w:rsid w:val="006462AC"/>
    <w:rsid w:val="00646BB6"/>
    <w:rsid w:val="00646F1B"/>
    <w:rsid w:val="00647086"/>
    <w:rsid w:val="00647247"/>
    <w:rsid w:val="006473FE"/>
    <w:rsid w:val="00647D9C"/>
    <w:rsid w:val="00650520"/>
    <w:rsid w:val="0065085B"/>
    <w:rsid w:val="006511DA"/>
    <w:rsid w:val="00651625"/>
    <w:rsid w:val="006518D8"/>
    <w:rsid w:val="00651ACA"/>
    <w:rsid w:val="00651E4D"/>
    <w:rsid w:val="00652580"/>
    <w:rsid w:val="0065285F"/>
    <w:rsid w:val="006529DB"/>
    <w:rsid w:val="00652B34"/>
    <w:rsid w:val="00652F26"/>
    <w:rsid w:val="0065342E"/>
    <w:rsid w:val="0065351F"/>
    <w:rsid w:val="00653DE3"/>
    <w:rsid w:val="006543FB"/>
    <w:rsid w:val="00654552"/>
    <w:rsid w:val="0065468B"/>
    <w:rsid w:val="00654A08"/>
    <w:rsid w:val="00654BB1"/>
    <w:rsid w:val="00655FE3"/>
    <w:rsid w:val="00656AFA"/>
    <w:rsid w:val="00656BB5"/>
    <w:rsid w:val="00656C49"/>
    <w:rsid w:val="00656FDE"/>
    <w:rsid w:val="00657145"/>
    <w:rsid w:val="00657982"/>
    <w:rsid w:val="00657D70"/>
    <w:rsid w:val="006600F1"/>
    <w:rsid w:val="0066157E"/>
    <w:rsid w:val="00661BFF"/>
    <w:rsid w:val="00661C23"/>
    <w:rsid w:val="00661D99"/>
    <w:rsid w:val="00661DCA"/>
    <w:rsid w:val="0066243A"/>
    <w:rsid w:val="00662B67"/>
    <w:rsid w:val="00663336"/>
    <w:rsid w:val="006633AE"/>
    <w:rsid w:val="00664741"/>
    <w:rsid w:val="00664745"/>
    <w:rsid w:val="0066475C"/>
    <w:rsid w:val="00665245"/>
    <w:rsid w:val="00665844"/>
    <w:rsid w:val="00665B21"/>
    <w:rsid w:val="00665E42"/>
    <w:rsid w:val="00666035"/>
    <w:rsid w:val="0066610A"/>
    <w:rsid w:val="00666B25"/>
    <w:rsid w:val="00666EDA"/>
    <w:rsid w:val="00667331"/>
    <w:rsid w:val="00667A93"/>
    <w:rsid w:val="00670CB7"/>
    <w:rsid w:val="00670CF8"/>
    <w:rsid w:val="00671B3A"/>
    <w:rsid w:val="006722B6"/>
    <w:rsid w:val="006724BF"/>
    <w:rsid w:val="00672740"/>
    <w:rsid w:val="0067280F"/>
    <w:rsid w:val="00672CB6"/>
    <w:rsid w:val="00672CCF"/>
    <w:rsid w:val="006730D9"/>
    <w:rsid w:val="00673225"/>
    <w:rsid w:val="00673255"/>
    <w:rsid w:val="0067350D"/>
    <w:rsid w:val="006735B0"/>
    <w:rsid w:val="00674080"/>
    <w:rsid w:val="00674AEB"/>
    <w:rsid w:val="00675100"/>
    <w:rsid w:val="006755BD"/>
    <w:rsid w:val="00675947"/>
    <w:rsid w:val="00675E81"/>
    <w:rsid w:val="00677310"/>
    <w:rsid w:val="00680C98"/>
    <w:rsid w:val="00680DBA"/>
    <w:rsid w:val="0068135E"/>
    <w:rsid w:val="006819BE"/>
    <w:rsid w:val="006821C9"/>
    <w:rsid w:val="00682208"/>
    <w:rsid w:val="00682515"/>
    <w:rsid w:val="0068325B"/>
    <w:rsid w:val="006838E1"/>
    <w:rsid w:val="00683A4A"/>
    <w:rsid w:val="00684021"/>
    <w:rsid w:val="00684233"/>
    <w:rsid w:val="0068452D"/>
    <w:rsid w:val="00684CE7"/>
    <w:rsid w:val="00685CAF"/>
    <w:rsid w:val="00685DE2"/>
    <w:rsid w:val="00686160"/>
    <w:rsid w:val="00686490"/>
    <w:rsid w:val="00686B36"/>
    <w:rsid w:val="0068739A"/>
    <w:rsid w:val="0068750D"/>
    <w:rsid w:val="00687C64"/>
    <w:rsid w:val="00687CA5"/>
    <w:rsid w:val="00687F09"/>
    <w:rsid w:val="006900C2"/>
    <w:rsid w:val="006900C3"/>
    <w:rsid w:val="006911B1"/>
    <w:rsid w:val="006912B0"/>
    <w:rsid w:val="0069140C"/>
    <w:rsid w:val="00691586"/>
    <w:rsid w:val="0069174F"/>
    <w:rsid w:val="00691989"/>
    <w:rsid w:val="00691AB1"/>
    <w:rsid w:val="00691DC8"/>
    <w:rsid w:val="00693A47"/>
    <w:rsid w:val="00693FA3"/>
    <w:rsid w:val="00694203"/>
    <w:rsid w:val="00694316"/>
    <w:rsid w:val="0069451B"/>
    <w:rsid w:val="0069484C"/>
    <w:rsid w:val="00694E4A"/>
    <w:rsid w:val="00694E95"/>
    <w:rsid w:val="0069656F"/>
    <w:rsid w:val="00696590"/>
    <w:rsid w:val="00696E69"/>
    <w:rsid w:val="00696FB0"/>
    <w:rsid w:val="00696FF3"/>
    <w:rsid w:val="00697314"/>
    <w:rsid w:val="006973F1"/>
    <w:rsid w:val="00697A47"/>
    <w:rsid w:val="006A0408"/>
    <w:rsid w:val="006A0FC9"/>
    <w:rsid w:val="006A100C"/>
    <w:rsid w:val="006A16A8"/>
    <w:rsid w:val="006A1942"/>
    <w:rsid w:val="006A1AA5"/>
    <w:rsid w:val="006A20AA"/>
    <w:rsid w:val="006A3B1B"/>
    <w:rsid w:val="006A3FF8"/>
    <w:rsid w:val="006A40FF"/>
    <w:rsid w:val="006A4F90"/>
    <w:rsid w:val="006A50ED"/>
    <w:rsid w:val="006A5125"/>
    <w:rsid w:val="006A51B0"/>
    <w:rsid w:val="006A5351"/>
    <w:rsid w:val="006A6019"/>
    <w:rsid w:val="006A6067"/>
    <w:rsid w:val="006A62D7"/>
    <w:rsid w:val="006A63BA"/>
    <w:rsid w:val="006A66AF"/>
    <w:rsid w:val="006A7346"/>
    <w:rsid w:val="006A7692"/>
    <w:rsid w:val="006A76FB"/>
    <w:rsid w:val="006A78AD"/>
    <w:rsid w:val="006A7CA3"/>
    <w:rsid w:val="006B03A4"/>
    <w:rsid w:val="006B085D"/>
    <w:rsid w:val="006B097C"/>
    <w:rsid w:val="006B108C"/>
    <w:rsid w:val="006B14DC"/>
    <w:rsid w:val="006B17E5"/>
    <w:rsid w:val="006B1B71"/>
    <w:rsid w:val="006B1FD1"/>
    <w:rsid w:val="006B2432"/>
    <w:rsid w:val="006B248D"/>
    <w:rsid w:val="006B2581"/>
    <w:rsid w:val="006B295A"/>
    <w:rsid w:val="006B30CF"/>
    <w:rsid w:val="006B342A"/>
    <w:rsid w:val="006B4036"/>
    <w:rsid w:val="006B4DA2"/>
    <w:rsid w:val="006B5A96"/>
    <w:rsid w:val="006B5D73"/>
    <w:rsid w:val="006B7579"/>
    <w:rsid w:val="006B76FD"/>
    <w:rsid w:val="006B7B31"/>
    <w:rsid w:val="006C0109"/>
    <w:rsid w:val="006C04E2"/>
    <w:rsid w:val="006C0C05"/>
    <w:rsid w:val="006C108D"/>
    <w:rsid w:val="006C1734"/>
    <w:rsid w:val="006C1DD7"/>
    <w:rsid w:val="006C1DF0"/>
    <w:rsid w:val="006C2154"/>
    <w:rsid w:val="006C2BEF"/>
    <w:rsid w:val="006C2EC4"/>
    <w:rsid w:val="006C3384"/>
    <w:rsid w:val="006C33FD"/>
    <w:rsid w:val="006C3442"/>
    <w:rsid w:val="006C3674"/>
    <w:rsid w:val="006C3A51"/>
    <w:rsid w:val="006C40B2"/>
    <w:rsid w:val="006C40D4"/>
    <w:rsid w:val="006C4139"/>
    <w:rsid w:val="006C4AF8"/>
    <w:rsid w:val="006C4D23"/>
    <w:rsid w:val="006C529B"/>
    <w:rsid w:val="006C54E7"/>
    <w:rsid w:val="006C55CD"/>
    <w:rsid w:val="006C63F6"/>
    <w:rsid w:val="006C74C1"/>
    <w:rsid w:val="006C7511"/>
    <w:rsid w:val="006C771E"/>
    <w:rsid w:val="006C7EB4"/>
    <w:rsid w:val="006D0527"/>
    <w:rsid w:val="006D05CD"/>
    <w:rsid w:val="006D09EE"/>
    <w:rsid w:val="006D0B98"/>
    <w:rsid w:val="006D0D6F"/>
    <w:rsid w:val="006D0DF7"/>
    <w:rsid w:val="006D183C"/>
    <w:rsid w:val="006D295B"/>
    <w:rsid w:val="006D2D50"/>
    <w:rsid w:val="006D378A"/>
    <w:rsid w:val="006D38CE"/>
    <w:rsid w:val="006D3902"/>
    <w:rsid w:val="006D4B5B"/>
    <w:rsid w:val="006D5DE9"/>
    <w:rsid w:val="006D5F96"/>
    <w:rsid w:val="006D64ED"/>
    <w:rsid w:val="006D6625"/>
    <w:rsid w:val="006D6AB7"/>
    <w:rsid w:val="006D6B3A"/>
    <w:rsid w:val="006D6C96"/>
    <w:rsid w:val="006D7581"/>
    <w:rsid w:val="006D775E"/>
    <w:rsid w:val="006E02E8"/>
    <w:rsid w:val="006E0C17"/>
    <w:rsid w:val="006E0E24"/>
    <w:rsid w:val="006E146C"/>
    <w:rsid w:val="006E14BE"/>
    <w:rsid w:val="006E1A35"/>
    <w:rsid w:val="006E1A5D"/>
    <w:rsid w:val="006E23D4"/>
    <w:rsid w:val="006E2A45"/>
    <w:rsid w:val="006E2B5B"/>
    <w:rsid w:val="006E3196"/>
    <w:rsid w:val="006E374E"/>
    <w:rsid w:val="006E4167"/>
    <w:rsid w:val="006E5795"/>
    <w:rsid w:val="006E5CB0"/>
    <w:rsid w:val="006E6195"/>
    <w:rsid w:val="006E6EC9"/>
    <w:rsid w:val="006E7206"/>
    <w:rsid w:val="006E7EFE"/>
    <w:rsid w:val="006F0C33"/>
    <w:rsid w:val="006F0D0C"/>
    <w:rsid w:val="006F1986"/>
    <w:rsid w:val="006F1CC0"/>
    <w:rsid w:val="006F2581"/>
    <w:rsid w:val="006F3450"/>
    <w:rsid w:val="006F34A2"/>
    <w:rsid w:val="006F3C37"/>
    <w:rsid w:val="006F3C61"/>
    <w:rsid w:val="006F3CDE"/>
    <w:rsid w:val="006F46CD"/>
    <w:rsid w:val="006F498C"/>
    <w:rsid w:val="006F5703"/>
    <w:rsid w:val="006F585D"/>
    <w:rsid w:val="006F5EAF"/>
    <w:rsid w:val="006F6DAA"/>
    <w:rsid w:val="006F71AA"/>
    <w:rsid w:val="006F75E3"/>
    <w:rsid w:val="006F78E7"/>
    <w:rsid w:val="007000EC"/>
    <w:rsid w:val="0070044E"/>
    <w:rsid w:val="007009F3"/>
    <w:rsid w:val="00701158"/>
    <w:rsid w:val="007011F7"/>
    <w:rsid w:val="0070146C"/>
    <w:rsid w:val="0070161B"/>
    <w:rsid w:val="007017ED"/>
    <w:rsid w:val="00701A23"/>
    <w:rsid w:val="00701C3D"/>
    <w:rsid w:val="00701CCE"/>
    <w:rsid w:val="00702C98"/>
    <w:rsid w:val="00703173"/>
    <w:rsid w:val="00703213"/>
    <w:rsid w:val="00703741"/>
    <w:rsid w:val="007038C0"/>
    <w:rsid w:val="00703FCC"/>
    <w:rsid w:val="00704244"/>
    <w:rsid w:val="007045E6"/>
    <w:rsid w:val="007047AF"/>
    <w:rsid w:val="00704A2C"/>
    <w:rsid w:val="007054FB"/>
    <w:rsid w:val="00705FE8"/>
    <w:rsid w:val="007060E9"/>
    <w:rsid w:val="007066D1"/>
    <w:rsid w:val="00706D89"/>
    <w:rsid w:val="00706FDB"/>
    <w:rsid w:val="00707171"/>
    <w:rsid w:val="00707659"/>
    <w:rsid w:val="007078CA"/>
    <w:rsid w:val="00707C23"/>
    <w:rsid w:val="00707F5D"/>
    <w:rsid w:val="00710215"/>
    <w:rsid w:val="007104D4"/>
    <w:rsid w:val="0071052A"/>
    <w:rsid w:val="00710988"/>
    <w:rsid w:val="00710AE9"/>
    <w:rsid w:val="00711008"/>
    <w:rsid w:val="0071187D"/>
    <w:rsid w:val="00712017"/>
    <w:rsid w:val="00713977"/>
    <w:rsid w:val="00713B82"/>
    <w:rsid w:val="00713C60"/>
    <w:rsid w:val="00713E61"/>
    <w:rsid w:val="0071487B"/>
    <w:rsid w:val="00714882"/>
    <w:rsid w:val="00714D1D"/>
    <w:rsid w:val="00714F69"/>
    <w:rsid w:val="00714FEB"/>
    <w:rsid w:val="00715F92"/>
    <w:rsid w:val="007164FF"/>
    <w:rsid w:val="00716DEC"/>
    <w:rsid w:val="00716F78"/>
    <w:rsid w:val="00717473"/>
    <w:rsid w:val="00717647"/>
    <w:rsid w:val="0071769E"/>
    <w:rsid w:val="00717A9E"/>
    <w:rsid w:val="00720567"/>
    <w:rsid w:val="00720948"/>
    <w:rsid w:val="00720F72"/>
    <w:rsid w:val="00720F9C"/>
    <w:rsid w:val="00721130"/>
    <w:rsid w:val="00721625"/>
    <w:rsid w:val="0072177E"/>
    <w:rsid w:val="0072217D"/>
    <w:rsid w:val="00722218"/>
    <w:rsid w:val="0072229D"/>
    <w:rsid w:val="00722B3F"/>
    <w:rsid w:val="00722B72"/>
    <w:rsid w:val="0072325C"/>
    <w:rsid w:val="007235AC"/>
    <w:rsid w:val="00723A7B"/>
    <w:rsid w:val="00723E56"/>
    <w:rsid w:val="00724115"/>
    <w:rsid w:val="0072418E"/>
    <w:rsid w:val="007243BD"/>
    <w:rsid w:val="0072479F"/>
    <w:rsid w:val="0072481D"/>
    <w:rsid w:val="007250C7"/>
    <w:rsid w:val="007258F8"/>
    <w:rsid w:val="00725998"/>
    <w:rsid w:val="007261A0"/>
    <w:rsid w:val="007261B3"/>
    <w:rsid w:val="00726FEB"/>
    <w:rsid w:val="0072732A"/>
    <w:rsid w:val="00727840"/>
    <w:rsid w:val="0072787A"/>
    <w:rsid w:val="00727CD6"/>
    <w:rsid w:val="00730AAE"/>
    <w:rsid w:val="00730CA0"/>
    <w:rsid w:val="00730E25"/>
    <w:rsid w:val="00730E2A"/>
    <w:rsid w:val="00731B84"/>
    <w:rsid w:val="00731F4D"/>
    <w:rsid w:val="0073266D"/>
    <w:rsid w:val="00732726"/>
    <w:rsid w:val="00732965"/>
    <w:rsid w:val="00732D31"/>
    <w:rsid w:val="00732D3B"/>
    <w:rsid w:val="0073311E"/>
    <w:rsid w:val="00733242"/>
    <w:rsid w:val="00733A89"/>
    <w:rsid w:val="0073451A"/>
    <w:rsid w:val="007352C4"/>
    <w:rsid w:val="00735319"/>
    <w:rsid w:val="007353C1"/>
    <w:rsid w:val="007354DB"/>
    <w:rsid w:val="007356FE"/>
    <w:rsid w:val="00735AF4"/>
    <w:rsid w:val="00735FF4"/>
    <w:rsid w:val="007360BA"/>
    <w:rsid w:val="007360D8"/>
    <w:rsid w:val="0073687F"/>
    <w:rsid w:val="00736A44"/>
    <w:rsid w:val="00736C9B"/>
    <w:rsid w:val="00736EE8"/>
    <w:rsid w:val="00736F5A"/>
    <w:rsid w:val="00737221"/>
    <w:rsid w:val="00737332"/>
    <w:rsid w:val="00737893"/>
    <w:rsid w:val="00737F9F"/>
    <w:rsid w:val="007400B0"/>
    <w:rsid w:val="007405CC"/>
    <w:rsid w:val="007409DD"/>
    <w:rsid w:val="00740C23"/>
    <w:rsid w:val="007414C5"/>
    <w:rsid w:val="00741B29"/>
    <w:rsid w:val="007423BD"/>
    <w:rsid w:val="00742535"/>
    <w:rsid w:val="00742672"/>
    <w:rsid w:val="00742886"/>
    <w:rsid w:val="00742B6E"/>
    <w:rsid w:val="00742F77"/>
    <w:rsid w:val="00742F95"/>
    <w:rsid w:val="0074307D"/>
    <w:rsid w:val="007430D3"/>
    <w:rsid w:val="007435E8"/>
    <w:rsid w:val="007437CA"/>
    <w:rsid w:val="00744027"/>
    <w:rsid w:val="007442FF"/>
    <w:rsid w:val="00745313"/>
    <w:rsid w:val="00745647"/>
    <w:rsid w:val="00746355"/>
    <w:rsid w:val="00746B19"/>
    <w:rsid w:val="00746CC4"/>
    <w:rsid w:val="00747100"/>
    <w:rsid w:val="007471DD"/>
    <w:rsid w:val="0074767C"/>
    <w:rsid w:val="00750C3E"/>
    <w:rsid w:val="00751295"/>
    <w:rsid w:val="00751C6A"/>
    <w:rsid w:val="00753179"/>
    <w:rsid w:val="007531D6"/>
    <w:rsid w:val="007532F3"/>
    <w:rsid w:val="007536D0"/>
    <w:rsid w:val="0075380E"/>
    <w:rsid w:val="00754150"/>
    <w:rsid w:val="00754290"/>
    <w:rsid w:val="00754EE5"/>
    <w:rsid w:val="00755176"/>
    <w:rsid w:val="0075579D"/>
    <w:rsid w:val="00755D6C"/>
    <w:rsid w:val="007571E6"/>
    <w:rsid w:val="0075764E"/>
    <w:rsid w:val="00757BE4"/>
    <w:rsid w:val="007613FC"/>
    <w:rsid w:val="007614CA"/>
    <w:rsid w:val="00761DFC"/>
    <w:rsid w:val="00762281"/>
    <w:rsid w:val="00762753"/>
    <w:rsid w:val="00762808"/>
    <w:rsid w:val="007629ED"/>
    <w:rsid w:val="0076331A"/>
    <w:rsid w:val="0076353C"/>
    <w:rsid w:val="00763579"/>
    <w:rsid w:val="0076369B"/>
    <w:rsid w:val="00763914"/>
    <w:rsid w:val="00763EF9"/>
    <w:rsid w:val="00763F49"/>
    <w:rsid w:val="0076497B"/>
    <w:rsid w:val="00764C1A"/>
    <w:rsid w:val="00764F6F"/>
    <w:rsid w:val="00765128"/>
    <w:rsid w:val="00765144"/>
    <w:rsid w:val="00765945"/>
    <w:rsid w:val="00765960"/>
    <w:rsid w:val="00765D53"/>
    <w:rsid w:val="00765D54"/>
    <w:rsid w:val="00765D8F"/>
    <w:rsid w:val="00766193"/>
    <w:rsid w:val="00766668"/>
    <w:rsid w:val="00766788"/>
    <w:rsid w:val="00766869"/>
    <w:rsid w:val="00766FA0"/>
    <w:rsid w:val="007670D7"/>
    <w:rsid w:val="00767151"/>
    <w:rsid w:val="007671FA"/>
    <w:rsid w:val="00767455"/>
    <w:rsid w:val="00767DC9"/>
    <w:rsid w:val="0077029D"/>
    <w:rsid w:val="007703DB"/>
    <w:rsid w:val="007704EF"/>
    <w:rsid w:val="00770856"/>
    <w:rsid w:val="00770BCB"/>
    <w:rsid w:val="0077141F"/>
    <w:rsid w:val="00771959"/>
    <w:rsid w:val="00771963"/>
    <w:rsid w:val="00771EFC"/>
    <w:rsid w:val="007720AC"/>
    <w:rsid w:val="00772612"/>
    <w:rsid w:val="00772727"/>
    <w:rsid w:val="00773083"/>
    <w:rsid w:val="007735D0"/>
    <w:rsid w:val="007739F6"/>
    <w:rsid w:val="00773E6C"/>
    <w:rsid w:val="00774791"/>
    <w:rsid w:val="00774814"/>
    <w:rsid w:val="00774DC4"/>
    <w:rsid w:val="00774F8B"/>
    <w:rsid w:val="00775029"/>
    <w:rsid w:val="007751DA"/>
    <w:rsid w:val="00776161"/>
    <w:rsid w:val="007767D9"/>
    <w:rsid w:val="007769C1"/>
    <w:rsid w:val="00776ADD"/>
    <w:rsid w:val="007770BC"/>
    <w:rsid w:val="007771BF"/>
    <w:rsid w:val="007775E0"/>
    <w:rsid w:val="00777C01"/>
    <w:rsid w:val="00780F06"/>
    <w:rsid w:val="007811FD"/>
    <w:rsid w:val="00781783"/>
    <w:rsid w:val="00781C55"/>
    <w:rsid w:val="00781ECF"/>
    <w:rsid w:val="007823D8"/>
    <w:rsid w:val="00782487"/>
    <w:rsid w:val="007829FE"/>
    <w:rsid w:val="00783189"/>
    <w:rsid w:val="007837E8"/>
    <w:rsid w:val="0078394A"/>
    <w:rsid w:val="0078405F"/>
    <w:rsid w:val="007840FC"/>
    <w:rsid w:val="007842B8"/>
    <w:rsid w:val="00784741"/>
    <w:rsid w:val="007848B6"/>
    <w:rsid w:val="00785118"/>
    <w:rsid w:val="007855C8"/>
    <w:rsid w:val="007858E3"/>
    <w:rsid w:val="00785BC0"/>
    <w:rsid w:val="00786890"/>
    <w:rsid w:val="00786903"/>
    <w:rsid w:val="00787BF4"/>
    <w:rsid w:val="00787FDE"/>
    <w:rsid w:val="0079052A"/>
    <w:rsid w:val="00790695"/>
    <w:rsid w:val="00790F40"/>
    <w:rsid w:val="0079138E"/>
    <w:rsid w:val="00791F9C"/>
    <w:rsid w:val="007924AA"/>
    <w:rsid w:val="007931EA"/>
    <w:rsid w:val="00793DF5"/>
    <w:rsid w:val="0079446C"/>
    <w:rsid w:val="007945AE"/>
    <w:rsid w:val="00794903"/>
    <w:rsid w:val="00794AEE"/>
    <w:rsid w:val="00795C4A"/>
    <w:rsid w:val="00795E77"/>
    <w:rsid w:val="00795EA4"/>
    <w:rsid w:val="00796163"/>
    <w:rsid w:val="0079673D"/>
    <w:rsid w:val="0079694E"/>
    <w:rsid w:val="0079782F"/>
    <w:rsid w:val="0079786B"/>
    <w:rsid w:val="007A04CE"/>
    <w:rsid w:val="007A0A21"/>
    <w:rsid w:val="007A0A9F"/>
    <w:rsid w:val="007A1084"/>
    <w:rsid w:val="007A11C7"/>
    <w:rsid w:val="007A1944"/>
    <w:rsid w:val="007A1BFC"/>
    <w:rsid w:val="007A226C"/>
    <w:rsid w:val="007A26F8"/>
    <w:rsid w:val="007A2987"/>
    <w:rsid w:val="007A2D49"/>
    <w:rsid w:val="007A31ED"/>
    <w:rsid w:val="007A3412"/>
    <w:rsid w:val="007A3CFC"/>
    <w:rsid w:val="007A3E19"/>
    <w:rsid w:val="007A3ECA"/>
    <w:rsid w:val="007A4D9C"/>
    <w:rsid w:val="007A4F00"/>
    <w:rsid w:val="007A4F1E"/>
    <w:rsid w:val="007A5361"/>
    <w:rsid w:val="007A5365"/>
    <w:rsid w:val="007A55D7"/>
    <w:rsid w:val="007A5604"/>
    <w:rsid w:val="007A5FBD"/>
    <w:rsid w:val="007A6560"/>
    <w:rsid w:val="007A67BA"/>
    <w:rsid w:val="007A689F"/>
    <w:rsid w:val="007A6B60"/>
    <w:rsid w:val="007A6F32"/>
    <w:rsid w:val="007A759E"/>
    <w:rsid w:val="007B0063"/>
    <w:rsid w:val="007B0AF2"/>
    <w:rsid w:val="007B130A"/>
    <w:rsid w:val="007B2265"/>
    <w:rsid w:val="007B238C"/>
    <w:rsid w:val="007B24D9"/>
    <w:rsid w:val="007B2816"/>
    <w:rsid w:val="007B2A06"/>
    <w:rsid w:val="007B2D8B"/>
    <w:rsid w:val="007B2F1E"/>
    <w:rsid w:val="007B34AE"/>
    <w:rsid w:val="007B3C76"/>
    <w:rsid w:val="007B4669"/>
    <w:rsid w:val="007B521E"/>
    <w:rsid w:val="007B5550"/>
    <w:rsid w:val="007B5813"/>
    <w:rsid w:val="007B5E38"/>
    <w:rsid w:val="007B61C7"/>
    <w:rsid w:val="007B6608"/>
    <w:rsid w:val="007B6686"/>
    <w:rsid w:val="007B6827"/>
    <w:rsid w:val="007B71AC"/>
    <w:rsid w:val="007B7381"/>
    <w:rsid w:val="007B7978"/>
    <w:rsid w:val="007B7E3B"/>
    <w:rsid w:val="007C16E0"/>
    <w:rsid w:val="007C22B0"/>
    <w:rsid w:val="007C2634"/>
    <w:rsid w:val="007C270D"/>
    <w:rsid w:val="007C2C71"/>
    <w:rsid w:val="007C2CD3"/>
    <w:rsid w:val="007C44EF"/>
    <w:rsid w:val="007C4C38"/>
    <w:rsid w:val="007C5423"/>
    <w:rsid w:val="007C5742"/>
    <w:rsid w:val="007C60A3"/>
    <w:rsid w:val="007C6120"/>
    <w:rsid w:val="007C61D3"/>
    <w:rsid w:val="007C6FE6"/>
    <w:rsid w:val="007C75AE"/>
    <w:rsid w:val="007C7725"/>
    <w:rsid w:val="007C7EFF"/>
    <w:rsid w:val="007D0032"/>
    <w:rsid w:val="007D0287"/>
    <w:rsid w:val="007D1647"/>
    <w:rsid w:val="007D16E2"/>
    <w:rsid w:val="007D171B"/>
    <w:rsid w:val="007D1CC1"/>
    <w:rsid w:val="007D1CE1"/>
    <w:rsid w:val="007D2742"/>
    <w:rsid w:val="007D281F"/>
    <w:rsid w:val="007D2B74"/>
    <w:rsid w:val="007D41B9"/>
    <w:rsid w:val="007D435A"/>
    <w:rsid w:val="007D4EFC"/>
    <w:rsid w:val="007D53E5"/>
    <w:rsid w:val="007D543C"/>
    <w:rsid w:val="007D546A"/>
    <w:rsid w:val="007D5D56"/>
    <w:rsid w:val="007D64D5"/>
    <w:rsid w:val="007D6BA0"/>
    <w:rsid w:val="007D6DE0"/>
    <w:rsid w:val="007D79C5"/>
    <w:rsid w:val="007D7BB5"/>
    <w:rsid w:val="007E0069"/>
    <w:rsid w:val="007E00EE"/>
    <w:rsid w:val="007E0246"/>
    <w:rsid w:val="007E06F9"/>
    <w:rsid w:val="007E08A4"/>
    <w:rsid w:val="007E0E66"/>
    <w:rsid w:val="007E16BC"/>
    <w:rsid w:val="007E1849"/>
    <w:rsid w:val="007E1C20"/>
    <w:rsid w:val="007E1DDF"/>
    <w:rsid w:val="007E2320"/>
    <w:rsid w:val="007E3943"/>
    <w:rsid w:val="007E3DF5"/>
    <w:rsid w:val="007E4A76"/>
    <w:rsid w:val="007E4F2E"/>
    <w:rsid w:val="007E543C"/>
    <w:rsid w:val="007E5649"/>
    <w:rsid w:val="007E67F4"/>
    <w:rsid w:val="007E684C"/>
    <w:rsid w:val="007E720C"/>
    <w:rsid w:val="007E73B9"/>
    <w:rsid w:val="007F002B"/>
    <w:rsid w:val="007F0742"/>
    <w:rsid w:val="007F08E8"/>
    <w:rsid w:val="007F1005"/>
    <w:rsid w:val="007F1BE7"/>
    <w:rsid w:val="007F2CCF"/>
    <w:rsid w:val="007F3851"/>
    <w:rsid w:val="007F3947"/>
    <w:rsid w:val="007F3B07"/>
    <w:rsid w:val="007F3D07"/>
    <w:rsid w:val="007F3F76"/>
    <w:rsid w:val="007F4E56"/>
    <w:rsid w:val="007F4EFF"/>
    <w:rsid w:val="007F5BE9"/>
    <w:rsid w:val="007F5C68"/>
    <w:rsid w:val="007F7701"/>
    <w:rsid w:val="007F78AF"/>
    <w:rsid w:val="00800841"/>
    <w:rsid w:val="008012C0"/>
    <w:rsid w:val="00801463"/>
    <w:rsid w:val="00801BC1"/>
    <w:rsid w:val="00801BC4"/>
    <w:rsid w:val="008022BB"/>
    <w:rsid w:val="00802403"/>
    <w:rsid w:val="0080336F"/>
    <w:rsid w:val="008039EB"/>
    <w:rsid w:val="0080403F"/>
    <w:rsid w:val="0080410C"/>
    <w:rsid w:val="008045EA"/>
    <w:rsid w:val="00804C03"/>
    <w:rsid w:val="00804E63"/>
    <w:rsid w:val="00804FA1"/>
    <w:rsid w:val="00804FD1"/>
    <w:rsid w:val="008052BB"/>
    <w:rsid w:val="0080557D"/>
    <w:rsid w:val="00805B68"/>
    <w:rsid w:val="00805DF0"/>
    <w:rsid w:val="0080669C"/>
    <w:rsid w:val="008072D3"/>
    <w:rsid w:val="008074A9"/>
    <w:rsid w:val="00807553"/>
    <w:rsid w:val="008076A1"/>
    <w:rsid w:val="0080770A"/>
    <w:rsid w:val="00807969"/>
    <w:rsid w:val="0081045B"/>
    <w:rsid w:val="00810636"/>
    <w:rsid w:val="0081072E"/>
    <w:rsid w:val="008107A7"/>
    <w:rsid w:val="00811885"/>
    <w:rsid w:val="008120BB"/>
    <w:rsid w:val="00812ED1"/>
    <w:rsid w:val="0081322D"/>
    <w:rsid w:val="008133D0"/>
    <w:rsid w:val="0081432F"/>
    <w:rsid w:val="008144A5"/>
    <w:rsid w:val="008147B0"/>
    <w:rsid w:val="00814811"/>
    <w:rsid w:val="00814850"/>
    <w:rsid w:val="00814950"/>
    <w:rsid w:val="00815024"/>
    <w:rsid w:val="0082083B"/>
    <w:rsid w:val="0082122A"/>
    <w:rsid w:val="0082193F"/>
    <w:rsid w:val="00821C34"/>
    <w:rsid w:val="008220A4"/>
    <w:rsid w:val="008220FA"/>
    <w:rsid w:val="008227FF"/>
    <w:rsid w:val="00822C77"/>
    <w:rsid w:val="008230CE"/>
    <w:rsid w:val="0082346A"/>
    <w:rsid w:val="00823978"/>
    <w:rsid w:val="00823E81"/>
    <w:rsid w:val="00823F59"/>
    <w:rsid w:val="0082404F"/>
    <w:rsid w:val="0082414F"/>
    <w:rsid w:val="008247DD"/>
    <w:rsid w:val="00825016"/>
    <w:rsid w:val="00825027"/>
    <w:rsid w:val="0082509E"/>
    <w:rsid w:val="00825803"/>
    <w:rsid w:val="00825884"/>
    <w:rsid w:val="00826051"/>
    <w:rsid w:val="008268BC"/>
    <w:rsid w:val="00830782"/>
    <w:rsid w:val="00830FF1"/>
    <w:rsid w:val="008312B3"/>
    <w:rsid w:val="0083177F"/>
    <w:rsid w:val="00832618"/>
    <w:rsid w:val="00832D5E"/>
    <w:rsid w:val="00833291"/>
    <w:rsid w:val="0083337F"/>
    <w:rsid w:val="0083354D"/>
    <w:rsid w:val="00833551"/>
    <w:rsid w:val="008335F2"/>
    <w:rsid w:val="008336B6"/>
    <w:rsid w:val="00833931"/>
    <w:rsid w:val="00833A4F"/>
    <w:rsid w:val="00834019"/>
    <w:rsid w:val="00834F74"/>
    <w:rsid w:val="00836070"/>
    <w:rsid w:val="00836106"/>
    <w:rsid w:val="0083623A"/>
    <w:rsid w:val="00836292"/>
    <w:rsid w:val="0083702A"/>
    <w:rsid w:val="008403AF"/>
    <w:rsid w:val="00840611"/>
    <w:rsid w:val="00840B29"/>
    <w:rsid w:val="008427F0"/>
    <w:rsid w:val="00842EBA"/>
    <w:rsid w:val="00842FC0"/>
    <w:rsid w:val="00843107"/>
    <w:rsid w:val="00843119"/>
    <w:rsid w:val="00843275"/>
    <w:rsid w:val="00843558"/>
    <w:rsid w:val="00843843"/>
    <w:rsid w:val="00844A4E"/>
    <w:rsid w:val="00844FEB"/>
    <w:rsid w:val="00845190"/>
    <w:rsid w:val="008453F1"/>
    <w:rsid w:val="0084594E"/>
    <w:rsid w:val="00845FEE"/>
    <w:rsid w:val="00846DDC"/>
    <w:rsid w:val="00846F23"/>
    <w:rsid w:val="00847758"/>
    <w:rsid w:val="008478BC"/>
    <w:rsid w:val="00847CDE"/>
    <w:rsid w:val="00850B34"/>
    <w:rsid w:val="00851187"/>
    <w:rsid w:val="00851262"/>
    <w:rsid w:val="0085252D"/>
    <w:rsid w:val="00852CC1"/>
    <w:rsid w:val="0085316F"/>
    <w:rsid w:val="00853552"/>
    <w:rsid w:val="00853583"/>
    <w:rsid w:val="008536B2"/>
    <w:rsid w:val="00853919"/>
    <w:rsid w:val="0085421C"/>
    <w:rsid w:val="008544A4"/>
    <w:rsid w:val="008544DB"/>
    <w:rsid w:val="00854658"/>
    <w:rsid w:val="00855099"/>
    <w:rsid w:val="008555FB"/>
    <w:rsid w:val="008556EB"/>
    <w:rsid w:val="008556FA"/>
    <w:rsid w:val="008568AB"/>
    <w:rsid w:val="00856A73"/>
    <w:rsid w:val="00856DA7"/>
    <w:rsid w:val="00857505"/>
    <w:rsid w:val="0086017A"/>
    <w:rsid w:val="00860471"/>
    <w:rsid w:val="0086066B"/>
    <w:rsid w:val="008607FA"/>
    <w:rsid w:val="00860A53"/>
    <w:rsid w:val="00860CC6"/>
    <w:rsid w:val="008615D1"/>
    <w:rsid w:val="00861E72"/>
    <w:rsid w:val="00862D26"/>
    <w:rsid w:val="0086313F"/>
    <w:rsid w:val="00863739"/>
    <w:rsid w:val="0086383E"/>
    <w:rsid w:val="008641DB"/>
    <w:rsid w:val="00864410"/>
    <w:rsid w:val="00864785"/>
    <w:rsid w:val="00864C36"/>
    <w:rsid w:val="0086542F"/>
    <w:rsid w:val="00865D1A"/>
    <w:rsid w:val="00865D29"/>
    <w:rsid w:val="0086674F"/>
    <w:rsid w:val="0086697E"/>
    <w:rsid w:val="008674FD"/>
    <w:rsid w:val="008702C1"/>
    <w:rsid w:val="00870721"/>
    <w:rsid w:val="00870ABF"/>
    <w:rsid w:val="00871E1E"/>
    <w:rsid w:val="00872560"/>
    <w:rsid w:val="008726E4"/>
    <w:rsid w:val="00872AAB"/>
    <w:rsid w:val="008736A3"/>
    <w:rsid w:val="00873956"/>
    <w:rsid w:val="00874018"/>
    <w:rsid w:val="00875092"/>
    <w:rsid w:val="00875534"/>
    <w:rsid w:val="00875DA8"/>
    <w:rsid w:val="00875EDC"/>
    <w:rsid w:val="00875FCC"/>
    <w:rsid w:val="00876120"/>
    <w:rsid w:val="00876CA4"/>
    <w:rsid w:val="00876E9E"/>
    <w:rsid w:val="0087793E"/>
    <w:rsid w:val="00877B57"/>
    <w:rsid w:val="00877CF3"/>
    <w:rsid w:val="00877E60"/>
    <w:rsid w:val="008801B8"/>
    <w:rsid w:val="008806DB"/>
    <w:rsid w:val="00882200"/>
    <w:rsid w:val="00882225"/>
    <w:rsid w:val="00882803"/>
    <w:rsid w:val="008837AF"/>
    <w:rsid w:val="00883818"/>
    <w:rsid w:val="0088389A"/>
    <w:rsid w:val="00883952"/>
    <w:rsid w:val="00884673"/>
    <w:rsid w:val="00884773"/>
    <w:rsid w:val="00884C87"/>
    <w:rsid w:val="00884CF8"/>
    <w:rsid w:val="00885011"/>
    <w:rsid w:val="00885777"/>
    <w:rsid w:val="0088587E"/>
    <w:rsid w:val="00885D25"/>
    <w:rsid w:val="008866BD"/>
    <w:rsid w:val="0088676D"/>
    <w:rsid w:val="00887425"/>
    <w:rsid w:val="00887B51"/>
    <w:rsid w:val="00887DAF"/>
    <w:rsid w:val="00887F8B"/>
    <w:rsid w:val="00887FA1"/>
    <w:rsid w:val="00890024"/>
    <w:rsid w:val="00890529"/>
    <w:rsid w:val="00890C56"/>
    <w:rsid w:val="00890CDA"/>
    <w:rsid w:val="00890F73"/>
    <w:rsid w:val="008914D3"/>
    <w:rsid w:val="00891ABB"/>
    <w:rsid w:val="00891AE9"/>
    <w:rsid w:val="00891F97"/>
    <w:rsid w:val="00892581"/>
    <w:rsid w:val="0089289E"/>
    <w:rsid w:val="00893556"/>
    <w:rsid w:val="00893604"/>
    <w:rsid w:val="00893792"/>
    <w:rsid w:val="00894435"/>
    <w:rsid w:val="00894858"/>
    <w:rsid w:val="008953ED"/>
    <w:rsid w:val="0089547B"/>
    <w:rsid w:val="00897435"/>
    <w:rsid w:val="00897944"/>
    <w:rsid w:val="00897A45"/>
    <w:rsid w:val="008A060B"/>
    <w:rsid w:val="008A068D"/>
    <w:rsid w:val="008A0BBF"/>
    <w:rsid w:val="008A0E3C"/>
    <w:rsid w:val="008A0FE2"/>
    <w:rsid w:val="008A1638"/>
    <w:rsid w:val="008A1DD9"/>
    <w:rsid w:val="008A20A3"/>
    <w:rsid w:val="008A3188"/>
    <w:rsid w:val="008A3AB0"/>
    <w:rsid w:val="008A3DFA"/>
    <w:rsid w:val="008A43D7"/>
    <w:rsid w:val="008A4C73"/>
    <w:rsid w:val="008A4DEF"/>
    <w:rsid w:val="008A4E8A"/>
    <w:rsid w:val="008A51AA"/>
    <w:rsid w:val="008A575B"/>
    <w:rsid w:val="008A57DE"/>
    <w:rsid w:val="008A6014"/>
    <w:rsid w:val="008A634E"/>
    <w:rsid w:val="008A65CA"/>
    <w:rsid w:val="008A693A"/>
    <w:rsid w:val="008A6E8A"/>
    <w:rsid w:val="008A73DF"/>
    <w:rsid w:val="008A77D8"/>
    <w:rsid w:val="008B0214"/>
    <w:rsid w:val="008B0682"/>
    <w:rsid w:val="008B0F06"/>
    <w:rsid w:val="008B0F7A"/>
    <w:rsid w:val="008B1772"/>
    <w:rsid w:val="008B1827"/>
    <w:rsid w:val="008B1E37"/>
    <w:rsid w:val="008B2744"/>
    <w:rsid w:val="008B2CB6"/>
    <w:rsid w:val="008B3384"/>
    <w:rsid w:val="008B3424"/>
    <w:rsid w:val="008B3952"/>
    <w:rsid w:val="008B3B07"/>
    <w:rsid w:val="008B45BC"/>
    <w:rsid w:val="008B4907"/>
    <w:rsid w:val="008B51C7"/>
    <w:rsid w:val="008B5749"/>
    <w:rsid w:val="008B5C87"/>
    <w:rsid w:val="008B61BE"/>
    <w:rsid w:val="008B61C3"/>
    <w:rsid w:val="008B6BE4"/>
    <w:rsid w:val="008B78AC"/>
    <w:rsid w:val="008B795C"/>
    <w:rsid w:val="008B7C27"/>
    <w:rsid w:val="008C04CF"/>
    <w:rsid w:val="008C0804"/>
    <w:rsid w:val="008C12C2"/>
    <w:rsid w:val="008C1308"/>
    <w:rsid w:val="008C1503"/>
    <w:rsid w:val="008C15B3"/>
    <w:rsid w:val="008C1791"/>
    <w:rsid w:val="008C19E8"/>
    <w:rsid w:val="008C1B3B"/>
    <w:rsid w:val="008C1D1A"/>
    <w:rsid w:val="008C27D2"/>
    <w:rsid w:val="008C2990"/>
    <w:rsid w:val="008C3BF4"/>
    <w:rsid w:val="008C3BF8"/>
    <w:rsid w:val="008C40E3"/>
    <w:rsid w:val="008C41E4"/>
    <w:rsid w:val="008C4518"/>
    <w:rsid w:val="008C4852"/>
    <w:rsid w:val="008C4DFD"/>
    <w:rsid w:val="008C4E58"/>
    <w:rsid w:val="008C543E"/>
    <w:rsid w:val="008C56E7"/>
    <w:rsid w:val="008C5747"/>
    <w:rsid w:val="008C585F"/>
    <w:rsid w:val="008C5BEF"/>
    <w:rsid w:val="008C6189"/>
    <w:rsid w:val="008C7AD6"/>
    <w:rsid w:val="008C7CEE"/>
    <w:rsid w:val="008D08C5"/>
    <w:rsid w:val="008D0FE4"/>
    <w:rsid w:val="008D1114"/>
    <w:rsid w:val="008D12D9"/>
    <w:rsid w:val="008D1B6D"/>
    <w:rsid w:val="008D216F"/>
    <w:rsid w:val="008D2539"/>
    <w:rsid w:val="008D2540"/>
    <w:rsid w:val="008D2569"/>
    <w:rsid w:val="008D26DD"/>
    <w:rsid w:val="008D270D"/>
    <w:rsid w:val="008D2FD4"/>
    <w:rsid w:val="008D397E"/>
    <w:rsid w:val="008D4343"/>
    <w:rsid w:val="008D4651"/>
    <w:rsid w:val="008D46E3"/>
    <w:rsid w:val="008D4991"/>
    <w:rsid w:val="008D507B"/>
    <w:rsid w:val="008D5217"/>
    <w:rsid w:val="008D5249"/>
    <w:rsid w:val="008D564C"/>
    <w:rsid w:val="008D5740"/>
    <w:rsid w:val="008D59DF"/>
    <w:rsid w:val="008D5BB0"/>
    <w:rsid w:val="008D64C8"/>
    <w:rsid w:val="008D667C"/>
    <w:rsid w:val="008D6B1F"/>
    <w:rsid w:val="008D6F9C"/>
    <w:rsid w:val="008D78BF"/>
    <w:rsid w:val="008D7937"/>
    <w:rsid w:val="008D79FF"/>
    <w:rsid w:val="008E0757"/>
    <w:rsid w:val="008E095D"/>
    <w:rsid w:val="008E0C92"/>
    <w:rsid w:val="008E0FE9"/>
    <w:rsid w:val="008E10C0"/>
    <w:rsid w:val="008E1303"/>
    <w:rsid w:val="008E304C"/>
    <w:rsid w:val="008E3231"/>
    <w:rsid w:val="008E331D"/>
    <w:rsid w:val="008E3366"/>
    <w:rsid w:val="008E35B6"/>
    <w:rsid w:val="008E3BED"/>
    <w:rsid w:val="008E4367"/>
    <w:rsid w:val="008E4B99"/>
    <w:rsid w:val="008E4CA8"/>
    <w:rsid w:val="008E4EF6"/>
    <w:rsid w:val="008E581C"/>
    <w:rsid w:val="008E6720"/>
    <w:rsid w:val="008E77E4"/>
    <w:rsid w:val="008F0136"/>
    <w:rsid w:val="008F0C9C"/>
    <w:rsid w:val="008F10CC"/>
    <w:rsid w:val="008F19DB"/>
    <w:rsid w:val="008F1B95"/>
    <w:rsid w:val="008F2171"/>
    <w:rsid w:val="008F283B"/>
    <w:rsid w:val="008F2A42"/>
    <w:rsid w:val="008F36FF"/>
    <w:rsid w:val="008F396F"/>
    <w:rsid w:val="008F3D5C"/>
    <w:rsid w:val="008F3F66"/>
    <w:rsid w:val="008F431D"/>
    <w:rsid w:val="008F4698"/>
    <w:rsid w:val="008F51BF"/>
    <w:rsid w:val="008F5248"/>
    <w:rsid w:val="008F5368"/>
    <w:rsid w:val="008F62CA"/>
    <w:rsid w:val="008F63F8"/>
    <w:rsid w:val="008F6515"/>
    <w:rsid w:val="008F6756"/>
    <w:rsid w:val="008F6B18"/>
    <w:rsid w:val="008F709D"/>
    <w:rsid w:val="008F795F"/>
    <w:rsid w:val="008F7AD7"/>
    <w:rsid w:val="008F7EB1"/>
    <w:rsid w:val="008F7F5F"/>
    <w:rsid w:val="00900737"/>
    <w:rsid w:val="00900E7E"/>
    <w:rsid w:val="009013F9"/>
    <w:rsid w:val="00901ACE"/>
    <w:rsid w:val="00901DEB"/>
    <w:rsid w:val="009022A9"/>
    <w:rsid w:val="009025E2"/>
    <w:rsid w:val="00902707"/>
    <w:rsid w:val="00902884"/>
    <w:rsid w:val="00902993"/>
    <w:rsid w:val="009037D0"/>
    <w:rsid w:val="00903EC5"/>
    <w:rsid w:val="009047B7"/>
    <w:rsid w:val="009050FC"/>
    <w:rsid w:val="009051F9"/>
    <w:rsid w:val="00905DE2"/>
    <w:rsid w:val="009076C1"/>
    <w:rsid w:val="009101E6"/>
    <w:rsid w:val="0091050E"/>
    <w:rsid w:val="00910BC8"/>
    <w:rsid w:val="00910D40"/>
    <w:rsid w:val="00911033"/>
    <w:rsid w:val="009113E8"/>
    <w:rsid w:val="00911636"/>
    <w:rsid w:val="0091165C"/>
    <w:rsid w:val="009118E6"/>
    <w:rsid w:val="00911B44"/>
    <w:rsid w:val="0091215A"/>
    <w:rsid w:val="009128C2"/>
    <w:rsid w:val="00912C98"/>
    <w:rsid w:val="00912ED3"/>
    <w:rsid w:val="0091349A"/>
    <w:rsid w:val="00913566"/>
    <w:rsid w:val="00914616"/>
    <w:rsid w:val="00914982"/>
    <w:rsid w:val="0091512A"/>
    <w:rsid w:val="00915877"/>
    <w:rsid w:val="00916198"/>
    <w:rsid w:val="0091633C"/>
    <w:rsid w:val="00916BE1"/>
    <w:rsid w:val="009171E8"/>
    <w:rsid w:val="0091740E"/>
    <w:rsid w:val="0091776F"/>
    <w:rsid w:val="00917CC8"/>
    <w:rsid w:val="009202B7"/>
    <w:rsid w:val="00920816"/>
    <w:rsid w:val="00920F37"/>
    <w:rsid w:val="009215B2"/>
    <w:rsid w:val="009216E7"/>
    <w:rsid w:val="00921A24"/>
    <w:rsid w:val="00921CCB"/>
    <w:rsid w:val="009221BB"/>
    <w:rsid w:val="00922698"/>
    <w:rsid w:val="0092279E"/>
    <w:rsid w:val="00923375"/>
    <w:rsid w:val="00923441"/>
    <w:rsid w:val="00923DBD"/>
    <w:rsid w:val="009243B1"/>
    <w:rsid w:val="00924820"/>
    <w:rsid w:val="009257F4"/>
    <w:rsid w:val="00925A12"/>
    <w:rsid w:val="00925D16"/>
    <w:rsid w:val="00925F4F"/>
    <w:rsid w:val="00925F62"/>
    <w:rsid w:val="0092611B"/>
    <w:rsid w:val="009261B6"/>
    <w:rsid w:val="009261B7"/>
    <w:rsid w:val="00926F7F"/>
    <w:rsid w:val="00926FC3"/>
    <w:rsid w:val="00927777"/>
    <w:rsid w:val="00930168"/>
    <w:rsid w:val="00930885"/>
    <w:rsid w:val="00930BCB"/>
    <w:rsid w:val="00930DBC"/>
    <w:rsid w:val="00931767"/>
    <w:rsid w:val="009317D5"/>
    <w:rsid w:val="0093197D"/>
    <w:rsid w:val="00931D67"/>
    <w:rsid w:val="009320E1"/>
    <w:rsid w:val="009321B3"/>
    <w:rsid w:val="00932442"/>
    <w:rsid w:val="009324D4"/>
    <w:rsid w:val="009325E4"/>
    <w:rsid w:val="00932645"/>
    <w:rsid w:val="00932C00"/>
    <w:rsid w:val="00932EDC"/>
    <w:rsid w:val="009331D9"/>
    <w:rsid w:val="00933C10"/>
    <w:rsid w:val="00934A6C"/>
    <w:rsid w:val="00935369"/>
    <w:rsid w:val="0093599E"/>
    <w:rsid w:val="00936548"/>
    <w:rsid w:val="00936DFE"/>
    <w:rsid w:val="00937B0F"/>
    <w:rsid w:val="00937C80"/>
    <w:rsid w:val="0094010F"/>
    <w:rsid w:val="0094057C"/>
    <w:rsid w:val="009406FB"/>
    <w:rsid w:val="00940905"/>
    <w:rsid w:val="00941161"/>
    <w:rsid w:val="00941529"/>
    <w:rsid w:val="0094196F"/>
    <w:rsid w:val="00941BB1"/>
    <w:rsid w:val="00941F29"/>
    <w:rsid w:val="00941FA6"/>
    <w:rsid w:val="0094217E"/>
    <w:rsid w:val="00942287"/>
    <w:rsid w:val="00942B88"/>
    <w:rsid w:val="00942CF8"/>
    <w:rsid w:val="00943162"/>
    <w:rsid w:val="00943EB8"/>
    <w:rsid w:val="00944E62"/>
    <w:rsid w:val="00944F91"/>
    <w:rsid w:val="0094502E"/>
    <w:rsid w:val="0094558B"/>
    <w:rsid w:val="00945789"/>
    <w:rsid w:val="00946092"/>
    <w:rsid w:val="00946220"/>
    <w:rsid w:val="00947640"/>
    <w:rsid w:val="00947B9C"/>
    <w:rsid w:val="00947C4E"/>
    <w:rsid w:val="009501BF"/>
    <w:rsid w:val="009502D7"/>
    <w:rsid w:val="00950736"/>
    <w:rsid w:val="00950771"/>
    <w:rsid w:val="00951A2E"/>
    <w:rsid w:val="00951F45"/>
    <w:rsid w:val="0095225B"/>
    <w:rsid w:val="0095258E"/>
    <w:rsid w:val="00952C93"/>
    <w:rsid w:val="00953052"/>
    <w:rsid w:val="00953149"/>
    <w:rsid w:val="0095349E"/>
    <w:rsid w:val="0095388F"/>
    <w:rsid w:val="009538B8"/>
    <w:rsid w:val="00953A0F"/>
    <w:rsid w:val="00953ABA"/>
    <w:rsid w:val="00953B55"/>
    <w:rsid w:val="00954AFE"/>
    <w:rsid w:val="00954C4C"/>
    <w:rsid w:val="00954D4B"/>
    <w:rsid w:val="00954DB0"/>
    <w:rsid w:val="00955209"/>
    <w:rsid w:val="009557C9"/>
    <w:rsid w:val="00955DA6"/>
    <w:rsid w:val="009564BF"/>
    <w:rsid w:val="0095685C"/>
    <w:rsid w:val="0095771C"/>
    <w:rsid w:val="00957A08"/>
    <w:rsid w:val="00957B37"/>
    <w:rsid w:val="00957BFE"/>
    <w:rsid w:val="00960599"/>
    <w:rsid w:val="00960729"/>
    <w:rsid w:val="00960CD9"/>
    <w:rsid w:val="00961141"/>
    <w:rsid w:val="009613CD"/>
    <w:rsid w:val="009617A5"/>
    <w:rsid w:val="00962227"/>
    <w:rsid w:val="00962286"/>
    <w:rsid w:val="00962357"/>
    <w:rsid w:val="00962B8D"/>
    <w:rsid w:val="00962E1F"/>
    <w:rsid w:val="00963085"/>
    <w:rsid w:val="00963172"/>
    <w:rsid w:val="00963B42"/>
    <w:rsid w:val="00964329"/>
    <w:rsid w:val="00964581"/>
    <w:rsid w:val="00964A1F"/>
    <w:rsid w:val="00964AB4"/>
    <w:rsid w:val="00964B4E"/>
    <w:rsid w:val="00965E24"/>
    <w:rsid w:val="00966D07"/>
    <w:rsid w:val="0096737D"/>
    <w:rsid w:val="009673F0"/>
    <w:rsid w:val="00967CC0"/>
    <w:rsid w:val="00967FDD"/>
    <w:rsid w:val="0097061B"/>
    <w:rsid w:val="00970ADF"/>
    <w:rsid w:val="00970AF1"/>
    <w:rsid w:val="00970C21"/>
    <w:rsid w:val="009716D1"/>
    <w:rsid w:val="00971C20"/>
    <w:rsid w:val="00971C93"/>
    <w:rsid w:val="009722B0"/>
    <w:rsid w:val="00972524"/>
    <w:rsid w:val="00973018"/>
    <w:rsid w:val="0097333F"/>
    <w:rsid w:val="009738DC"/>
    <w:rsid w:val="009742F7"/>
    <w:rsid w:val="00974928"/>
    <w:rsid w:val="00975231"/>
    <w:rsid w:val="00975362"/>
    <w:rsid w:val="00975B6F"/>
    <w:rsid w:val="009766FF"/>
    <w:rsid w:val="00976AE4"/>
    <w:rsid w:val="00976BDE"/>
    <w:rsid w:val="00980116"/>
    <w:rsid w:val="00980445"/>
    <w:rsid w:val="009805F8"/>
    <w:rsid w:val="00980710"/>
    <w:rsid w:val="0098076C"/>
    <w:rsid w:val="00980778"/>
    <w:rsid w:val="009814A6"/>
    <w:rsid w:val="0098208A"/>
    <w:rsid w:val="009821D7"/>
    <w:rsid w:val="00982201"/>
    <w:rsid w:val="0098226F"/>
    <w:rsid w:val="00982E4D"/>
    <w:rsid w:val="009837DD"/>
    <w:rsid w:val="00984156"/>
    <w:rsid w:val="009847CA"/>
    <w:rsid w:val="0098480D"/>
    <w:rsid w:val="00984F87"/>
    <w:rsid w:val="009855F6"/>
    <w:rsid w:val="00985A4C"/>
    <w:rsid w:val="00985BB4"/>
    <w:rsid w:val="00985D82"/>
    <w:rsid w:val="00985EF0"/>
    <w:rsid w:val="00986701"/>
    <w:rsid w:val="00986A80"/>
    <w:rsid w:val="00986AB9"/>
    <w:rsid w:val="009872B4"/>
    <w:rsid w:val="0098770D"/>
    <w:rsid w:val="00987B56"/>
    <w:rsid w:val="00987BEE"/>
    <w:rsid w:val="00990271"/>
    <w:rsid w:val="00990603"/>
    <w:rsid w:val="009908AE"/>
    <w:rsid w:val="00990EEC"/>
    <w:rsid w:val="00991194"/>
    <w:rsid w:val="009915B1"/>
    <w:rsid w:val="00991BD7"/>
    <w:rsid w:val="00992ED4"/>
    <w:rsid w:val="0099306C"/>
    <w:rsid w:val="009932C1"/>
    <w:rsid w:val="009938A8"/>
    <w:rsid w:val="00993AD8"/>
    <w:rsid w:val="00993FB1"/>
    <w:rsid w:val="00993FE3"/>
    <w:rsid w:val="009946A2"/>
    <w:rsid w:val="00994F0B"/>
    <w:rsid w:val="00995A8E"/>
    <w:rsid w:val="00995B30"/>
    <w:rsid w:val="00995BE1"/>
    <w:rsid w:val="009960A6"/>
    <w:rsid w:val="009970D4"/>
    <w:rsid w:val="009973AF"/>
    <w:rsid w:val="0099790A"/>
    <w:rsid w:val="00997926"/>
    <w:rsid w:val="009A0B44"/>
    <w:rsid w:val="009A1344"/>
    <w:rsid w:val="009A1481"/>
    <w:rsid w:val="009A2E58"/>
    <w:rsid w:val="009A30B7"/>
    <w:rsid w:val="009A36DA"/>
    <w:rsid w:val="009A3B41"/>
    <w:rsid w:val="009A3DA8"/>
    <w:rsid w:val="009A3E12"/>
    <w:rsid w:val="009A4062"/>
    <w:rsid w:val="009A4978"/>
    <w:rsid w:val="009A4C30"/>
    <w:rsid w:val="009A4DD1"/>
    <w:rsid w:val="009A4DF6"/>
    <w:rsid w:val="009A4FFA"/>
    <w:rsid w:val="009A5005"/>
    <w:rsid w:val="009A55E8"/>
    <w:rsid w:val="009A5AC7"/>
    <w:rsid w:val="009A5BC0"/>
    <w:rsid w:val="009A6200"/>
    <w:rsid w:val="009A62B9"/>
    <w:rsid w:val="009A6A8A"/>
    <w:rsid w:val="009A6B79"/>
    <w:rsid w:val="009A6C62"/>
    <w:rsid w:val="009A70E1"/>
    <w:rsid w:val="009A77CF"/>
    <w:rsid w:val="009A7DC4"/>
    <w:rsid w:val="009B0089"/>
    <w:rsid w:val="009B0296"/>
    <w:rsid w:val="009B02D5"/>
    <w:rsid w:val="009B0DE3"/>
    <w:rsid w:val="009B11F7"/>
    <w:rsid w:val="009B13DD"/>
    <w:rsid w:val="009B1744"/>
    <w:rsid w:val="009B18DE"/>
    <w:rsid w:val="009B1967"/>
    <w:rsid w:val="009B1F6A"/>
    <w:rsid w:val="009B2616"/>
    <w:rsid w:val="009B2CD7"/>
    <w:rsid w:val="009B2EC7"/>
    <w:rsid w:val="009B37C3"/>
    <w:rsid w:val="009B3904"/>
    <w:rsid w:val="009B3ECE"/>
    <w:rsid w:val="009B3F29"/>
    <w:rsid w:val="009B3F4F"/>
    <w:rsid w:val="009B4095"/>
    <w:rsid w:val="009B448B"/>
    <w:rsid w:val="009B4609"/>
    <w:rsid w:val="009B4A8A"/>
    <w:rsid w:val="009B4E4E"/>
    <w:rsid w:val="009B5A1E"/>
    <w:rsid w:val="009B6389"/>
    <w:rsid w:val="009B7549"/>
    <w:rsid w:val="009B7ABE"/>
    <w:rsid w:val="009C0062"/>
    <w:rsid w:val="009C0126"/>
    <w:rsid w:val="009C05E4"/>
    <w:rsid w:val="009C0B21"/>
    <w:rsid w:val="009C0CC0"/>
    <w:rsid w:val="009C106F"/>
    <w:rsid w:val="009C1115"/>
    <w:rsid w:val="009C12CF"/>
    <w:rsid w:val="009C1C71"/>
    <w:rsid w:val="009C1E17"/>
    <w:rsid w:val="009C27C0"/>
    <w:rsid w:val="009C2F4F"/>
    <w:rsid w:val="009C334E"/>
    <w:rsid w:val="009C3368"/>
    <w:rsid w:val="009C3C71"/>
    <w:rsid w:val="009C3F5C"/>
    <w:rsid w:val="009C4001"/>
    <w:rsid w:val="009C42BE"/>
    <w:rsid w:val="009C5515"/>
    <w:rsid w:val="009C5998"/>
    <w:rsid w:val="009C6872"/>
    <w:rsid w:val="009C6B03"/>
    <w:rsid w:val="009C761D"/>
    <w:rsid w:val="009C7AF3"/>
    <w:rsid w:val="009D0180"/>
    <w:rsid w:val="009D0C51"/>
    <w:rsid w:val="009D0EFC"/>
    <w:rsid w:val="009D11AD"/>
    <w:rsid w:val="009D1425"/>
    <w:rsid w:val="009D19B6"/>
    <w:rsid w:val="009D1C36"/>
    <w:rsid w:val="009D252C"/>
    <w:rsid w:val="009D2566"/>
    <w:rsid w:val="009D2B7C"/>
    <w:rsid w:val="009D3530"/>
    <w:rsid w:val="009D3685"/>
    <w:rsid w:val="009D3953"/>
    <w:rsid w:val="009D595A"/>
    <w:rsid w:val="009D5F45"/>
    <w:rsid w:val="009D5F8E"/>
    <w:rsid w:val="009D65C7"/>
    <w:rsid w:val="009D6A9A"/>
    <w:rsid w:val="009D70D2"/>
    <w:rsid w:val="009D7A33"/>
    <w:rsid w:val="009D7C54"/>
    <w:rsid w:val="009E0458"/>
    <w:rsid w:val="009E0D2A"/>
    <w:rsid w:val="009E1255"/>
    <w:rsid w:val="009E1EB8"/>
    <w:rsid w:val="009E2820"/>
    <w:rsid w:val="009E328C"/>
    <w:rsid w:val="009E343A"/>
    <w:rsid w:val="009E35B8"/>
    <w:rsid w:val="009E3AEB"/>
    <w:rsid w:val="009E3D7E"/>
    <w:rsid w:val="009E3E44"/>
    <w:rsid w:val="009E449E"/>
    <w:rsid w:val="009E4845"/>
    <w:rsid w:val="009E4AC4"/>
    <w:rsid w:val="009E4B97"/>
    <w:rsid w:val="009E5BE4"/>
    <w:rsid w:val="009E68C8"/>
    <w:rsid w:val="009E70E9"/>
    <w:rsid w:val="009E7129"/>
    <w:rsid w:val="009E749F"/>
    <w:rsid w:val="009E785A"/>
    <w:rsid w:val="009F0625"/>
    <w:rsid w:val="009F127C"/>
    <w:rsid w:val="009F129C"/>
    <w:rsid w:val="009F1722"/>
    <w:rsid w:val="009F1A18"/>
    <w:rsid w:val="009F1B51"/>
    <w:rsid w:val="009F2427"/>
    <w:rsid w:val="009F267C"/>
    <w:rsid w:val="009F31C2"/>
    <w:rsid w:val="009F35D3"/>
    <w:rsid w:val="009F3A32"/>
    <w:rsid w:val="009F3E92"/>
    <w:rsid w:val="009F45F5"/>
    <w:rsid w:val="009F4BEA"/>
    <w:rsid w:val="009F4C52"/>
    <w:rsid w:val="009F4E1C"/>
    <w:rsid w:val="009F4EB4"/>
    <w:rsid w:val="009F5798"/>
    <w:rsid w:val="009F583C"/>
    <w:rsid w:val="009F5AC9"/>
    <w:rsid w:val="009F5D12"/>
    <w:rsid w:val="009F64BD"/>
    <w:rsid w:val="009F64EF"/>
    <w:rsid w:val="009F6ADC"/>
    <w:rsid w:val="009F6B99"/>
    <w:rsid w:val="009F72CD"/>
    <w:rsid w:val="009F791E"/>
    <w:rsid w:val="009F7996"/>
    <w:rsid w:val="009F7C0E"/>
    <w:rsid w:val="009F7C19"/>
    <w:rsid w:val="009F7D67"/>
    <w:rsid w:val="00A0027C"/>
    <w:rsid w:val="00A003AE"/>
    <w:rsid w:val="00A00BED"/>
    <w:rsid w:val="00A00D4A"/>
    <w:rsid w:val="00A00E9C"/>
    <w:rsid w:val="00A01093"/>
    <w:rsid w:val="00A010A6"/>
    <w:rsid w:val="00A01496"/>
    <w:rsid w:val="00A02352"/>
    <w:rsid w:val="00A02A9C"/>
    <w:rsid w:val="00A03227"/>
    <w:rsid w:val="00A03A3B"/>
    <w:rsid w:val="00A0451C"/>
    <w:rsid w:val="00A047E5"/>
    <w:rsid w:val="00A04C43"/>
    <w:rsid w:val="00A057F2"/>
    <w:rsid w:val="00A064A8"/>
    <w:rsid w:val="00A06710"/>
    <w:rsid w:val="00A067BC"/>
    <w:rsid w:val="00A069FA"/>
    <w:rsid w:val="00A06B33"/>
    <w:rsid w:val="00A06D80"/>
    <w:rsid w:val="00A06ED5"/>
    <w:rsid w:val="00A07386"/>
    <w:rsid w:val="00A10089"/>
    <w:rsid w:val="00A10251"/>
    <w:rsid w:val="00A1030D"/>
    <w:rsid w:val="00A10464"/>
    <w:rsid w:val="00A104DF"/>
    <w:rsid w:val="00A10A59"/>
    <w:rsid w:val="00A111D6"/>
    <w:rsid w:val="00A1139A"/>
    <w:rsid w:val="00A11FD5"/>
    <w:rsid w:val="00A11FFE"/>
    <w:rsid w:val="00A1237F"/>
    <w:rsid w:val="00A126C7"/>
    <w:rsid w:val="00A1281F"/>
    <w:rsid w:val="00A12C4D"/>
    <w:rsid w:val="00A12D08"/>
    <w:rsid w:val="00A132D2"/>
    <w:rsid w:val="00A13F62"/>
    <w:rsid w:val="00A140E7"/>
    <w:rsid w:val="00A14275"/>
    <w:rsid w:val="00A1429B"/>
    <w:rsid w:val="00A142C2"/>
    <w:rsid w:val="00A1472C"/>
    <w:rsid w:val="00A1473A"/>
    <w:rsid w:val="00A14977"/>
    <w:rsid w:val="00A14B4D"/>
    <w:rsid w:val="00A14D29"/>
    <w:rsid w:val="00A158C5"/>
    <w:rsid w:val="00A15B65"/>
    <w:rsid w:val="00A15F9D"/>
    <w:rsid w:val="00A16905"/>
    <w:rsid w:val="00A16A89"/>
    <w:rsid w:val="00A17192"/>
    <w:rsid w:val="00A1719D"/>
    <w:rsid w:val="00A1775E"/>
    <w:rsid w:val="00A1784A"/>
    <w:rsid w:val="00A17C1A"/>
    <w:rsid w:val="00A17E76"/>
    <w:rsid w:val="00A20140"/>
    <w:rsid w:val="00A20E5B"/>
    <w:rsid w:val="00A21123"/>
    <w:rsid w:val="00A216E9"/>
    <w:rsid w:val="00A21985"/>
    <w:rsid w:val="00A22762"/>
    <w:rsid w:val="00A22798"/>
    <w:rsid w:val="00A22F4C"/>
    <w:rsid w:val="00A23D4A"/>
    <w:rsid w:val="00A24496"/>
    <w:rsid w:val="00A24E35"/>
    <w:rsid w:val="00A25682"/>
    <w:rsid w:val="00A2571F"/>
    <w:rsid w:val="00A26326"/>
    <w:rsid w:val="00A2693F"/>
    <w:rsid w:val="00A26A51"/>
    <w:rsid w:val="00A26C88"/>
    <w:rsid w:val="00A26E34"/>
    <w:rsid w:val="00A27583"/>
    <w:rsid w:val="00A27BB3"/>
    <w:rsid w:val="00A301FC"/>
    <w:rsid w:val="00A309B2"/>
    <w:rsid w:val="00A30A15"/>
    <w:rsid w:val="00A30B9F"/>
    <w:rsid w:val="00A30E20"/>
    <w:rsid w:val="00A320A6"/>
    <w:rsid w:val="00A32267"/>
    <w:rsid w:val="00A32E0C"/>
    <w:rsid w:val="00A3349C"/>
    <w:rsid w:val="00A33A18"/>
    <w:rsid w:val="00A33CC1"/>
    <w:rsid w:val="00A34C58"/>
    <w:rsid w:val="00A34D8F"/>
    <w:rsid w:val="00A358EE"/>
    <w:rsid w:val="00A360B0"/>
    <w:rsid w:val="00A36473"/>
    <w:rsid w:val="00A36E70"/>
    <w:rsid w:val="00A40621"/>
    <w:rsid w:val="00A408AB"/>
    <w:rsid w:val="00A40BC9"/>
    <w:rsid w:val="00A40C3D"/>
    <w:rsid w:val="00A40F04"/>
    <w:rsid w:val="00A410EA"/>
    <w:rsid w:val="00A41F31"/>
    <w:rsid w:val="00A42206"/>
    <w:rsid w:val="00A42594"/>
    <w:rsid w:val="00A42A55"/>
    <w:rsid w:val="00A433ED"/>
    <w:rsid w:val="00A43B30"/>
    <w:rsid w:val="00A4423E"/>
    <w:rsid w:val="00A4479C"/>
    <w:rsid w:val="00A4484D"/>
    <w:rsid w:val="00A44CB8"/>
    <w:rsid w:val="00A457C6"/>
    <w:rsid w:val="00A45CFC"/>
    <w:rsid w:val="00A461CA"/>
    <w:rsid w:val="00A46626"/>
    <w:rsid w:val="00A467EB"/>
    <w:rsid w:val="00A469D1"/>
    <w:rsid w:val="00A476B1"/>
    <w:rsid w:val="00A476B7"/>
    <w:rsid w:val="00A47BA8"/>
    <w:rsid w:val="00A47D19"/>
    <w:rsid w:val="00A5006F"/>
    <w:rsid w:val="00A517FE"/>
    <w:rsid w:val="00A519D4"/>
    <w:rsid w:val="00A51E37"/>
    <w:rsid w:val="00A5229D"/>
    <w:rsid w:val="00A5269D"/>
    <w:rsid w:val="00A527EF"/>
    <w:rsid w:val="00A5281A"/>
    <w:rsid w:val="00A52AE2"/>
    <w:rsid w:val="00A53303"/>
    <w:rsid w:val="00A5420A"/>
    <w:rsid w:val="00A544A9"/>
    <w:rsid w:val="00A54622"/>
    <w:rsid w:val="00A54655"/>
    <w:rsid w:val="00A5482A"/>
    <w:rsid w:val="00A54E6B"/>
    <w:rsid w:val="00A552CD"/>
    <w:rsid w:val="00A5561E"/>
    <w:rsid w:val="00A55A97"/>
    <w:rsid w:val="00A56754"/>
    <w:rsid w:val="00A5708F"/>
    <w:rsid w:val="00A574F5"/>
    <w:rsid w:val="00A579B5"/>
    <w:rsid w:val="00A579BA"/>
    <w:rsid w:val="00A57F16"/>
    <w:rsid w:val="00A60178"/>
    <w:rsid w:val="00A610E9"/>
    <w:rsid w:val="00A61302"/>
    <w:rsid w:val="00A616FC"/>
    <w:rsid w:val="00A6214A"/>
    <w:rsid w:val="00A62F58"/>
    <w:rsid w:val="00A6321F"/>
    <w:rsid w:val="00A63904"/>
    <w:rsid w:val="00A646CB"/>
    <w:rsid w:val="00A647E8"/>
    <w:rsid w:val="00A64B47"/>
    <w:rsid w:val="00A64C06"/>
    <w:rsid w:val="00A64CDB"/>
    <w:rsid w:val="00A654F1"/>
    <w:rsid w:val="00A65DBF"/>
    <w:rsid w:val="00A65DCB"/>
    <w:rsid w:val="00A66331"/>
    <w:rsid w:val="00A66656"/>
    <w:rsid w:val="00A66E12"/>
    <w:rsid w:val="00A66E2D"/>
    <w:rsid w:val="00A66F7A"/>
    <w:rsid w:val="00A671A9"/>
    <w:rsid w:val="00A7038E"/>
    <w:rsid w:val="00A7088E"/>
    <w:rsid w:val="00A70984"/>
    <w:rsid w:val="00A71476"/>
    <w:rsid w:val="00A714C8"/>
    <w:rsid w:val="00A71E10"/>
    <w:rsid w:val="00A7213A"/>
    <w:rsid w:val="00A7265D"/>
    <w:rsid w:val="00A72D4E"/>
    <w:rsid w:val="00A74198"/>
    <w:rsid w:val="00A7493C"/>
    <w:rsid w:val="00A74AD4"/>
    <w:rsid w:val="00A754BB"/>
    <w:rsid w:val="00A75AB5"/>
    <w:rsid w:val="00A75D92"/>
    <w:rsid w:val="00A75F2B"/>
    <w:rsid w:val="00A75FD6"/>
    <w:rsid w:val="00A7639A"/>
    <w:rsid w:val="00A7684E"/>
    <w:rsid w:val="00A76C49"/>
    <w:rsid w:val="00A76E05"/>
    <w:rsid w:val="00A77190"/>
    <w:rsid w:val="00A7730E"/>
    <w:rsid w:val="00A7741B"/>
    <w:rsid w:val="00A77B56"/>
    <w:rsid w:val="00A80F1A"/>
    <w:rsid w:val="00A81603"/>
    <w:rsid w:val="00A82EA1"/>
    <w:rsid w:val="00A8303F"/>
    <w:rsid w:val="00A832A7"/>
    <w:rsid w:val="00A836C9"/>
    <w:rsid w:val="00A842CB"/>
    <w:rsid w:val="00A85CDB"/>
    <w:rsid w:val="00A86145"/>
    <w:rsid w:val="00A861B3"/>
    <w:rsid w:val="00A86BBE"/>
    <w:rsid w:val="00A86C7D"/>
    <w:rsid w:val="00A86E8F"/>
    <w:rsid w:val="00A875E3"/>
    <w:rsid w:val="00A87CAC"/>
    <w:rsid w:val="00A87CCA"/>
    <w:rsid w:val="00A903DB"/>
    <w:rsid w:val="00A9046D"/>
    <w:rsid w:val="00A90575"/>
    <w:rsid w:val="00A90FF2"/>
    <w:rsid w:val="00A91D0F"/>
    <w:rsid w:val="00A9203F"/>
    <w:rsid w:val="00A9245B"/>
    <w:rsid w:val="00A926C9"/>
    <w:rsid w:val="00A92BA8"/>
    <w:rsid w:val="00A93305"/>
    <w:rsid w:val="00A93A98"/>
    <w:rsid w:val="00A93B53"/>
    <w:rsid w:val="00A9432B"/>
    <w:rsid w:val="00A94478"/>
    <w:rsid w:val="00A94FFC"/>
    <w:rsid w:val="00A95384"/>
    <w:rsid w:val="00A95583"/>
    <w:rsid w:val="00A95C9D"/>
    <w:rsid w:val="00A96506"/>
    <w:rsid w:val="00A970AD"/>
    <w:rsid w:val="00A973CF"/>
    <w:rsid w:val="00A97E33"/>
    <w:rsid w:val="00AA02EE"/>
    <w:rsid w:val="00AA03AE"/>
    <w:rsid w:val="00AA182E"/>
    <w:rsid w:val="00AA1CA3"/>
    <w:rsid w:val="00AA1ECD"/>
    <w:rsid w:val="00AA26F4"/>
    <w:rsid w:val="00AA3758"/>
    <w:rsid w:val="00AA396B"/>
    <w:rsid w:val="00AA3BE7"/>
    <w:rsid w:val="00AA3D8F"/>
    <w:rsid w:val="00AA4070"/>
    <w:rsid w:val="00AA4882"/>
    <w:rsid w:val="00AA4BC4"/>
    <w:rsid w:val="00AA4FD9"/>
    <w:rsid w:val="00AA5029"/>
    <w:rsid w:val="00AA5405"/>
    <w:rsid w:val="00AA57E1"/>
    <w:rsid w:val="00AA5868"/>
    <w:rsid w:val="00AA5D47"/>
    <w:rsid w:val="00AA5D4B"/>
    <w:rsid w:val="00AA60E8"/>
    <w:rsid w:val="00AA61D2"/>
    <w:rsid w:val="00AA690B"/>
    <w:rsid w:val="00AA6CE5"/>
    <w:rsid w:val="00AA6D8A"/>
    <w:rsid w:val="00AA74E5"/>
    <w:rsid w:val="00AA773F"/>
    <w:rsid w:val="00AA7E2E"/>
    <w:rsid w:val="00AB00A5"/>
    <w:rsid w:val="00AB03F8"/>
    <w:rsid w:val="00AB087E"/>
    <w:rsid w:val="00AB0A42"/>
    <w:rsid w:val="00AB2592"/>
    <w:rsid w:val="00AB2E14"/>
    <w:rsid w:val="00AB3807"/>
    <w:rsid w:val="00AB3AE1"/>
    <w:rsid w:val="00AB3F0A"/>
    <w:rsid w:val="00AB4E13"/>
    <w:rsid w:val="00AB5270"/>
    <w:rsid w:val="00AB5E05"/>
    <w:rsid w:val="00AB60FC"/>
    <w:rsid w:val="00AB642F"/>
    <w:rsid w:val="00AB678E"/>
    <w:rsid w:val="00AB6AD9"/>
    <w:rsid w:val="00AB7615"/>
    <w:rsid w:val="00AB7DF2"/>
    <w:rsid w:val="00AB7DFD"/>
    <w:rsid w:val="00AC02CE"/>
    <w:rsid w:val="00AC0FBB"/>
    <w:rsid w:val="00AC1243"/>
    <w:rsid w:val="00AC23B2"/>
    <w:rsid w:val="00AC31E2"/>
    <w:rsid w:val="00AC3D6B"/>
    <w:rsid w:val="00AC3E95"/>
    <w:rsid w:val="00AC3F41"/>
    <w:rsid w:val="00AC40F2"/>
    <w:rsid w:val="00AC438A"/>
    <w:rsid w:val="00AC4407"/>
    <w:rsid w:val="00AC46B0"/>
    <w:rsid w:val="00AC4766"/>
    <w:rsid w:val="00AC5322"/>
    <w:rsid w:val="00AC541E"/>
    <w:rsid w:val="00AC5512"/>
    <w:rsid w:val="00AC5A36"/>
    <w:rsid w:val="00AC5F5C"/>
    <w:rsid w:val="00AC6D64"/>
    <w:rsid w:val="00AC6DB2"/>
    <w:rsid w:val="00AC7037"/>
    <w:rsid w:val="00AC7802"/>
    <w:rsid w:val="00AC792D"/>
    <w:rsid w:val="00AC7F81"/>
    <w:rsid w:val="00AD067C"/>
    <w:rsid w:val="00AD0A7F"/>
    <w:rsid w:val="00AD0B54"/>
    <w:rsid w:val="00AD0C83"/>
    <w:rsid w:val="00AD11F0"/>
    <w:rsid w:val="00AD14F6"/>
    <w:rsid w:val="00AD1836"/>
    <w:rsid w:val="00AD19FD"/>
    <w:rsid w:val="00AD1A2D"/>
    <w:rsid w:val="00AD21B6"/>
    <w:rsid w:val="00AD2A94"/>
    <w:rsid w:val="00AD2B83"/>
    <w:rsid w:val="00AD2C84"/>
    <w:rsid w:val="00AD3030"/>
    <w:rsid w:val="00AD3C30"/>
    <w:rsid w:val="00AD3D3F"/>
    <w:rsid w:val="00AD4150"/>
    <w:rsid w:val="00AD41D3"/>
    <w:rsid w:val="00AD4BFA"/>
    <w:rsid w:val="00AD4F46"/>
    <w:rsid w:val="00AD5170"/>
    <w:rsid w:val="00AD5656"/>
    <w:rsid w:val="00AD60AC"/>
    <w:rsid w:val="00AD661E"/>
    <w:rsid w:val="00AD66DF"/>
    <w:rsid w:val="00AD6A33"/>
    <w:rsid w:val="00AD6B77"/>
    <w:rsid w:val="00AD6EB2"/>
    <w:rsid w:val="00AD7034"/>
    <w:rsid w:val="00AD7E3A"/>
    <w:rsid w:val="00AE02F3"/>
    <w:rsid w:val="00AE0832"/>
    <w:rsid w:val="00AE1176"/>
    <w:rsid w:val="00AE126A"/>
    <w:rsid w:val="00AE2160"/>
    <w:rsid w:val="00AE21A2"/>
    <w:rsid w:val="00AE2428"/>
    <w:rsid w:val="00AE29FE"/>
    <w:rsid w:val="00AE5280"/>
    <w:rsid w:val="00AE580F"/>
    <w:rsid w:val="00AE7418"/>
    <w:rsid w:val="00AE750B"/>
    <w:rsid w:val="00AE7639"/>
    <w:rsid w:val="00AE7C0A"/>
    <w:rsid w:val="00AF04AA"/>
    <w:rsid w:val="00AF21C4"/>
    <w:rsid w:val="00AF2324"/>
    <w:rsid w:val="00AF2352"/>
    <w:rsid w:val="00AF248E"/>
    <w:rsid w:val="00AF39C9"/>
    <w:rsid w:val="00AF3B60"/>
    <w:rsid w:val="00AF3CAC"/>
    <w:rsid w:val="00AF3D3D"/>
    <w:rsid w:val="00AF3E44"/>
    <w:rsid w:val="00AF3EE6"/>
    <w:rsid w:val="00AF43FE"/>
    <w:rsid w:val="00AF4B79"/>
    <w:rsid w:val="00AF4C9F"/>
    <w:rsid w:val="00AF526D"/>
    <w:rsid w:val="00AF57D1"/>
    <w:rsid w:val="00AF611D"/>
    <w:rsid w:val="00AF6498"/>
    <w:rsid w:val="00AF6511"/>
    <w:rsid w:val="00AF6EA2"/>
    <w:rsid w:val="00AF7295"/>
    <w:rsid w:val="00AF739B"/>
    <w:rsid w:val="00AF79F3"/>
    <w:rsid w:val="00AF7A3A"/>
    <w:rsid w:val="00B00591"/>
    <w:rsid w:val="00B00BBD"/>
    <w:rsid w:val="00B016F2"/>
    <w:rsid w:val="00B020BA"/>
    <w:rsid w:val="00B02E19"/>
    <w:rsid w:val="00B02EFE"/>
    <w:rsid w:val="00B0349A"/>
    <w:rsid w:val="00B039FC"/>
    <w:rsid w:val="00B03F9D"/>
    <w:rsid w:val="00B041DF"/>
    <w:rsid w:val="00B04717"/>
    <w:rsid w:val="00B04753"/>
    <w:rsid w:val="00B04987"/>
    <w:rsid w:val="00B04AA0"/>
    <w:rsid w:val="00B04BC7"/>
    <w:rsid w:val="00B04F7D"/>
    <w:rsid w:val="00B05094"/>
    <w:rsid w:val="00B05613"/>
    <w:rsid w:val="00B057D0"/>
    <w:rsid w:val="00B05EE6"/>
    <w:rsid w:val="00B06778"/>
    <w:rsid w:val="00B07133"/>
    <w:rsid w:val="00B071BE"/>
    <w:rsid w:val="00B073B2"/>
    <w:rsid w:val="00B07DB2"/>
    <w:rsid w:val="00B07E75"/>
    <w:rsid w:val="00B10236"/>
    <w:rsid w:val="00B103F1"/>
    <w:rsid w:val="00B10E4D"/>
    <w:rsid w:val="00B110DF"/>
    <w:rsid w:val="00B11241"/>
    <w:rsid w:val="00B11FE2"/>
    <w:rsid w:val="00B12707"/>
    <w:rsid w:val="00B12770"/>
    <w:rsid w:val="00B12E5C"/>
    <w:rsid w:val="00B13494"/>
    <w:rsid w:val="00B13DD6"/>
    <w:rsid w:val="00B1412E"/>
    <w:rsid w:val="00B1472A"/>
    <w:rsid w:val="00B14B41"/>
    <w:rsid w:val="00B14D7A"/>
    <w:rsid w:val="00B15299"/>
    <w:rsid w:val="00B15BE0"/>
    <w:rsid w:val="00B16263"/>
    <w:rsid w:val="00B16695"/>
    <w:rsid w:val="00B166A7"/>
    <w:rsid w:val="00B16B78"/>
    <w:rsid w:val="00B1717E"/>
    <w:rsid w:val="00B17598"/>
    <w:rsid w:val="00B1774F"/>
    <w:rsid w:val="00B177C2"/>
    <w:rsid w:val="00B206C1"/>
    <w:rsid w:val="00B20AF4"/>
    <w:rsid w:val="00B2163A"/>
    <w:rsid w:val="00B21E30"/>
    <w:rsid w:val="00B220A0"/>
    <w:rsid w:val="00B2313A"/>
    <w:rsid w:val="00B23251"/>
    <w:rsid w:val="00B233C2"/>
    <w:rsid w:val="00B240D1"/>
    <w:rsid w:val="00B2464D"/>
    <w:rsid w:val="00B25068"/>
    <w:rsid w:val="00B251D6"/>
    <w:rsid w:val="00B25A0A"/>
    <w:rsid w:val="00B2677A"/>
    <w:rsid w:val="00B269A8"/>
    <w:rsid w:val="00B276E7"/>
    <w:rsid w:val="00B27A65"/>
    <w:rsid w:val="00B307E6"/>
    <w:rsid w:val="00B307E7"/>
    <w:rsid w:val="00B32461"/>
    <w:rsid w:val="00B32539"/>
    <w:rsid w:val="00B32891"/>
    <w:rsid w:val="00B32A6A"/>
    <w:rsid w:val="00B32AD8"/>
    <w:rsid w:val="00B333F0"/>
    <w:rsid w:val="00B33888"/>
    <w:rsid w:val="00B33CE7"/>
    <w:rsid w:val="00B33D25"/>
    <w:rsid w:val="00B340AA"/>
    <w:rsid w:val="00B34171"/>
    <w:rsid w:val="00B34FF2"/>
    <w:rsid w:val="00B355D5"/>
    <w:rsid w:val="00B35AA3"/>
    <w:rsid w:val="00B35AA8"/>
    <w:rsid w:val="00B35EB3"/>
    <w:rsid w:val="00B36998"/>
    <w:rsid w:val="00B36B29"/>
    <w:rsid w:val="00B36DA5"/>
    <w:rsid w:val="00B37436"/>
    <w:rsid w:val="00B3767E"/>
    <w:rsid w:val="00B37949"/>
    <w:rsid w:val="00B37CA6"/>
    <w:rsid w:val="00B4046E"/>
    <w:rsid w:val="00B4072E"/>
    <w:rsid w:val="00B40CA7"/>
    <w:rsid w:val="00B41048"/>
    <w:rsid w:val="00B4159E"/>
    <w:rsid w:val="00B41F2A"/>
    <w:rsid w:val="00B42979"/>
    <w:rsid w:val="00B42CE1"/>
    <w:rsid w:val="00B436AE"/>
    <w:rsid w:val="00B4381A"/>
    <w:rsid w:val="00B43992"/>
    <w:rsid w:val="00B44965"/>
    <w:rsid w:val="00B44A91"/>
    <w:rsid w:val="00B452CA"/>
    <w:rsid w:val="00B46863"/>
    <w:rsid w:val="00B46F55"/>
    <w:rsid w:val="00B47203"/>
    <w:rsid w:val="00B478A2"/>
    <w:rsid w:val="00B47A17"/>
    <w:rsid w:val="00B47A34"/>
    <w:rsid w:val="00B50243"/>
    <w:rsid w:val="00B502B0"/>
    <w:rsid w:val="00B50860"/>
    <w:rsid w:val="00B50E32"/>
    <w:rsid w:val="00B5188A"/>
    <w:rsid w:val="00B51AF8"/>
    <w:rsid w:val="00B52067"/>
    <w:rsid w:val="00B521A7"/>
    <w:rsid w:val="00B5261F"/>
    <w:rsid w:val="00B526DC"/>
    <w:rsid w:val="00B529A7"/>
    <w:rsid w:val="00B532B4"/>
    <w:rsid w:val="00B538D7"/>
    <w:rsid w:val="00B53B96"/>
    <w:rsid w:val="00B53FDB"/>
    <w:rsid w:val="00B54124"/>
    <w:rsid w:val="00B54B65"/>
    <w:rsid w:val="00B54D1F"/>
    <w:rsid w:val="00B54D54"/>
    <w:rsid w:val="00B554D7"/>
    <w:rsid w:val="00B5560D"/>
    <w:rsid w:val="00B55AEC"/>
    <w:rsid w:val="00B5602C"/>
    <w:rsid w:val="00B5612F"/>
    <w:rsid w:val="00B56170"/>
    <w:rsid w:val="00B562C1"/>
    <w:rsid w:val="00B566A5"/>
    <w:rsid w:val="00B5675D"/>
    <w:rsid w:val="00B57088"/>
    <w:rsid w:val="00B5722A"/>
    <w:rsid w:val="00B57915"/>
    <w:rsid w:val="00B57BB6"/>
    <w:rsid w:val="00B57CAE"/>
    <w:rsid w:val="00B60966"/>
    <w:rsid w:val="00B60F1F"/>
    <w:rsid w:val="00B61295"/>
    <w:rsid w:val="00B6175B"/>
    <w:rsid w:val="00B6180A"/>
    <w:rsid w:val="00B61AD6"/>
    <w:rsid w:val="00B61F69"/>
    <w:rsid w:val="00B61FBE"/>
    <w:rsid w:val="00B629B5"/>
    <w:rsid w:val="00B62B7F"/>
    <w:rsid w:val="00B642B0"/>
    <w:rsid w:val="00B6430B"/>
    <w:rsid w:val="00B64679"/>
    <w:rsid w:val="00B64CF0"/>
    <w:rsid w:val="00B655E1"/>
    <w:rsid w:val="00B6576A"/>
    <w:rsid w:val="00B660D6"/>
    <w:rsid w:val="00B661B1"/>
    <w:rsid w:val="00B66902"/>
    <w:rsid w:val="00B6690D"/>
    <w:rsid w:val="00B670E8"/>
    <w:rsid w:val="00B6731A"/>
    <w:rsid w:val="00B67893"/>
    <w:rsid w:val="00B67C2E"/>
    <w:rsid w:val="00B70009"/>
    <w:rsid w:val="00B701C3"/>
    <w:rsid w:val="00B70366"/>
    <w:rsid w:val="00B704F1"/>
    <w:rsid w:val="00B70644"/>
    <w:rsid w:val="00B70939"/>
    <w:rsid w:val="00B70A63"/>
    <w:rsid w:val="00B70C19"/>
    <w:rsid w:val="00B70ED5"/>
    <w:rsid w:val="00B70F2D"/>
    <w:rsid w:val="00B71753"/>
    <w:rsid w:val="00B72335"/>
    <w:rsid w:val="00B72579"/>
    <w:rsid w:val="00B72D2D"/>
    <w:rsid w:val="00B72F5A"/>
    <w:rsid w:val="00B7338A"/>
    <w:rsid w:val="00B74179"/>
    <w:rsid w:val="00B75C84"/>
    <w:rsid w:val="00B75DF7"/>
    <w:rsid w:val="00B76192"/>
    <w:rsid w:val="00B76631"/>
    <w:rsid w:val="00B76B82"/>
    <w:rsid w:val="00B76CE8"/>
    <w:rsid w:val="00B76D86"/>
    <w:rsid w:val="00B770F5"/>
    <w:rsid w:val="00B77344"/>
    <w:rsid w:val="00B7785A"/>
    <w:rsid w:val="00B77CF4"/>
    <w:rsid w:val="00B805BF"/>
    <w:rsid w:val="00B805E7"/>
    <w:rsid w:val="00B807C0"/>
    <w:rsid w:val="00B80B08"/>
    <w:rsid w:val="00B8118E"/>
    <w:rsid w:val="00B8137C"/>
    <w:rsid w:val="00B813CF"/>
    <w:rsid w:val="00B8183E"/>
    <w:rsid w:val="00B8219E"/>
    <w:rsid w:val="00B82366"/>
    <w:rsid w:val="00B826A9"/>
    <w:rsid w:val="00B82D9C"/>
    <w:rsid w:val="00B83330"/>
    <w:rsid w:val="00B840DE"/>
    <w:rsid w:val="00B85685"/>
    <w:rsid w:val="00B8577A"/>
    <w:rsid w:val="00B859A9"/>
    <w:rsid w:val="00B861DF"/>
    <w:rsid w:val="00B87421"/>
    <w:rsid w:val="00B87D81"/>
    <w:rsid w:val="00B90DA2"/>
    <w:rsid w:val="00B90E6C"/>
    <w:rsid w:val="00B90E83"/>
    <w:rsid w:val="00B914C7"/>
    <w:rsid w:val="00B91D0D"/>
    <w:rsid w:val="00B9314A"/>
    <w:rsid w:val="00B93B4B"/>
    <w:rsid w:val="00B9452A"/>
    <w:rsid w:val="00B947A7"/>
    <w:rsid w:val="00B94A0D"/>
    <w:rsid w:val="00B9503F"/>
    <w:rsid w:val="00B951E6"/>
    <w:rsid w:val="00B95ACF"/>
    <w:rsid w:val="00B96548"/>
    <w:rsid w:val="00B9693B"/>
    <w:rsid w:val="00B969D6"/>
    <w:rsid w:val="00B96A0B"/>
    <w:rsid w:val="00B96AFD"/>
    <w:rsid w:val="00B9700B"/>
    <w:rsid w:val="00B974F9"/>
    <w:rsid w:val="00B97D64"/>
    <w:rsid w:val="00BA020B"/>
    <w:rsid w:val="00BA0808"/>
    <w:rsid w:val="00BA1369"/>
    <w:rsid w:val="00BA1A6D"/>
    <w:rsid w:val="00BA1BF4"/>
    <w:rsid w:val="00BA230C"/>
    <w:rsid w:val="00BA2E23"/>
    <w:rsid w:val="00BA2ED9"/>
    <w:rsid w:val="00BA45B5"/>
    <w:rsid w:val="00BA4827"/>
    <w:rsid w:val="00BA5545"/>
    <w:rsid w:val="00BA5BD6"/>
    <w:rsid w:val="00BA5FA0"/>
    <w:rsid w:val="00BA652A"/>
    <w:rsid w:val="00BA71CE"/>
    <w:rsid w:val="00BA7BFE"/>
    <w:rsid w:val="00BA7E93"/>
    <w:rsid w:val="00BB0143"/>
    <w:rsid w:val="00BB0723"/>
    <w:rsid w:val="00BB0E7E"/>
    <w:rsid w:val="00BB104A"/>
    <w:rsid w:val="00BB249B"/>
    <w:rsid w:val="00BB265C"/>
    <w:rsid w:val="00BB3007"/>
    <w:rsid w:val="00BB367B"/>
    <w:rsid w:val="00BB45AF"/>
    <w:rsid w:val="00BB482F"/>
    <w:rsid w:val="00BB4D6A"/>
    <w:rsid w:val="00BB4F9D"/>
    <w:rsid w:val="00BB5DFD"/>
    <w:rsid w:val="00BB65E4"/>
    <w:rsid w:val="00BB6689"/>
    <w:rsid w:val="00BB6A0F"/>
    <w:rsid w:val="00BB6B1D"/>
    <w:rsid w:val="00BB7394"/>
    <w:rsid w:val="00BB7E07"/>
    <w:rsid w:val="00BC049E"/>
    <w:rsid w:val="00BC0817"/>
    <w:rsid w:val="00BC0BBC"/>
    <w:rsid w:val="00BC0C87"/>
    <w:rsid w:val="00BC0F2A"/>
    <w:rsid w:val="00BC1293"/>
    <w:rsid w:val="00BC142D"/>
    <w:rsid w:val="00BC1759"/>
    <w:rsid w:val="00BC1BFD"/>
    <w:rsid w:val="00BC2143"/>
    <w:rsid w:val="00BC22AE"/>
    <w:rsid w:val="00BC25D5"/>
    <w:rsid w:val="00BC270F"/>
    <w:rsid w:val="00BC30FC"/>
    <w:rsid w:val="00BC33BD"/>
    <w:rsid w:val="00BC361E"/>
    <w:rsid w:val="00BC3AF9"/>
    <w:rsid w:val="00BC3F9A"/>
    <w:rsid w:val="00BC4228"/>
    <w:rsid w:val="00BC4784"/>
    <w:rsid w:val="00BC4B93"/>
    <w:rsid w:val="00BC4EB5"/>
    <w:rsid w:val="00BC566E"/>
    <w:rsid w:val="00BC591E"/>
    <w:rsid w:val="00BC59D4"/>
    <w:rsid w:val="00BC5E7A"/>
    <w:rsid w:val="00BC6CDB"/>
    <w:rsid w:val="00BC7301"/>
    <w:rsid w:val="00BC7CB7"/>
    <w:rsid w:val="00BD0455"/>
    <w:rsid w:val="00BD0A57"/>
    <w:rsid w:val="00BD0F48"/>
    <w:rsid w:val="00BD145D"/>
    <w:rsid w:val="00BD1758"/>
    <w:rsid w:val="00BD1F67"/>
    <w:rsid w:val="00BD25C6"/>
    <w:rsid w:val="00BD2654"/>
    <w:rsid w:val="00BD2BFE"/>
    <w:rsid w:val="00BD30A3"/>
    <w:rsid w:val="00BD3816"/>
    <w:rsid w:val="00BD46C0"/>
    <w:rsid w:val="00BD4729"/>
    <w:rsid w:val="00BD5106"/>
    <w:rsid w:val="00BD5269"/>
    <w:rsid w:val="00BD563B"/>
    <w:rsid w:val="00BD5698"/>
    <w:rsid w:val="00BD582C"/>
    <w:rsid w:val="00BD5B38"/>
    <w:rsid w:val="00BD6A69"/>
    <w:rsid w:val="00BD708B"/>
    <w:rsid w:val="00BD7131"/>
    <w:rsid w:val="00BD7683"/>
    <w:rsid w:val="00BD7839"/>
    <w:rsid w:val="00BE0437"/>
    <w:rsid w:val="00BE14D5"/>
    <w:rsid w:val="00BE1683"/>
    <w:rsid w:val="00BE183F"/>
    <w:rsid w:val="00BE1DED"/>
    <w:rsid w:val="00BE2666"/>
    <w:rsid w:val="00BE299E"/>
    <w:rsid w:val="00BE3002"/>
    <w:rsid w:val="00BE3163"/>
    <w:rsid w:val="00BE316B"/>
    <w:rsid w:val="00BE3529"/>
    <w:rsid w:val="00BE4CC9"/>
    <w:rsid w:val="00BE4FA4"/>
    <w:rsid w:val="00BE4FA7"/>
    <w:rsid w:val="00BE50A8"/>
    <w:rsid w:val="00BE50C6"/>
    <w:rsid w:val="00BE542B"/>
    <w:rsid w:val="00BE593D"/>
    <w:rsid w:val="00BE5D20"/>
    <w:rsid w:val="00BE6284"/>
    <w:rsid w:val="00BE6AEE"/>
    <w:rsid w:val="00BE6B83"/>
    <w:rsid w:val="00BE6C1F"/>
    <w:rsid w:val="00BE7526"/>
    <w:rsid w:val="00BE76BE"/>
    <w:rsid w:val="00BE7A9F"/>
    <w:rsid w:val="00BF0018"/>
    <w:rsid w:val="00BF0496"/>
    <w:rsid w:val="00BF08B2"/>
    <w:rsid w:val="00BF1079"/>
    <w:rsid w:val="00BF120C"/>
    <w:rsid w:val="00BF2BBE"/>
    <w:rsid w:val="00BF367F"/>
    <w:rsid w:val="00BF412C"/>
    <w:rsid w:val="00BF43DC"/>
    <w:rsid w:val="00BF4A83"/>
    <w:rsid w:val="00BF511F"/>
    <w:rsid w:val="00BF5D5D"/>
    <w:rsid w:val="00BF6375"/>
    <w:rsid w:val="00BF6726"/>
    <w:rsid w:val="00C002B5"/>
    <w:rsid w:val="00C003C7"/>
    <w:rsid w:val="00C006DE"/>
    <w:rsid w:val="00C00EBB"/>
    <w:rsid w:val="00C02530"/>
    <w:rsid w:val="00C02C70"/>
    <w:rsid w:val="00C02E1B"/>
    <w:rsid w:val="00C02E38"/>
    <w:rsid w:val="00C03594"/>
    <w:rsid w:val="00C03CC0"/>
    <w:rsid w:val="00C0417D"/>
    <w:rsid w:val="00C05098"/>
    <w:rsid w:val="00C0509D"/>
    <w:rsid w:val="00C05394"/>
    <w:rsid w:val="00C0559D"/>
    <w:rsid w:val="00C05B18"/>
    <w:rsid w:val="00C06352"/>
    <w:rsid w:val="00C0644A"/>
    <w:rsid w:val="00C06A29"/>
    <w:rsid w:val="00C07032"/>
    <w:rsid w:val="00C07322"/>
    <w:rsid w:val="00C07F27"/>
    <w:rsid w:val="00C103C3"/>
    <w:rsid w:val="00C111FE"/>
    <w:rsid w:val="00C11580"/>
    <w:rsid w:val="00C118FA"/>
    <w:rsid w:val="00C11F0F"/>
    <w:rsid w:val="00C125F9"/>
    <w:rsid w:val="00C12F08"/>
    <w:rsid w:val="00C1478A"/>
    <w:rsid w:val="00C14D73"/>
    <w:rsid w:val="00C1522B"/>
    <w:rsid w:val="00C1562F"/>
    <w:rsid w:val="00C15F72"/>
    <w:rsid w:val="00C164B9"/>
    <w:rsid w:val="00C169D5"/>
    <w:rsid w:val="00C16A76"/>
    <w:rsid w:val="00C17C76"/>
    <w:rsid w:val="00C21431"/>
    <w:rsid w:val="00C21B43"/>
    <w:rsid w:val="00C22AF5"/>
    <w:rsid w:val="00C22F86"/>
    <w:rsid w:val="00C23261"/>
    <w:rsid w:val="00C238FA"/>
    <w:rsid w:val="00C23C35"/>
    <w:rsid w:val="00C23E51"/>
    <w:rsid w:val="00C248DD"/>
    <w:rsid w:val="00C25285"/>
    <w:rsid w:val="00C253E4"/>
    <w:rsid w:val="00C25C3C"/>
    <w:rsid w:val="00C269CA"/>
    <w:rsid w:val="00C27687"/>
    <w:rsid w:val="00C27D9E"/>
    <w:rsid w:val="00C27FA0"/>
    <w:rsid w:val="00C303C8"/>
    <w:rsid w:val="00C30482"/>
    <w:rsid w:val="00C30ACA"/>
    <w:rsid w:val="00C3166C"/>
    <w:rsid w:val="00C32683"/>
    <w:rsid w:val="00C32A40"/>
    <w:rsid w:val="00C33948"/>
    <w:rsid w:val="00C33D88"/>
    <w:rsid w:val="00C341D7"/>
    <w:rsid w:val="00C345F4"/>
    <w:rsid w:val="00C3522C"/>
    <w:rsid w:val="00C355D1"/>
    <w:rsid w:val="00C36646"/>
    <w:rsid w:val="00C370D0"/>
    <w:rsid w:val="00C37B68"/>
    <w:rsid w:val="00C37D61"/>
    <w:rsid w:val="00C37EBC"/>
    <w:rsid w:val="00C401CC"/>
    <w:rsid w:val="00C40554"/>
    <w:rsid w:val="00C41390"/>
    <w:rsid w:val="00C414F0"/>
    <w:rsid w:val="00C41731"/>
    <w:rsid w:val="00C4205E"/>
    <w:rsid w:val="00C42096"/>
    <w:rsid w:val="00C420F7"/>
    <w:rsid w:val="00C42457"/>
    <w:rsid w:val="00C42EC3"/>
    <w:rsid w:val="00C42F0E"/>
    <w:rsid w:val="00C43CD1"/>
    <w:rsid w:val="00C44230"/>
    <w:rsid w:val="00C44C1E"/>
    <w:rsid w:val="00C44DA0"/>
    <w:rsid w:val="00C45C7F"/>
    <w:rsid w:val="00C46696"/>
    <w:rsid w:val="00C46CC8"/>
    <w:rsid w:val="00C47468"/>
    <w:rsid w:val="00C47520"/>
    <w:rsid w:val="00C476EF"/>
    <w:rsid w:val="00C50073"/>
    <w:rsid w:val="00C50B8D"/>
    <w:rsid w:val="00C518BE"/>
    <w:rsid w:val="00C5198A"/>
    <w:rsid w:val="00C51CCC"/>
    <w:rsid w:val="00C5203E"/>
    <w:rsid w:val="00C5282A"/>
    <w:rsid w:val="00C528DE"/>
    <w:rsid w:val="00C52E4E"/>
    <w:rsid w:val="00C5311C"/>
    <w:rsid w:val="00C533FF"/>
    <w:rsid w:val="00C5458B"/>
    <w:rsid w:val="00C5554C"/>
    <w:rsid w:val="00C55598"/>
    <w:rsid w:val="00C56137"/>
    <w:rsid w:val="00C562EF"/>
    <w:rsid w:val="00C56565"/>
    <w:rsid w:val="00C5698B"/>
    <w:rsid w:val="00C575CE"/>
    <w:rsid w:val="00C57E9A"/>
    <w:rsid w:val="00C60627"/>
    <w:rsid w:val="00C60734"/>
    <w:rsid w:val="00C607EE"/>
    <w:rsid w:val="00C608CD"/>
    <w:rsid w:val="00C60936"/>
    <w:rsid w:val="00C60AA1"/>
    <w:rsid w:val="00C610FE"/>
    <w:rsid w:val="00C6138C"/>
    <w:rsid w:val="00C61468"/>
    <w:rsid w:val="00C6196A"/>
    <w:rsid w:val="00C61BB2"/>
    <w:rsid w:val="00C62179"/>
    <w:rsid w:val="00C6274A"/>
    <w:rsid w:val="00C629B0"/>
    <w:rsid w:val="00C63503"/>
    <w:rsid w:val="00C636B4"/>
    <w:rsid w:val="00C63D40"/>
    <w:rsid w:val="00C63EFC"/>
    <w:rsid w:val="00C64083"/>
    <w:rsid w:val="00C6415A"/>
    <w:rsid w:val="00C647CF"/>
    <w:rsid w:val="00C64A3E"/>
    <w:rsid w:val="00C64CC5"/>
    <w:rsid w:val="00C64D60"/>
    <w:rsid w:val="00C66674"/>
    <w:rsid w:val="00C66F04"/>
    <w:rsid w:val="00C671BD"/>
    <w:rsid w:val="00C6745E"/>
    <w:rsid w:val="00C67746"/>
    <w:rsid w:val="00C677A1"/>
    <w:rsid w:val="00C67EE1"/>
    <w:rsid w:val="00C70C84"/>
    <w:rsid w:val="00C710A4"/>
    <w:rsid w:val="00C713B7"/>
    <w:rsid w:val="00C72C49"/>
    <w:rsid w:val="00C72DF3"/>
    <w:rsid w:val="00C72E3C"/>
    <w:rsid w:val="00C732BE"/>
    <w:rsid w:val="00C736C8"/>
    <w:rsid w:val="00C73DFA"/>
    <w:rsid w:val="00C74A7E"/>
    <w:rsid w:val="00C74B54"/>
    <w:rsid w:val="00C74CA5"/>
    <w:rsid w:val="00C752A8"/>
    <w:rsid w:val="00C7568B"/>
    <w:rsid w:val="00C75EEF"/>
    <w:rsid w:val="00C75F3B"/>
    <w:rsid w:val="00C76271"/>
    <w:rsid w:val="00C765F0"/>
    <w:rsid w:val="00C7698B"/>
    <w:rsid w:val="00C76BDB"/>
    <w:rsid w:val="00C7706C"/>
    <w:rsid w:val="00C7712E"/>
    <w:rsid w:val="00C772F2"/>
    <w:rsid w:val="00C774A1"/>
    <w:rsid w:val="00C80413"/>
    <w:rsid w:val="00C806E2"/>
    <w:rsid w:val="00C80780"/>
    <w:rsid w:val="00C80EA9"/>
    <w:rsid w:val="00C8142E"/>
    <w:rsid w:val="00C814F1"/>
    <w:rsid w:val="00C81747"/>
    <w:rsid w:val="00C826BC"/>
    <w:rsid w:val="00C82953"/>
    <w:rsid w:val="00C830A3"/>
    <w:rsid w:val="00C83DEA"/>
    <w:rsid w:val="00C8441A"/>
    <w:rsid w:val="00C849B6"/>
    <w:rsid w:val="00C84E32"/>
    <w:rsid w:val="00C84EF6"/>
    <w:rsid w:val="00C858C7"/>
    <w:rsid w:val="00C85AD7"/>
    <w:rsid w:val="00C85D41"/>
    <w:rsid w:val="00C860F6"/>
    <w:rsid w:val="00C86462"/>
    <w:rsid w:val="00C86744"/>
    <w:rsid w:val="00C86CB3"/>
    <w:rsid w:val="00C86FF7"/>
    <w:rsid w:val="00C873AC"/>
    <w:rsid w:val="00C87C70"/>
    <w:rsid w:val="00C87F01"/>
    <w:rsid w:val="00C87F74"/>
    <w:rsid w:val="00C9185B"/>
    <w:rsid w:val="00C91C4F"/>
    <w:rsid w:val="00C9210D"/>
    <w:rsid w:val="00C9233E"/>
    <w:rsid w:val="00C92584"/>
    <w:rsid w:val="00C92CA5"/>
    <w:rsid w:val="00C92EA8"/>
    <w:rsid w:val="00C932C0"/>
    <w:rsid w:val="00C933DD"/>
    <w:rsid w:val="00C935A4"/>
    <w:rsid w:val="00C93AEE"/>
    <w:rsid w:val="00C9469B"/>
    <w:rsid w:val="00C949BF"/>
    <w:rsid w:val="00C97381"/>
    <w:rsid w:val="00C973E5"/>
    <w:rsid w:val="00C97E40"/>
    <w:rsid w:val="00C97F1A"/>
    <w:rsid w:val="00CA01D8"/>
    <w:rsid w:val="00CA035E"/>
    <w:rsid w:val="00CA0E2D"/>
    <w:rsid w:val="00CA11A1"/>
    <w:rsid w:val="00CA156A"/>
    <w:rsid w:val="00CA24DF"/>
    <w:rsid w:val="00CA26F3"/>
    <w:rsid w:val="00CA29EC"/>
    <w:rsid w:val="00CA2B07"/>
    <w:rsid w:val="00CA3D6C"/>
    <w:rsid w:val="00CA3EBC"/>
    <w:rsid w:val="00CA3F58"/>
    <w:rsid w:val="00CA54F3"/>
    <w:rsid w:val="00CA6241"/>
    <w:rsid w:val="00CA62C4"/>
    <w:rsid w:val="00CA78F1"/>
    <w:rsid w:val="00CB0B67"/>
    <w:rsid w:val="00CB0C4F"/>
    <w:rsid w:val="00CB0C55"/>
    <w:rsid w:val="00CB0E24"/>
    <w:rsid w:val="00CB10BA"/>
    <w:rsid w:val="00CB1278"/>
    <w:rsid w:val="00CB13D4"/>
    <w:rsid w:val="00CB16E0"/>
    <w:rsid w:val="00CB1B88"/>
    <w:rsid w:val="00CB1C70"/>
    <w:rsid w:val="00CB1FFC"/>
    <w:rsid w:val="00CB252E"/>
    <w:rsid w:val="00CB254E"/>
    <w:rsid w:val="00CB39D0"/>
    <w:rsid w:val="00CB3D0C"/>
    <w:rsid w:val="00CB4426"/>
    <w:rsid w:val="00CB4FE5"/>
    <w:rsid w:val="00CB5A6F"/>
    <w:rsid w:val="00CB5E5B"/>
    <w:rsid w:val="00CB6543"/>
    <w:rsid w:val="00CB6550"/>
    <w:rsid w:val="00CB6737"/>
    <w:rsid w:val="00CB7B08"/>
    <w:rsid w:val="00CB7B0A"/>
    <w:rsid w:val="00CB7B8A"/>
    <w:rsid w:val="00CB7C04"/>
    <w:rsid w:val="00CB7F90"/>
    <w:rsid w:val="00CC0201"/>
    <w:rsid w:val="00CC021A"/>
    <w:rsid w:val="00CC0263"/>
    <w:rsid w:val="00CC0803"/>
    <w:rsid w:val="00CC1167"/>
    <w:rsid w:val="00CC15C6"/>
    <w:rsid w:val="00CC1632"/>
    <w:rsid w:val="00CC1D55"/>
    <w:rsid w:val="00CC2A46"/>
    <w:rsid w:val="00CC2B3E"/>
    <w:rsid w:val="00CC3865"/>
    <w:rsid w:val="00CC3BC8"/>
    <w:rsid w:val="00CC4000"/>
    <w:rsid w:val="00CC4060"/>
    <w:rsid w:val="00CC5C99"/>
    <w:rsid w:val="00CC5F7E"/>
    <w:rsid w:val="00CC6F5B"/>
    <w:rsid w:val="00CC76AD"/>
    <w:rsid w:val="00CC791D"/>
    <w:rsid w:val="00CC7954"/>
    <w:rsid w:val="00CD065D"/>
    <w:rsid w:val="00CD06DB"/>
    <w:rsid w:val="00CD086D"/>
    <w:rsid w:val="00CD1345"/>
    <w:rsid w:val="00CD1B84"/>
    <w:rsid w:val="00CD1FBA"/>
    <w:rsid w:val="00CD1FF0"/>
    <w:rsid w:val="00CD2741"/>
    <w:rsid w:val="00CD28A9"/>
    <w:rsid w:val="00CD4176"/>
    <w:rsid w:val="00CD424D"/>
    <w:rsid w:val="00CD50AE"/>
    <w:rsid w:val="00CD54C0"/>
    <w:rsid w:val="00CD5AE4"/>
    <w:rsid w:val="00CD5CE6"/>
    <w:rsid w:val="00CD5D73"/>
    <w:rsid w:val="00CD61B1"/>
    <w:rsid w:val="00CD65F9"/>
    <w:rsid w:val="00CD6CF3"/>
    <w:rsid w:val="00CD72AE"/>
    <w:rsid w:val="00CD777C"/>
    <w:rsid w:val="00CD7D78"/>
    <w:rsid w:val="00CD7F1F"/>
    <w:rsid w:val="00CE0139"/>
    <w:rsid w:val="00CE0607"/>
    <w:rsid w:val="00CE0EA6"/>
    <w:rsid w:val="00CE0F6B"/>
    <w:rsid w:val="00CE1188"/>
    <w:rsid w:val="00CE118D"/>
    <w:rsid w:val="00CE124E"/>
    <w:rsid w:val="00CE170A"/>
    <w:rsid w:val="00CE1B0F"/>
    <w:rsid w:val="00CE1C08"/>
    <w:rsid w:val="00CE204A"/>
    <w:rsid w:val="00CE2091"/>
    <w:rsid w:val="00CE240D"/>
    <w:rsid w:val="00CE2BB6"/>
    <w:rsid w:val="00CE2E18"/>
    <w:rsid w:val="00CE3165"/>
    <w:rsid w:val="00CE3421"/>
    <w:rsid w:val="00CE3911"/>
    <w:rsid w:val="00CE3AB4"/>
    <w:rsid w:val="00CE3F7E"/>
    <w:rsid w:val="00CE41C8"/>
    <w:rsid w:val="00CE48B7"/>
    <w:rsid w:val="00CE5900"/>
    <w:rsid w:val="00CE5C5C"/>
    <w:rsid w:val="00CE60D3"/>
    <w:rsid w:val="00CE6501"/>
    <w:rsid w:val="00CE6983"/>
    <w:rsid w:val="00CE77E5"/>
    <w:rsid w:val="00CE7A7E"/>
    <w:rsid w:val="00CE7A96"/>
    <w:rsid w:val="00CF0C67"/>
    <w:rsid w:val="00CF0D56"/>
    <w:rsid w:val="00CF1047"/>
    <w:rsid w:val="00CF1224"/>
    <w:rsid w:val="00CF18E6"/>
    <w:rsid w:val="00CF26F5"/>
    <w:rsid w:val="00CF2EE9"/>
    <w:rsid w:val="00CF2F02"/>
    <w:rsid w:val="00CF3712"/>
    <w:rsid w:val="00CF37CF"/>
    <w:rsid w:val="00CF43C8"/>
    <w:rsid w:val="00CF4640"/>
    <w:rsid w:val="00CF47CE"/>
    <w:rsid w:val="00CF4ED2"/>
    <w:rsid w:val="00CF544A"/>
    <w:rsid w:val="00CF64F8"/>
    <w:rsid w:val="00CF6901"/>
    <w:rsid w:val="00CF7744"/>
    <w:rsid w:val="00CF7E93"/>
    <w:rsid w:val="00D00A89"/>
    <w:rsid w:val="00D00B57"/>
    <w:rsid w:val="00D00C15"/>
    <w:rsid w:val="00D00CDE"/>
    <w:rsid w:val="00D01325"/>
    <w:rsid w:val="00D0150A"/>
    <w:rsid w:val="00D01A92"/>
    <w:rsid w:val="00D038DD"/>
    <w:rsid w:val="00D03E5D"/>
    <w:rsid w:val="00D03FC1"/>
    <w:rsid w:val="00D04087"/>
    <w:rsid w:val="00D0481D"/>
    <w:rsid w:val="00D0493B"/>
    <w:rsid w:val="00D05190"/>
    <w:rsid w:val="00D0547D"/>
    <w:rsid w:val="00D05FA1"/>
    <w:rsid w:val="00D060E4"/>
    <w:rsid w:val="00D06545"/>
    <w:rsid w:val="00D073B4"/>
    <w:rsid w:val="00D07689"/>
    <w:rsid w:val="00D07FC8"/>
    <w:rsid w:val="00D10954"/>
    <w:rsid w:val="00D1133E"/>
    <w:rsid w:val="00D11396"/>
    <w:rsid w:val="00D127D1"/>
    <w:rsid w:val="00D12D36"/>
    <w:rsid w:val="00D13495"/>
    <w:rsid w:val="00D14342"/>
    <w:rsid w:val="00D144D9"/>
    <w:rsid w:val="00D1452D"/>
    <w:rsid w:val="00D1490C"/>
    <w:rsid w:val="00D14CEC"/>
    <w:rsid w:val="00D151C4"/>
    <w:rsid w:val="00D1592B"/>
    <w:rsid w:val="00D15D1D"/>
    <w:rsid w:val="00D15EAF"/>
    <w:rsid w:val="00D16807"/>
    <w:rsid w:val="00D16F32"/>
    <w:rsid w:val="00D17062"/>
    <w:rsid w:val="00D17570"/>
    <w:rsid w:val="00D20A19"/>
    <w:rsid w:val="00D20C21"/>
    <w:rsid w:val="00D20D42"/>
    <w:rsid w:val="00D21312"/>
    <w:rsid w:val="00D21D32"/>
    <w:rsid w:val="00D21D79"/>
    <w:rsid w:val="00D21FB1"/>
    <w:rsid w:val="00D2214B"/>
    <w:rsid w:val="00D22DA4"/>
    <w:rsid w:val="00D23205"/>
    <w:rsid w:val="00D233DD"/>
    <w:rsid w:val="00D23420"/>
    <w:rsid w:val="00D2356B"/>
    <w:rsid w:val="00D2389A"/>
    <w:rsid w:val="00D23C6E"/>
    <w:rsid w:val="00D23D63"/>
    <w:rsid w:val="00D24404"/>
    <w:rsid w:val="00D24DA4"/>
    <w:rsid w:val="00D25384"/>
    <w:rsid w:val="00D261EF"/>
    <w:rsid w:val="00D26293"/>
    <w:rsid w:val="00D263F2"/>
    <w:rsid w:val="00D2666B"/>
    <w:rsid w:val="00D26BE3"/>
    <w:rsid w:val="00D2754B"/>
    <w:rsid w:val="00D306D5"/>
    <w:rsid w:val="00D3086B"/>
    <w:rsid w:val="00D30C4D"/>
    <w:rsid w:val="00D30F0F"/>
    <w:rsid w:val="00D314DF"/>
    <w:rsid w:val="00D315C7"/>
    <w:rsid w:val="00D316F5"/>
    <w:rsid w:val="00D325A5"/>
    <w:rsid w:val="00D33846"/>
    <w:rsid w:val="00D351E6"/>
    <w:rsid w:val="00D35D67"/>
    <w:rsid w:val="00D36295"/>
    <w:rsid w:val="00D3719C"/>
    <w:rsid w:val="00D375BE"/>
    <w:rsid w:val="00D377EC"/>
    <w:rsid w:val="00D40166"/>
    <w:rsid w:val="00D4081F"/>
    <w:rsid w:val="00D4136F"/>
    <w:rsid w:val="00D41598"/>
    <w:rsid w:val="00D41779"/>
    <w:rsid w:val="00D41A2F"/>
    <w:rsid w:val="00D41D57"/>
    <w:rsid w:val="00D42183"/>
    <w:rsid w:val="00D42536"/>
    <w:rsid w:val="00D430F1"/>
    <w:rsid w:val="00D4339C"/>
    <w:rsid w:val="00D436A5"/>
    <w:rsid w:val="00D43937"/>
    <w:rsid w:val="00D43C05"/>
    <w:rsid w:val="00D43E46"/>
    <w:rsid w:val="00D44372"/>
    <w:rsid w:val="00D45511"/>
    <w:rsid w:val="00D45A1E"/>
    <w:rsid w:val="00D46067"/>
    <w:rsid w:val="00D461FB"/>
    <w:rsid w:val="00D46418"/>
    <w:rsid w:val="00D46949"/>
    <w:rsid w:val="00D4727D"/>
    <w:rsid w:val="00D4773F"/>
    <w:rsid w:val="00D47C10"/>
    <w:rsid w:val="00D47D46"/>
    <w:rsid w:val="00D503F0"/>
    <w:rsid w:val="00D50972"/>
    <w:rsid w:val="00D50A47"/>
    <w:rsid w:val="00D50BFD"/>
    <w:rsid w:val="00D51246"/>
    <w:rsid w:val="00D51BEF"/>
    <w:rsid w:val="00D52323"/>
    <w:rsid w:val="00D526CF"/>
    <w:rsid w:val="00D529F6"/>
    <w:rsid w:val="00D52CE0"/>
    <w:rsid w:val="00D52EBB"/>
    <w:rsid w:val="00D537C3"/>
    <w:rsid w:val="00D53A8A"/>
    <w:rsid w:val="00D53DE5"/>
    <w:rsid w:val="00D542E7"/>
    <w:rsid w:val="00D54794"/>
    <w:rsid w:val="00D55214"/>
    <w:rsid w:val="00D55CC3"/>
    <w:rsid w:val="00D55DD8"/>
    <w:rsid w:val="00D6017F"/>
    <w:rsid w:val="00D60343"/>
    <w:rsid w:val="00D608C3"/>
    <w:rsid w:val="00D60C65"/>
    <w:rsid w:val="00D61EB5"/>
    <w:rsid w:val="00D61F5D"/>
    <w:rsid w:val="00D622BF"/>
    <w:rsid w:val="00D6252C"/>
    <w:rsid w:val="00D62C65"/>
    <w:rsid w:val="00D63C70"/>
    <w:rsid w:val="00D63F1F"/>
    <w:rsid w:val="00D64233"/>
    <w:rsid w:val="00D648F0"/>
    <w:rsid w:val="00D650A4"/>
    <w:rsid w:val="00D65157"/>
    <w:rsid w:val="00D65229"/>
    <w:rsid w:val="00D65E48"/>
    <w:rsid w:val="00D661F0"/>
    <w:rsid w:val="00D66651"/>
    <w:rsid w:val="00D6684B"/>
    <w:rsid w:val="00D66E3A"/>
    <w:rsid w:val="00D67398"/>
    <w:rsid w:val="00D67501"/>
    <w:rsid w:val="00D67B33"/>
    <w:rsid w:val="00D700FE"/>
    <w:rsid w:val="00D70991"/>
    <w:rsid w:val="00D712BC"/>
    <w:rsid w:val="00D713D8"/>
    <w:rsid w:val="00D71528"/>
    <w:rsid w:val="00D71B28"/>
    <w:rsid w:val="00D71D76"/>
    <w:rsid w:val="00D71EDD"/>
    <w:rsid w:val="00D72824"/>
    <w:rsid w:val="00D72D6D"/>
    <w:rsid w:val="00D72FE3"/>
    <w:rsid w:val="00D73124"/>
    <w:rsid w:val="00D7334B"/>
    <w:rsid w:val="00D7361F"/>
    <w:rsid w:val="00D7371D"/>
    <w:rsid w:val="00D73A74"/>
    <w:rsid w:val="00D73CCB"/>
    <w:rsid w:val="00D747FC"/>
    <w:rsid w:val="00D74C68"/>
    <w:rsid w:val="00D7503A"/>
    <w:rsid w:val="00D752B3"/>
    <w:rsid w:val="00D754CF"/>
    <w:rsid w:val="00D75B38"/>
    <w:rsid w:val="00D75C3A"/>
    <w:rsid w:val="00D75C88"/>
    <w:rsid w:val="00D778CB"/>
    <w:rsid w:val="00D77FC8"/>
    <w:rsid w:val="00D8019B"/>
    <w:rsid w:val="00D803A0"/>
    <w:rsid w:val="00D8078E"/>
    <w:rsid w:val="00D81230"/>
    <w:rsid w:val="00D8178D"/>
    <w:rsid w:val="00D818DB"/>
    <w:rsid w:val="00D818EE"/>
    <w:rsid w:val="00D826DE"/>
    <w:rsid w:val="00D82A78"/>
    <w:rsid w:val="00D82A89"/>
    <w:rsid w:val="00D833F2"/>
    <w:rsid w:val="00D83F7D"/>
    <w:rsid w:val="00D83F9F"/>
    <w:rsid w:val="00D84043"/>
    <w:rsid w:val="00D84287"/>
    <w:rsid w:val="00D843B5"/>
    <w:rsid w:val="00D8525B"/>
    <w:rsid w:val="00D852C8"/>
    <w:rsid w:val="00D856A4"/>
    <w:rsid w:val="00D85D05"/>
    <w:rsid w:val="00D868DE"/>
    <w:rsid w:val="00D86C1D"/>
    <w:rsid w:val="00D871D5"/>
    <w:rsid w:val="00D8750C"/>
    <w:rsid w:val="00D87C99"/>
    <w:rsid w:val="00D87CB9"/>
    <w:rsid w:val="00D902F8"/>
    <w:rsid w:val="00D903FE"/>
    <w:rsid w:val="00D90AD0"/>
    <w:rsid w:val="00D90C29"/>
    <w:rsid w:val="00D90EF6"/>
    <w:rsid w:val="00D91229"/>
    <w:rsid w:val="00D91637"/>
    <w:rsid w:val="00D91765"/>
    <w:rsid w:val="00D91E82"/>
    <w:rsid w:val="00D926C0"/>
    <w:rsid w:val="00D92EBB"/>
    <w:rsid w:val="00D92FDC"/>
    <w:rsid w:val="00D931EC"/>
    <w:rsid w:val="00D93439"/>
    <w:rsid w:val="00D93966"/>
    <w:rsid w:val="00D93AE9"/>
    <w:rsid w:val="00D93B80"/>
    <w:rsid w:val="00D93C5B"/>
    <w:rsid w:val="00D93EE8"/>
    <w:rsid w:val="00D944DF"/>
    <w:rsid w:val="00D9502C"/>
    <w:rsid w:val="00D9570C"/>
    <w:rsid w:val="00D95AEA"/>
    <w:rsid w:val="00D95F3B"/>
    <w:rsid w:val="00D96761"/>
    <w:rsid w:val="00D96785"/>
    <w:rsid w:val="00D96A08"/>
    <w:rsid w:val="00D9762D"/>
    <w:rsid w:val="00D97DA0"/>
    <w:rsid w:val="00D97E60"/>
    <w:rsid w:val="00DA042E"/>
    <w:rsid w:val="00DA0B84"/>
    <w:rsid w:val="00DA0E12"/>
    <w:rsid w:val="00DA14A7"/>
    <w:rsid w:val="00DA1772"/>
    <w:rsid w:val="00DA1A16"/>
    <w:rsid w:val="00DA1C76"/>
    <w:rsid w:val="00DA1E35"/>
    <w:rsid w:val="00DA1F30"/>
    <w:rsid w:val="00DA209E"/>
    <w:rsid w:val="00DA2753"/>
    <w:rsid w:val="00DA2EA3"/>
    <w:rsid w:val="00DA39C4"/>
    <w:rsid w:val="00DA3C98"/>
    <w:rsid w:val="00DA4398"/>
    <w:rsid w:val="00DA4458"/>
    <w:rsid w:val="00DA446A"/>
    <w:rsid w:val="00DA4A40"/>
    <w:rsid w:val="00DA566D"/>
    <w:rsid w:val="00DA6CFB"/>
    <w:rsid w:val="00DA6FB5"/>
    <w:rsid w:val="00DA71D5"/>
    <w:rsid w:val="00DA760F"/>
    <w:rsid w:val="00DA76A9"/>
    <w:rsid w:val="00DA7855"/>
    <w:rsid w:val="00DA7B64"/>
    <w:rsid w:val="00DA7D1A"/>
    <w:rsid w:val="00DB0512"/>
    <w:rsid w:val="00DB0A77"/>
    <w:rsid w:val="00DB0B27"/>
    <w:rsid w:val="00DB1458"/>
    <w:rsid w:val="00DB1485"/>
    <w:rsid w:val="00DB198C"/>
    <w:rsid w:val="00DB1CA5"/>
    <w:rsid w:val="00DB1CEB"/>
    <w:rsid w:val="00DB3439"/>
    <w:rsid w:val="00DB3F8F"/>
    <w:rsid w:val="00DB48C3"/>
    <w:rsid w:val="00DB4F91"/>
    <w:rsid w:val="00DB5BEA"/>
    <w:rsid w:val="00DB65F4"/>
    <w:rsid w:val="00DB6C5E"/>
    <w:rsid w:val="00DB71EE"/>
    <w:rsid w:val="00DB7331"/>
    <w:rsid w:val="00DB76BF"/>
    <w:rsid w:val="00DB7CED"/>
    <w:rsid w:val="00DB7D2A"/>
    <w:rsid w:val="00DC0E8D"/>
    <w:rsid w:val="00DC10C3"/>
    <w:rsid w:val="00DC138E"/>
    <w:rsid w:val="00DC1499"/>
    <w:rsid w:val="00DC176A"/>
    <w:rsid w:val="00DC1AF5"/>
    <w:rsid w:val="00DC2375"/>
    <w:rsid w:val="00DC2677"/>
    <w:rsid w:val="00DC2EBF"/>
    <w:rsid w:val="00DC3766"/>
    <w:rsid w:val="00DC380C"/>
    <w:rsid w:val="00DC38B5"/>
    <w:rsid w:val="00DC3D4B"/>
    <w:rsid w:val="00DC4070"/>
    <w:rsid w:val="00DC4297"/>
    <w:rsid w:val="00DC453A"/>
    <w:rsid w:val="00DC45A8"/>
    <w:rsid w:val="00DC4E93"/>
    <w:rsid w:val="00DC5229"/>
    <w:rsid w:val="00DC5528"/>
    <w:rsid w:val="00DC58B3"/>
    <w:rsid w:val="00DC5E98"/>
    <w:rsid w:val="00DC65C3"/>
    <w:rsid w:val="00DC6882"/>
    <w:rsid w:val="00DC6BF5"/>
    <w:rsid w:val="00DC7180"/>
    <w:rsid w:val="00DC7278"/>
    <w:rsid w:val="00DC7538"/>
    <w:rsid w:val="00DC7A6D"/>
    <w:rsid w:val="00DD0511"/>
    <w:rsid w:val="00DD0C58"/>
    <w:rsid w:val="00DD16C4"/>
    <w:rsid w:val="00DD1717"/>
    <w:rsid w:val="00DD187D"/>
    <w:rsid w:val="00DD211A"/>
    <w:rsid w:val="00DD2264"/>
    <w:rsid w:val="00DD2D4C"/>
    <w:rsid w:val="00DD3046"/>
    <w:rsid w:val="00DD3466"/>
    <w:rsid w:val="00DD351B"/>
    <w:rsid w:val="00DD3BDE"/>
    <w:rsid w:val="00DD3CA3"/>
    <w:rsid w:val="00DD3ECF"/>
    <w:rsid w:val="00DD4887"/>
    <w:rsid w:val="00DD4BBE"/>
    <w:rsid w:val="00DD4D9B"/>
    <w:rsid w:val="00DD4E46"/>
    <w:rsid w:val="00DD50DD"/>
    <w:rsid w:val="00DD55FA"/>
    <w:rsid w:val="00DD5C30"/>
    <w:rsid w:val="00DD5E7B"/>
    <w:rsid w:val="00DD616D"/>
    <w:rsid w:val="00DD6A2A"/>
    <w:rsid w:val="00DD71EC"/>
    <w:rsid w:val="00DD7216"/>
    <w:rsid w:val="00DD73AD"/>
    <w:rsid w:val="00DD798C"/>
    <w:rsid w:val="00DE015C"/>
    <w:rsid w:val="00DE02A7"/>
    <w:rsid w:val="00DE06A1"/>
    <w:rsid w:val="00DE0ACD"/>
    <w:rsid w:val="00DE0B3F"/>
    <w:rsid w:val="00DE2655"/>
    <w:rsid w:val="00DE2921"/>
    <w:rsid w:val="00DE2DF8"/>
    <w:rsid w:val="00DE3A71"/>
    <w:rsid w:val="00DE3E36"/>
    <w:rsid w:val="00DE4975"/>
    <w:rsid w:val="00DE5165"/>
    <w:rsid w:val="00DE5873"/>
    <w:rsid w:val="00DE5AA1"/>
    <w:rsid w:val="00DE5B0D"/>
    <w:rsid w:val="00DE65AD"/>
    <w:rsid w:val="00DE68FE"/>
    <w:rsid w:val="00DE692B"/>
    <w:rsid w:val="00DE70AA"/>
    <w:rsid w:val="00DF04B9"/>
    <w:rsid w:val="00DF075B"/>
    <w:rsid w:val="00DF0D88"/>
    <w:rsid w:val="00DF0FD0"/>
    <w:rsid w:val="00DF2EDE"/>
    <w:rsid w:val="00DF3504"/>
    <w:rsid w:val="00DF3604"/>
    <w:rsid w:val="00DF3E18"/>
    <w:rsid w:val="00DF3FFA"/>
    <w:rsid w:val="00DF4A4C"/>
    <w:rsid w:val="00DF5599"/>
    <w:rsid w:val="00DF5BC8"/>
    <w:rsid w:val="00DF5C9F"/>
    <w:rsid w:val="00DF6A4B"/>
    <w:rsid w:val="00DF7351"/>
    <w:rsid w:val="00DF78F2"/>
    <w:rsid w:val="00DF7CD2"/>
    <w:rsid w:val="00E00192"/>
    <w:rsid w:val="00E00FB2"/>
    <w:rsid w:val="00E01138"/>
    <w:rsid w:val="00E01647"/>
    <w:rsid w:val="00E016C0"/>
    <w:rsid w:val="00E01B44"/>
    <w:rsid w:val="00E01B59"/>
    <w:rsid w:val="00E01CE7"/>
    <w:rsid w:val="00E01DE3"/>
    <w:rsid w:val="00E0235F"/>
    <w:rsid w:val="00E0238C"/>
    <w:rsid w:val="00E02CE0"/>
    <w:rsid w:val="00E035F7"/>
    <w:rsid w:val="00E03AA4"/>
    <w:rsid w:val="00E03DE5"/>
    <w:rsid w:val="00E04298"/>
    <w:rsid w:val="00E043E3"/>
    <w:rsid w:val="00E04B3C"/>
    <w:rsid w:val="00E04DBB"/>
    <w:rsid w:val="00E0537A"/>
    <w:rsid w:val="00E0540A"/>
    <w:rsid w:val="00E05B50"/>
    <w:rsid w:val="00E062A5"/>
    <w:rsid w:val="00E0630D"/>
    <w:rsid w:val="00E0763E"/>
    <w:rsid w:val="00E07C54"/>
    <w:rsid w:val="00E1039C"/>
    <w:rsid w:val="00E10974"/>
    <w:rsid w:val="00E11F2F"/>
    <w:rsid w:val="00E12EC4"/>
    <w:rsid w:val="00E1406A"/>
    <w:rsid w:val="00E14320"/>
    <w:rsid w:val="00E1443B"/>
    <w:rsid w:val="00E1462B"/>
    <w:rsid w:val="00E14742"/>
    <w:rsid w:val="00E148FA"/>
    <w:rsid w:val="00E14D82"/>
    <w:rsid w:val="00E152C6"/>
    <w:rsid w:val="00E15580"/>
    <w:rsid w:val="00E158A9"/>
    <w:rsid w:val="00E160D8"/>
    <w:rsid w:val="00E161AC"/>
    <w:rsid w:val="00E162F5"/>
    <w:rsid w:val="00E1647C"/>
    <w:rsid w:val="00E1696B"/>
    <w:rsid w:val="00E17023"/>
    <w:rsid w:val="00E17AE2"/>
    <w:rsid w:val="00E17D9E"/>
    <w:rsid w:val="00E17DFD"/>
    <w:rsid w:val="00E20004"/>
    <w:rsid w:val="00E20C05"/>
    <w:rsid w:val="00E20FED"/>
    <w:rsid w:val="00E21134"/>
    <w:rsid w:val="00E214F1"/>
    <w:rsid w:val="00E218E8"/>
    <w:rsid w:val="00E21A18"/>
    <w:rsid w:val="00E224AC"/>
    <w:rsid w:val="00E22885"/>
    <w:rsid w:val="00E22EFE"/>
    <w:rsid w:val="00E23745"/>
    <w:rsid w:val="00E2378D"/>
    <w:rsid w:val="00E23AA5"/>
    <w:rsid w:val="00E23E66"/>
    <w:rsid w:val="00E24300"/>
    <w:rsid w:val="00E244A7"/>
    <w:rsid w:val="00E248B1"/>
    <w:rsid w:val="00E24BF4"/>
    <w:rsid w:val="00E24FB6"/>
    <w:rsid w:val="00E253DD"/>
    <w:rsid w:val="00E25913"/>
    <w:rsid w:val="00E26278"/>
    <w:rsid w:val="00E27219"/>
    <w:rsid w:val="00E27619"/>
    <w:rsid w:val="00E27B66"/>
    <w:rsid w:val="00E27CF0"/>
    <w:rsid w:val="00E27F9B"/>
    <w:rsid w:val="00E30736"/>
    <w:rsid w:val="00E30C6B"/>
    <w:rsid w:val="00E31AA7"/>
    <w:rsid w:val="00E31C43"/>
    <w:rsid w:val="00E323BE"/>
    <w:rsid w:val="00E328AA"/>
    <w:rsid w:val="00E333BC"/>
    <w:rsid w:val="00E334D4"/>
    <w:rsid w:val="00E33E33"/>
    <w:rsid w:val="00E33FE5"/>
    <w:rsid w:val="00E347D7"/>
    <w:rsid w:val="00E34B33"/>
    <w:rsid w:val="00E35247"/>
    <w:rsid w:val="00E352A5"/>
    <w:rsid w:val="00E354FE"/>
    <w:rsid w:val="00E359D4"/>
    <w:rsid w:val="00E36945"/>
    <w:rsid w:val="00E37716"/>
    <w:rsid w:val="00E40D44"/>
    <w:rsid w:val="00E40FF1"/>
    <w:rsid w:val="00E4148F"/>
    <w:rsid w:val="00E4153E"/>
    <w:rsid w:val="00E42570"/>
    <w:rsid w:val="00E42746"/>
    <w:rsid w:val="00E42909"/>
    <w:rsid w:val="00E42BE4"/>
    <w:rsid w:val="00E43301"/>
    <w:rsid w:val="00E43B50"/>
    <w:rsid w:val="00E43E60"/>
    <w:rsid w:val="00E447C4"/>
    <w:rsid w:val="00E448C8"/>
    <w:rsid w:val="00E44ABC"/>
    <w:rsid w:val="00E44D1C"/>
    <w:rsid w:val="00E4504A"/>
    <w:rsid w:val="00E456CF"/>
    <w:rsid w:val="00E4585E"/>
    <w:rsid w:val="00E459F1"/>
    <w:rsid w:val="00E46A50"/>
    <w:rsid w:val="00E47308"/>
    <w:rsid w:val="00E477F2"/>
    <w:rsid w:val="00E503CB"/>
    <w:rsid w:val="00E5074E"/>
    <w:rsid w:val="00E511BF"/>
    <w:rsid w:val="00E516D3"/>
    <w:rsid w:val="00E519E5"/>
    <w:rsid w:val="00E52064"/>
    <w:rsid w:val="00E520DF"/>
    <w:rsid w:val="00E523F7"/>
    <w:rsid w:val="00E52647"/>
    <w:rsid w:val="00E52867"/>
    <w:rsid w:val="00E52F93"/>
    <w:rsid w:val="00E530B8"/>
    <w:rsid w:val="00E53A17"/>
    <w:rsid w:val="00E53BC3"/>
    <w:rsid w:val="00E53E4B"/>
    <w:rsid w:val="00E54F50"/>
    <w:rsid w:val="00E554AA"/>
    <w:rsid w:val="00E5551B"/>
    <w:rsid w:val="00E5598F"/>
    <w:rsid w:val="00E569D0"/>
    <w:rsid w:val="00E56D30"/>
    <w:rsid w:val="00E57078"/>
    <w:rsid w:val="00E57646"/>
    <w:rsid w:val="00E578CB"/>
    <w:rsid w:val="00E60349"/>
    <w:rsid w:val="00E605B3"/>
    <w:rsid w:val="00E60B12"/>
    <w:rsid w:val="00E60CC5"/>
    <w:rsid w:val="00E61CC3"/>
    <w:rsid w:val="00E62B8D"/>
    <w:rsid w:val="00E6309B"/>
    <w:rsid w:val="00E63BD3"/>
    <w:rsid w:val="00E641E2"/>
    <w:rsid w:val="00E6514D"/>
    <w:rsid w:val="00E66077"/>
    <w:rsid w:val="00E661AF"/>
    <w:rsid w:val="00E66C7A"/>
    <w:rsid w:val="00E67510"/>
    <w:rsid w:val="00E67DF9"/>
    <w:rsid w:val="00E70036"/>
    <w:rsid w:val="00E711AF"/>
    <w:rsid w:val="00E71768"/>
    <w:rsid w:val="00E7213F"/>
    <w:rsid w:val="00E7217D"/>
    <w:rsid w:val="00E7342C"/>
    <w:rsid w:val="00E740DF"/>
    <w:rsid w:val="00E74A79"/>
    <w:rsid w:val="00E74E18"/>
    <w:rsid w:val="00E7569F"/>
    <w:rsid w:val="00E76260"/>
    <w:rsid w:val="00E80537"/>
    <w:rsid w:val="00E80E77"/>
    <w:rsid w:val="00E81323"/>
    <w:rsid w:val="00E8149E"/>
    <w:rsid w:val="00E82161"/>
    <w:rsid w:val="00E82806"/>
    <w:rsid w:val="00E82989"/>
    <w:rsid w:val="00E82AB6"/>
    <w:rsid w:val="00E8359B"/>
    <w:rsid w:val="00E836CC"/>
    <w:rsid w:val="00E83B4F"/>
    <w:rsid w:val="00E841A6"/>
    <w:rsid w:val="00E84465"/>
    <w:rsid w:val="00E8454D"/>
    <w:rsid w:val="00E84879"/>
    <w:rsid w:val="00E84C5B"/>
    <w:rsid w:val="00E8586F"/>
    <w:rsid w:val="00E8594F"/>
    <w:rsid w:val="00E85BFD"/>
    <w:rsid w:val="00E85DD8"/>
    <w:rsid w:val="00E8641E"/>
    <w:rsid w:val="00E8657E"/>
    <w:rsid w:val="00E86739"/>
    <w:rsid w:val="00E8685A"/>
    <w:rsid w:val="00E86BCE"/>
    <w:rsid w:val="00E86C39"/>
    <w:rsid w:val="00E87A62"/>
    <w:rsid w:val="00E9080D"/>
    <w:rsid w:val="00E90AF0"/>
    <w:rsid w:val="00E90D48"/>
    <w:rsid w:val="00E9166B"/>
    <w:rsid w:val="00E91673"/>
    <w:rsid w:val="00E91B6C"/>
    <w:rsid w:val="00E921C3"/>
    <w:rsid w:val="00E921C5"/>
    <w:rsid w:val="00E924FB"/>
    <w:rsid w:val="00E92F97"/>
    <w:rsid w:val="00E93B39"/>
    <w:rsid w:val="00E947F6"/>
    <w:rsid w:val="00E950F1"/>
    <w:rsid w:val="00E957BC"/>
    <w:rsid w:val="00E95CC7"/>
    <w:rsid w:val="00E96415"/>
    <w:rsid w:val="00E96E94"/>
    <w:rsid w:val="00E97203"/>
    <w:rsid w:val="00E97206"/>
    <w:rsid w:val="00E9727A"/>
    <w:rsid w:val="00E976BA"/>
    <w:rsid w:val="00EA0266"/>
    <w:rsid w:val="00EA0446"/>
    <w:rsid w:val="00EA0799"/>
    <w:rsid w:val="00EA10A7"/>
    <w:rsid w:val="00EA18EA"/>
    <w:rsid w:val="00EA1F82"/>
    <w:rsid w:val="00EA2798"/>
    <w:rsid w:val="00EA27EC"/>
    <w:rsid w:val="00EA3162"/>
    <w:rsid w:val="00EA36CA"/>
    <w:rsid w:val="00EA37C3"/>
    <w:rsid w:val="00EA3DB9"/>
    <w:rsid w:val="00EA4AB2"/>
    <w:rsid w:val="00EA4BCF"/>
    <w:rsid w:val="00EA4BEB"/>
    <w:rsid w:val="00EA4EFA"/>
    <w:rsid w:val="00EA5814"/>
    <w:rsid w:val="00EA5BC6"/>
    <w:rsid w:val="00EA5C8E"/>
    <w:rsid w:val="00EA621C"/>
    <w:rsid w:val="00EA77DB"/>
    <w:rsid w:val="00EA77FE"/>
    <w:rsid w:val="00EA7AC3"/>
    <w:rsid w:val="00EA7FCF"/>
    <w:rsid w:val="00EB03FD"/>
    <w:rsid w:val="00EB042A"/>
    <w:rsid w:val="00EB0C1A"/>
    <w:rsid w:val="00EB0FE4"/>
    <w:rsid w:val="00EB1908"/>
    <w:rsid w:val="00EB221C"/>
    <w:rsid w:val="00EB2223"/>
    <w:rsid w:val="00EB2A4A"/>
    <w:rsid w:val="00EB2B90"/>
    <w:rsid w:val="00EB3130"/>
    <w:rsid w:val="00EB350E"/>
    <w:rsid w:val="00EB35E3"/>
    <w:rsid w:val="00EB3CEA"/>
    <w:rsid w:val="00EB41F9"/>
    <w:rsid w:val="00EB424B"/>
    <w:rsid w:val="00EB50AD"/>
    <w:rsid w:val="00EB526B"/>
    <w:rsid w:val="00EB6928"/>
    <w:rsid w:val="00EB694E"/>
    <w:rsid w:val="00EB6D37"/>
    <w:rsid w:val="00EB7394"/>
    <w:rsid w:val="00EB762F"/>
    <w:rsid w:val="00EB78AE"/>
    <w:rsid w:val="00EC0811"/>
    <w:rsid w:val="00EC0EE7"/>
    <w:rsid w:val="00EC19C1"/>
    <w:rsid w:val="00EC1DC2"/>
    <w:rsid w:val="00EC2022"/>
    <w:rsid w:val="00EC21CD"/>
    <w:rsid w:val="00EC233C"/>
    <w:rsid w:val="00EC272C"/>
    <w:rsid w:val="00EC2B72"/>
    <w:rsid w:val="00EC3266"/>
    <w:rsid w:val="00EC3874"/>
    <w:rsid w:val="00EC39F3"/>
    <w:rsid w:val="00EC4DDA"/>
    <w:rsid w:val="00EC5D31"/>
    <w:rsid w:val="00EC7252"/>
    <w:rsid w:val="00ED0031"/>
    <w:rsid w:val="00ED013A"/>
    <w:rsid w:val="00ED1BBC"/>
    <w:rsid w:val="00ED3018"/>
    <w:rsid w:val="00ED3146"/>
    <w:rsid w:val="00ED35E9"/>
    <w:rsid w:val="00ED37F4"/>
    <w:rsid w:val="00ED4EF0"/>
    <w:rsid w:val="00ED4F7F"/>
    <w:rsid w:val="00ED5724"/>
    <w:rsid w:val="00ED5889"/>
    <w:rsid w:val="00ED5CC5"/>
    <w:rsid w:val="00ED6057"/>
    <w:rsid w:val="00ED6241"/>
    <w:rsid w:val="00ED624C"/>
    <w:rsid w:val="00ED67C3"/>
    <w:rsid w:val="00ED67C8"/>
    <w:rsid w:val="00ED6880"/>
    <w:rsid w:val="00ED68B8"/>
    <w:rsid w:val="00ED7318"/>
    <w:rsid w:val="00ED760B"/>
    <w:rsid w:val="00ED78AA"/>
    <w:rsid w:val="00ED7D1C"/>
    <w:rsid w:val="00EE0499"/>
    <w:rsid w:val="00EE0A9A"/>
    <w:rsid w:val="00EE13AA"/>
    <w:rsid w:val="00EE1421"/>
    <w:rsid w:val="00EE2138"/>
    <w:rsid w:val="00EE25ED"/>
    <w:rsid w:val="00EE2E22"/>
    <w:rsid w:val="00EE3249"/>
    <w:rsid w:val="00EE33E2"/>
    <w:rsid w:val="00EE3404"/>
    <w:rsid w:val="00EE3530"/>
    <w:rsid w:val="00EE42E9"/>
    <w:rsid w:val="00EE5149"/>
    <w:rsid w:val="00EE517F"/>
    <w:rsid w:val="00EE53DC"/>
    <w:rsid w:val="00EE58E8"/>
    <w:rsid w:val="00EE5B77"/>
    <w:rsid w:val="00EE5C07"/>
    <w:rsid w:val="00EE5FA3"/>
    <w:rsid w:val="00EE6365"/>
    <w:rsid w:val="00EE686F"/>
    <w:rsid w:val="00EE6EE6"/>
    <w:rsid w:val="00EE7000"/>
    <w:rsid w:val="00EE7A70"/>
    <w:rsid w:val="00EF077B"/>
    <w:rsid w:val="00EF1523"/>
    <w:rsid w:val="00EF1819"/>
    <w:rsid w:val="00EF1BED"/>
    <w:rsid w:val="00EF2589"/>
    <w:rsid w:val="00EF2822"/>
    <w:rsid w:val="00EF298D"/>
    <w:rsid w:val="00EF2B37"/>
    <w:rsid w:val="00EF2C67"/>
    <w:rsid w:val="00EF34A8"/>
    <w:rsid w:val="00EF35BB"/>
    <w:rsid w:val="00EF36D4"/>
    <w:rsid w:val="00EF37A3"/>
    <w:rsid w:val="00EF3C99"/>
    <w:rsid w:val="00EF3DC1"/>
    <w:rsid w:val="00EF3E20"/>
    <w:rsid w:val="00EF4AFB"/>
    <w:rsid w:val="00EF4BCB"/>
    <w:rsid w:val="00EF4CE1"/>
    <w:rsid w:val="00EF5543"/>
    <w:rsid w:val="00EF5D85"/>
    <w:rsid w:val="00EF6054"/>
    <w:rsid w:val="00EF69A2"/>
    <w:rsid w:val="00EF69D5"/>
    <w:rsid w:val="00EF7CC0"/>
    <w:rsid w:val="00F001B9"/>
    <w:rsid w:val="00F00AA0"/>
    <w:rsid w:val="00F00BF5"/>
    <w:rsid w:val="00F00CB6"/>
    <w:rsid w:val="00F0109A"/>
    <w:rsid w:val="00F0149B"/>
    <w:rsid w:val="00F016F5"/>
    <w:rsid w:val="00F0193F"/>
    <w:rsid w:val="00F025AC"/>
    <w:rsid w:val="00F0311C"/>
    <w:rsid w:val="00F033AA"/>
    <w:rsid w:val="00F03464"/>
    <w:rsid w:val="00F038E3"/>
    <w:rsid w:val="00F03A28"/>
    <w:rsid w:val="00F03CBA"/>
    <w:rsid w:val="00F03E0F"/>
    <w:rsid w:val="00F04A20"/>
    <w:rsid w:val="00F04DF9"/>
    <w:rsid w:val="00F053AB"/>
    <w:rsid w:val="00F05862"/>
    <w:rsid w:val="00F05B81"/>
    <w:rsid w:val="00F05FA1"/>
    <w:rsid w:val="00F06553"/>
    <w:rsid w:val="00F06A3C"/>
    <w:rsid w:val="00F06E2E"/>
    <w:rsid w:val="00F0721F"/>
    <w:rsid w:val="00F075EE"/>
    <w:rsid w:val="00F07904"/>
    <w:rsid w:val="00F07E0E"/>
    <w:rsid w:val="00F104C2"/>
    <w:rsid w:val="00F117B0"/>
    <w:rsid w:val="00F121DB"/>
    <w:rsid w:val="00F122B5"/>
    <w:rsid w:val="00F125CC"/>
    <w:rsid w:val="00F12EB9"/>
    <w:rsid w:val="00F14005"/>
    <w:rsid w:val="00F14336"/>
    <w:rsid w:val="00F14D4B"/>
    <w:rsid w:val="00F1519E"/>
    <w:rsid w:val="00F155A1"/>
    <w:rsid w:val="00F1560B"/>
    <w:rsid w:val="00F15E16"/>
    <w:rsid w:val="00F15E97"/>
    <w:rsid w:val="00F16F79"/>
    <w:rsid w:val="00F1754F"/>
    <w:rsid w:val="00F17AF5"/>
    <w:rsid w:val="00F17F4D"/>
    <w:rsid w:val="00F20086"/>
    <w:rsid w:val="00F20B86"/>
    <w:rsid w:val="00F21382"/>
    <w:rsid w:val="00F21528"/>
    <w:rsid w:val="00F21613"/>
    <w:rsid w:val="00F219F1"/>
    <w:rsid w:val="00F22259"/>
    <w:rsid w:val="00F222C3"/>
    <w:rsid w:val="00F22ADF"/>
    <w:rsid w:val="00F236BF"/>
    <w:rsid w:val="00F2380A"/>
    <w:rsid w:val="00F23910"/>
    <w:rsid w:val="00F23B5E"/>
    <w:rsid w:val="00F23C6D"/>
    <w:rsid w:val="00F241D9"/>
    <w:rsid w:val="00F2432C"/>
    <w:rsid w:val="00F2522B"/>
    <w:rsid w:val="00F25617"/>
    <w:rsid w:val="00F25CE0"/>
    <w:rsid w:val="00F25EA8"/>
    <w:rsid w:val="00F261B0"/>
    <w:rsid w:val="00F2685A"/>
    <w:rsid w:val="00F26F20"/>
    <w:rsid w:val="00F27524"/>
    <w:rsid w:val="00F27659"/>
    <w:rsid w:val="00F27C0E"/>
    <w:rsid w:val="00F305D3"/>
    <w:rsid w:val="00F30BBA"/>
    <w:rsid w:val="00F30BC9"/>
    <w:rsid w:val="00F3113F"/>
    <w:rsid w:val="00F311AA"/>
    <w:rsid w:val="00F31400"/>
    <w:rsid w:val="00F31439"/>
    <w:rsid w:val="00F3162F"/>
    <w:rsid w:val="00F31A61"/>
    <w:rsid w:val="00F31D6B"/>
    <w:rsid w:val="00F31E73"/>
    <w:rsid w:val="00F32B91"/>
    <w:rsid w:val="00F32E10"/>
    <w:rsid w:val="00F3363C"/>
    <w:rsid w:val="00F33689"/>
    <w:rsid w:val="00F34504"/>
    <w:rsid w:val="00F34E83"/>
    <w:rsid w:val="00F35EB1"/>
    <w:rsid w:val="00F360CC"/>
    <w:rsid w:val="00F364BC"/>
    <w:rsid w:val="00F37BD5"/>
    <w:rsid w:val="00F402D1"/>
    <w:rsid w:val="00F40463"/>
    <w:rsid w:val="00F408C5"/>
    <w:rsid w:val="00F40BBB"/>
    <w:rsid w:val="00F40FDE"/>
    <w:rsid w:val="00F41266"/>
    <w:rsid w:val="00F42E0E"/>
    <w:rsid w:val="00F43409"/>
    <w:rsid w:val="00F43806"/>
    <w:rsid w:val="00F44D24"/>
    <w:rsid w:val="00F45933"/>
    <w:rsid w:val="00F459A1"/>
    <w:rsid w:val="00F4617E"/>
    <w:rsid w:val="00F466AA"/>
    <w:rsid w:val="00F4775C"/>
    <w:rsid w:val="00F47EAC"/>
    <w:rsid w:val="00F500C3"/>
    <w:rsid w:val="00F50B4F"/>
    <w:rsid w:val="00F5116E"/>
    <w:rsid w:val="00F513DC"/>
    <w:rsid w:val="00F5140C"/>
    <w:rsid w:val="00F5180D"/>
    <w:rsid w:val="00F51C1C"/>
    <w:rsid w:val="00F51F14"/>
    <w:rsid w:val="00F523D1"/>
    <w:rsid w:val="00F525E5"/>
    <w:rsid w:val="00F52792"/>
    <w:rsid w:val="00F53399"/>
    <w:rsid w:val="00F53C6D"/>
    <w:rsid w:val="00F541F0"/>
    <w:rsid w:val="00F5484A"/>
    <w:rsid w:val="00F54DA9"/>
    <w:rsid w:val="00F557A3"/>
    <w:rsid w:val="00F5620F"/>
    <w:rsid w:val="00F56776"/>
    <w:rsid w:val="00F574EA"/>
    <w:rsid w:val="00F57CEA"/>
    <w:rsid w:val="00F60508"/>
    <w:rsid w:val="00F60ADD"/>
    <w:rsid w:val="00F61AEB"/>
    <w:rsid w:val="00F61D79"/>
    <w:rsid w:val="00F61F06"/>
    <w:rsid w:val="00F620C8"/>
    <w:rsid w:val="00F6253A"/>
    <w:rsid w:val="00F62A72"/>
    <w:rsid w:val="00F62AB0"/>
    <w:rsid w:val="00F62E89"/>
    <w:rsid w:val="00F630CC"/>
    <w:rsid w:val="00F6373E"/>
    <w:rsid w:val="00F6426E"/>
    <w:rsid w:val="00F64396"/>
    <w:rsid w:val="00F645EF"/>
    <w:rsid w:val="00F6474C"/>
    <w:rsid w:val="00F65873"/>
    <w:rsid w:val="00F662AC"/>
    <w:rsid w:val="00F66452"/>
    <w:rsid w:val="00F664A3"/>
    <w:rsid w:val="00F665C5"/>
    <w:rsid w:val="00F66733"/>
    <w:rsid w:val="00F66AE6"/>
    <w:rsid w:val="00F66BDF"/>
    <w:rsid w:val="00F6724B"/>
    <w:rsid w:val="00F67D82"/>
    <w:rsid w:val="00F70571"/>
    <w:rsid w:val="00F707D3"/>
    <w:rsid w:val="00F70F6A"/>
    <w:rsid w:val="00F7121D"/>
    <w:rsid w:val="00F7122D"/>
    <w:rsid w:val="00F713FC"/>
    <w:rsid w:val="00F729BA"/>
    <w:rsid w:val="00F737F9"/>
    <w:rsid w:val="00F73B02"/>
    <w:rsid w:val="00F748E5"/>
    <w:rsid w:val="00F74907"/>
    <w:rsid w:val="00F75140"/>
    <w:rsid w:val="00F7564D"/>
    <w:rsid w:val="00F75D3B"/>
    <w:rsid w:val="00F75DA6"/>
    <w:rsid w:val="00F7609D"/>
    <w:rsid w:val="00F76186"/>
    <w:rsid w:val="00F7662D"/>
    <w:rsid w:val="00F76C4A"/>
    <w:rsid w:val="00F76DEF"/>
    <w:rsid w:val="00F77899"/>
    <w:rsid w:val="00F77C88"/>
    <w:rsid w:val="00F77E1C"/>
    <w:rsid w:val="00F801E8"/>
    <w:rsid w:val="00F8071A"/>
    <w:rsid w:val="00F80C81"/>
    <w:rsid w:val="00F80DDD"/>
    <w:rsid w:val="00F80EB2"/>
    <w:rsid w:val="00F81598"/>
    <w:rsid w:val="00F816F0"/>
    <w:rsid w:val="00F81A8F"/>
    <w:rsid w:val="00F81BD1"/>
    <w:rsid w:val="00F82583"/>
    <w:rsid w:val="00F82B91"/>
    <w:rsid w:val="00F82DBB"/>
    <w:rsid w:val="00F83094"/>
    <w:rsid w:val="00F83DB3"/>
    <w:rsid w:val="00F842B2"/>
    <w:rsid w:val="00F84AF8"/>
    <w:rsid w:val="00F84CF5"/>
    <w:rsid w:val="00F851A2"/>
    <w:rsid w:val="00F8524E"/>
    <w:rsid w:val="00F85778"/>
    <w:rsid w:val="00F85BD6"/>
    <w:rsid w:val="00F86CDD"/>
    <w:rsid w:val="00F86D10"/>
    <w:rsid w:val="00F86D17"/>
    <w:rsid w:val="00F87229"/>
    <w:rsid w:val="00F8740A"/>
    <w:rsid w:val="00F877A5"/>
    <w:rsid w:val="00F87CC3"/>
    <w:rsid w:val="00F87CE0"/>
    <w:rsid w:val="00F87D19"/>
    <w:rsid w:val="00F909CF"/>
    <w:rsid w:val="00F90C5C"/>
    <w:rsid w:val="00F910E1"/>
    <w:rsid w:val="00F911BB"/>
    <w:rsid w:val="00F91A7F"/>
    <w:rsid w:val="00F91C4D"/>
    <w:rsid w:val="00F91DEE"/>
    <w:rsid w:val="00F9285A"/>
    <w:rsid w:val="00F935BC"/>
    <w:rsid w:val="00F94406"/>
    <w:rsid w:val="00F94A29"/>
    <w:rsid w:val="00F95373"/>
    <w:rsid w:val="00F95BB6"/>
    <w:rsid w:val="00F95F86"/>
    <w:rsid w:val="00F96005"/>
    <w:rsid w:val="00F963F3"/>
    <w:rsid w:val="00F96761"/>
    <w:rsid w:val="00F96B10"/>
    <w:rsid w:val="00F970D4"/>
    <w:rsid w:val="00FA0769"/>
    <w:rsid w:val="00FA096A"/>
    <w:rsid w:val="00FA0D11"/>
    <w:rsid w:val="00FA0E9B"/>
    <w:rsid w:val="00FA11B4"/>
    <w:rsid w:val="00FA12F1"/>
    <w:rsid w:val="00FA1307"/>
    <w:rsid w:val="00FA14DD"/>
    <w:rsid w:val="00FA1566"/>
    <w:rsid w:val="00FA16DF"/>
    <w:rsid w:val="00FA192F"/>
    <w:rsid w:val="00FA1F7D"/>
    <w:rsid w:val="00FA20D2"/>
    <w:rsid w:val="00FA248D"/>
    <w:rsid w:val="00FA2FC8"/>
    <w:rsid w:val="00FA34DD"/>
    <w:rsid w:val="00FA3591"/>
    <w:rsid w:val="00FA3818"/>
    <w:rsid w:val="00FA4068"/>
    <w:rsid w:val="00FA4A54"/>
    <w:rsid w:val="00FA503D"/>
    <w:rsid w:val="00FA5401"/>
    <w:rsid w:val="00FA58F8"/>
    <w:rsid w:val="00FA5A63"/>
    <w:rsid w:val="00FA5C66"/>
    <w:rsid w:val="00FA5F2E"/>
    <w:rsid w:val="00FA61A1"/>
    <w:rsid w:val="00FA62ED"/>
    <w:rsid w:val="00FA65BE"/>
    <w:rsid w:val="00FA6A33"/>
    <w:rsid w:val="00FA6D16"/>
    <w:rsid w:val="00FA6FAB"/>
    <w:rsid w:val="00FA7B4E"/>
    <w:rsid w:val="00FB0219"/>
    <w:rsid w:val="00FB0268"/>
    <w:rsid w:val="00FB0485"/>
    <w:rsid w:val="00FB0680"/>
    <w:rsid w:val="00FB17DA"/>
    <w:rsid w:val="00FB1F97"/>
    <w:rsid w:val="00FB27BC"/>
    <w:rsid w:val="00FB2B7A"/>
    <w:rsid w:val="00FB3DBF"/>
    <w:rsid w:val="00FB4C56"/>
    <w:rsid w:val="00FB4CEA"/>
    <w:rsid w:val="00FB513C"/>
    <w:rsid w:val="00FB526F"/>
    <w:rsid w:val="00FB5547"/>
    <w:rsid w:val="00FB58AA"/>
    <w:rsid w:val="00FB5DE3"/>
    <w:rsid w:val="00FB6127"/>
    <w:rsid w:val="00FB68C5"/>
    <w:rsid w:val="00FB6948"/>
    <w:rsid w:val="00FB76BF"/>
    <w:rsid w:val="00FB7BB6"/>
    <w:rsid w:val="00FB7BFC"/>
    <w:rsid w:val="00FC08DE"/>
    <w:rsid w:val="00FC0EEC"/>
    <w:rsid w:val="00FC15A8"/>
    <w:rsid w:val="00FC2201"/>
    <w:rsid w:val="00FC36DA"/>
    <w:rsid w:val="00FC433E"/>
    <w:rsid w:val="00FC475F"/>
    <w:rsid w:val="00FC4D4D"/>
    <w:rsid w:val="00FC4D8F"/>
    <w:rsid w:val="00FC51B8"/>
    <w:rsid w:val="00FC540F"/>
    <w:rsid w:val="00FC58BD"/>
    <w:rsid w:val="00FC65AD"/>
    <w:rsid w:val="00FC6F27"/>
    <w:rsid w:val="00FC74AB"/>
    <w:rsid w:val="00FC7571"/>
    <w:rsid w:val="00FC767A"/>
    <w:rsid w:val="00FC76BE"/>
    <w:rsid w:val="00FC76D5"/>
    <w:rsid w:val="00FD0656"/>
    <w:rsid w:val="00FD1377"/>
    <w:rsid w:val="00FD19FA"/>
    <w:rsid w:val="00FD1B4B"/>
    <w:rsid w:val="00FD1B7C"/>
    <w:rsid w:val="00FD1C43"/>
    <w:rsid w:val="00FD1F23"/>
    <w:rsid w:val="00FD38FB"/>
    <w:rsid w:val="00FD3F60"/>
    <w:rsid w:val="00FD42DE"/>
    <w:rsid w:val="00FD46BD"/>
    <w:rsid w:val="00FD539D"/>
    <w:rsid w:val="00FD54AF"/>
    <w:rsid w:val="00FD554D"/>
    <w:rsid w:val="00FD5A91"/>
    <w:rsid w:val="00FD5B1D"/>
    <w:rsid w:val="00FD6327"/>
    <w:rsid w:val="00FD6C2D"/>
    <w:rsid w:val="00FD7115"/>
    <w:rsid w:val="00FD734D"/>
    <w:rsid w:val="00FD7653"/>
    <w:rsid w:val="00FD7A6C"/>
    <w:rsid w:val="00FD7D82"/>
    <w:rsid w:val="00FE04E3"/>
    <w:rsid w:val="00FE0A59"/>
    <w:rsid w:val="00FE0A89"/>
    <w:rsid w:val="00FE0FB5"/>
    <w:rsid w:val="00FE1044"/>
    <w:rsid w:val="00FE136E"/>
    <w:rsid w:val="00FE15EF"/>
    <w:rsid w:val="00FE1C9F"/>
    <w:rsid w:val="00FE27FA"/>
    <w:rsid w:val="00FE294C"/>
    <w:rsid w:val="00FE2C03"/>
    <w:rsid w:val="00FE34EA"/>
    <w:rsid w:val="00FE3F05"/>
    <w:rsid w:val="00FE3F84"/>
    <w:rsid w:val="00FE4727"/>
    <w:rsid w:val="00FE48A8"/>
    <w:rsid w:val="00FE4A13"/>
    <w:rsid w:val="00FE5852"/>
    <w:rsid w:val="00FE5F82"/>
    <w:rsid w:val="00FE6595"/>
    <w:rsid w:val="00FE68B2"/>
    <w:rsid w:val="00FE6EED"/>
    <w:rsid w:val="00FE7213"/>
    <w:rsid w:val="00FE7C2C"/>
    <w:rsid w:val="00FE7E14"/>
    <w:rsid w:val="00FF0336"/>
    <w:rsid w:val="00FF053B"/>
    <w:rsid w:val="00FF0C69"/>
    <w:rsid w:val="00FF1B0D"/>
    <w:rsid w:val="00FF2654"/>
    <w:rsid w:val="00FF2991"/>
    <w:rsid w:val="00FF2EA1"/>
    <w:rsid w:val="00FF2FE3"/>
    <w:rsid w:val="00FF309B"/>
    <w:rsid w:val="00FF3321"/>
    <w:rsid w:val="00FF3B21"/>
    <w:rsid w:val="00FF4065"/>
    <w:rsid w:val="00FF4BFB"/>
    <w:rsid w:val="00FF5088"/>
    <w:rsid w:val="00FF563C"/>
    <w:rsid w:val="00FF5760"/>
    <w:rsid w:val="00FF57E6"/>
    <w:rsid w:val="00FF5877"/>
    <w:rsid w:val="00FF5DB5"/>
    <w:rsid w:val="00FF6204"/>
    <w:rsid w:val="00FF6A93"/>
    <w:rsid w:val="00FF6E8D"/>
    <w:rsid w:val="00FF701D"/>
    <w:rsid w:val="00FF7083"/>
    <w:rsid w:val="00FF72B8"/>
    <w:rsid w:val="00FF7885"/>
    <w:rsid w:val="01015E38"/>
    <w:rsid w:val="014F6564"/>
    <w:rsid w:val="02380E83"/>
    <w:rsid w:val="023849A0"/>
    <w:rsid w:val="02405F8A"/>
    <w:rsid w:val="02554B69"/>
    <w:rsid w:val="02A24AFE"/>
    <w:rsid w:val="02BF15A4"/>
    <w:rsid w:val="02FA082F"/>
    <w:rsid w:val="0304377A"/>
    <w:rsid w:val="03093FB9"/>
    <w:rsid w:val="035C4DFD"/>
    <w:rsid w:val="03960099"/>
    <w:rsid w:val="03A54392"/>
    <w:rsid w:val="04130FB3"/>
    <w:rsid w:val="041F2FD0"/>
    <w:rsid w:val="04340109"/>
    <w:rsid w:val="045D1A8B"/>
    <w:rsid w:val="04746A8A"/>
    <w:rsid w:val="051B7E5C"/>
    <w:rsid w:val="057E606F"/>
    <w:rsid w:val="058F4B18"/>
    <w:rsid w:val="05B828E7"/>
    <w:rsid w:val="0627337D"/>
    <w:rsid w:val="0633208D"/>
    <w:rsid w:val="06FD7AE7"/>
    <w:rsid w:val="07352BC0"/>
    <w:rsid w:val="07487DBA"/>
    <w:rsid w:val="075B54F3"/>
    <w:rsid w:val="079459F6"/>
    <w:rsid w:val="07B80868"/>
    <w:rsid w:val="0808579C"/>
    <w:rsid w:val="08093515"/>
    <w:rsid w:val="08142804"/>
    <w:rsid w:val="083A2C5B"/>
    <w:rsid w:val="08896D45"/>
    <w:rsid w:val="08FD7793"/>
    <w:rsid w:val="09CF6571"/>
    <w:rsid w:val="0A391C3C"/>
    <w:rsid w:val="0A3A7DCB"/>
    <w:rsid w:val="0A773D44"/>
    <w:rsid w:val="0A8A36CA"/>
    <w:rsid w:val="0A927844"/>
    <w:rsid w:val="0ABF4343"/>
    <w:rsid w:val="0ACA778E"/>
    <w:rsid w:val="0AD23ADB"/>
    <w:rsid w:val="0B1E3F3B"/>
    <w:rsid w:val="0B6343A5"/>
    <w:rsid w:val="0B8932F1"/>
    <w:rsid w:val="0C294E13"/>
    <w:rsid w:val="0C6909FA"/>
    <w:rsid w:val="0D1F3C4E"/>
    <w:rsid w:val="0D696735"/>
    <w:rsid w:val="0E1F739B"/>
    <w:rsid w:val="0E861A4B"/>
    <w:rsid w:val="0E9148CF"/>
    <w:rsid w:val="0F0F2345"/>
    <w:rsid w:val="0F947EA0"/>
    <w:rsid w:val="0FAC149F"/>
    <w:rsid w:val="0FB8306A"/>
    <w:rsid w:val="101F3682"/>
    <w:rsid w:val="102C6FB4"/>
    <w:rsid w:val="10366719"/>
    <w:rsid w:val="11567B18"/>
    <w:rsid w:val="115751F0"/>
    <w:rsid w:val="115A0E16"/>
    <w:rsid w:val="11CC3396"/>
    <w:rsid w:val="120A453C"/>
    <w:rsid w:val="121A4DAB"/>
    <w:rsid w:val="12453FFD"/>
    <w:rsid w:val="12CF1A7C"/>
    <w:rsid w:val="13603F67"/>
    <w:rsid w:val="13E92E53"/>
    <w:rsid w:val="144D4C62"/>
    <w:rsid w:val="14627FE2"/>
    <w:rsid w:val="152359C3"/>
    <w:rsid w:val="15EF3AF7"/>
    <w:rsid w:val="15F410B2"/>
    <w:rsid w:val="161378D0"/>
    <w:rsid w:val="16777821"/>
    <w:rsid w:val="16C22539"/>
    <w:rsid w:val="16D648AE"/>
    <w:rsid w:val="175E3B50"/>
    <w:rsid w:val="17C83CB9"/>
    <w:rsid w:val="17E008C3"/>
    <w:rsid w:val="18867A98"/>
    <w:rsid w:val="18893367"/>
    <w:rsid w:val="194A3D04"/>
    <w:rsid w:val="19F961FD"/>
    <w:rsid w:val="1A1F143C"/>
    <w:rsid w:val="1A400DC5"/>
    <w:rsid w:val="1A710B30"/>
    <w:rsid w:val="1A7D3557"/>
    <w:rsid w:val="1AA008D1"/>
    <w:rsid w:val="1AB93E39"/>
    <w:rsid w:val="1ABD41C4"/>
    <w:rsid w:val="1B176C24"/>
    <w:rsid w:val="1B724056"/>
    <w:rsid w:val="1B9E5908"/>
    <w:rsid w:val="1BA57F21"/>
    <w:rsid w:val="1BEE2D82"/>
    <w:rsid w:val="1BF53B1E"/>
    <w:rsid w:val="1C072864"/>
    <w:rsid w:val="1C7D584F"/>
    <w:rsid w:val="1C9F6277"/>
    <w:rsid w:val="1CA45379"/>
    <w:rsid w:val="1D377DF6"/>
    <w:rsid w:val="1D6F2F9C"/>
    <w:rsid w:val="1D8D44AF"/>
    <w:rsid w:val="1DB93368"/>
    <w:rsid w:val="1DED01C0"/>
    <w:rsid w:val="1DF4614E"/>
    <w:rsid w:val="1E770DCB"/>
    <w:rsid w:val="1E831280"/>
    <w:rsid w:val="1E9B2DB3"/>
    <w:rsid w:val="1EF665D6"/>
    <w:rsid w:val="1F0D55AA"/>
    <w:rsid w:val="1F3349CE"/>
    <w:rsid w:val="1F491AB1"/>
    <w:rsid w:val="1F6A4E31"/>
    <w:rsid w:val="20E72727"/>
    <w:rsid w:val="212E1977"/>
    <w:rsid w:val="21833B2E"/>
    <w:rsid w:val="21F91F85"/>
    <w:rsid w:val="220F53B1"/>
    <w:rsid w:val="22156B89"/>
    <w:rsid w:val="22616F4E"/>
    <w:rsid w:val="226D063F"/>
    <w:rsid w:val="22F75EA3"/>
    <w:rsid w:val="234B530D"/>
    <w:rsid w:val="23766D56"/>
    <w:rsid w:val="23F22AA6"/>
    <w:rsid w:val="244020ED"/>
    <w:rsid w:val="244D36DA"/>
    <w:rsid w:val="24DB30E3"/>
    <w:rsid w:val="24F913B9"/>
    <w:rsid w:val="25007ACF"/>
    <w:rsid w:val="2561056D"/>
    <w:rsid w:val="25845BAC"/>
    <w:rsid w:val="259A75DB"/>
    <w:rsid w:val="26120E28"/>
    <w:rsid w:val="26235823"/>
    <w:rsid w:val="26813037"/>
    <w:rsid w:val="269A07DD"/>
    <w:rsid w:val="27E70AD2"/>
    <w:rsid w:val="27EC7E96"/>
    <w:rsid w:val="280A4660"/>
    <w:rsid w:val="28421F6A"/>
    <w:rsid w:val="2843570A"/>
    <w:rsid w:val="286235D2"/>
    <w:rsid w:val="28902F18"/>
    <w:rsid w:val="28A54C15"/>
    <w:rsid w:val="292A4C98"/>
    <w:rsid w:val="29552DC5"/>
    <w:rsid w:val="29726A0C"/>
    <w:rsid w:val="29966FCF"/>
    <w:rsid w:val="29A7676B"/>
    <w:rsid w:val="29F17C44"/>
    <w:rsid w:val="2A0F3ADA"/>
    <w:rsid w:val="2A196977"/>
    <w:rsid w:val="2A7E77F5"/>
    <w:rsid w:val="2A8274D3"/>
    <w:rsid w:val="2AD44A4D"/>
    <w:rsid w:val="2AFD6E9F"/>
    <w:rsid w:val="2B1F6F6B"/>
    <w:rsid w:val="2BD050FC"/>
    <w:rsid w:val="2C73502A"/>
    <w:rsid w:val="2CDD039A"/>
    <w:rsid w:val="2CDD4252"/>
    <w:rsid w:val="2CDE0535"/>
    <w:rsid w:val="2D686F42"/>
    <w:rsid w:val="2DDC3E09"/>
    <w:rsid w:val="2E6D7061"/>
    <w:rsid w:val="2F0B7EEF"/>
    <w:rsid w:val="2F3720E4"/>
    <w:rsid w:val="2F5E1663"/>
    <w:rsid w:val="2FF15549"/>
    <w:rsid w:val="2FF532DE"/>
    <w:rsid w:val="300C076D"/>
    <w:rsid w:val="30371E3C"/>
    <w:rsid w:val="30381689"/>
    <w:rsid w:val="30815B6E"/>
    <w:rsid w:val="3099241B"/>
    <w:rsid w:val="30CE6482"/>
    <w:rsid w:val="31305558"/>
    <w:rsid w:val="3131017A"/>
    <w:rsid w:val="31342FB4"/>
    <w:rsid w:val="31B47C77"/>
    <w:rsid w:val="31FB7654"/>
    <w:rsid w:val="32041E30"/>
    <w:rsid w:val="3213332C"/>
    <w:rsid w:val="322C3CB1"/>
    <w:rsid w:val="32400FD5"/>
    <w:rsid w:val="32487D9D"/>
    <w:rsid w:val="326301AD"/>
    <w:rsid w:val="32C57C62"/>
    <w:rsid w:val="330874EC"/>
    <w:rsid w:val="330D21F6"/>
    <w:rsid w:val="334055F9"/>
    <w:rsid w:val="33971295"/>
    <w:rsid w:val="3399076A"/>
    <w:rsid w:val="344A48C2"/>
    <w:rsid w:val="347E431F"/>
    <w:rsid w:val="351A4421"/>
    <w:rsid w:val="3561222E"/>
    <w:rsid w:val="3571432F"/>
    <w:rsid w:val="35D67CCF"/>
    <w:rsid w:val="36175F3D"/>
    <w:rsid w:val="362B38E5"/>
    <w:rsid w:val="362C474E"/>
    <w:rsid w:val="36453593"/>
    <w:rsid w:val="36657792"/>
    <w:rsid w:val="36BC49D9"/>
    <w:rsid w:val="375762FE"/>
    <w:rsid w:val="376344AC"/>
    <w:rsid w:val="38002E12"/>
    <w:rsid w:val="3838575D"/>
    <w:rsid w:val="384168B8"/>
    <w:rsid w:val="38801937"/>
    <w:rsid w:val="3953787A"/>
    <w:rsid w:val="3960147C"/>
    <w:rsid w:val="3965645F"/>
    <w:rsid w:val="396C0E37"/>
    <w:rsid w:val="39A20CFD"/>
    <w:rsid w:val="39E200BE"/>
    <w:rsid w:val="39E3559D"/>
    <w:rsid w:val="39EE4EC4"/>
    <w:rsid w:val="39F742C9"/>
    <w:rsid w:val="3A121D20"/>
    <w:rsid w:val="3A7B4869"/>
    <w:rsid w:val="3B1B48C3"/>
    <w:rsid w:val="3B833691"/>
    <w:rsid w:val="3C001103"/>
    <w:rsid w:val="3C280AF8"/>
    <w:rsid w:val="3C96384F"/>
    <w:rsid w:val="3CBD2FE1"/>
    <w:rsid w:val="3D631727"/>
    <w:rsid w:val="3DCA21A0"/>
    <w:rsid w:val="3E8F77E1"/>
    <w:rsid w:val="3E976A09"/>
    <w:rsid w:val="3EB43064"/>
    <w:rsid w:val="3EF42B94"/>
    <w:rsid w:val="3F234A5A"/>
    <w:rsid w:val="3FD75DE6"/>
    <w:rsid w:val="40624D42"/>
    <w:rsid w:val="406665E0"/>
    <w:rsid w:val="406A7A70"/>
    <w:rsid w:val="409B474F"/>
    <w:rsid w:val="40BB0C1F"/>
    <w:rsid w:val="40D672C6"/>
    <w:rsid w:val="40E27981"/>
    <w:rsid w:val="41122FEB"/>
    <w:rsid w:val="41932086"/>
    <w:rsid w:val="41A00154"/>
    <w:rsid w:val="422249EC"/>
    <w:rsid w:val="42760621"/>
    <w:rsid w:val="427B1991"/>
    <w:rsid w:val="432067F7"/>
    <w:rsid w:val="43257C5C"/>
    <w:rsid w:val="434E5863"/>
    <w:rsid w:val="4367146A"/>
    <w:rsid w:val="436C03B1"/>
    <w:rsid w:val="436F33BC"/>
    <w:rsid w:val="43B27BD4"/>
    <w:rsid w:val="43C10DA0"/>
    <w:rsid w:val="43C76A5E"/>
    <w:rsid w:val="444E45C7"/>
    <w:rsid w:val="44646DAE"/>
    <w:rsid w:val="44A7193C"/>
    <w:rsid w:val="44BD721E"/>
    <w:rsid w:val="452120BB"/>
    <w:rsid w:val="45626C6D"/>
    <w:rsid w:val="45B50F53"/>
    <w:rsid w:val="45BA01C7"/>
    <w:rsid w:val="45BD045B"/>
    <w:rsid w:val="462D586E"/>
    <w:rsid w:val="464E60AE"/>
    <w:rsid w:val="46FF54EA"/>
    <w:rsid w:val="473F0779"/>
    <w:rsid w:val="48286871"/>
    <w:rsid w:val="48330EB4"/>
    <w:rsid w:val="49373210"/>
    <w:rsid w:val="49462FD4"/>
    <w:rsid w:val="497C19B5"/>
    <w:rsid w:val="49AE1752"/>
    <w:rsid w:val="49B56156"/>
    <w:rsid w:val="49BB0DBC"/>
    <w:rsid w:val="49D41F52"/>
    <w:rsid w:val="49DC2C65"/>
    <w:rsid w:val="4A125B68"/>
    <w:rsid w:val="4B376820"/>
    <w:rsid w:val="4BBA2895"/>
    <w:rsid w:val="4BFF5B3B"/>
    <w:rsid w:val="4C6133B2"/>
    <w:rsid w:val="4C884FBD"/>
    <w:rsid w:val="4C8A18A8"/>
    <w:rsid w:val="4C9E1926"/>
    <w:rsid w:val="4CE074C7"/>
    <w:rsid w:val="4E901C7D"/>
    <w:rsid w:val="4F2F6737"/>
    <w:rsid w:val="4F527EC7"/>
    <w:rsid w:val="4F6A3248"/>
    <w:rsid w:val="4FA233AD"/>
    <w:rsid w:val="4FB82BD0"/>
    <w:rsid w:val="4FF87FEB"/>
    <w:rsid w:val="50455C2E"/>
    <w:rsid w:val="50822DA6"/>
    <w:rsid w:val="513D513B"/>
    <w:rsid w:val="524A6652"/>
    <w:rsid w:val="528A46B6"/>
    <w:rsid w:val="528B3F04"/>
    <w:rsid w:val="53122099"/>
    <w:rsid w:val="5319689E"/>
    <w:rsid w:val="53370CCB"/>
    <w:rsid w:val="535348AB"/>
    <w:rsid w:val="535A5F4C"/>
    <w:rsid w:val="535F54C0"/>
    <w:rsid w:val="53602F49"/>
    <w:rsid w:val="536410A5"/>
    <w:rsid w:val="53807561"/>
    <w:rsid w:val="538A3839"/>
    <w:rsid w:val="53E915AA"/>
    <w:rsid w:val="54097091"/>
    <w:rsid w:val="540C3091"/>
    <w:rsid w:val="547215A0"/>
    <w:rsid w:val="55734B4E"/>
    <w:rsid w:val="55983CF3"/>
    <w:rsid w:val="559B2D78"/>
    <w:rsid w:val="55AC6D33"/>
    <w:rsid w:val="55B93190"/>
    <w:rsid w:val="55CF3F22"/>
    <w:rsid w:val="55D650C9"/>
    <w:rsid w:val="55D6790C"/>
    <w:rsid w:val="560642D2"/>
    <w:rsid w:val="56545E01"/>
    <w:rsid w:val="56FF1127"/>
    <w:rsid w:val="57646883"/>
    <w:rsid w:val="578A4715"/>
    <w:rsid w:val="57BB325E"/>
    <w:rsid w:val="57C0048D"/>
    <w:rsid w:val="58353010"/>
    <w:rsid w:val="58773629"/>
    <w:rsid w:val="58E533AC"/>
    <w:rsid w:val="5A221372"/>
    <w:rsid w:val="5A266DF9"/>
    <w:rsid w:val="5ABE295D"/>
    <w:rsid w:val="5B4C777B"/>
    <w:rsid w:val="5B7420A1"/>
    <w:rsid w:val="5B9F28CF"/>
    <w:rsid w:val="5BA24070"/>
    <w:rsid w:val="5BC361AC"/>
    <w:rsid w:val="5C517928"/>
    <w:rsid w:val="5C720BA8"/>
    <w:rsid w:val="5C853A8B"/>
    <w:rsid w:val="5CB1509F"/>
    <w:rsid w:val="5CEE2753"/>
    <w:rsid w:val="5D012493"/>
    <w:rsid w:val="5D36061C"/>
    <w:rsid w:val="5D3D2EC1"/>
    <w:rsid w:val="5DE330E7"/>
    <w:rsid w:val="5DEC486B"/>
    <w:rsid w:val="5DFF12C9"/>
    <w:rsid w:val="5E3D04D5"/>
    <w:rsid w:val="5E422EA9"/>
    <w:rsid w:val="5E6C4E66"/>
    <w:rsid w:val="5E7B2767"/>
    <w:rsid w:val="5E8E4722"/>
    <w:rsid w:val="5ECE1116"/>
    <w:rsid w:val="5F532799"/>
    <w:rsid w:val="5FB24F46"/>
    <w:rsid w:val="5FDC4AA0"/>
    <w:rsid w:val="5FFC4413"/>
    <w:rsid w:val="603B2ECE"/>
    <w:rsid w:val="604F4DBB"/>
    <w:rsid w:val="60FC6D33"/>
    <w:rsid w:val="60FE2E84"/>
    <w:rsid w:val="611E2292"/>
    <w:rsid w:val="616D2D1F"/>
    <w:rsid w:val="61785D1C"/>
    <w:rsid w:val="61CB660F"/>
    <w:rsid w:val="61D2367E"/>
    <w:rsid w:val="62530844"/>
    <w:rsid w:val="62B839D2"/>
    <w:rsid w:val="634E19DD"/>
    <w:rsid w:val="63691D42"/>
    <w:rsid w:val="63B76FCF"/>
    <w:rsid w:val="63E35DE7"/>
    <w:rsid w:val="640146EE"/>
    <w:rsid w:val="642E1470"/>
    <w:rsid w:val="64412D3D"/>
    <w:rsid w:val="652C0FD9"/>
    <w:rsid w:val="65410A4B"/>
    <w:rsid w:val="65E93935"/>
    <w:rsid w:val="663230F4"/>
    <w:rsid w:val="66422BF3"/>
    <w:rsid w:val="66500B7B"/>
    <w:rsid w:val="66655E72"/>
    <w:rsid w:val="668F72CB"/>
    <w:rsid w:val="67221661"/>
    <w:rsid w:val="6753303D"/>
    <w:rsid w:val="68022B10"/>
    <w:rsid w:val="6808604B"/>
    <w:rsid w:val="68095C20"/>
    <w:rsid w:val="680C7F93"/>
    <w:rsid w:val="68444BA9"/>
    <w:rsid w:val="6853260D"/>
    <w:rsid w:val="68854CB7"/>
    <w:rsid w:val="689F118D"/>
    <w:rsid w:val="68F1605C"/>
    <w:rsid w:val="6ABA2E4A"/>
    <w:rsid w:val="6B7C1223"/>
    <w:rsid w:val="6B84259D"/>
    <w:rsid w:val="6C1825D5"/>
    <w:rsid w:val="6C6121CE"/>
    <w:rsid w:val="6CA21EFC"/>
    <w:rsid w:val="6D605FE2"/>
    <w:rsid w:val="6D6B4B01"/>
    <w:rsid w:val="6E976C4F"/>
    <w:rsid w:val="6EBF2F8A"/>
    <w:rsid w:val="6ED20C58"/>
    <w:rsid w:val="6F0D6F72"/>
    <w:rsid w:val="6F573C8F"/>
    <w:rsid w:val="6F6618A9"/>
    <w:rsid w:val="6F6D43E1"/>
    <w:rsid w:val="6F7A6EDD"/>
    <w:rsid w:val="6FEE657B"/>
    <w:rsid w:val="7009796B"/>
    <w:rsid w:val="707F0E75"/>
    <w:rsid w:val="70A06245"/>
    <w:rsid w:val="70DA6E3E"/>
    <w:rsid w:val="71046B6E"/>
    <w:rsid w:val="71153587"/>
    <w:rsid w:val="71327B00"/>
    <w:rsid w:val="71881C64"/>
    <w:rsid w:val="718C1A9B"/>
    <w:rsid w:val="71A30EE6"/>
    <w:rsid w:val="72BD2AFE"/>
    <w:rsid w:val="72FC0C75"/>
    <w:rsid w:val="72FD0776"/>
    <w:rsid w:val="72FD2525"/>
    <w:rsid w:val="73584B0D"/>
    <w:rsid w:val="73E90F8A"/>
    <w:rsid w:val="73FF707E"/>
    <w:rsid w:val="74035F57"/>
    <w:rsid w:val="74665DFB"/>
    <w:rsid w:val="74861DAA"/>
    <w:rsid w:val="74A02EDB"/>
    <w:rsid w:val="74AE21BD"/>
    <w:rsid w:val="74B65081"/>
    <w:rsid w:val="74F44668"/>
    <w:rsid w:val="75001942"/>
    <w:rsid w:val="75257746"/>
    <w:rsid w:val="76203B83"/>
    <w:rsid w:val="76AD427E"/>
    <w:rsid w:val="773700A2"/>
    <w:rsid w:val="77963EB4"/>
    <w:rsid w:val="77B12E34"/>
    <w:rsid w:val="77E56778"/>
    <w:rsid w:val="78DC160D"/>
    <w:rsid w:val="793B1362"/>
    <w:rsid w:val="79BE0C60"/>
    <w:rsid w:val="7A09584B"/>
    <w:rsid w:val="7A5A025C"/>
    <w:rsid w:val="7AB179FD"/>
    <w:rsid w:val="7ACA3D20"/>
    <w:rsid w:val="7B272F4E"/>
    <w:rsid w:val="7B821819"/>
    <w:rsid w:val="7BA06DB0"/>
    <w:rsid w:val="7BA45CD9"/>
    <w:rsid w:val="7C0967AE"/>
    <w:rsid w:val="7C620441"/>
    <w:rsid w:val="7CB05DB7"/>
    <w:rsid w:val="7CEF4D1A"/>
    <w:rsid w:val="7CFF259A"/>
    <w:rsid w:val="7D6733BC"/>
    <w:rsid w:val="7D9B157F"/>
    <w:rsid w:val="7DD067AC"/>
    <w:rsid w:val="7DD21AD0"/>
    <w:rsid w:val="7DD3597A"/>
    <w:rsid w:val="7E5B7EB3"/>
    <w:rsid w:val="7EA20011"/>
    <w:rsid w:val="7EBB0036"/>
    <w:rsid w:val="7ED02EAC"/>
    <w:rsid w:val="7F3C5156"/>
    <w:rsid w:val="7F70773E"/>
    <w:rsid w:val="7F7D5859"/>
    <w:rsid w:val="7F9A1DF5"/>
    <w:rsid w:val="DFFBDE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name="heading 1"/>
    <w:lsdException w:qFormat="1" w:unhideWhenUsed="0" w:uiPriority="9" w:name="heading 2"/>
    <w:lsdException w:qFormat="1" w:unhideWhenUsed="0" w:uiPriority="9" w:name="heading 3"/>
    <w:lsdException w:qFormat="1" w:unhideWhenUsed="0" w:uiPriority="9" w:name="heading 4"/>
    <w:lsdException w:qFormat="1" w:unhideWhenUsed="0" w:uiPriority="9" w:name="heading 5"/>
    <w:lsdException w:qFormat="1" w:unhideWhenUsed="0" w:uiPriority="9" w:name="heading 6"/>
    <w:lsdException w:qFormat="1" w:unhideWhenUsed="0" w:uiPriority="0" w:name="heading 7"/>
    <w:lsdException w:qFormat="1" w:unhideWhenUsed="0" w:uiPriority="0" w:name="heading 8"/>
    <w:lsdException w:qFormat="1" w:unhideWhenUsed="0" w:uiPriority="0" w:name="heading 9"/>
    <w:lsdException w:qFormat="1" w:unhideWhenUsed="0" w:uiPriority="99"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nhideWhenUsed="0" w:uiPriority="99" w:name="caption"/>
    <w:lsdException w:uiPriority="99" w:name="table of figures"/>
    <w:lsdException w:qFormat="1" w:unhideWhenUsed="0" w:uiPriority="0" w:name="envelope address"/>
    <w:lsdException w:qFormat="1" w:unhideWhenUsed="0" w:uiPriority="0" w:name="envelope return"/>
    <w:lsdException w:qFormat="1" w:unhideWhenUsed="0" w:uiPriority="99" w:name="footnote reference"/>
    <w:lsdException w:qFormat="1" w:unhideWhenUsed="0" w:uiPriority="99" w:name="annotation reference"/>
    <w:lsdException w:uiPriority="99" w:name="line number"/>
    <w:lsdException w:qFormat="1" w:unhideWhenUsed="0" w:uiPriority="99" w:name="page number"/>
    <w:lsdException w:qFormat="1" w:unhideWhenUsed="0" w:uiPriority="99" w:name="endnote reference"/>
    <w:lsdException w:qFormat="1" w:unhideWhenUsed="0" w:uiPriority="0" w:name="endnote text"/>
    <w:lsdException w:unhideWhenUsed="0" w:uiPriority="99" w:name="table of authorities"/>
    <w:lsdException w:uiPriority="99" w:name="macro"/>
    <w:lsdException w:qFormat="1" w:unhideWhenUsed="0" w:uiPriority="0" w:name="toa heading"/>
    <w:lsdException w:qFormat="1" w:unhideWhenUsed="0" w:uiPriority="0" w:name="List"/>
    <w:lsdException w:qFormat="1" w:unhideWhenUsed="0" w:uiPriority="0" w:name="List Bullet"/>
    <w:lsdException w:qFormat="1" w:unhideWhenUsed="0" w:uiPriority="0" w:name="List Number"/>
    <w:lsdException w:qFormat="1" w:unhideWhenUsed="0" w:uiPriority="0" w:name="List 2"/>
    <w:lsdException w:qFormat="1" w:unhideWhenUsed="0" w:uiPriority="0" w:name="List 3"/>
    <w:lsdException w:uiPriority="99" w:name="List 4"/>
    <w:lsdException w:uiPriority="99" w:name="List 5"/>
    <w:lsdException w:qFormat="1" w:unhideWhenUsed="0" w:uiPriority="0" w:name="List Bullet 2"/>
    <w:lsdException w:qFormat="1" w:unhideWhenUsed="0" w:uiPriority="0" w:name="List Bullet 3"/>
    <w:lsdException w:qFormat="1" w:unhideWhenUsed="0" w:uiPriority="0" w:name="List Bullet 4"/>
    <w:lsdException w:qFormat="1" w:unhideWhenUsed="0" w:uiPriority="0" w:name="List Bullet 5"/>
    <w:lsdException w:uiPriority="99" w:name="List Number 2"/>
    <w:lsdException w:uiPriority="99" w:name="List Number 3"/>
    <w:lsdException w:qFormat="1" w:unhideWhenUsed="0" w:uiPriority="0" w:name="List Number 4"/>
    <w:lsdException w:uiPriority="99" w:name="List Number 5"/>
    <w:lsdException w:qFormat="1" w:unhideWhenUsed="0" w:uiPriority="0" w:semiHidden="0" w:name="Title"/>
    <w:lsdException w:qFormat="1" w:unhideWhenUsed="0" w:uiPriority="0" w:name="Closing"/>
    <w:lsdException w:qFormat="1" w:unhideWhenUsed="0" w:uiPriority="0" w:name="Signature"/>
    <w:lsdException w:qFormat="1" w:uiPriority="1" w:name="Default Paragraph Font"/>
    <w:lsdException w:qFormat="1" w:unhideWhenUsed="0" w:uiPriority="0" w:name="Body Text"/>
    <w:lsdException w:qFormat="1" w:unhideWhenUsed="0" w:uiPriority="99" w:name="Body Text Indent"/>
    <w:lsdException w:qFormat="1" w:unhideWhenUsed="0" w:uiPriority="0" w:name="List Continue"/>
    <w:lsdException w:qFormat="1" w:unhideWhenUsed="0" w:uiPriority="0" w:name="List Continue 2"/>
    <w:lsdException w:qFormat="1" w:unhideWhenUsed="0" w:uiPriority="0" w:name="List Continue 3"/>
    <w:lsdException w:qFormat="1" w:unhideWhenUsed="0" w:uiPriority="0" w:name="List Continue 4"/>
    <w:lsdException w:qFormat="1" w:unhideWhenUsed="0" w:uiPriority="0" w:name="List Continue 5"/>
    <w:lsdException w:uiPriority="99" w:name="Message Header"/>
    <w:lsdException w:qFormat="1" w:unhideWhenUsed="0" w:uiPriority="0" w:name="Subtitle"/>
    <w:lsdException w:qFormat="1" w:unhideWhenUsed="0" w:uiPriority="0" w:name="Salutation"/>
    <w:lsdException w:qFormat="1" w:unhideWhenUsed="0" w:uiPriority="99" w:name="Date"/>
    <w:lsdException w:qFormat="1" w:unhideWhenUsed="0" w:uiPriority="0" w:name="Body Text First Indent"/>
    <w:lsdException w:qFormat="1" w:unhideWhenUsed="0" w:uiPriority="0" w:name="Body Text First Indent 2"/>
    <w:lsdException w:uiPriority="99" w:name="Note Heading"/>
    <w:lsdException w:qFormat="1" w:unhideWhenUsed="0" w:uiPriority="0" w:name="Body Text 2"/>
    <w:lsdException w:qFormat="1" w:unhideWhenUsed="0" w:uiPriority="0" w:name="Body Text 3"/>
    <w:lsdException w:qFormat="1" w:unhideWhenUsed="0" w:uiPriority="99" w:name="Body Text Indent 2"/>
    <w:lsdException w:qFormat="1" w:unhideWhenUsed="0" w:uiPriority="99" w:name="Body Text Indent 3"/>
    <w:lsdException w:qFormat="1" w:unhideWhenUsed="0" w:uiPriority="0"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0" w:semiHidden="0" w:name="Emphasis"/>
    <w:lsdException w:qFormat="1" w:unhideWhenUsed="0" w:uiPriority="99" w:name="Document Map"/>
    <w:lsdException w:qFormat="1" w:unhideWhenUsed="0" w:uiPriority="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name="HTML Preformatted"/>
    <w:lsdException w:uiPriority="99" w:name="HTML Sample"/>
    <w:lsdException w:qFormat="1" w:unhideWhenUsed="0" w:uiPriority="99" w:name="HTML Typewriter"/>
    <w:lsdException w:uiPriority="99" w:name="HTML Variable"/>
    <w:lsdException w:qFormat="1" w:uiPriority="99" w:name="Normal Table"/>
    <w:lsdException w:qFormat="1" w:unhideWhenUsed="0" w:uiPriority="99" w:name="annotation subject"/>
    <w:lsdException w:qFormat="1"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qFormat="1" w:unhideWhenUsed="0" w:uiPriority="0" w:semiHidden="0"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qFormat="1" w:unhideWhenUsed="0" w:uiPriority="99"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50" w:beforeLines="50" w:line="360" w:lineRule="auto"/>
      <w:ind w:firstLine="200" w:firstLineChars="200"/>
    </w:pPr>
    <w:rPr>
      <w:rFonts w:ascii="Times New Roman" w:hAnsi="Times New Roman" w:eastAsia="宋体" w:cs="宋体"/>
      <w:sz w:val="24"/>
      <w:szCs w:val="24"/>
      <w:lang w:val="en-US" w:eastAsia="zh-CN" w:bidi="ar-SA"/>
    </w:rPr>
  </w:style>
  <w:style w:type="paragraph" w:styleId="2">
    <w:name w:val="heading 1"/>
    <w:basedOn w:val="1"/>
    <w:next w:val="1"/>
    <w:link w:val="93"/>
    <w:semiHidden/>
    <w:qFormat/>
    <w:uiPriority w:val="9"/>
    <w:pPr>
      <w:spacing w:before="312" w:after="156"/>
      <w:ind w:firstLine="480"/>
      <w:jc w:val="center"/>
      <w:outlineLvl w:val="0"/>
    </w:pPr>
    <w:rPr>
      <w:rFonts w:ascii="Arial" w:hAnsi="Arial" w:eastAsia="黑体" w:cs="Times New Roman"/>
      <w:b/>
      <w:sz w:val="36"/>
      <w:szCs w:val="20"/>
      <w:lang w:val="zh-CN"/>
    </w:rPr>
  </w:style>
  <w:style w:type="paragraph" w:styleId="3">
    <w:name w:val="heading 2"/>
    <w:basedOn w:val="1"/>
    <w:next w:val="1"/>
    <w:link w:val="94"/>
    <w:semiHidden/>
    <w:qFormat/>
    <w:uiPriority w:val="9"/>
    <w:pPr>
      <w:spacing w:after="260"/>
      <w:outlineLvl w:val="1"/>
    </w:pPr>
    <w:rPr>
      <w:rFonts w:eastAsia="黑体" w:cs="Times New Roman"/>
      <w:bCs/>
      <w:sz w:val="32"/>
      <w:szCs w:val="32"/>
      <w:lang w:val="zh-CN"/>
    </w:rPr>
  </w:style>
  <w:style w:type="paragraph" w:styleId="4">
    <w:name w:val="heading 3"/>
    <w:basedOn w:val="1"/>
    <w:next w:val="1"/>
    <w:link w:val="95"/>
    <w:semiHidden/>
    <w:qFormat/>
    <w:uiPriority w:val="9"/>
    <w:pPr>
      <w:keepNext/>
      <w:keepLines/>
      <w:spacing w:before="260" w:after="260" w:line="416" w:lineRule="auto"/>
      <w:ind w:firstLine="480"/>
      <w:outlineLvl w:val="2"/>
    </w:pPr>
    <w:rPr>
      <w:rFonts w:ascii="Calibri" w:hAnsi="Calibri" w:cs="Times New Roman"/>
      <w:b/>
      <w:bCs/>
      <w:sz w:val="32"/>
      <w:szCs w:val="32"/>
      <w:lang w:val="zh-CN"/>
    </w:rPr>
  </w:style>
  <w:style w:type="paragraph" w:styleId="5">
    <w:name w:val="heading 4"/>
    <w:basedOn w:val="1"/>
    <w:next w:val="1"/>
    <w:link w:val="96"/>
    <w:semiHidden/>
    <w:qFormat/>
    <w:uiPriority w:val="9"/>
    <w:pPr>
      <w:keepNext/>
      <w:keepLines/>
      <w:spacing w:before="280" w:after="290" w:line="376" w:lineRule="auto"/>
      <w:ind w:firstLine="480"/>
      <w:outlineLvl w:val="3"/>
    </w:pPr>
    <w:rPr>
      <w:rFonts w:ascii="Cambria" w:hAnsi="Cambria" w:cs="Times New Roman"/>
      <w:b/>
      <w:bCs/>
      <w:sz w:val="28"/>
      <w:szCs w:val="28"/>
      <w:lang w:val="zh-CN"/>
    </w:rPr>
  </w:style>
  <w:style w:type="paragraph" w:styleId="6">
    <w:name w:val="heading 5"/>
    <w:basedOn w:val="1"/>
    <w:next w:val="1"/>
    <w:link w:val="97"/>
    <w:semiHidden/>
    <w:qFormat/>
    <w:uiPriority w:val="9"/>
    <w:pPr>
      <w:keepNext/>
      <w:keepLines/>
      <w:spacing w:before="280" w:after="290" w:line="376" w:lineRule="auto"/>
      <w:ind w:firstLine="480"/>
      <w:outlineLvl w:val="4"/>
    </w:pPr>
    <w:rPr>
      <w:rFonts w:ascii="Calibri" w:hAnsi="Calibri" w:cs="Times New Roman"/>
      <w:b/>
      <w:bCs/>
      <w:sz w:val="28"/>
      <w:szCs w:val="28"/>
      <w:lang w:val="zh-CN"/>
    </w:rPr>
  </w:style>
  <w:style w:type="paragraph" w:styleId="7">
    <w:name w:val="heading 6"/>
    <w:basedOn w:val="1"/>
    <w:next w:val="1"/>
    <w:link w:val="98"/>
    <w:semiHidden/>
    <w:qFormat/>
    <w:uiPriority w:val="9"/>
    <w:pPr>
      <w:keepNext/>
      <w:keepLines/>
      <w:spacing w:before="240" w:after="64" w:line="320" w:lineRule="auto"/>
      <w:ind w:firstLine="480"/>
      <w:outlineLvl w:val="5"/>
    </w:pPr>
    <w:rPr>
      <w:rFonts w:ascii="Cambria" w:hAnsi="Cambria" w:cs="Times New Roman"/>
      <w:b/>
      <w:bCs/>
      <w:lang w:val="zh-CN"/>
    </w:rPr>
  </w:style>
  <w:style w:type="paragraph" w:styleId="8">
    <w:name w:val="heading 7"/>
    <w:basedOn w:val="1"/>
    <w:next w:val="1"/>
    <w:link w:val="99"/>
    <w:semiHidden/>
    <w:qFormat/>
    <w:uiPriority w:val="0"/>
    <w:pPr>
      <w:keepNext/>
      <w:keepLines/>
      <w:adjustRightInd w:val="0"/>
      <w:spacing w:before="240" w:after="64" w:line="320" w:lineRule="atLeast"/>
      <w:ind w:firstLine="480"/>
      <w:textAlignment w:val="baseline"/>
      <w:outlineLvl w:val="6"/>
    </w:pPr>
    <w:rPr>
      <w:rFonts w:cs="Times New Roman"/>
      <w:b/>
      <w:szCs w:val="20"/>
      <w:lang w:val="zh-CN"/>
    </w:rPr>
  </w:style>
  <w:style w:type="paragraph" w:styleId="9">
    <w:name w:val="heading 8"/>
    <w:basedOn w:val="1"/>
    <w:next w:val="1"/>
    <w:link w:val="124"/>
    <w:semiHidden/>
    <w:qFormat/>
    <w:uiPriority w:val="0"/>
    <w:pPr>
      <w:keepNext/>
      <w:keepLines/>
      <w:spacing w:before="240" w:after="64" w:line="320" w:lineRule="auto"/>
      <w:outlineLvl w:val="7"/>
    </w:pPr>
    <w:rPr>
      <w:rFonts w:ascii="Cambria" w:hAnsi="Cambria" w:cs="Times New Roman"/>
      <w:kern w:val="2"/>
      <w:lang w:val="zh-CN"/>
    </w:rPr>
  </w:style>
  <w:style w:type="paragraph" w:styleId="10">
    <w:name w:val="heading 9"/>
    <w:basedOn w:val="1"/>
    <w:next w:val="1"/>
    <w:link w:val="125"/>
    <w:semiHidden/>
    <w:qFormat/>
    <w:uiPriority w:val="0"/>
    <w:pPr>
      <w:keepNext/>
      <w:keepLines/>
      <w:adjustRightInd w:val="0"/>
      <w:spacing w:before="240" w:after="64" w:line="320" w:lineRule="atLeast"/>
      <w:ind w:firstLine="480"/>
      <w:textAlignment w:val="baseline"/>
      <w:outlineLvl w:val="8"/>
    </w:pPr>
    <w:rPr>
      <w:rFonts w:ascii="Arial" w:hAnsi="Arial" w:eastAsia="黑体" w:cs="Times New Roman"/>
      <w:sz w:val="20"/>
      <w:szCs w:val="20"/>
      <w:lang w:val="zh-CN"/>
    </w:rPr>
  </w:style>
  <w:style w:type="character" w:default="1" w:styleId="83">
    <w:name w:val="Default Paragraph Font"/>
    <w:semiHidden/>
    <w:unhideWhenUsed/>
    <w:qFormat/>
    <w:uiPriority w:val="1"/>
  </w:style>
  <w:style w:type="table" w:default="1" w:styleId="76">
    <w:name w:val="Normal Table"/>
    <w:semiHidden/>
    <w:unhideWhenUsed/>
    <w:qFormat/>
    <w:uiPriority w:val="99"/>
    <w:tblPr>
      <w:tblCellMar>
        <w:top w:w="0" w:type="dxa"/>
        <w:left w:w="108" w:type="dxa"/>
        <w:bottom w:w="0" w:type="dxa"/>
        <w:right w:w="108" w:type="dxa"/>
      </w:tblCellMar>
    </w:tblPr>
  </w:style>
  <w:style w:type="paragraph" w:styleId="11">
    <w:name w:val="List 3"/>
    <w:basedOn w:val="1"/>
    <w:semiHidden/>
    <w:qFormat/>
    <w:uiPriority w:val="0"/>
    <w:pPr>
      <w:ind w:left="1260" w:hanging="420"/>
    </w:pPr>
    <w:rPr>
      <w:szCs w:val="20"/>
    </w:rPr>
  </w:style>
  <w:style w:type="paragraph" w:styleId="12">
    <w:name w:val="toc 7"/>
    <w:basedOn w:val="1"/>
    <w:next w:val="1"/>
    <w:qFormat/>
    <w:uiPriority w:val="39"/>
    <w:pPr>
      <w:ind w:left="1440" w:firstLine="480"/>
    </w:pPr>
    <w:rPr>
      <w:sz w:val="18"/>
      <w:szCs w:val="18"/>
    </w:rPr>
  </w:style>
  <w:style w:type="paragraph" w:styleId="13">
    <w:name w:val="List Bullet 4"/>
    <w:basedOn w:val="1"/>
    <w:semiHidden/>
    <w:qFormat/>
    <w:uiPriority w:val="0"/>
    <w:pPr>
      <w:tabs>
        <w:tab w:val="left" w:pos="1440"/>
      </w:tabs>
      <w:spacing w:afterLines="50" w:line="300" w:lineRule="auto"/>
      <w:ind w:left="1440" w:hanging="360"/>
    </w:pPr>
    <w:rPr>
      <w:lang w:eastAsia="en-US"/>
    </w:rPr>
  </w:style>
  <w:style w:type="paragraph" w:styleId="14">
    <w:name w:val="index 8"/>
    <w:basedOn w:val="1"/>
    <w:next w:val="1"/>
    <w:semiHidden/>
    <w:qFormat/>
    <w:uiPriority w:val="0"/>
    <w:pPr>
      <w:spacing w:afterLines="50" w:line="300" w:lineRule="auto"/>
      <w:ind w:left="1600" w:hanging="200"/>
    </w:pPr>
  </w:style>
  <w:style w:type="paragraph" w:styleId="15">
    <w:name w:val="List Number"/>
    <w:basedOn w:val="1"/>
    <w:semiHidden/>
    <w:qFormat/>
    <w:uiPriority w:val="0"/>
    <w:pPr>
      <w:tabs>
        <w:tab w:val="left" w:pos="425"/>
      </w:tabs>
      <w:spacing w:afterLines="50"/>
      <w:ind w:left="425" w:hanging="425"/>
    </w:pPr>
  </w:style>
  <w:style w:type="paragraph" w:styleId="16">
    <w:name w:val="Normal Indent"/>
    <w:basedOn w:val="1"/>
    <w:link w:val="488"/>
    <w:qFormat/>
    <w:uiPriority w:val="0"/>
    <w:pPr>
      <w:ind w:firstLine="420"/>
    </w:pPr>
    <w:rPr>
      <w:rFonts w:cs="Times New Roman"/>
      <w:kern w:val="2"/>
      <w:sz w:val="21"/>
      <w:szCs w:val="20"/>
      <w:lang w:val="zh-CN"/>
    </w:rPr>
  </w:style>
  <w:style w:type="paragraph" w:styleId="17">
    <w:name w:val="caption"/>
    <w:basedOn w:val="1"/>
    <w:next w:val="1"/>
    <w:link w:val="515"/>
    <w:semiHidden/>
    <w:qFormat/>
    <w:uiPriority w:val="99"/>
    <w:pPr>
      <w:spacing w:afterLines="50"/>
      <w:outlineLvl w:val="1"/>
    </w:pPr>
    <w:rPr>
      <w:rFonts w:ascii="宋体" w:hAnsi="宋体" w:cs="Times New Roman"/>
      <w:b/>
      <w:kern w:val="2"/>
      <w:sz w:val="32"/>
      <w:szCs w:val="32"/>
      <w:lang w:val="zh-CN"/>
    </w:rPr>
  </w:style>
  <w:style w:type="paragraph" w:styleId="18">
    <w:name w:val="index 5"/>
    <w:basedOn w:val="1"/>
    <w:next w:val="1"/>
    <w:semiHidden/>
    <w:qFormat/>
    <w:uiPriority w:val="0"/>
    <w:pPr>
      <w:spacing w:afterLines="50" w:line="300" w:lineRule="auto"/>
      <w:ind w:left="1000" w:hanging="200"/>
    </w:pPr>
  </w:style>
  <w:style w:type="paragraph" w:styleId="19">
    <w:name w:val="List Bullet"/>
    <w:basedOn w:val="1"/>
    <w:link w:val="292"/>
    <w:semiHidden/>
    <w:qFormat/>
    <w:uiPriority w:val="0"/>
    <w:pPr>
      <w:tabs>
        <w:tab w:val="left" w:pos="360"/>
      </w:tabs>
      <w:ind w:left="360" w:hanging="360" w:hangingChars="200"/>
    </w:pPr>
    <w:rPr>
      <w:rFonts w:cs="Times New Roman"/>
      <w:sz w:val="20"/>
      <w:lang w:val="zh-CN"/>
    </w:rPr>
  </w:style>
  <w:style w:type="paragraph" w:styleId="20">
    <w:name w:val="envelope address"/>
    <w:basedOn w:val="1"/>
    <w:semiHidden/>
    <w:qFormat/>
    <w:uiPriority w:val="0"/>
    <w:pPr>
      <w:framePr w:w="7920" w:h="1980" w:hRule="exact" w:hSpace="180" w:wrap="auto" w:vAnchor="margin" w:hAnchor="page" w:xAlign="center" w:yAlign="bottom"/>
      <w:spacing w:afterLines="50" w:line="300" w:lineRule="auto"/>
      <w:ind w:left="2880"/>
    </w:pPr>
    <w:rPr>
      <w:rFonts w:ascii="Arial" w:hAnsi="Arial"/>
    </w:rPr>
  </w:style>
  <w:style w:type="paragraph" w:styleId="21">
    <w:name w:val="Document Map"/>
    <w:basedOn w:val="1"/>
    <w:link w:val="132"/>
    <w:semiHidden/>
    <w:qFormat/>
    <w:uiPriority w:val="99"/>
    <w:pPr>
      <w:ind w:firstLine="480"/>
    </w:pPr>
    <w:rPr>
      <w:rFonts w:ascii="宋体" w:hAnsi="Calibri" w:cs="Times New Roman"/>
      <w:sz w:val="18"/>
      <w:szCs w:val="18"/>
      <w:lang w:val="zh-CN"/>
    </w:rPr>
  </w:style>
  <w:style w:type="paragraph" w:styleId="22">
    <w:name w:val="toa heading"/>
    <w:basedOn w:val="1"/>
    <w:next w:val="1"/>
    <w:semiHidden/>
    <w:qFormat/>
    <w:uiPriority w:val="0"/>
    <w:pPr>
      <w:tabs>
        <w:tab w:val="left" w:pos="870"/>
      </w:tabs>
      <w:spacing w:afterLines="50" w:line="300" w:lineRule="auto"/>
      <w:jc w:val="center"/>
    </w:pPr>
    <w:rPr>
      <w:rFonts w:cs="Arial"/>
      <w:b/>
      <w:bCs/>
      <w:lang w:eastAsia="en-US"/>
    </w:rPr>
  </w:style>
  <w:style w:type="paragraph" w:styleId="23">
    <w:name w:val="annotation text"/>
    <w:basedOn w:val="1"/>
    <w:link w:val="110"/>
    <w:semiHidden/>
    <w:qFormat/>
    <w:uiPriority w:val="99"/>
    <w:rPr>
      <w:rFonts w:ascii="Calibri" w:hAnsi="Calibri" w:cs="Times New Roman"/>
      <w:kern w:val="2"/>
      <w:sz w:val="21"/>
      <w:szCs w:val="22"/>
      <w:lang w:val="zh-CN"/>
    </w:rPr>
  </w:style>
  <w:style w:type="paragraph" w:styleId="24">
    <w:name w:val="index 6"/>
    <w:basedOn w:val="1"/>
    <w:next w:val="1"/>
    <w:semiHidden/>
    <w:qFormat/>
    <w:uiPriority w:val="0"/>
    <w:pPr>
      <w:spacing w:afterLines="50" w:line="300" w:lineRule="auto"/>
      <w:ind w:left="1200" w:hanging="200"/>
    </w:pPr>
  </w:style>
  <w:style w:type="paragraph" w:styleId="25">
    <w:name w:val="Salutation"/>
    <w:basedOn w:val="1"/>
    <w:next w:val="1"/>
    <w:link w:val="1062"/>
    <w:semiHidden/>
    <w:qFormat/>
    <w:uiPriority w:val="0"/>
    <w:pPr>
      <w:spacing w:afterLines="50" w:line="300" w:lineRule="auto"/>
    </w:pPr>
    <w:rPr>
      <w:rFonts w:cs="Times New Roman"/>
      <w:lang w:val="zh-CN" w:eastAsia="en-US"/>
    </w:rPr>
  </w:style>
  <w:style w:type="paragraph" w:styleId="26">
    <w:name w:val="Body Text 3"/>
    <w:basedOn w:val="1"/>
    <w:link w:val="167"/>
    <w:semiHidden/>
    <w:qFormat/>
    <w:uiPriority w:val="0"/>
    <w:pPr>
      <w:spacing w:after="120"/>
      <w:ind w:firstLine="480"/>
    </w:pPr>
    <w:rPr>
      <w:rFonts w:cs="Times New Roman"/>
      <w:sz w:val="16"/>
      <w:szCs w:val="20"/>
      <w:lang w:val="zh-CN"/>
    </w:rPr>
  </w:style>
  <w:style w:type="paragraph" w:styleId="27">
    <w:name w:val="Closing"/>
    <w:basedOn w:val="1"/>
    <w:link w:val="1064"/>
    <w:semiHidden/>
    <w:qFormat/>
    <w:uiPriority w:val="0"/>
    <w:pPr>
      <w:spacing w:afterLines="50" w:line="300" w:lineRule="auto"/>
      <w:ind w:left="4320"/>
    </w:pPr>
    <w:rPr>
      <w:rFonts w:cs="Times New Roman"/>
      <w:lang w:val="zh-CN" w:eastAsia="en-US"/>
    </w:rPr>
  </w:style>
  <w:style w:type="paragraph" w:styleId="28">
    <w:name w:val="List Bullet 3"/>
    <w:basedOn w:val="1"/>
    <w:semiHidden/>
    <w:qFormat/>
    <w:uiPriority w:val="0"/>
    <w:pPr>
      <w:tabs>
        <w:tab w:val="left" w:pos="567"/>
      </w:tabs>
      <w:spacing w:afterLines="50" w:line="300" w:lineRule="auto"/>
      <w:ind w:left="567" w:hanging="567"/>
    </w:pPr>
    <w:rPr>
      <w:lang w:eastAsia="en-US"/>
    </w:rPr>
  </w:style>
  <w:style w:type="paragraph" w:styleId="29">
    <w:name w:val="Body Text"/>
    <w:basedOn w:val="1"/>
    <w:link w:val="143"/>
    <w:semiHidden/>
    <w:qFormat/>
    <w:uiPriority w:val="0"/>
    <w:pPr>
      <w:spacing w:after="120"/>
      <w:ind w:firstLine="480"/>
    </w:pPr>
    <w:rPr>
      <w:rFonts w:ascii="Calibri" w:hAnsi="Calibri" w:cs="Times New Roman"/>
      <w:kern w:val="2"/>
      <w:sz w:val="21"/>
      <w:szCs w:val="22"/>
      <w:lang w:val="zh-CN"/>
    </w:rPr>
  </w:style>
  <w:style w:type="paragraph" w:styleId="30">
    <w:name w:val="Body Text Indent"/>
    <w:basedOn w:val="1"/>
    <w:link w:val="130"/>
    <w:semiHidden/>
    <w:qFormat/>
    <w:uiPriority w:val="99"/>
    <w:pPr>
      <w:autoSpaceDE w:val="0"/>
      <w:autoSpaceDN w:val="0"/>
      <w:adjustRightInd w:val="0"/>
      <w:ind w:firstLine="480"/>
    </w:pPr>
    <w:rPr>
      <w:rFonts w:ascii="宋体" w:hAnsi="宋体" w:cs="Times New Roman"/>
      <w:color w:val="0000FF"/>
      <w:lang w:val="zh-CN"/>
    </w:rPr>
  </w:style>
  <w:style w:type="paragraph" w:styleId="31">
    <w:name w:val="List 2"/>
    <w:basedOn w:val="1"/>
    <w:semiHidden/>
    <w:qFormat/>
    <w:uiPriority w:val="0"/>
    <w:pPr>
      <w:ind w:left="100" w:leftChars="200" w:hanging="200" w:hangingChars="200"/>
    </w:pPr>
  </w:style>
  <w:style w:type="paragraph" w:styleId="32">
    <w:name w:val="List Continue"/>
    <w:basedOn w:val="1"/>
    <w:semiHidden/>
    <w:qFormat/>
    <w:uiPriority w:val="0"/>
    <w:pPr>
      <w:spacing w:afterLines="50" w:line="300" w:lineRule="auto"/>
      <w:ind w:left="360"/>
    </w:pPr>
    <w:rPr>
      <w:lang w:eastAsia="en-US"/>
    </w:rPr>
  </w:style>
  <w:style w:type="paragraph" w:styleId="33">
    <w:name w:val="Block Text"/>
    <w:basedOn w:val="1"/>
    <w:semiHidden/>
    <w:qFormat/>
    <w:uiPriority w:val="0"/>
    <w:pPr>
      <w:adjustRightInd w:val="0"/>
      <w:snapToGrid w:val="0"/>
      <w:ind w:left="560" w:right="18" w:firstLine="480"/>
    </w:pPr>
    <w:rPr>
      <w:rFonts w:ascii="仿宋_GB2312" w:eastAsia="仿宋_GB2312"/>
      <w:color w:val="000000"/>
      <w:sz w:val="28"/>
      <w:szCs w:val="20"/>
    </w:rPr>
  </w:style>
  <w:style w:type="paragraph" w:styleId="34">
    <w:name w:val="List Bullet 2"/>
    <w:basedOn w:val="1"/>
    <w:semiHidden/>
    <w:qFormat/>
    <w:uiPriority w:val="0"/>
    <w:pPr>
      <w:tabs>
        <w:tab w:val="left" w:pos="567"/>
      </w:tabs>
      <w:spacing w:afterLines="50" w:line="300" w:lineRule="auto"/>
      <w:ind w:left="567" w:hanging="567"/>
    </w:pPr>
    <w:rPr>
      <w:lang w:eastAsia="en-US"/>
    </w:rPr>
  </w:style>
  <w:style w:type="paragraph" w:styleId="35">
    <w:name w:val="index 4"/>
    <w:basedOn w:val="1"/>
    <w:next w:val="1"/>
    <w:semiHidden/>
    <w:qFormat/>
    <w:uiPriority w:val="0"/>
    <w:pPr>
      <w:spacing w:afterLines="50" w:line="300" w:lineRule="auto"/>
      <w:ind w:left="800" w:hanging="200"/>
    </w:pPr>
  </w:style>
  <w:style w:type="paragraph" w:styleId="36">
    <w:name w:val="toc 5"/>
    <w:basedOn w:val="1"/>
    <w:next w:val="1"/>
    <w:qFormat/>
    <w:uiPriority w:val="39"/>
    <w:pPr>
      <w:ind w:left="960" w:firstLine="480"/>
    </w:pPr>
    <w:rPr>
      <w:sz w:val="18"/>
      <w:szCs w:val="18"/>
    </w:rPr>
  </w:style>
  <w:style w:type="paragraph" w:styleId="37">
    <w:name w:val="toc 3"/>
    <w:basedOn w:val="1"/>
    <w:next w:val="1"/>
    <w:qFormat/>
    <w:uiPriority w:val="39"/>
    <w:pPr>
      <w:ind w:left="480" w:firstLine="480"/>
    </w:pPr>
    <w:rPr>
      <w:i/>
      <w:iCs/>
      <w:sz w:val="20"/>
      <w:szCs w:val="20"/>
    </w:rPr>
  </w:style>
  <w:style w:type="paragraph" w:styleId="38">
    <w:name w:val="Plain Text"/>
    <w:basedOn w:val="1"/>
    <w:link w:val="144"/>
    <w:semiHidden/>
    <w:qFormat/>
    <w:uiPriority w:val="0"/>
    <w:pPr>
      <w:ind w:firstLine="480"/>
    </w:pPr>
    <w:rPr>
      <w:rFonts w:ascii="宋体" w:hAnsi="Courier New" w:cs="Times New Roman"/>
      <w:sz w:val="20"/>
      <w:szCs w:val="20"/>
      <w:lang w:val="zh-CN"/>
    </w:rPr>
  </w:style>
  <w:style w:type="paragraph" w:styleId="39">
    <w:name w:val="List Bullet 5"/>
    <w:basedOn w:val="1"/>
    <w:semiHidden/>
    <w:qFormat/>
    <w:uiPriority w:val="0"/>
    <w:pPr>
      <w:tabs>
        <w:tab w:val="left" w:pos="1800"/>
      </w:tabs>
      <w:spacing w:afterLines="50" w:line="300" w:lineRule="auto"/>
      <w:ind w:left="1800" w:hanging="360"/>
    </w:pPr>
    <w:rPr>
      <w:lang w:eastAsia="en-US"/>
    </w:rPr>
  </w:style>
  <w:style w:type="paragraph" w:styleId="40">
    <w:name w:val="List Number 4"/>
    <w:basedOn w:val="1"/>
    <w:semiHidden/>
    <w:qFormat/>
    <w:uiPriority w:val="0"/>
    <w:pPr>
      <w:tabs>
        <w:tab w:val="left" w:pos="1685"/>
      </w:tabs>
      <w:spacing w:afterLines="50"/>
      <w:ind w:left="1685" w:hanging="425"/>
    </w:pPr>
  </w:style>
  <w:style w:type="paragraph" w:styleId="41">
    <w:name w:val="toc 8"/>
    <w:basedOn w:val="1"/>
    <w:next w:val="1"/>
    <w:qFormat/>
    <w:uiPriority w:val="39"/>
    <w:pPr>
      <w:ind w:left="1680" w:firstLine="480"/>
    </w:pPr>
    <w:rPr>
      <w:sz w:val="18"/>
      <w:szCs w:val="18"/>
    </w:rPr>
  </w:style>
  <w:style w:type="paragraph" w:styleId="42">
    <w:name w:val="index 3"/>
    <w:basedOn w:val="1"/>
    <w:next w:val="1"/>
    <w:semiHidden/>
    <w:qFormat/>
    <w:uiPriority w:val="0"/>
    <w:pPr>
      <w:spacing w:afterLines="50" w:line="300" w:lineRule="auto"/>
      <w:ind w:left="600" w:hanging="200"/>
    </w:pPr>
  </w:style>
  <w:style w:type="paragraph" w:styleId="43">
    <w:name w:val="Date"/>
    <w:basedOn w:val="1"/>
    <w:next w:val="1"/>
    <w:link w:val="140"/>
    <w:semiHidden/>
    <w:qFormat/>
    <w:uiPriority w:val="99"/>
    <w:pPr>
      <w:ind w:left="100" w:leftChars="2500" w:firstLine="480"/>
    </w:pPr>
    <w:rPr>
      <w:rFonts w:ascii="Calibri" w:hAnsi="Calibri" w:cs="Times New Roman"/>
      <w:kern w:val="2"/>
      <w:sz w:val="21"/>
      <w:szCs w:val="22"/>
      <w:lang w:val="zh-CN"/>
    </w:rPr>
  </w:style>
  <w:style w:type="paragraph" w:styleId="44">
    <w:name w:val="Body Text Indent 2"/>
    <w:basedOn w:val="1"/>
    <w:link w:val="165"/>
    <w:semiHidden/>
    <w:qFormat/>
    <w:uiPriority w:val="99"/>
    <w:pPr>
      <w:adjustRightInd w:val="0"/>
      <w:ind w:firstLine="660"/>
      <w:textAlignment w:val="baseline"/>
    </w:pPr>
    <w:rPr>
      <w:rFonts w:eastAsia="仿宋_GB2312" w:cs="Times New Roman"/>
      <w:position w:val="-6"/>
      <w:sz w:val="28"/>
      <w:szCs w:val="20"/>
      <w:lang w:val="zh-CN"/>
    </w:rPr>
  </w:style>
  <w:style w:type="paragraph" w:styleId="45">
    <w:name w:val="endnote text"/>
    <w:basedOn w:val="1"/>
    <w:link w:val="684"/>
    <w:semiHidden/>
    <w:qFormat/>
    <w:uiPriority w:val="0"/>
    <w:pPr>
      <w:snapToGrid w:val="0"/>
      <w:spacing w:afterLines="50"/>
      <w:ind w:firstLine="480"/>
    </w:pPr>
    <w:rPr>
      <w:rFonts w:ascii="Calibri" w:hAnsi="Calibri" w:cs="Times New Roman"/>
      <w:b/>
      <w:sz w:val="32"/>
      <w:szCs w:val="20"/>
      <w:lang w:val="zh-CN"/>
    </w:rPr>
  </w:style>
  <w:style w:type="paragraph" w:styleId="46">
    <w:name w:val="List Continue 5"/>
    <w:basedOn w:val="1"/>
    <w:semiHidden/>
    <w:qFormat/>
    <w:uiPriority w:val="0"/>
    <w:pPr>
      <w:spacing w:afterLines="50" w:line="300" w:lineRule="auto"/>
      <w:ind w:left="1800"/>
    </w:pPr>
    <w:rPr>
      <w:lang w:eastAsia="en-US"/>
    </w:rPr>
  </w:style>
  <w:style w:type="paragraph" w:styleId="47">
    <w:name w:val="Balloon Text"/>
    <w:basedOn w:val="1"/>
    <w:link w:val="112"/>
    <w:semiHidden/>
    <w:qFormat/>
    <w:uiPriority w:val="99"/>
    <w:rPr>
      <w:rFonts w:ascii="Calibri" w:hAnsi="Calibri" w:cs="Times New Roman"/>
      <w:kern w:val="2"/>
      <w:sz w:val="18"/>
      <w:szCs w:val="18"/>
      <w:lang w:val="zh-CN"/>
    </w:rPr>
  </w:style>
  <w:style w:type="paragraph" w:styleId="48">
    <w:name w:val="footer"/>
    <w:basedOn w:val="1"/>
    <w:link w:val="103"/>
    <w:qFormat/>
    <w:uiPriority w:val="99"/>
    <w:pPr>
      <w:tabs>
        <w:tab w:val="center" w:pos="4153"/>
        <w:tab w:val="right" w:pos="8306"/>
      </w:tabs>
      <w:snapToGrid w:val="0"/>
      <w:ind w:firstLine="480"/>
    </w:pPr>
    <w:rPr>
      <w:rFonts w:ascii="Calibri" w:hAnsi="Calibri" w:cs="Times New Roman"/>
      <w:sz w:val="18"/>
      <w:szCs w:val="18"/>
      <w:lang w:val="zh-CN"/>
    </w:rPr>
  </w:style>
  <w:style w:type="paragraph" w:styleId="49">
    <w:name w:val="envelope return"/>
    <w:basedOn w:val="1"/>
    <w:semiHidden/>
    <w:qFormat/>
    <w:uiPriority w:val="0"/>
    <w:pPr>
      <w:spacing w:afterLines="50" w:line="300" w:lineRule="auto"/>
    </w:pPr>
    <w:rPr>
      <w:rFonts w:cs="Arial"/>
      <w:sz w:val="20"/>
      <w:szCs w:val="20"/>
      <w:lang w:eastAsia="en-US"/>
    </w:rPr>
  </w:style>
  <w:style w:type="paragraph" w:styleId="50">
    <w:name w:val="header"/>
    <w:basedOn w:val="1"/>
    <w:link w:val="102"/>
    <w:qFormat/>
    <w:uiPriority w:val="99"/>
    <w:pPr>
      <w:pBdr>
        <w:bottom w:val="single" w:color="auto" w:sz="6" w:space="1"/>
      </w:pBdr>
      <w:tabs>
        <w:tab w:val="center" w:pos="4153"/>
        <w:tab w:val="right" w:pos="8306"/>
      </w:tabs>
      <w:snapToGrid w:val="0"/>
      <w:ind w:firstLine="480"/>
      <w:jc w:val="center"/>
    </w:pPr>
    <w:rPr>
      <w:rFonts w:ascii="Calibri" w:hAnsi="Calibri" w:cs="Times New Roman"/>
      <w:sz w:val="18"/>
      <w:szCs w:val="18"/>
      <w:lang w:val="zh-CN"/>
    </w:rPr>
  </w:style>
  <w:style w:type="paragraph" w:styleId="51">
    <w:name w:val="Signature"/>
    <w:basedOn w:val="1"/>
    <w:link w:val="340"/>
    <w:semiHidden/>
    <w:qFormat/>
    <w:uiPriority w:val="0"/>
    <w:pPr>
      <w:ind w:left="100" w:leftChars="2100" w:firstLine="480"/>
    </w:pPr>
    <w:rPr>
      <w:rFonts w:cs="Times New Roman"/>
      <w:sz w:val="20"/>
      <w:lang w:val="zh-CN"/>
    </w:rPr>
  </w:style>
  <w:style w:type="paragraph" w:styleId="52">
    <w:name w:val="toc 1"/>
    <w:basedOn w:val="1"/>
    <w:next w:val="1"/>
    <w:qFormat/>
    <w:uiPriority w:val="39"/>
    <w:pPr>
      <w:tabs>
        <w:tab w:val="right" w:leader="dot" w:pos="8296"/>
      </w:tabs>
      <w:spacing w:before="0" w:beforeLines="0"/>
      <w:ind w:firstLine="0" w:firstLineChars="0"/>
    </w:pPr>
    <w:rPr>
      <w:b/>
      <w:bCs/>
      <w:caps/>
      <w:szCs w:val="20"/>
    </w:rPr>
  </w:style>
  <w:style w:type="paragraph" w:styleId="53">
    <w:name w:val="List Continue 4"/>
    <w:basedOn w:val="1"/>
    <w:semiHidden/>
    <w:qFormat/>
    <w:uiPriority w:val="0"/>
    <w:pPr>
      <w:spacing w:afterLines="50" w:line="300" w:lineRule="auto"/>
      <w:ind w:left="1440"/>
    </w:pPr>
    <w:rPr>
      <w:lang w:eastAsia="en-US"/>
    </w:rPr>
  </w:style>
  <w:style w:type="paragraph" w:styleId="54">
    <w:name w:val="toc 4"/>
    <w:basedOn w:val="1"/>
    <w:next w:val="1"/>
    <w:qFormat/>
    <w:uiPriority w:val="39"/>
    <w:pPr>
      <w:ind w:left="720" w:firstLine="480"/>
    </w:pPr>
    <w:rPr>
      <w:sz w:val="18"/>
      <w:szCs w:val="18"/>
    </w:rPr>
  </w:style>
  <w:style w:type="paragraph" w:styleId="55">
    <w:name w:val="index heading"/>
    <w:basedOn w:val="1"/>
    <w:next w:val="56"/>
    <w:semiHidden/>
    <w:qFormat/>
    <w:uiPriority w:val="0"/>
    <w:pPr>
      <w:pBdr>
        <w:top w:val="single" w:color="auto" w:sz="12" w:space="0"/>
      </w:pBdr>
      <w:spacing w:before="360" w:after="240"/>
      <w:ind w:firstLine="480"/>
    </w:pPr>
    <w:rPr>
      <w:b/>
      <w:i/>
      <w:sz w:val="26"/>
      <w:szCs w:val="20"/>
    </w:rPr>
  </w:style>
  <w:style w:type="paragraph" w:styleId="56">
    <w:name w:val="index 1"/>
    <w:basedOn w:val="1"/>
    <w:next w:val="1"/>
    <w:semiHidden/>
    <w:qFormat/>
    <w:uiPriority w:val="99"/>
    <w:pPr>
      <w:ind w:firstLine="480"/>
      <w:jc w:val="center"/>
    </w:pPr>
    <w:rPr>
      <w:rFonts w:ascii="Arial Narrow" w:hAnsi="Arial Narrow" w:eastAsia="仿宋_GB2312"/>
    </w:rPr>
  </w:style>
  <w:style w:type="paragraph" w:styleId="57">
    <w:name w:val="Subtitle"/>
    <w:basedOn w:val="1"/>
    <w:next w:val="1"/>
    <w:link w:val="126"/>
    <w:semiHidden/>
    <w:qFormat/>
    <w:uiPriority w:val="0"/>
    <w:pPr>
      <w:spacing w:before="240" w:after="60" w:line="312" w:lineRule="auto"/>
      <w:ind w:firstLine="480"/>
      <w:jc w:val="center"/>
      <w:outlineLvl w:val="1"/>
    </w:pPr>
    <w:rPr>
      <w:rFonts w:ascii="Cambria" w:hAnsi="Cambria" w:cs="Times New Roman"/>
      <w:b/>
      <w:bCs/>
      <w:kern w:val="28"/>
      <w:sz w:val="32"/>
      <w:szCs w:val="32"/>
      <w:lang w:val="zh-CN"/>
    </w:rPr>
  </w:style>
  <w:style w:type="paragraph" w:styleId="58">
    <w:name w:val="List"/>
    <w:basedOn w:val="1"/>
    <w:semiHidden/>
    <w:qFormat/>
    <w:uiPriority w:val="0"/>
    <w:pPr>
      <w:ind w:left="420" w:hanging="420"/>
    </w:pPr>
    <w:rPr>
      <w:szCs w:val="20"/>
    </w:rPr>
  </w:style>
  <w:style w:type="paragraph" w:styleId="59">
    <w:name w:val="footnote text"/>
    <w:basedOn w:val="1"/>
    <w:link w:val="245"/>
    <w:semiHidden/>
    <w:qFormat/>
    <w:uiPriority w:val="99"/>
    <w:pPr>
      <w:snapToGrid w:val="0"/>
      <w:ind w:firstLine="480"/>
    </w:pPr>
    <w:rPr>
      <w:rFonts w:cs="Times New Roman"/>
      <w:sz w:val="18"/>
      <w:szCs w:val="18"/>
      <w:lang w:val="zh-CN"/>
    </w:rPr>
  </w:style>
  <w:style w:type="paragraph" w:styleId="60">
    <w:name w:val="toc 6"/>
    <w:basedOn w:val="1"/>
    <w:next w:val="1"/>
    <w:qFormat/>
    <w:uiPriority w:val="39"/>
    <w:pPr>
      <w:ind w:left="1200" w:firstLine="480"/>
    </w:pPr>
    <w:rPr>
      <w:sz w:val="18"/>
      <w:szCs w:val="18"/>
    </w:rPr>
  </w:style>
  <w:style w:type="paragraph" w:styleId="61">
    <w:name w:val="Body Text Indent 3"/>
    <w:basedOn w:val="1"/>
    <w:link w:val="162"/>
    <w:semiHidden/>
    <w:qFormat/>
    <w:uiPriority w:val="99"/>
    <w:pPr>
      <w:adjustRightInd w:val="0"/>
      <w:ind w:firstLine="570"/>
      <w:textAlignment w:val="baseline"/>
    </w:pPr>
    <w:rPr>
      <w:rFonts w:ascii="宋体" w:cs="Times New Roman"/>
      <w:b/>
      <w:sz w:val="32"/>
      <w:szCs w:val="20"/>
      <w:lang w:val="zh-CN"/>
    </w:rPr>
  </w:style>
  <w:style w:type="paragraph" w:styleId="62">
    <w:name w:val="index 7"/>
    <w:basedOn w:val="1"/>
    <w:next w:val="1"/>
    <w:semiHidden/>
    <w:qFormat/>
    <w:uiPriority w:val="0"/>
    <w:pPr>
      <w:spacing w:afterLines="50" w:line="300" w:lineRule="auto"/>
      <w:ind w:left="1400" w:hanging="200"/>
    </w:pPr>
  </w:style>
  <w:style w:type="paragraph" w:styleId="63">
    <w:name w:val="index 9"/>
    <w:basedOn w:val="1"/>
    <w:next w:val="1"/>
    <w:semiHidden/>
    <w:qFormat/>
    <w:uiPriority w:val="0"/>
    <w:pPr>
      <w:spacing w:afterLines="50" w:line="300" w:lineRule="auto"/>
      <w:ind w:left="1800" w:hanging="200"/>
    </w:pPr>
  </w:style>
  <w:style w:type="paragraph" w:styleId="64">
    <w:name w:val="toc 2"/>
    <w:basedOn w:val="1"/>
    <w:next w:val="1"/>
    <w:qFormat/>
    <w:uiPriority w:val="39"/>
    <w:pPr>
      <w:tabs>
        <w:tab w:val="right" w:leader="dot" w:pos="8296"/>
      </w:tabs>
      <w:spacing w:before="0" w:beforeLines="0"/>
      <w:ind w:left="238" w:firstLine="0" w:firstLineChars="0"/>
    </w:pPr>
    <w:rPr>
      <w:smallCaps/>
      <w:szCs w:val="20"/>
    </w:rPr>
  </w:style>
  <w:style w:type="paragraph" w:styleId="65">
    <w:name w:val="toc 9"/>
    <w:basedOn w:val="1"/>
    <w:next w:val="1"/>
    <w:qFormat/>
    <w:uiPriority w:val="39"/>
    <w:pPr>
      <w:ind w:left="1920" w:firstLine="480"/>
    </w:pPr>
    <w:rPr>
      <w:sz w:val="18"/>
      <w:szCs w:val="18"/>
    </w:rPr>
  </w:style>
  <w:style w:type="paragraph" w:styleId="66">
    <w:name w:val="Body Text 2"/>
    <w:basedOn w:val="1"/>
    <w:link w:val="171"/>
    <w:semiHidden/>
    <w:qFormat/>
    <w:uiPriority w:val="0"/>
    <w:pPr>
      <w:spacing w:line="500" w:lineRule="exact"/>
      <w:ind w:right="28" w:firstLine="480"/>
    </w:pPr>
    <w:rPr>
      <w:rFonts w:ascii="宋体" w:hAnsi="宋体" w:cs="Times New Roman"/>
      <w:color w:val="3366FF"/>
      <w:lang w:val="zh-CN"/>
    </w:rPr>
  </w:style>
  <w:style w:type="paragraph" w:styleId="67">
    <w:name w:val="List Continue 2"/>
    <w:basedOn w:val="1"/>
    <w:semiHidden/>
    <w:qFormat/>
    <w:uiPriority w:val="0"/>
    <w:pPr>
      <w:spacing w:afterLines="50" w:line="300" w:lineRule="auto"/>
      <w:ind w:left="720"/>
    </w:pPr>
    <w:rPr>
      <w:lang w:eastAsia="en-US"/>
    </w:rPr>
  </w:style>
  <w:style w:type="paragraph" w:styleId="68">
    <w:name w:val="HTML Preformatted"/>
    <w:basedOn w:val="1"/>
    <w:link w:val="254"/>
    <w:semiHidden/>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80"/>
    </w:pPr>
    <w:rPr>
      <w:rFonts w:ascii="宋体" w:hAnsi="宋体" w:cs="Times New Roman"/>
      <w:lang w:val="zh-CN"/>
    </w:rPr>
  </w:style>
  <w:style w:type="paragraph" w:styleId="69">
    <w:name w:val="Normal (Web)"/>
    <w:basedOn w:val="1"/>
    <w:link w:val="495"/>
    <w:semiHidden/>
    <w:qFormat/>
    <w:uiPriority w:val="99"/>
    <w:pPr>
      <w:spacing w:before="100" w:beforeAutospacing="1" w:after="100" w:afterAutospacing="1"/>
      <w:ind w:firstLine="480"/>
    </w:pPr>
    <w:rPr>
      <w:rFonts w:ascii="宋体" w:hAnsi="宋体" w:cs="Times New Roman"/>
      <w:lang w:val="zh-CN"/>
    </w:rPr>
  </w:style>
  <w:style w:type="paragraph" w:styleId="70">
    <w:name w:val="List Continue 3"/>
    <w:basedOn w:val="1"/>
    <w:semiHidden/>
    <w:qFormat/>
    <w:uiPriority w:val="0"/>
    <w:pPr>
      <w:spacing w:afterLines="50" w:line="300" w:lineRule="auto"/>
      <w:ind w:left="1080"/>
    </w:pPr>
    <w:rPr>
      <w:lang w:eastAsia="en-US"/>
    </w:rPr>
  </w:style>
  <w:style w:type="paragraph" w:styleId="71">
    <w:name w:val="index 2"/>
    <w:basedOn w:val="1"/>
    <w:next w:val="1"/>
    <w:semiHidden/>
    <w:qFormat/>
    <w:uiPriority w:val="0"/>
    <w:pPr>
      <w:spacing w:afterLines="50" w:line="300" w:lineRule="auto"/>
      <w:ind w:left="400" w:hanging="200"/>
    </w:pPr>
  </w:style>
  <w:style w:type="paragraph" w:styleId="72">
    <w:name w:val="Title"/>
    <w:basedOn w:val="1"/>
    <w:next w:val="1"/>
    <w:link w:val="129"/>
    <w:qFormat/>
    <w:uiPriority w:val="0"/>
    <w:pPr>
      <w:spacing w:before="240" w:after="60"/>
      <w:ind w:firstLine="480"/>
      <w:jc w:val="center"/>
      <w:outlineLvl w:val="0"/>
    </w:pPr>
    <w:rPr>
      <w:rFonts w:ascii="Cambria" w:hAnsi="Cambria" w:cs="Times New Roman"/>
      <w:b/>
      <w:bCs/>
      <w:sz w:val="32"/>
      <w:szCs w:val="32"/>
      <w:lang w:val="zh-CN"/>
    </w:rPr>
  </w:style>
  <w:style w:type="paragraph" w:styleId="73">
    <w:name w:val="annotation subject"/>
    <w:basedOn w:val="23"/>
    <w:next w:val="23"/>
    <w:link w:val="111"/>
    <w:semiHidden/>
    <w:qFormat/>
    <w:uiPriority w:val="99"/>
    <w:rPr>
      <w:b/>
      <w:bCs/>
    </w:rPr>
  </w:style>
  <w:style w:type="paragraph" w:styleId="74">
    <w:name w:val="Body Text First Indent"/>
    <w:basedOn w:val="29"/>
    <w:link w:val="157"/>
    <w:semiHidden/>
    <w:qFormat/>
    <w:uiPriority w:val="0"/>
    <w:pPr>
      <w:ind w:firstLine="420"/>
    </w:pPr>
    <w:rPr>
      <w:rFonts w:ascii="Times New Roman" w:hAnsi="Times New Roman"/>
    </w:rPr>
  </w:style>
  <w:style w:type="paragraph" w:styleId="75">
    <w:name w:val="Body Text First Indent 2"/>
    <w:basedOn w:val="30"/>
    <w:link w:val="461"/>
    <w:semiHidden/>
    <w:qFormat/>
    <w:uiPriority w:val="0"/>
    <w:pPr>
      <w:autoSpaceDE/>
      <w:autoSpaceDN/>
      <w:adjustRightInd/>
      <w:spacing w:after="120" w:line="240" w:lineRule="auto"/>
      <w:ind w:left="420" w:leftChars="200" w:firstLine="420"/>
      <w:jc w:val="both"/>
    </w:pPr>
    <w:rPr>
      <w:rFonts w:ascii="Times New Roman" w:hAnsi="Times New Roman" w:eastAsia="仿宋_GB2312"/>
      <w:sz w:val="21"/>
    </w:rPr>
  </w:style>
  <w:style w:type="table" w:styleId="77">
    <w:name w:val="Table Grid"/>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78">
    <w:name w:val="Table Theme"/>
    <w:basedOn w:val="7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table" w:styleId="79">
    <w:name w:val="Table Elegant"/>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tcBorders>
        <w:top w:val="double" w:color="000000" w:sz="6" w:space="0"/>
        <w:left w:val="double" w:color="000000" w:sz="6" w:space="0"/>
        <w:bottom w:val="double" w:color="000000" w:sz="6" w:space="0"/>
        <w:right w:val="double" w:color="000000" w:sz="6" w:space="0"/>
      </w:tcBorders>
    </w:tcPr>
    <w:tblStylePr w:type="firstRow">
      <w:rPr>
        <w:caps/>
        <w:color w:val="auto"/>
      </w:rPr>
      <w:tblPr/>
      <w:tcPr>
        <w:tcBorders>
          <w:tl2br w:val="nil"/>
          <w:tr2bl w:val="nil"/>
        </w:tcBorders>
      </w:tcPr>
    </w:tblStylePr>
  </w:style>
  <w:style w:type="table" w:styleId="80">
    <w:name w:val="Table Classic 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tcBorders>
        <w:top w:val="single" w:color="000000" w:sz="12" w:space="0"/>
        <w:left w:val="single" w:color="000000" w:sz="2" w:space="0"/>
        <w:bottom w:val="single" w:color="000000" w:sz="12" w:space="0"/>
        <w:right w:val="single" w:color="000000" w:sz="2" w:space="0"/>
      </w:tcBorders>
    </w:tcPr>
    <w:tblStylePr w:type="firstRow">
      <w:rPr>
        <w:i w:val="0"/>
        <w:iCs/>
      </w:rPr>
      <w:tblPr/>
      <w:tcPr>
        <w:shd w:val="clear" w:color="auto" w:fill="B8CCE4"/>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81">
    <w:name w:val="Table Simple 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82">
    <w:name w:val="Table Grid 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tcBorders>
        <w:top w:val="single" w:color="000000" w:sz="6" w:space="0"/>
        <w:left w:val="single" w:color="000000" w:sz="6" w:space="0"/>
        <w:bottom w:val="single" w:color="000000" w:sz="6" w:space="0"/>
        <w:right w:val="single" w:color="000000" w:sz="6" w:space="0"/>
      </w:tcBorders>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character" w:styleId="84">
    <w:name w:val="Strong"/>
    <w:qFormat/>
    <w:uiPriority w:val="22"/>
    <w:rPr>
      <w:b/>
      <w:bCs/>
    </w:rPr>
  </w:style>
  <w:style w:type="character" w:styleId="85">
    <w:name w:val="endnote reference"/>
    <w:semiHidden/>
    <w:qFormat/>
    <w:uiPriority w:val="99"/>
    <w:rPr>
      <w:vertAlign w:val="superscript"/>
    </w:rPr>
  </w:style>
  <w:style w:type="character" w:styleId="86">
    <w:name w:val="page number"/>
    <w:basedOn w:val="83"/>
    <w:semiHidden/>
    <w:qFormat/>
    <w:uiPriority w:val="99"/>
  </w:style>
  <w:style w:type="character" w:styleId="87">
    <w:name w:val="FollowedHyperlink"/>
    <w:basedOn w:val="83"/>
    <w:semiHidden/>
    <w:unhideWhenUsed/>
    <w:qFormat/>
    <w:uiPriority w:val="99"/>
    <w:rPr>
      <w:color w:val="954F72"/>
      <w:u w:val="single"/>
    </w:rPr>
  </w:style>
  <w:style w:type="character" w:styleId="88">
    <w:name w:val="Emphasis"/>
    <w:qFormat/>
    <w:uiPriority w:val="0"/>
    <w:rPr>
      <w:color w:val="CC0000"/>
    </w:rPr>
  </w:style>
  <w:style w:type="character" w:styleId="89">
    <w:name w:val="HTML Typewriter"/>
    <w:semiHidden/>
    <w:qFormat/>
    <w:uiPriority w:val="99"/>
    <w:rPr>
      <w:rFonts w:ascii="宋体" w:hAnsi="宋体" w:eastAsia="宋体" w:cs="宋体"/>
      <w:sz w:val="24"/>
      <w:szCs w:val="24"/>
    </w:rPr>
  </w:style>
  <w:style w:type="character" w:styleId="90">
    <w:name w:val="Hyperlink"/>
    <w:qFormat/>
    <w:uiPriority w:val="99"/>
    <w:rPr>
      <w:color w:val="0000FF"/>
      <w:u w:val="single"/>
    </w:rPr>
  </w:style>
  <w:style w:type="character" w:styleId="91">
    <w:name w:val="annotation reference"/>
    <w:semiHidden/>
    <w:qFormat/>
    <w:uiPriority w:val="99"/>
    <w:rPr>
      <w:sz w:val="21"/>
      <w:szCs w:val="21"/>
    </w:rPr>
  </w:style>
  <w:style w:type="character" w:styleId="92">
    <w:name w:val="footnote reference"/>
    <w:semiHidden/>
    <w:qFormat/>
    <w:uiPriority w:val="99"/>
    <w:rPr>
      <w:vertAlign w:val="superscript"/>
    </w:rPr>
  </w:style>
  <w:style w:type="character" w:customStyle="1" w:styleId="93">
    <w:name w:val="标题 1 字符"/>
    <w:link w:val="2"/>
    <w:semiHidden/>
    <w:qFormat/>
    <w:uiPriority w:val="9"/>
    <w:rPr>
      <w:rFonts w:ascii="Arial" w:hAnsi="Arial" w:eastAsia="黑体"/>
      <w:b/>
      <w:sz w:val="36"/>
      <w:lang w:val="zh-CN" w:eastAsia="zh-CN"/>
    </w:rPr>
  </w:style>
  <w:style w:type="character" w:customStyle="1" w:styleId="94">
    <w:name w:val="标题 2 字符"/>
    <w:link w:val="3"/>
    <w:semiHidden/>
    <w:qFormat/>
    <w:uiPriority w:val="9"/>
    <w:rPr>
      <w:rFonts w:ascii="Times New Roman" w:hAnsi="Times New Roman" w:eastAsia="黑体"/>
      <w:bCs/>
      <w:sz w:val="32"/>
      <w:szCs w:val="32"/>
      <w:lang w:val="zh-CN" w:eastAsia="zh-CN"/>
    </w:rPr>
  </w:style>
  <w:style w:type="character" w:customStyle="1" w:styleId="95">
    <w:name w:val="标题 3 字符"/>
    <w:link w:val="4"/>
    <w:semiHidden/>
    <w:qFormat/>
    <w:uiPriority w:val="9"/>
    <w:rPr>
      <w:b/>
      <w:bCs/>
      <w:sz w:val="32"/>
      <w:szCs w:val="32"/>
      <w:lang w:val="zh-CN" w:eastAsia="zh-CN"/>
    </w:rPr>
  </w:style>
  <w:style w:type="character" w:customStyle="1" w:styleId="96">
    <w:name w:val="标题 4 字符"/>
    <w:link w:val="5"/>
    <w:semiHidden/>
    <w:qFormat/>
    <w:uiPriority w:val="9"/>
    <w:rPr>
      <w:rFonts w:ascii="Cambria" w:hAnsi="Cambria"/>
      <w:b/>
      <w:bCs/>
      <w:sz w:val="28"/>
      <w:szCs w:val="28"/>
      <w:lang w:val="zh-CN" w:eastAsia="zh-CN"/>
    </w:rPr>
  </w:style>
  <w:style w:type="character" w:customStyle="1" w:styleId="97">
    <w:name w:val="标题 5 字符"/>
    <w:link w:val="6"/>
    <w:semiHidden/>
    <w:qFormat/>
    <w:uiPriority w:val="9"/>
    <w:rPr>
      <w:b/>
      <w:bCs/>
      <w:sz w:val="28"/>
      <w:szCs w:val="28"/>
      <w:lang w:val="zh-CN" w:eastAsia="zh-CN"/>
    </w:rPr>
  </w:style>
  <w:style w:type="character" w:customStyle="1" w:styleId="98">
    <w:name w:val="标题 6 字符"/>
    <w:link w:val="7"/>
    <w:semiHidden/>
    <w:qFormat/>
    <w:uiPriority w:val="9"/>
    <w:rPr>
      <w:rFonts w:ascii="Cambria" w:hAnsi="Cambria"/>
      <w:b/>
      <w:bCs/>
      <w:sz w:val="24"/>
      <w:szCs w:val="24"/>
      <w:lang w:val="zh-CN" w:eastAsia="zh-CN"/>
    </w:rPr>
  </w:style>
  <w:style w:type="character" w:customStyle="1" w:styleId="99">
    <w:name w:val="标题 7 字符"/>
    <w:link w:val="8"/>
    <w:semiHidden/>
    <w:qFormat/>
    <w:uiPriority w:val="0"/>
    <w:rPr>
      <w:rFonts w:ascii="Times New Roman" w:hAnsi="Times New Roman"/>
      <w:b/>
      <w:sz w:val="24"/>
      <w:lang w:val="zh-CN" w:eastAsia="zh-CN"/>
    </w:rPr>
  </w:style>
  <w:style w:type="paragraph" w:customStyle="1" w:styleId="100">
    <w:name w:val="表格后说明"/>
    <w:next w:val="16"/>
    <w:autoRedefine/>
    <w:qFormat/>
    <w:uiPriority w:val="3"/>
    <w:pPr>
      <w:jc w:val="both"/>
    </w:pPr>
    <w:rPr>
      <w:rFonts w:ascii="Times New Roman" w:hAnsi="Times New Roman" w:eastAsia="宋体" w:cs="Times New Roman"/>
      <w:kern w:val="2"/>
      <w:sz w:val="21"/>
      <w:szCs w:val="24"/>
      <w:lang w:val="en-US" w:eastAsia="zh-CN" w:bidi="ar-SA"/>
    </w:rPr>
  </w:style>
  <w:style w:type="table" w:customStyle="1" w:styleId="101">
    <w:name w:val="新时达报告书"/>
    <w:basedOn w:val="76"/>
    <w:qFormat/>
    <w:uiPriority w:val="99"/>
    <w:tblPr>
      <w:tblBorders>
        <w:insideH w:val="single" w:color="auto" w:sz="4" w:space="0"/>
        <w:insideV w:val="single" w:color="auto" w:sz="4" w:space="0"/>
      </w:tblBorders>
    </w:tblPr>
    <w:tblStylePr w:type="firstRow">
      <w:tcPr>
        <w:tcBorders>
          <w:top w:val="single" w:color="auto" w:sz="12" w:space="0"/>
        </w:tcBorders>
      </w:tcPr>
    </w:tblStylePr>
    <w:tblStylePr w:type="lastRow">
      <w:tcPr>
        <w:tcBorders>
          <w:bottom w:val="single" w:color="auto" w:sz="12" w:space="0"/>
        </w:tcBorders>
      </w:tcPr>
    </w:tblStylePr>
    <w:tblStylePr w:type="firstCol">
      <w:tcPr>
        <w:tcBorders>
          <w:top w:val="single" w:color="auto" w:sz="12" w:space="0"/>
        </w:tcBorders>
      </w:tcPr>
    </w:tblStylePr>
  </w:style>
  <w:style w:type="character" w:customStyle="1" w:styleId="102">
    <w:name w:val="页眉 字符"/>
    <w:link w:val="50"/>
    <w:qFormat/>
    <w:uiPriority w:val="99"/>
    <w:rPr>
      <w:sz w:val="18"/>
      <w:szCs w:val="18"/>
      <w:lang w:val="zh-CN" w:eastAsia="zh-CN"/>
    </w:rPr>
  </w:style>
  <w:style w:type="character" w:customStyle="1" w:styleId="103">
    <w:name w:val="页脚 字符"/>
    <w:link w:val="48"/>
    <w:qFormat/>
    <w:uiPriority w:val="99"/>
    <w:rPr>
      <w:sz w:val="18"/>
      <w:szCs w:val="18"/>
      <w:lang w:val="zh-CN" w:eastAsia="zh-CN"/>
    </w:rPr>
  </w:style>
  <w:style w:type="paragraph" w:customStyle="1" w:styleId="104">
    <w:name w:val="无间隔2"/>
    <w:link w:val="105"/>
    <w:semiHidden/>
    <w:qFormat/>
    <w:uiPriority w:val="1"/>
    <w:pPr>
      <w:widowControl w:val="0"/>
      <w:jc w:val="both"/>
    </w:pPr>
    <w:rPr>
      <w:rFonts w:ascii="Times New Roman" w:hAnsi="Times New Roman" w:eastAsia="宋体" w:cs="Times New Roman"/>
      <w:kern w:val="2"/>
      <w:sz w:val="21"/>
      <w:szCs w:val="22"/>
      <w:lang w:val="en-US" w:eastAsia="zh-CN" w:bidi="ar-SA"/>
    </w:rPr>
  </w:style>
  <w:style w:type="character" w:customStyle="1" w:styleId="105">
    <w:name w:val="无间隔 Char"/>
    <w:link w:val="104"/>
    <w:semiHidden/>
    <w:qFormat/>
    <w:uiPriority w:val="1"/>
    <w:rPr>
      <w:rFonts w:ascii="Times New Roman" w:hAnsi="Times New Roman"/>
      <w:kern w:val="2"/>
      <w:sz w:val="21"/>
      <w:szCs w:val="22"/>
    </w:rPr>
  </w:style>
  <w:style w:type="paragraph" w:customStyle="1" w:styleId="106">
    <w:name w:val="特殊"/>
    <w:basedOn w:val="1"/>
    <w:semiHidden/>
    <w:qFormat/>
    <w:uiPriority w:val="0"/>
    <w:pPr>
      <w:ind w:firstLine="480"/>
      <w:jc w:val="center"/>
    </w:pPr>
  </w:style>
  <w:style w:type="paragraph" w:customStyle="1" w:styleId="107">
    <w:name w:val="一级标题-重组报告书"/>
    <w:basedOn w:val="1"/>
    <w:link w:val="108"/>
    <w:semiHidden/>
    <w:qFormat/>
    <w:uiPriority w:val="0"/>
    <w:pPr>
      <w:keepNext/>
      <w:keepLines/>
      <w:spacing w:before="100" w:beforeLines="100" w:after="100" w:afterLines="100"/>
      <w:ind w:firstLine="0" w:firstLineChars="0"/>
      <w:jc w:val="center"/>
      <w:outlineLvl w:val="0"/>
    </w:pPr>
    <w:rPr>
      <w:rFonts w:ascii="黑体" w:hAnsi="黑体" w:eastAsia="黑体" w:cs="Times New Roman"/>
      <w:b/>
      <w:bCs/>
      <w:sz w:val="36"/>
      <w:szCs w:val="36"/>
      <w:lang w:val="zh-CN"/>
    </w:rPr>
  </w:style>
  <w:style w:type="character" w:customStyle="1" w:styleId="108">
    <w:name w:val="一级标题-重组报告书 Char"/>
    <w:link w:val="107"/>
    <w:semiHidden/>
    <w:qFormat/>
    <w:uiPriority w:val="0"/>
    <w:rPr>
      <w:rFonts w:ascii="黑体" w:hAnsi="黑体" w:eastAsia="黑体"/>
      <w:b/>
      <w:bCs/>
      <w:sz w:val="36"/>
      <w:szCs w:val="36"/>
      <w:lang w:val="zh-CN" w:eastAsia="zh-CN"/>
    </w:rPr>
  </w:style>
  <w:style w:type="paragraph" w:customStyle="1" w:styleId="109">
    <w:name w:val="正文1"/>
    <w:link w:val="141"/>
    <w:semiHidden/>
    <w:qFormat/>
    <w:uiPriority w:val="0"/>
    <w:pPr>
      <w:spacing w:before="120" w:after="120" w:line="380" w:lineRule="exact"/>
      <w:ind w:firstLine="480" w:firstLineChars="200"/>
      <w:textAlignment w:val="baseline"/>
    </w:pPr>
    <w:rPr>
      <w:rFonts w:ascii="宋体" w:hAnsi="Times New Roman" w:eastAsia="宋体" w:cs="Times New Roman"/>
      <w:color w:val="000000"/>
      <w:kern w:val="2"/>
      <w:sz w:val="24"/>
      <w:lang w:val="en-US" w:eastAsia="zh-CN" w:bidi="ar-SA"/>
    </w:rPr>
  </w:style>
  <w:style w:type="character" w:customStyle="1" w:styleId="110">
    <w:name w:val="批注文字 字符"/>
    <w:link w:val="23"/>
    <w:semiHidden/>
    <w:qFormat/>
    <w:uiPriority w:val="99"/>
    <w:rPr>
      <w:kern w:val="2"/>
      <w:sz w:val="21"/>
      <w:szCs w:val="22"/>
      <w:lang w:val="zh-CN" w:eastAsia="zh-CN"/>
    </w:rPr>
  </w:style>
  <w:style w:type="character" w:customStyle="1" w:styleId="111">
    <w:name w:val="批注主题 字符"/>
    <w:link w:val="73"/>
    <w:semiHidden/>
    <w:qFormat/>
    <w:uiPriority w:val="99"/>
    <w:rPr>
      <w:b/>
      <w:bCs/>
      <w:kern w:val="2"/>
      <w:sz w:val="21"/>
      <w:szCs w:val="22"/>
      <w:lang w:val="zh-CN" w:eastAsia="zh-CN"/>
    </w:rPr>
  </w:style>
  <w:style w:type="character" w:customStyle="1" w:styleId="112">
    <w:name w:val="批注框文本 字符"/>
    <w:link w:val="47"/>
    <w:semiHidden/>
    <w:qFormat/>
    <w:uiPriority w:val="99"/>
    <w:rPr>
      <w:kern w:val="2"/>
      <w:sz w:val="18"/>
      <w:szCs w:val="18"/>
      <w:lang w:val="zh-CN" w:eastAsia="zh-CN"/>
    </w:rPr>
  </w:style>
  <w:style w:type="paragraph" w:customStyle="1" w:styleId="113">
    <w:name w:val="修订1"/>
    <w:hidden/>
    <w:qFormat/>
    <w:uiPriority w:val="99"/>
    <w:rPr>
      <w:rFonts w:ascii="Calibri" w:hAnsi="Calibri" w:eastAsia="宋体" w:cs="Times New Roman"/>
      <w:kern w:val="2"/>
      <w:sz w:val="21"/>
      <w:szCs w:val="22"/>
      <w:lang w:val="en-US" w:eastAsia="zh-CN" w:bidi="ar-SA"/>
    </w:rPr>
  </w:style>
  <w:style w:type="paragraph" w:customStyle="1" w:styleId="114">
    <w:name w:val="新时达正文"/>
    <w:basedOn w:val="1"/>
    <w:link w:val="115"/>
    <w:semiHidden/>
    <w:qFormat/>
    <w:uiPriority w:val="0"/>
    <w:pPr>
      <w:spacing w:before="211"/>
      <w:ind w:firstLine="480"/>
    </w:pPr>
    <w:rPr>
      <w:rFonts w:cs="Times New Roman"/>
      <w:kern w:val="2"/>
      <w:lang w:val="zh-CN"/>
    </w:rPr>
  </w:style>
  <w:style w:type="character" w:customStyle="1" w:styleId="115">
    <w:name w:val="新时达正文 Char"/>
    <w:link w:val="114"/>
    <w:semiHidden/>
    <w:qFormat/>
    <w:uiPriority w:val="0"/>
    <w:rPr>
      <w:rFonts w:ascii="Times New Roman" w:hAnsi="Times New Roman"/>
      <w:kern w:val="2"/>
      <w:sz w:val="24"/>
      <w:szCs w:val="24"/>
      <w:lang w:val="zh-CN" w:eastAsia="zh-CN"/>
    </w:rPr>
  </w:style>
  <w:style w:type="paragraph" w:customStyle="1" w:styleId="116">
    <w:name w:val="三级标题重组报告书"/>
    <w:basedOn w:val="1"/>
    <w:link w:val="117"/>
    <w:semiHidden/>
    <w:qFormat/>
    <w:uiPriority w:val="0"/>
    <w:pPr>
      <w:spacing w:after="50" w:afterLines="50"/>
      <w:outlineLvl w:val="2"/>
    </w:pPr>
    <w:rPr>
      <w:rFonts w:cs="Times New Roman"/>
      <w:b/>
      <w:sz w:val="28"/>
      <w:szCs w:val="28"/>
      <w:lang w:val="zh-CN"/>
    </w:rPr>
  </w:style>
  <w:style w:type="character" w:customStyle="1" w:styleId="117">
    <w:name w:val="三级标题重组报告书 Char"/>
    <w:link w:val="116"/>
    <w:semiHidden/>
    <w:qFormat/>
    <w:uiPriority w:val="0"/>
    <w:rPr>
      <w:rFonts w:ascii="Times New Roman" w:hAnsi="Times New Roman"/>
      <w:b/>
      <w:sz w:val="28"/>
      <w:szCs w:val="28"/>
      <w:lang w:val="zh-CN" w:eastAsia="zh-CN"/>
    </w:rPr>
  </w:style>
  <w:style w:type="paragraph" w:customStyle="1" w:styleId="118">
    <w:name w:val="Default"/>
    <w:semiHidden/>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19">
    <w:name w:val="华测二级目录"/>
    <w:basedOn w:val="1"/>
    <w:link w:val="120"/>
    <w:semiHidden/>
    <w:qFormat/>
    <w:uiPriority w:val="0"/>
    <w:pPr>
      <w:spacing w:before="156" w:afterLines="50"/>
      <w:outlineLvl w:val="1"/>
    </w:pPr>
    <w:rPr>
      <w:rFonts w:eastAsia="黑体" w:cs="Times New Roman"/>
      <w:kern w:val="2"/>
      <w:sz w:val="32"/>
      <w:szCs w:val="32"/>
      <w:lang w:val="zh-CN"/>
    </w:rPr>
  </w:style>
  <w:style w:type="character" w:customStyle="1" w:styleId="120">
    <w:name w:val="华测二级目录 Char"/>
    <w:link w:val="119"/>
    <w:semiHidden/>
    <w:qFormat/>
    <w:uiPriority w:val="0"/>
    <w:rPr>
      <w:rFonts w:ascii="Times New Roman" w:hAnsi="Times New Roman" w:eastAsia="黑体"/>
      <w:kern w:val="2"/>
      <w:sz w:val="32"/>
      <w:szCs w:val="32"/>
      <w:lang w:val="zh-CN" w:eastAsia="zh-CN"/>
    </w:rPr>
  </w:style>
  <w:style w:type="paragraph" w:customStyle="1" w:styleId="121">
    <w:name w:val="Char1"/>
    <w:basedOn w:val="1"/>
    <w:semiHidden/>
    <w:qFormat/>
    <w:uiPriority w:val="0"/>
    <w:rPr>
      <w:rFonts w:ascii="宋体" w:hAnsi="宋体"/>
    </w:rPr>
  </w:style>
  <w:style w:type="paragraph" w:styleId="122">
    <w:name w:val="List Paragraph"/>
    <w:basedOn w:val="1"/>
    <w:link w:val="123"/>
    <w:qFormat/>
    <w:uiPriority w:val="99"/>
    <w:pPr>
      <w:ind w:firstLine="420"/>
    </w:pPr>
    <w:rPr>
      <w:rFonts w:cs="Times New Roman"/>
      <w:kern w:val="2"/>
      <w:sz w:val="21"/>
      <w:lang w:val="zh-CN"/>
    </w:rPr>
  </w:style>
  <w:style w:type="character" w:customStyle="1" w:styleId="123">
    <w:name w:val="列表段落 字符"/>
    <w:link w:val="122"/>
    <w:qFormat/>
    <w:locked/>
    <w:uiPriority w:val="99"/>
    <w:rPr>
      <w:rFonts w:ascii="Times New Roman" w:hAnsi="Times New Roman"/>
      <w:kern w:val="2"/>
      <w:sz w:val="21"/>
      <w:szCs w:val="24"/>
      <w:lang w:val="zh-CN" w:eastAsia="zh-CN"/>
    </w:rPr>
  </w:style>
  <w:style w:type="character" w:customStyle="1" w:styleId="124">
    <w:name w:val="标题 8 字符"/>
    <w:link w:val="9"/>
    <w:semiHidden/>
    <w:qFormat/>
    <w:uiPriority w:val="0"/>
    <w:rPr>
      <w:rFonts w:ascii="Cambria" w:hAnsi="Cambria"/>
      <w:kern w:val="2"/>
      <w:sz w:val="24"/>
      <w:szCs w:val="24"/>
      <w:lang w:val="zh-CN" w:eastAsia="zh-CN"/>
    </w:rPr>
  </w:style>
  <w:style w:type="character" w:customStyle="1" w:styleId="125">
    <w:name w:val="标题 9 字符"/>
    <w:link w:val="10"/>
    <w:semiHidden/>
    <w:qFormat/>
    <w:uiPriority w:val="0"/>
    <w:rPr>
      <w:rFonts w:ascii="Arial" w:hAnsi="Arial" w:eastAsia="黑体"/>
      <w:lang w:val="zh-CN" w:eastAsia="zh-CN"/>
    </w:rPr>
  </w:style>
  <w:style w:type="character" w:customStyle="1" w:styleId="126">
    <w:name w:val="副标题 字符"/>
    <w:link w:val="57"/>
    <w:semiHidden/>
    <w:qFormat/>
    <w:uiPriority w:val="0"/>
    <w:rPr>
      <w:rFonts w:ascii="Cambria" w:hAnsi="Cambria"/>
      <w:b/>
      <w:bCs/>
      <w:kern w:val="28"/>
      <w:sz w:val="32"/>
      <w:szCs w:val="32"/>
      <w:lang w:val="zh-CN" w:eastAsia="zh-CN"/>
    </w:rPr>
  </w:style>
  <w:style w:type="paragraph" w:customStyle="1" w:styleId="127">
    <w:name w:val="BY表格正文"/>
    <w:basedOn w:val="1"/>
    <w:semiHidden/>
    <w:qFormat/>
    <w:uiPriority w:val="0"/>
    <w:pPr>
      <w:ind w:firstLine="480"/>
    </w:pPr>
  </w:style>
  <w:style w:type="paragraph" w:customStyle="1" w:styleId="128">
    <w:name w:val="IPO标题2"/>
    <w:basedOn w:val="3"/>
    <w:semiHidden/>
    <w:qFormat/>
    <w:uiPriority w:val="99"/>
    <w:pPr>
      <w:tabs>
        <w:tab w:val="left" w:pos="500"/>
        <w:tab w:val="left" w:pos="1008"/>
      </w:tabs>
      <w:spacing w:before="260" w:afterLines="50"/>
      <w:ind w:firstLine="480"/>
    </w:pPr>
    <w:rPr>
      <w:rFonts w:ascii="黑体" w:hAnsi="宋体"/>
      <w:b/>
      <w:sz w:val="28"/>
      <w:szCs w:val="28"/>
    </w:rPr>
  </w:style>
  <w:style w:type="character" w:customStyle="1" w:styleId="129">
    <w:name w:val="标题 字符"/>
    <w:link w:val="72"/>
    <w:qFormat/>
    <w:uiPriority w:val="0"/>
    <w:rPr>
      <w:rFonts w:ascii="Cambria" w:hAnsi="Cambria"/>
      <w:b/>
      <w:bCs/>
      <w:sz w:val="32"/>
      <w:szCs w:val="32"/>
      <w:lang w:val="zh-CN" w:eastAsia="zh-CN"/>
    </w:rPr>
  </w:style>
  <w:style w:type="character" w:customStyle="1" w:styleId="130">
    <w:name w:val="正文文本缩进 字符"/>
    <w:link w:val="30"/>
    <w:semiHidden/>
    <w:qFormat/>
    <w:uiPriority w:val="99"/>
    <w:rPr>
      <w:rFonts w:ascii="宋体" w:hAnsi="宋体"/>
      <w:color w:val="0000FF"/>
      <w:sz w:val="24"/>
      <w:szCs w:val="24"/>
      <w:lang w:val="zh-CN" w:eastAsia="zh-CN"/>
    </w:rPr>
  </w:style>
  <w:style w:type="character" w:customStyle="1" w:styleId="131">
    <w:name w:val="段 Char1"/>
    <w:semiHidden/>
    <w:qFormat/>
    <w:uiPriority w:val="0"/>
    <w:rPr>
      <w:rFonts w:ascii="Arial" w:hAnsi="Arial" w:eastAsia="宋体" w:cs="Times New Roman"/>
      <w:kern w:val="0"/>
      <w:sz w:val="24"/>
      <w:szCs w:val="20"/>
    </w:rPr>
  </w:style>
  <w:style w:type="character" w:customStyle="1" w:styleId="132">
    <w:name w:val="文档结构图 字符"/>
    <w:link w:val="21"/>
    <w:semiHidden/>
    <w:qFormat/>
    <w:uiPriority w:val="99"/>
    <w:rPr>
      <w:rFonts w:ascii="宋体"/>
      <w:sz w:val="18"/>
      <w:szCs w:val="18"/>
      <w:lang w:val="zh-CN" w:eastAsia="zh-CN"/>
    </w:rPr>
  </w:style>
  <w:style w:type="paragraph" w:customStyle="1" w:styleId="133">
    <w:name w:val="列出段落1"/>
    <w:basedOn w:val="1"/>
    <w:semiHidden/>
    <w:qFormat/>
    <w:uiPriority w:val="34"/>
    <w:pPr>
      <w:ind w:firstLine="420"/>
    </w:pPr>
  </w:style>
  <w:style w:type="paragraph" w:customStyle="1" w:styleId="134">
    <w:name w:val="彩色列表 - 着色 11"/>
    <w:basedOn w:val="1"/>
    <w:semiHidden/>
    <w:qFormat/>
    <w:uiPriority w:val="34"/>
    <w:pPr>
      <w:ind w:firstLine="420"/>
    </w:pPr>
  </w:style>
  <w:style w:type="paragraph" w:customStyle="1" w:styleId="135">
    <w:name w:val="附注三级"/>
    <w:basedOn w:val="1"/>
    <w:link w:val="756"/>
    <w:semiHidden/>
    <w:qFormat/>
    <w:uiPriority w:val="0"/>
    <w:pPr>
      <w:tabs>
        <w:tab w:val="left" w:pos="1273"/>
      </w:tabs>
      <w:adjustRightInd w:val="0"/>
      <w:snapToGrid w:val="0"/>
      <w:spacing w:line="400" w:lineRule="atLeast"/>
      <w:ind w:left="1256" w:leftChars="342" w:hanging="538" w:hangingChars="255"/>
    </w:pPr>
    <w:rPr>
      <w:rFonts w:ascii="宋体" w:hAnsi="宋体" w:cs="Times New Roman"/>
      <w:b/>
      <w:bCs/>
      <w:kern w:val="2"/>
      <w:sz w:val="21"/>
      <w:szCs w:val="21"/>
      <w:lang w:val="zh-CN"/>
    </w:rPr>
  </w:style>
  <w:style w:type="paragraph" w:customStyle="1" w:styleId="136">
    <w:name w:val="中等深浅网格 21"/>
    <w:semiHidden/>
    <w:qFormat/>
    <w:uiPriority w:val="1"/>
    <w:pPr>
      <w:widowControl w:val="0"/>
      <w:jc w:val="both"/>
    </w:pPr>
    <w:rPr>
      <w:rFonts w:ascii="Calibri" w:hAnsi="Calibri" w:eastAsia="宋体" w:cs="Times New Roman"/>
      <w:kern w:val="2"/>
      <w:sz w:val="21"/>
      <w:szCs w:val="22"/>
      <w:lang w:val="en-US" w:eastAsia="zh-CN" w:bidi="ar-SA"/>
    </w:rPr>
  </w:style>
  <w:style w:type="paragraph" w:customStyle="1" w:styleId="137">
    <w:name w:val="报告正文"/>
    <w:basedOn w:val="1"/>
    <w:link w:val="138"/>
    <w:semiHidden/>
    <w:qFormat/>
    <w:uiPriority w:val="0"/>
    <w:pPr>
      <w:adjustRightInd w:val="0"/>
      <w:snapToGrid w:val="0"/>
      <w:spacing w:line="400" w:lineRule="exact"/>
      <w:ind w:firstLine="560"/>
    </w:pPr>
    <w:rPr>
      <w:rFonts w:ascii="宋体" w:hAnsi="宋体" w:cs="Times New Roman"/>
      <w:sz w:val="28"/>
      <w:lang w:val="zh-CN"/>
    </w:rPr>
  </w:style>
  <w:style w:type="character" w:customStyle="1" w:styleId="138">
    <w:name w:val="报告正文 Char"/>
    <w:link w:val="137"/>
    <w:semiHidden/>
    <w:qFormat/>
    <w:uiPriority w:val="0"/>
    <w:rPr>
      <w:rFonts w:ascii="宋体" w:hAnsi="宋体"/>
      <w:sz w:val="28"/>
      <w:szCs w:val="24"/>
      <w:lang w:val="zh-CN" w:eastAsia="zh-CN"/>
    </w:rPr>
  </w:style>
  <w:style w:type="paragraph" w:customStyle="1" w:styleId="139">
    <w:name w:val="网格表 31"/>
    <w:basedOn w:val="2"/>
    <w:next w:val="1"/>
    <w:semiHidden/>
    <w:qFormat/>
    <w:uiPriority w:val="39"/>
    <w:pPr>
      <w:keepNext/>
      <w:keepLines/>
      <w:spacing w:before="480" w:after="0" w:line="276" w:lineRule="auto"/>
      <w:jc w:val="left"/>
      <w:outlineLvl w:val="9"/>
    </w:pPr>
    <w:rPr>
      <w:rFonts w:ascii="Cambria" w:hAnsi="Cambria" w:eastAsia="宋体"/>
      <w:bCs/>
      <w:color w:val="365F91"/>
      <w:sz w:val="28"/>
      <w:szCs w:val="28"/>
    </w:rPr>
  </w:style>
  <w:style w:type="character" w:customStyle="1" w:styleId="140">
    <w:name w:val="日期 字符"/>
    <w:link w:val="43"/>
    <w:semiHidden/>
    <w:qFormat/>
    <w:uiPriority w:val="99"/>
    <w:rPr>
      <w:kern w:val="2"/>
      <w:sz w:val="21"/>
      <w:szCs w:val="22"/>
      <w:lang w:val="zh-CN" w:eastAsia="zh-CN"/>
    </w:rPr>
  </w:style>
  <w:style w:type="character" w:customStyle="1" w:styleId="141">
    <w:name w:val="正文1 Char"/>
    <w:link w:val="109"/>
    <w:semiHidden/>
    <w:qFormat/>
    <w:uiPriority w:val="0"/>
    <w:rPr>
      <w:rFonts w:ascii="宋体" w:hAnsi="Times New Roman"/>
      <w:color w:val="000000"/>
      <w:kern w:val="2"/>
      <w:sz w:val="24"/>
    </w:rPr>
  </w:style>
  <w:style w:type="paragraph" w:customStyle="1" w:styleId="142">
    <w:name w:val="List Legal 1"/>
    <w:basedOn w:val="1"/>
    <w:semiHidden/>
    <w:qFormat/>
    <w:uiPriority w:val="99"/>
    <w:pPr>
      <w:numPr>
        <w:ilvl w:val="0"/>
        <w:numId w:val="1"/>
      </w:numPr>
      <w:tabs>
        <w:tab w:val="clear" w:pos="720"/>
      </w:tabs>
      <w:spacing w:after="240" w:line="288" w:lineRule="auto"/>
      <w:ind w:left="900" w:firstLine="0"/>
    </w:pPr>
    <w:rPr>
      <w:szCs w:val="20"/>
      <w:lang w:eastAsia="en-US"/>
    </w:rPr>
  </w:style>
  <w:style w:type="character" w:customStyle="1" w:styleId="143">
    <w:name w:val="正文文本 字符"/>
    <w:link w:val="29"/>
    <w:semiHidden/>
    <w:qFormat/>
    <w:uiPriority w:val="0"/>
    <w:rPr>
      <w:kern w:val="2"/>
      <w:sz w:val="21"/>
      <w:szCs w:val="22"/>
      <w:lang w:val="zh-CN" w:eastAsia="zh-CN"/>
    </w:rPr>
  </w:style>
  <w:style w:type="character" w:customStyle="1" w:styleId="144">
    <w:name w:val="纯文本 字符"/>
    <w:link w:val="38"/>
    <w:semiHidden/>
    <w:qFormat/>
    <w:uiPriority w:val="0"/>
    <w:rPr>
      <w:rFonts w:ascii="宋体" w:hAnsi="Courier New"/>
      <w:lang w:val="zh-CN" w:eastAsia="zh-CN"/>
    </w:rPr>
  </w:style>
  <w:style w:type="paragraph" w:customStyle="1" w:styleId="145">
    <w:name w:val="xl29"/>
    <w:basedOn w:val="1"/>
    <w:semiHidden/>
    <w:qFormat/>
    <w:uiPriority w:val="0"/>
    <w:pPr>
      <w:pBdr>
        <w:top w:val="single" w:color="auto" w:sz="8" w:space="0"/>
        <w:bottom w:val="single" w:color="auto" w:sz="8" w:space="0"/>
        <w:right w:val="single" w:color="auto" w:sz="4" w:space="0"/>
      </w:pBdr>
      <w:spacing w:before="100" w:beforeAutospacing="1" w:after="100" w:afterAutospacing="1"/>
      <w:ind w:firstLine="480"/>
      <w:jc w:val="center"/>
      <w:textAlignment w:val="center"/>
    </w:pPr>
    <w:rPr>
      <w:rFonts w:ascii="宋体" w:hAnsi="宋体"/>
      <w:sz w:val="18"/>
      <w:szCs w:val="18"/>
    </w:rPr>
  </w:style>
  <w:style w:type="paragraph" w:customStyle="1" w:styleId="146">
    <w:name w:val="附注二级"/>
    <w:basedOn w:val="1"/>
    <w:link w:val="759"/>
    <w:semiHidden/>
    <w:qFormat/>
    <w:uiPriority w:val="0"/>
    <w:pPr>
      <w:tabs>
        <w:tab w:val="left" w:pos="714"/>
      </w:tabs>
      <w:adjustRightInd w:val="0"/>
      <w:snapToGrid w:val="0"/>
      <w:spacing w:line="400" w:lineRule="atLeast"/>
      <w:ind w:left="756" w:hanging="770"/>
      <w:outlineLvl w:val="0"/>
    </w:pPr>
    <w:rPr>
      <w:rFonts w:ascii="宋体" w:hAnsi="宋体" w:cs="Times New Roman"/>
      <w:b/>
      <w:kern w:val="2"/>
      <w:sz w:val="21"/>
      <w:szCs w:val="21"/>
      <w:lang w:val="zh-CN"/>
    </w:rPr>
  </w:style>
  <w:style w:type="paragraph" w:customStyle="1" w:styleId="147">
    <w:name w:val="附注三级正文"/>
    <w:basedOn w:val="1"/>
    <w:link w:val="623"/>
    <w:semiHidden/>
    <w:qFormat/>
    <w:uiPriority w:val="0"/>
    <w:pPr>
      <w:tabs>
        <w:tab w:val="left" w:pos="630"/>
      </w:tabs>
      <w:adjustRightInd w:val="0"/>
      <w:snapToGrid w:val="0"/>
      <w:spacing w:line="400" w:lineRule="atLeast"/>
      <w:ind w:left="1260" w:leftChars="600" w:firstLine="480"/>
    </w:pPr>
    <w:rPr>
      <w:rFonts w:ascii="宋体" w:hAnsi="宋体" w:cs="Times New Roman"/>
      <w:kern w:val="2"/>
      <w:sz w:val="21"/>
      <w:szCs w:val="21"/>
      <w:lang w:val="zh-CN"/>
    </w:rPr>
  </w:style>
  <w:style w:type="paragraph" w:customStyle="1" w:styleId="148">
    <w:name w:val="reader-word-layer"/>
    <w:basedOn w:val="1"/>
    <w:semiHidden/>
    <w:qFormat/>
    <w:uiPriority w:val="0"/>
    <w:pPr>
      <w:spacing w:before="100" w:beforeAutospacing="1" w:after="100" w:afterAutospacing="1"/>
      <w:ind w:firstLine="480"/>
    </w:pPr>
    <w:rPr>
      <w:rFonts w:ascii="宋体" w:hAnsi="宋体"/>
    </w:rPr>
  </w:style>
  <w:style w:type="paragraph" w:customStyle="1" w:styleId="149">
    <w:name w:val="附注二级正文"/>
    <w:basedOn w:val="1"/>
    <w:link w:val="755"/>
    <w:semiHidden/>
    <w:qFormat/>
    <w:uiPriority w:val="0"/>
    <w:pPr>
      <w:adjustRightInd w:val="0"/>
      <w:snapToGrid w:val="0"/>
      <w:spacing w:line="400" w:lineRule="atLeast"/>
      <w:ind w:left="718" w:leftChars="342" w:firstLine="480"/>
    </w:pPr>
    <w:rPr>
      <w:rFonts w:ascii="宋体" w:hAnsi="宋体" w:cs="Times New Roman"/>
      <w:kern w:val="2"/>
      <w:sz w:val="21"/>
      <w:szCs w:val="21"/>
      <w:lang w:val="zh-CN"/>
    </w:rPr>
  </w:style>
  <w:style w:type="paragraph" w:customStyle="1" w:styleId="150">
    <w:name w:val="z-窗体底端1"/>
    <w:basedOn w:val="1"/>
    <w:next w:val="1"/>
    <w:link w:val="151"/>
    <w:unhideWhenUsed/>
    <w:qFormat/>
    <w:uiPriority w:val="99"/>
    <w:pPr>
      <w:pBdr>
        <w:top w:val="single" w:color="auto" w:sz="6" w:space="1"/>
      </w:pBdr>
      <w:ind w:firstLine="480"/>
      <w:jc w:val="center"/>
    </w:pPr>
    <w:rPr>
      <w:rFonts w:ascii="Arial" w:hAnsi="Arial" w:cs="Times New Roman"/>
      <w:vanish/>
      <w:sz w:val="16"/>
      <w:szCs w:val="16"/>
      <w:lang w:val="zh-CN"/>
    </w:rPr>
  </w:style>
  <w:style w:type="character" w:customStyle="1" w:styleId="151">
    <w:name w:val="z-窗体底端 字符"/>
    <w:link w:val="150"/>
    <w:qFormat/>
    <w:uiPriority w:val="99"/>
    <w:rPr>
      <w:rFonts w:ascii="Arial" w:hAnsi="Arial"/>
      <w:vanish/>
      <w:sz w:val="16"/>
      <w:szCs w:val="16"/>
      <w:lang w:val="zh-CN" w:eastAsia="zh-CN"/>
    </w:rPr>
  </w:style>
  <w:style w:type="paragraph" w:customStyle="1" w:styleId="152">
    <w:name w:val="海大一级"/>
    <w:basedOn w:val="1"/>
    <w:semiHidden/>
    <w:qFormat/>
    <w:uiPriority w:val="0"/>
    <w:pPr>
      <w:autoSpaceDE w:val="0"/>
      <w:autoSpaceDN w:val="0"/>
      <w:adjustRightInd w:val="0"/>
      <w:spacing w:beforeLines="100" w:afterLines="200"/>
      <w:ind w:firstLine="480"/>
      <w:jc w:val="center"/>
    </w:pPr>
    <w:rPr>
      <w:rFonts w:ascii="黑体" w:eastAsia="黑体" w:cs="黑体"/>
      <w:b/>
      <w:sz w:val="36"/>
      <w:szCs w:val="36"/>
    </w:rPr>
  </w:style>
  <w:style w:type="paragraph" w:customStyle="1" w:styleId="153">
    <w:name w:val="海大公司债5"/>
    <w:basedOn w:val="1"/>
    <w:semiHidden/>
    <w:qFormat/>
    <w:uiPriority w:val="0"/>
    <w:pPr>
      <w:spacing w:afterLines="50"/>
      <w:ind w:firstLine="480"/>
    </w:pPr>
    <w:rPr>
      <w:rFonts w:ascii="宋体" w:hAnsi="宋体"/>
    </w:rPr>
  </w:style>
  <w:style w:type="character" w:customStyle="1" w:styleId="154">
    <w:name w:val="apple-converted-space"/>
    <w:basedOn w:val="83"/>
    <w:semiHidden/>
    <w:qFormat/>
    <w:uiPriority w:val="0"/>
  </w:style>
  <w:style w:type="paragraph" w:customStyle="1" w:styleId="155">
    <w:name w:val="普通 (Web)"/>
    <w:basedOn w:val="1"/>
    <w:semiHidden/>
    <w:qFormat/>
    <w:uiPriority w:val="99"/>
    <w:pPr>
      <w:spacing w:line="432" w:lineRule="atLeast"/>
      <w:ind w:firstLine="810"/>
    </w:pPr>
    <w:rPr>
      <w:rFonts w:ascii="仿宋_GB2312" w:hAnsi="Verdana" w:eastAsia="仿宋_GB2312"/>
      <w:spacing w:val="30"/>
      <w:sz w:val="28"/>
      <w:szCs w:val="20"/>
    </w:rPr>
  </w:style>
  <w:style w:type="paragraph" w:customStyle="1" w:styleId="156">
    <w:name w:val="彩色底纹 - 着色 11"/>
    <w:hidden/>
    <w:semiHidden/>
    <w:qFormat/>
    <w:uiPriority w:val="99"/>
    <w:rPr>
      <w:rFonts w:ascii="Calibri" w:hAnsi="Calibri" w:eastAsia="宋体" w:cs="Times New Roman"/>
      <w:kern w:val="2"/>
      <w:sz w:val="21"/>
      <w:szCs w:val="22"/>
      <w:lang w:val="en-US" w:eastAsia="zh-CN" w:bidi="ar-SA"/>
    </w:rPr>
  </w:style>
  <w:style w:type="character" w:customStyle="1" w:styleId="157">
    <w:name w:val="正文文本首行缩进 字符"/>
    <w:link w:val="74"/>
    <w:semiHidden/>
    <w:qFormat/>
    <w:uiPriority w:val="0"/>
    <w:rPr>
      <w:rFonts w:ascii="Times New Roman" w:hAnsi="Times New Roman"/>
      <w:kern w:val="2"/>
      <w:sz w:val="21"/>
      <w:szCs w:val="22"/>
      <w:lang w:val="zh-CN" w:eastAsia="zh-CN"/>
    </w:rPr>
  </w:style>
  <w:style w:type="paragraph" w:customStyle="1" w:styleId="158">
    <w:name w:val="Char Char Char1 Char"/>
    <w:basedOn w:val="1"/>
    <w:semiHidden/>
    <w:qFormat/>
    <w:uiPriority w:val="0"/>
    <w:pPr>
      <w:ind w:firstLine="480"/>
    </w:pPr>
    <w:rPr>
      <w:rFonts w:ascii="Tahoma" w:hAnsi="Tahoma"/>
      <w:szCs w:val="20"/>
    </w:rPr>
  </w:style>
  <w:style w:type="paragraph" w:customStyle="1" w:styleId="159">
    <w:name w:val="默认段落字体 Para Char Char Char Char Char Char Char"/>
    <w:basedOn w:val="1"/>
    <w:semiHidden/>
    <w:qFormat/>
    <w:uiPriority w:val="0"/>
    <w:pPr>
      <w:ind w:firstLine="480"/>
    </w:pPr>
    <w:rPr>
      <w:rFonts w:ascii="Tahoma" w:hAnsi="Tahoma"/>
      <w:szCs w:val="20"/>
    </w:rPr>
  </w:style>
  <w:style w:type="paragraph" w:customStyle="1" w:styleId="160">
    <w:name w:val="Plain Text1"/>
    <w:basedOn w:val="1"/>
    <w:link w:val="161"/>
    <w:semiHidden/>
    <w:qFormat/>
    <w:uiPriority w:val="0"/>
    <w:pPr>
      <w:autoSpaceDE w:val="0"/>
      <w:autoSpaceDN w:val="0"/>
      <w:adjustRightInd w:val="0"/>
      <w:ind w:firstLine="480"/>
      <w:textAlignment w:val="baseline"/>
    </w:pPr>
    <w:rPr>
      <w:rFonts w:ascii="宋体" w:cs="Times New Roman"/>
      <w:sz w:val="20"/>
      <w:szCs w:val="21"/>
      <w:lang w:val="zh-CN"/>
    </w:rPr>
  </w:style>
  <w:style w:type="character" w:customStyle="1" w:styleId="161">
    <w:name w:val="Plain Text1 Char"/>
    <w:link w:val="160"/>
    <w:semiHidden/>
    <w:qFormat/>
    <w:uiPriority w:val="0"/>
    <w:rPr>
      <w:rFonts w:ascii="宋体" w:hAnsi="Times New Roman"/>
      <w:szCs w:val="21"/>
      <w:lang w:val="zh-CN" w:eastAsia="zh-CN"/>
    </w:rPr>
  </w:style>
  <w:style w:type="character" w:customStyle="1" w:styleId="162">
    <w:name w:val="正文文本缩进 3 字符"/>
    <w:link w:val="61"/>
    <w:semiHidden/>
    <w:qFormat/>
    <w:uiPriority w:val="99"/>
    <w:rPr>
      <w:rFonts w:ascii="宋体" w:hAnsi="Times New Roman"/>
      <w:b/>
      <w:sz w:val="32"/>
      <w:lang w:val="zh-CN" w:eastAsia="zh-CN"/>
    </w:rPr>
  </w:style>
  <w:style w:type="paragraph" w:customStyle="1" w:styleId="163">
    <w:name w:val="zw"/>
    <w:basedOn w:val="1"/>
    <w:link w:val="164"/>
    <w:semiHidden/>
    <w:qFormat/>
    <w:uiPriority w:val="0"/>
    <w:pPr>
      <w:adjustRightInd w:val="0"/>
      <w:ind w:firstLine="482"/>
      <w:textAlignment w:val="baseline"/>
    </w:pPr>
    <w:rPr>
      <w:rFonts w:ascii="Arial Narrow" w:hAnsi="Arial Narrow" w:eastAsia="楷体_GB2312" w:cs="Times New Roman"/>
      <w:szCs w:val="20"/>
      <w:lang w:val="zh-CN"/>
    </w:rPr>
  </w:style>
  <w:style w:type="character" w:customStyle="1" w:styleId="164">
    <w:name w:val="zw Char"/>
    <w:link w:val="163"/>
    <w:semiHidden/>
    <w:qFormat/>
    <w:uiPriority w:val="0"/>
    <w:rPr>
      <w:rFonts w:ascii="Arial Narrow" w:hAnsi="Arial Narrow" w:eastAsia="楷体_GB2312"/>
      <w:sz w:val="24"/>
      <w:lang w:val="zh-CN" w:eastAsia="zh-CN"/>
    </w:rPr>
  </w:style>
  <w:style w:type="character" w:customStyle="1" w:styleId="165">
    <w:name w:val="正文文本缩进 2 字符"/>
    <w:link w:val="44"/>
    <w:semiHidden/>
    <w:qFormat/>
    <w:uiPriority w:val="99"/>
    <w:rPr>
      <w:rFonts w:ascii="Times New Roman" w:hAnsi="Times New Roman" w:eastAsia="仿宋_GB2312"/>
      <w:position w:val="-6"/>
      <w:sz w:val="28"/>
      <w:lang w:val="zh-CN" w:eastAsia="zh-CN"/>
    </w:rPr>
  </w:style>
  <w:style w:type="paragraph" w:customStyle="1" w:styleId="166">
    <w:name w:val="正文yu"/>
    <w:basedOn w:val="26"/>
    <w:semiHidden/>
    <w:qFormat/>
    <w:uiPriority w:val="0"/>
    <w:pPr>
      <w:adjustRightInd w:val="0"/>
      <w:snapToGrid w:val="0"/>
      <w:spacing w:after="0"/>
      <w:ind w:firstLine="560"/>
      <w:jc w:val="both"/>
    </w:pPr>
    <w:rPr>
      <w:rFonts w:eastAsia="黑体"/>
      <w:kern w:val="2"/>
      <w:sz w:val="28"/>
      <w:szCs w:val="28"/>
    </w:rPr>
  </w:style>
  <w:style w:type="character" w:customStyle="1" w:styleId="167">
    <w:name w:val="正文文本 3 字符"/>
    <w:link w:val="26"/>
    <w:semiHidden/>
    <w:qFormat/>
    <w:uiPriority w:val="0"/>
    <w:rPr>
      <w:rFonts w:ascii="Times New Roman" w:hAnsi="Times New Roman"/>
      <w:sz w:val="16"/>
      <w:lang w:val="zh-CN" w:eastAsia="zh-CN"/>
    </w:rPr>
  </w:style>
  <w:style w:type="paragraph" w:customStyle="1" w:styleId="168">
    <w:name w:val="Enclosure"/>
    <w:basedOn w:val="29"/>
    <w:next w:val="1"/>
    <w:semiHidden/>
    <w:qFormat/>
    <w:uiPriority w:val="0"/>
    <w:pPr>
      <w:keepNext/>
      <w:keepLines/>
      <w:overflowPunct w:val="0"/>
      <w:autoSpaceDE w:val="0"/>
      <w:autoSpaceDN w:val="0"/>
      <w:adjustRightInd w:val="0"/>
      <w:spacing w:after="240" w:line="240" w:lineRule="atLeast"/>
      <w:textAlignment w:val="baseline"/>
    </w:pPr>
    <w:rPr>
      <w:rFonts w:ascii="Garamond" w:hAnsi="Garamond" w:eastAsia="仿宋_GB2312"/>
      <w:kern w:val="18"/>
      <w:sz w:val="28"/>
      <w:szCs w:val="20"/>
    </w:rPr>
  </w:style>
  <w:style w:type="paragraph" w:customStyle="1" w:styleId="169">
    <w:name w:val="大标题"/>
    <w:basedOn w:val="29"/>
    <w:semiHidden/>
    <w:qFormat/>
    <w:uiPriority w:val="0"/>
    <w:pPr>
      <w:spacing w:after="0"/>
      <w:outlineLvl w:val="0"/>
    </w:pPr>
    <w:rPr>
      <w:rFonts w:ascii="仿宋_GB2312" w:hAnsi="Times New Roman" w:eastAsia="仿宋_GB2312"/>
      <w:b/>
      <w:kern w:val="0"/>
      <w:sz w:val="24"/>
      <w:szCs w:val="20"/>
    </w:rPr>
  </w:style>
  <w:style w:type="paragraph" w:customStyle="1" w:styleId="170">
    <w:name w:val="表格文字"/>
    <w:basedOn w:val="1"/>
    <w:semiHidden/>
    <w:qFormat/>
    <w:uiPriority w:val="0"/>
    <w:pPr>
      <w:snapToGrid w:val="0"/>
      <w:ind w:left="-6" w:right="-108" w:firstLine="480"/>
    </w:pPr>
    <w:rPr>
      <w:sz w:val="18"/>
      <w:szCs w:val="20"/>
    </w:rPr>
  </w:style>
  <w:style w:type="character" w:customStyle="1" w:styleId="171">
    <w:name w:val="正文文本 2 字符"/>
    <w:link w:val="66"/>
    <w:semiHidden/>
    <w:qFormat/>
    <w:uiPriority w:val="0"/>
    <w:rPr>
      <w:rFonts w:ascii="宋体" w:hAnsi="宋体"/>
      <w:color w:val="3366FF"/>
      <w:sz w:val="24"/>
      <w:szCs w:val="24"/>
      <w:lang w:val="zh-CN" w:eastAsia="zh-CN"/>
    </w:rPr>
  </w:style>
  <w:style w:type="paragraph" w:customStyle="1" w:styleId="172">
    <w:name w:val="xl35"/>
    <w:basedOn w:val="1"/>
    <w:semiHidden/>
    <w:qFormat/>
    <w:uiPriority w:val="0"/>
    <w:pPr>
      <w:pBdr>
        <w:left w:val="single" w:color="auto" w:sz="4" w:space="0"/>
        <w:bottom w:val="single" w:color="auto" w:sz="4" w:space="0"/>
        <w:right w:val="single" w:color="auto" w:sz="4" w:space="0"/>
      </w:pBdr>
      <w:spacing w:before="100" w:after="100"/>
      <w:ind w:firstLine="480"/>
      <w:textAlignment w:val="center"/>
    </w:pPr>
    <w:rPr>
      <w:rFonts w:ascii="宋体" w:hAnsi="宋体"/>
      <w:sz w:val="18"/>
      <w:szCs w:val="20"/>
    </w:rPr>
  </w:style>
  <w:style w:type="paragraph" w:customStyle="1" w:styleId="173">
    <w:name w:val="ZW"/>
    <w:basedOn w:val="1"/>
    <w:link w:val="494"/>
    <w:semiHidden/>
    <w:qFormat/>
    <w:uiPriority w:val="0"/>
    <w:pPr>
      <w:adjustRightInd w:val="0"/>
      <w:spacing w:line="440" w:lineRule="atLeast"/>
      <w:ind w:firstLine="601"/>
      <w:textAlignment w:val="baseline"/>
    </w:pPr>
    <w:rPr>
      <w:rFonts w:ascii="Arial Narrow" w:eastAsia="昆仑楷体" w:cs="Times New Roman"/>
      <w:sz w:val="28"/>
      <w:szCs w:val="20"/>
      <w:lang w:val="zh-CN"/>
    </w:rPr>
  </w:style>
  <w:style w:type="paragraph" w:customStyle="1" w:styleId="174">
    <w:name w:val="纯文本11"/>
    <w:basedOn w:val="1"/>
    <w:semiHidden/>
    <w:qFormat/>
    <w:uiPriority w:val="0"/>
    <w:pPr>
      <w:adjustRightInd w:val="0"/>
      <w:ind w:firstLine="480"/>
      <w:textAlignment w:val="baseline"/>
    </w:pPr>
    <w:rPr>
      <w:rFonts w:ascii="宋体"/>
      <w:szCs w:val="20"/>
    </w:rPr>
  </w:style>
  <w:style w:type="paragraph" w:customStyle="1" w:styleId="175">
    <w:name w:val="font5"/>
    <w:basedOn w:val="1"/>
    <w:semiHidden/>
    <w:qFormat/>
    <w:uiPriority w:val="0"/>
    <w:pPr>
      <w:spacing w:before="100" w:beforeAutospacing="1" w:after="100" w:afterAutospacing="1"/>
      <w:ind w:firstLine="480"/>
    </w:pPr>
    <w:rPr>
      <w:rFonts w:hint="eastAsia" w:ascii="宋体" w:hAnsi="宋体" w:cs="Arial Unicode MS"/>
      <w:sz w:val="18"/>
      <w:szCs w:val="18"/>
    </w:rPr>
  </w:style>
  <w:style w:type="paragraph" w:customStyle="1" w:styleId="176">
    <w:name w:val="font6"/>
    <w:basedOn w:val="1"/>
    <w:semiHidden/>
    <w:qFormat/>
    <w:uiPriority w:val="0"/>
    <w:pPr>
      <w:spacing w:before="100" w:beforeAutospacing="1" w:after="100" w:afterAutospacing="1"/>
      <w:ind w:firstLine="480"/>
    </w:pPr>
    <w:rPr>
      <w:rFonts w:eastAsia="Arial Unicode MS"/>
      <w:sz w:val="20"/>
      <w:szCs w:val="20"/>
    </w:rPr>
  </w:style>
  <w:style w:type="paragraph" w:customStyle="1" w:styleId="177">
    <w:name w:val="font7"/>
    <w:basedOn w:val="1"/>
    <w:semiHidden/>
    <w:qFormat/>
    <w:uiPriority w:val="0"/>
    <w:pPr>
      <w:spacing w:before="100" w:beforeAutospacing="1" w:after="100" w:afterAutospacing="1"/>
      <w:ind w:firstLine="480"/>
    </w:pPr>
    <w:rPr>
      <w:rFonts w:hint="eastAsia" w:ascii="宋体" w:hAnsi="宋体" w:cs="Arial Unicode MS"/>
      <w:sz w:val="20"/>
      <w:szCs w:val="20"/>
    </w:rPr>
  </w:style>
  <w:style w:type="paragraph" w:customStyle="1" w:styleId="178">
    <w:name w:val="font8"/>
    <w:basedOn w:val="1"/>
    <w:semiHidden/>
    <w:qFormat/>
    <w:uiPriority w:val="0"/>
    <w:pPr>
      <w:spacing w:before="100" w:beforeAutospacing="1" w:after="100" w:afterAutospacing="1"/>
      <w:ind w:firstLine="480"/>
    </w:pPr>
    <w:rPr>
      <w:rFonts w:hint="eastAsia" w:ascii="宋体" w:hAnsi="宋体" w:cs="Arial Unicode MS"/>
      <w:b/>
      <w:bCs/>
      <w:color w:val="000000"/>
      <w:sz w:val="18"/>
      <w:szCs w:val="18"/>
    </w:rPr>
  </w:style>
  <w:style w:type="paragraph" w:customStyle="1" w:styleId="179">
    <w:name w:val="font9"/>
    <w:basedOn w:val="1"/>
    <w:semiHidden/>
    <w:qFormat/>
    <w:uiPriority w:val="0"/>
    <w:pPr>
      <w:spacing w:before="100" w:beforeAutospacing="1" w:after="100" w:afterAutospacing="1"/>
      <w:ind w:firstLine="480"/>
    </w:pPr>
    <w:rPr>
      <w:rFonts w:hint="eastAsia" w:ascii="宋体" w:hAnsi="宋体" w:cs="Arial Unicode MS"/>
      <w:color w:val="000000"/>
      <w:sz w:val="18"/>
      <w:szCs w:val="18"/>
    </w:rPr>
  </w:style>
  <w:style w:type="paragraph" w:customStyle="1" w:styleId="180">
    <w:name w:val="xl47"/>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rFonts w:ascii="Arial Unicode MS" w:hAnsi="Arial Unicode MS" w:eastAsia="Arial Unicode MS" w:cs="Arial Unicode MS"/>
      <w:sz w:val="20"/>
      <w:szCs w:val="20"/>
    </w:rPr>
  </w:style>
  <w:style w:type="paragraph" w:customStyle="1" w:styleId="181">
    <w:name w:val="xl48"/>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rFonts w:eastAsia="Arial Unicode MS"/>
      <w:sz w:val="20"/>
      <w:szCs w:val="20"/>
    </w:rPr>
  </w:style>
  <w:style w:type="paragraph" w:customStyle="1" w:styleId="182">
    <w:name w:val="xl49"/>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rFonts w:ascii="Arial Unicode MS" w:hAnsi="Arial Unicode MS" w:eastAsia="Arial Unicode MS" w:cs="Arial Unicode MS"/>
    </w:rPr>
  </w:style>
  <w:style w:type="paragraph" w:customStyle="1" w:styleId="183">
    <w:name w:val="xl50"/>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ind w:firstLine="480"/>
    </w:pPr>
    <w:rPr>
      <w:rFonts w:ascii="Arial Unicode MS" w:hAnsi="Arial Unicode MS" w:eastAsia="Arial Unicode MS" w:cs="Arial Unicode MS"/>
      <w:sz w:val="20"/>
      <w:szCs w:val="20"/>
    </w:rPr>
  </w:style>
  <w:style w:type="paragraph" w:customStyle="1" w:styleId="184">
    <w:name w:val="xl51"/>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pPr>
    <w:rPr>
      <w:rFonts w:hint="eastAsia" w:ascii="仿宋_GB2312" w:hAnsi="Arial Unicode MS" w:eastAsia="仿宋_GB2312" w:cs="Arial Unicode MS"/>
      <w:sz w:val="18"/>
      <w:szCs w:val="18"/>
    </w:rPr>
  </w:style>
  <w:style w:type="paragraph" w:customStyle="1" w:styleId="185">
    <w:name w:val="xl52"/>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pPr>
    <w:rPr>
      <w:rFonts w:eastAsia="Arial Unicode MS"/>
      <w:szCs w:val="21"/>
    </w:rPr>
  </w:style>
  <w:style w:type="paragraph" w:customStyle="1" w:styleId="186">
    <w:name w:val="xl53"/>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ind w:firstLine="480"/>
      <w:jc w:val="center"/>
    </w:pPr>
    <w:rPr>
      <w:rFonts w:hint="eastAsia" w:ascii="仿宋_GB2312" w:hAnsi="Arial Unicode MS" w:eastAsia="仿宋_GB2312" w:cs="Arial Unicode MS"/>
      <w:sz w:val="18"/>
      <w:szCs w:val="18"/>
    </w:rPr>
  </w:style>
  <w:style w:type="paragraph" w:customStyle="1" w:styleId="187">
    <w:name w:val="xl54"/>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pPr>
    <w:rPr>
      <w:rFonts w:eastAsia="Arial Unicode MS"/>
      <w:sz w:val="20"/>
      <w:szCs w:val="20"/>
    </w:rPr>
  </w:style>
  <w:style w:type="paragraph" w:customStyle="1" w:styleId="188">
    <w:name w:val="xl55"/>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hint="eastAsia" w:ascii="仿宋_GB2312" w:hAnsi="Arial Unicode MS" w:eastAsia="仿宋_GB2312" w:cs="Arial Unicode MS"/>
      <w:sz w:val="18"/>
      <w:szCs w:val="18"/>
    </w:rPr>
  </w:style>
  <w:style w:type="paragraph" w:customStyle="1" w:styleId="189">
    <w:name w:val="xl56"/>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hint="eastAsia" w:ascii="仿宋_GB2312" w:hAnsi="Arial Unicode MS" w:eastAsia="仿宋_GB2312" w:cs="Arial Unicode MS"/>
      <w:sz w:val="20"/>
      <w:szCs w:val="20"/>
    </w:rPr>
  </w:style>
  <w:style w:type="paragraph" w:customStyle="1" w:styleId="190">
    <w:name w:val="xl57"/>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pPr>
    <w:rPr>
      <w:rFonts w:ascii="Arial Unicode MS" w:hAnsi="Arial Unicode MS" w:eastAsia="Arial Unicode MS" w:cs="Arial Unicode MS"/>
      <w:sz w:val="18"/>
      <w:szCs w:val="18"/>
    </w:rPr>
  </w:style>
  <w:style w:type="paragraph" w:customStyle="1" w:styleId="191">
    <w:name w:val="xl58"/>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ind w:firstLine="480"/>
      <w:jc w:val="center"/>
    </w:pPr>
    <w:rPr>
      <w:rFonts w:ascii="Arial Unicode MS" w:hAnsi="Arial Unicode MS" w:eastAsia="Arial Unicode MS" w:cs="Arial Unicode MS"/>
      <w:sz w:val="18"/>
      <w:szCs w:val="18"/>
    </w:rPr>
  </w:style>
  <w:style w:type="paragraph" w:customStyle="1" w:styleId="192">
    <w:name w:val="xl59"/>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ind w:firstLine="480"/>
    </w:pPr>
    <w:rPr>
      <w:rFonts w:eastAsia="Arial Unicode MS"/>
      <w:sz w:val="20"/>
      <w:szCs w:val="20"/>
    </w:rPr>
  </w:style>
  <w:style w:type="paragraph" w:customStyle="1" w:styleId="193">
    <w:name w:val="xl60"/>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100" w:afterAutospacing="1"/>
      <w:ind w:firstLine="480"/>
    </w:pPr>
    <w:rPr>
      <w:rFonts w:ascii="Arial Unicode MS" w:hAnsi="Arial Unicode MS" w:eastAsia="Arial Unicode MS" w:cs="Arial Unicode MS"/>
    </w:rPr>
  </w:style>
  <w:style w:type="paragraph" w:customStyle="1" w:styleId="194">
    <w:name w:val="xl61"/>
    <w:basedOn w:val="1"/>
    <w:semiHidden/>
    <w:qFormat/>
    <w:uiPriority w:val="0"/>
    <w:pPr>
      <w:pBdr>
        <w:top w:val="single" w:color="auto" w:sz="4" w:space="0"/>
        <w:left w:val="single" w:color="auto" w:sz="4" w:space="0"/>
        <w:right w:val="single" w:color="auto" w:sz="4" w:space="0"/>
      </w:pBdr>
      <w:spacing w:before="100" w:beforeAutospacing="1" w:after="100" w:afterAutospacing="1"/>
      <w:ind w:firstLine="480"/>
      <w:jc w:val="center"/>
      <w:textAlignment w:val="center"/>
    </w:pPr>
    <w:rPr>
      <w:rFonts w:ascii="Arial Unicode MS" w:hAnsi="Arial Unicode MS" w:eastAsia="Arial Unicode MS" w:cs="Arial Unicode MS"/>
      <w:sz w:val="18"/>
      <w:szCs w:val="18"/>
    </w:rPr>
  </w:style>
  <w:style w:type="paragraph" w:customStyle="1" w:styleId="195">
    <w:name w:val="xl62"/>
    <w:basedOn w:val="1"/>
    <w:semiHidden/>
    <w:qFormat/>
    <w:uiPriority w:val="0"/>
    <w:pPr>
      <w:pBdr>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eastAsia="Arial Unicode MS"/>
      <w:sz w:val="18"/>
      <w:szCs w:val="18"/>
    </w:rPr>
  </w:style>
  <w:style w:type="paragraph" w:customStyle="1" w:styleId="196">
    <w:name w:val="xl63"/>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ascii="Arial Unicode MS" w:hAnsi="Arial Unicode MS" w:eastAsia="Arial Unicode MS" w:cs="Arial Unicode MS"/>
      <w:sz w:val="20"/>
      <w:szCs w:val="20"/>
    </w:rPr>
  </w:style>
  <w:style w:type="paragraph" w:customStyle="1" w:styleId="197">
    <w:name w:val="xl64"/>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eastAsia="Arial Unicode MS"/>
      <w:sz w:val="20"/>
      <w:szCs w:val="20"/>
    </w:rPr>
  </w:style>
  <w:style w:type="paragraph" w:customStyle="1" w:styleId="198">
    <w:name w:val="xl65"/>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rFonts w:ascii="Arial Unicode MS" w:hAnsi="Arial Unicode MS" w:eastAsia="Arial Unicode MS" w:cs="Arial Unicode MS"/>
      <w:sz w:val="20"/>
      <w:szCs w:val="20"/>
    </w:rPr>
  </w:style>
  <w:style w:type="paragraph" w:customStyle="1" w:styleId="199">
    <w:name w:val="xl66"/>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rFonts w:ascii="Arial Unicode MS" w:hAnsi="Arial Unicode MS" w:eastAsia="Arial Unicode MS" w:cs="Arial Unicode MS"/>
      <w:sz w:val="20"/>
      <w:szCs w:val="20"/>
    </w:rPr>
  </w:style>
  <w:style w:type="paragraph" w:customStyle="1" w:styleId="200">
    <w:name w:val="xl67"/>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rFonts w:ascii="MS Sans Serif" w:hAnsi="MS Sans Serif" w:eastAsia="Arial Unicode MS" w:cs="Arial Unicode MS"/>
      <w:sz w:val="20"/>
      <w:szCs w:val="20"/>
    </w:rPr>
  </w:style>
  <w:style w:type="paragraph" w:customStyle="1" w:styleId="201">
    <w:name w:val="fig"/>
    <w:basedOn w:val="1"/>
    <w:semiHidden/>
    <w:qFormat/>
    <w:uiPriority w:val="0"/>
    <w:pPr>
      <w:adjustRightInd w:val="0"/>
      <w:spacing w:before="120" w:after="240" w:line="360" w:lineRule="atLeast"/>
      <w:ind w:firstLine="480"/>
      <w:jc w:val="center"/>
      <w:textAlignment w:val="baseline"/>
    </w:pPr>
    <w:rPr>
      <w:rFonts w:ascii="黑体" w:eastAsia="黑体"/>
    </w:rPr>
  </w:style>
  <w:style w:type="paragraph" w:customStyle="1" w:styleId="202">
    <w:name w:val="杨"/>
    <w:basedOn w:val="163"/>
    <w:semiHidden/>
    <w:qFormat/>
    <w:uiPriority w:val="0"/>
    <w:pPr>
      <w:spacing w:before="60" w:after="60" w:line="380" w:lineRule="atLeast"/>
    </w:pPr>
    <w:rPr>
      <w:rFonts w:eastAsia="宋体"/>
    </w:rPr>
  </w:style>
  <w:style w:type="paragraph" w:customStyle="1" w:styleId="203">
    <w:name w:val="样式1"/>
    <w:basedOn w:val="1"/>
    <w:semiHidden/>
    <w:qFormat/>
    <w:uiPriority w:val="0"/>
    <w:pPr>
      <w:ind w:firstLine="480"/>
    </w:pPr>
    <w:rPr>
      <w:szCs w:val="20"/>
    </w:rPr>
  </w:style>
  <w:style w:type="paragraph" w:customStyle="1" w:styleId="204">
    <w:name w:val="XBT"/>
    <w:basedOn w:val="1"/>
    <w:semiHidden/>
    <w:qFormat/>
    <w:uiPriority w:val="0"/>
    <w:pPr>
      <w:adjustRightInd w:val="0"/>
      <w:spacing w:before="360" w:after="240" w:line="440" w:lineRule="atLeast"/>
      <w:ind w:firstLine="482"/>
      <w:textAlignment w:val="baseline"/>
    </w:pPr>
    <w:rPr>
      <w:rFonts w:ascii="Arial Narrow" w:hAnsi="Arial Narrow" w:eastAsia="黑体"/>
      <w:b/>
      <w:szCs w:val="20"/>
    </w:rPr>
  </w:style>
  <w:style w:type="paragraph" w:customStyle="1" w:styleId="205">
    <w:name w:val="9"/>
    <w:semiHidden/>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6">
    <w:name w:val="b12"/>
    <w:basedOn w:val="1"/>
    <w:semiHidden/>
    <w:qFormat/>
    <w:uiPriority w:val="0"/>
    <w:pPr>
      <w:spacing w:before="100" w:beforeAutospacing="1" w:after="100" w:afterAutospacing="1"/>
      <w:ind w:firstLine="480"/>
    </w:pPr>
    <w:rPr>
      <w:rFonts w:ascii="宋体" w:hAnsi="宋体"/>
      <w:b/>
      <w:bCs/>
      <w:color w:val="000000"/>
      <w:sz w:val="18"/>
      <w:szCs w:val="18"/>
    </w:rPr>
  </w:style>
  <w:style w:type="paragraph" w:customStyle="1" w:styleId="207">
    <w:name w:val="b15"/>
    <w:basedOn w:val="1"/>
    <w:semiHidden/>
    <w:qFormat/>
    <w:uiPriority w:val="0"/>
    <w:pPr>
      <w:spacing w:before="100" w:beforeAutospacing="1" w:after="100" w:afterAutospacing="1"/>
      <w:ind w:firstLine="480"/>
    </w:pPr>
    <w:rPr>
      <w:rFonts w:ascii="宋体" w:hAnsi="宋体"/>
      <w:b/>
      <w:bCs/>
      <w:color w:val="000000"/>
      <w:sz w:val="23"/>
      <w:szCs w:val="23"/>
    </w:rPr>
  </w:style>
  <w:style w:type="paragraph" w:customStyle="1" w:styleId="208">
    <w:name w:val="xl34"/>
    <w:basedOn w:val="1"/>
    <w:semiHidden/>
    <w:qFormat/>
    <w:uiPriority w:val="0"/>
    <w:pPr>
      <w:pBdr>
        <w:bottom w:val="single" w:color="auto" w:sz="4" w:space="0"/>
        <w:right w:val="single" w:color="auto" w:sz="4" w:space="0"/>
      </w:pBdr>
      <w:spacing w:before="100" w:beforeAutospacing="1" w:after="100" w:afterAutospacing="1"/>
      <w:ind w:firstLine="480"/>
      <w:jc w:val="right"/>
    </w:pPr>
    <w:rPr>
      <w:sz w:val="18"/>
      <w:szCs w:val="18"/>
    </w:rPr>
  </w:style>
  <w:style w:type="paragraph" w:customStyle="1" w:styleId="209">
    <w:name w:val="xl31"/>
    <w:basedOn w:val="1"/>
    <w:semiHidden/>
    <w:qFormat/>
    <w:uiPriority w:val="0"/>
    <w:pPr>
      <w:pBdr>
        <w:bottom w:val="single" w:color="auto" w:sz="4" w:space="0"/>
        <w:right w:val="single" w:color="auto" w:sz="4" w:space="0"/>
      </w:pBdr>
      <w:spacing w:before="100" w:beforeAutospacing="1" w:after="100" w:afterAutospacing="1"/>
      <w:ind w:firstLine="480"/>
      <w:jc w:val="right"/>
    </w:pPr>
    <w:rPr>
      <w:sz w:val="18"/>
      <w:szCs w:val="18"/>
    </w:rPr>
  </w:style>
  <w:style w:type="paragraph" w:customStyle="1" w:styleId="210">
    <w:name w:val="GX.正文"/>
    <w:basedOn w:val="1"/>
    <w:link w:val="211"/>
    <w:semiHidden/>
    <w:qFormat/>
    <w:uiPriority w:val="0"/>
    <w:rPr>
      <w:rFonts w:eastAsia="仿宋_GB2312" w:cs="Times New Roman"/>
      <w:lang w:val="zh-CN"/>
    </w:rPr>
  </w:style>
  <w:style w:type="character" w:customStyle="1" w:styleId="211">
    <w:name w:val="GX.正文 Char"/>
    <w:link w:val="210"/>
    <w:semiHidden/>
    <w:qFormat/>
    <w:uiPriority w:val="0"/>
    <w:rPr>
      <w:rFonts w:ascii="Times New Roman" w:hAnsi="Times New Roman" w:eastAsia="仿宋_GB2312"/>
      <w:sz w:val="24"/>
      <w:szCs w:val="24"/>
      <w:lang w:val="zh-CN" w:eastAsia="zh-CN"/>
    </w:rPr>
  </w:style>
  <w:style w:type="paragraph" w:customStyle="1" w:styleId="212">
    <w:name w:val="正"/>
    <w:basedOn w:val="1"/>
    <w:semiHidden/>
    <w:qFormat/>
    <w:uiPriority w:val="0"/>
    <w:pPr>
      <w:autoSpaceDE w:val="0"/>
      <w:autoSpaceDN w:val="0"/>
      <w:adjustRightInd w:val="0"/>
      <w:ind w:firstLine="510"/>
      <w:textAlignment w:val="bottom"/>
    </w:pPr>
    <w:rPr>
      <w:szCs w:val="20"/>
    </w:rPr>
  </w:style>
  <w:style w:type="paragraph" w:customStyle="1" w:styleId="213">
    <w:name w:val="附 注"/>
    <w:basedOn w:val="16"/>
    <w:semiHidden/>
    <w:qFormat/>
    <w:uiPriority w:val="0"/>
    <w:pPr>
      <w:tabs>
        <w:tab w:val="left" w:pos="920"/>
      </w:tabs>
      <w:spacing w:after="60" w:line="440" w:lineRule="atLeast"/>
      <w:ind w:firstLine="624"/>
    </w:pPr>
    <w:rPr>
      <w:rFonts w:ascii="Garamond" w:hAnsi="Garamond" w:eastAsia="仿宋_GB2312"/>
      <w:sz w:val="28"/>
    </w:rPr>
  </w:style>
  <w:style w:type="paragraph" w:customStyle="1" w:styleId="214">
    <w:name w:val="xl24"/>
    <w:basedOn w:val="1"/>
    <w:semiHidden/>
    <w:qFormat/>
    <w:uiPriority w:val="0"/>
    <w:pPr>
      <w:pBdr>
        <w:top w:val="single" w:color="000000" w:sz="4" w:space="0"/>
        <w:left w:val="single" w:color="000000" w:sz="4" w:space="0"/>
        <w:bottom w:val="single" w:color="auto" w:sz="4" w:space="0"/>
        <w:right w:val="single" w:color="000000" w:sz="8" w:space="0"/>
      </w:pBdr>
      <w:shd w:val="clear" w:color="auto" w:fill="FFFFFF"/>
      <w:spacing w:before="100" w:beforeAutospacing="1" w:after="100" w:afterAutospacing="1"/>
      <w:ind w:firstLine="480"/>
      <w:jc w:val="center"/>
      <w:textAlignment w:val="center"/>
    </w:pPr>
    <w:rPr>
      <w:rFonts w:ascii="宋体" w:hAnsi="宋体"/>
      <w:color w:val="000000"/>
      <w:sz w:val="18"/>
      <w:szCs w:val="18"/>
    </w:rPr>
  </w:style>
  <w:style w:type="paragraph" w:customStyle="1" w:styleId="215">
    <w:name w:val="xl25"/>
    <w:basedOn w:val="1"/>
    <w:semiHidden/>
    <w:qFormat/>
    <w:uiPriority w:val="0"/>
    <w:pPr>
      <w:pBdr>
        <w:top w:val="single" w:color="auto" w:sz="4" w:space="0"/>
        <w:left w:val="single" w:color="000000" w:sz="8" w:space="0"/>
        <w:bottom w:val="single" w:color="808080" w:sz="4" w:space="0"/>
        <w:right w:val="single" w:color="808080" w:sz="4" w:space="0"/>
      </w:pBdr>
      <w:spacing w:before="100" w:beforeAutospacing="1" w:after="100" w:afterAutospacing="1"/>
      <w:ind w:firstLine="480"/>
      <w:textAlignment w:val="center"/>
    </w:pPr>
    <w:rPr>
      <w:rFonts w:ascii="宋体" w:hAnsi="宋体"/>
      <w:color w:val="000000"/>
      <w:sz w:val="18"/>
      <w:szCs w:val="18"/>
    </w:rPr>
  </w:style>
  <w:style w:type="paragraph" w:customStyle="1" w:styleId="216">
    <w:name w:val="xl26"/>
    <w:basedOn w:val="1"/>
    <w:semiHidden/>
    <w:qFormat/>
    <w:uiPriority w:val="0"/>
    <w:pPr>
      <w:pBdr>
        <w:top w:val="single" w:color="auto" w:sz="4" w:space="0"/>
        <w:left w:val="single" w:color="808080" w:sz="4" w:space="0"/>
        <w:bottom w:val="single" w:color="808080" w:sz="4" w:space="0"/>
        <w:right w:val="single" w:color="808080" w:sz="4" w:space="0"/>
      </w:pBdr>
      <w:spacing w:before="100" w:beforeAutospacing="1" w:after="100" w:afterAutospacing="1"/>
      <w:ind w:firstLine="480"/>
      <w:textAlignment w:val="center"/>
    </w:pPr>
    <w:rPr>
      <w:rFonts w:ascii="宋体" w:hAnsi="宋体"/>
      <w:color w:val="000000"/>
      <w:sz w:val="18"/>
      <w:szCs w:val="18"/>
    </w:rPr>
  </w:style>
  <w:style w:type="paragraph" w:customStyle="1" w:styleId="217">
    <w:name w:val="xl27"/>
    <w:basedOn w:val="1"/>
    <w:semiHidden/>
    <w:qFormat/>
    <w:uiPriority w:val="0"/>
    <w:pPr>
      <w:pBdr>
        <w:top w:val="single" w:color="auto" w:sz="4" w:space="0"/>
        <w:left w:val="single" w:color="808080" w:sz="4" w:space="0"/>
        <w:bottom w:val="single" w:color="808080" w:sz="4" w:space="0"/>
        <w:right w:val="single" w:color="808080" w:sz="4" w:space="0"/>
      </w:pBdr>
      <w:spacing w:before="100" w:beforeAutospacing="1" w:after="100" w:afterAutospacing="1"/>
      <w:ind w:firstLine="480"/>
      <w:textAlignment w:val="center"/>
    </w:pPr>
    <w:rPr>
      <w:rFonts w:ascii="宋体" w:hAnsi="宋体"/>
      <w:color w:val="000000"/>
      <w:sz w:val="18"/>
      <w:szCs w:val="18"/>
    </w:rPr>
  </w:style>
  <w:style w:type="paragraph" w:customStyle="1" w:styleId="218">
    <w:name w:val="xl28"/>
    <w:basedOn w:val="1"/>
    <w:semiHidden/>
    <w:qFormat/>
    <w:uiPriority w:val="0"/>
    <w:pPr>
      <w:pBdr>
        <w:top w:val="single" w:color="auto" w:sz="4" w:space="0"/>
        <w:left w:val="single" w:color="808080" w:sz="4" w:space="0"/>
        <w:bottom w:val="single" w:color="808080" w:sz="4" w:space="0"/>
        <w:right w:val="single" w:color="000000" w:sz="8" w:space="0"/>
      </w:pBdr>
      <w:spacing w:before="100" w:beforeAutospacing="1" w:after="100" w:afterAutospacing="1"/>
      <w:ind w:firstLine="480"/>
      <w:textAlignment w:val="center"/>
    </w:pPr>
    <w:rPr>
      <w:rFonts w:ascii="宋体" w:hAnsi="宋体"/>
      <w:color w:val="000000"/>
      <w:sz w:val="18"/>
      <w:szCs w:val="18"/>
    </w:rPr>
  </w:style>
  <w:style w:type="paragraph" w:customStyle="1" w:styleId="219">
    <w:name w:val="xl30"/>
    <w:basedOn w:val="1"/>
    <w:semiHidden/>
    <w:qFormat/>
    <w:uiPriority w:val="0"/>
    <w:pPr>
      <w:pBdr>
        <w:top w:val="single" w:color="808080" w:sz="4" w:space="0"/>
        <w:left w:val="single" w:color="808080" w:sz="4" w:space="0"/>
        <w:bottom w:val="single" w:color="808080" w:sz="4" w:space="0"/>
        <w:right w:val="single" w:color="808080" w:sz="4" w:space="0"/>
      </w:pBdr>
      <w:spacing w:before="100" w:beforeAutospacing="1" w:after="100" w:afterAutospacing="1"/>
      <w:ind w:firstLine="480"/>
      <w:textAlignment w:val="center"/>
    </w:pPr>
    <w:rPr>
      <w:rFonts w:ascii="宋体" w:hAnsi="宋体"/>
      <w:color w:val="000000"/>
      <w:sz w:val="18"/>
      <w:szCs w:val="18"/>
    </w:rPr>
  </w:style>
  <w:style w:type="paragraph" w:customStyle="1" w:styleId="220">
    <w:name w:val="xl32"/>
    <w:basedOn w:val="1"/>
    <w:semiHidden/>
    <w:qFormat/>
    <w:uiPriority w:val="0"/>
    <w:pPr>
      <w:pBdr>
        <w:top w:val="single" w:color="808080" w:sz="4" w:space="0"/>
        <w:left w:val="single" w:color="808080" w:sz="4" w:space="0"/>
        <w:bottom w:val="single" w:color="808080" w:sz="4" w:space="0"/>
        <w:right w:val="single" w:color="000000" w:sz="8" w:space="0"/>
      </w:pBdr>
      <w:spacing w:before="100" w:beforeAutospacing="1" w:after="100" w:afterAutospacing="1"/>
      <w:ind w:firstLine="480"/>
      <w:textAlignment w:val="center"/>
    </w:pPr>
    <w:rPr>
      <w:rFonts w:ascii="宋体" w:hAnsi="宋体"/>
      <w:color w:val="000000"/>
      <w:sz w:val="18"/>
      <w:szCs w:val="18"/>
    </w:rPr>
  </w:style>
  <w:style w:type="paragraph" w:customStyle="1" w:styleId="221">
    <w:name w:val="xl33"/>
    <w:basedOn w:val="1"/>
    <w:semiHidden/>
    <w:qFormat/>
    <w:uiPriority w:val="0"/>
    <w:pPr>
      <w:pBdr>
        <w:top w:val="single" w:color="000000" w:sz="8" w:space="0"/>
        <w:left w:val="single" w:color="000000" w:sz="8" w:space="0"/>
        <w:right w:val="single" w:color="000000" w:sz="4" w:space="0"/>
      </w:pBdr>
      <w:shd w:val="clear" w:color="auto" w:fill="FFFFFF"/>
      <w:spacing w:before="100" w:beforeAutospacing="1" w:after="100" w:afterAutospacing="1"/>
      <w:ind w:firstLine="480"/>
      <w:jc w:val="center"/>
      <w:textAlignment w:val="center"/>
    </w:pPr>
    <w:rPr>
      <w:rFonts w:ascii="宋体" w:hAnsi="宋体"/>
      <w:color w:val="000000"/>
      <w:sz w:val="18"/>
      <w:szCs w:val="18"/>
    </w:rPr>
  </w:style>
  <w:style w:type="paragraph" w:customStyle="1" w:styleId="222">
    <w:name w:val="xl36"/>
    <w:basedOn w:val="1"/>
    <w:semiHidden/>
    <w:qFormat/>
    <w:uiPriority w:val="0"/>
    <w:pPr>
      <w:pBdr>
        <w:left w:val="single" w:color="000000" w:sz="4" w:space="0"/>
        <w:bottom w:val="single" w:color="auto" w:sz="4" w:space="0"/>
        <w:right w:val="single" w:color="000000" w:sz="4" w:space="0"/>
      </w:pBdr>
      <w:shd w:val="clear" w:color="auto" w:fill="FFFFFF"/>
      <w:spacing w:before="100" w:beforeAutospacing="1" w:after="100" w:afterAutospacing="1"/>
      <w:ind w:firstLine="480"/>
      <w:jc w:val="center"/>
      <w:textAlignment w:val="center"/>
    </w:pPr>
    <w:rPr>
      <w:rFonts w:ascii="宋体" w:hAnsi="宋体"/>
      <w:color w:val="000000"/>
      <w:sz w:val="18"/>
      <w:szCs w:val="18"/>
    </w:rPr>
  </w:style>
  <w:style w:type="paragraph" w:customStyle="1" w:styleId="223">
    <w:name w:val="xl22"/>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textAlignment w:val="center"/>
    </w:pPr>
    <w:rPr>
      <w:rFonts w:ascii="宋体" w:hAnsi="宋体"/>
      <w:color w:val="000000"/>
      <w:sz w:val="18"/>
      <w:szCs w:val="18"/>
    </w:rPr>
  </w:style>
  <w:style w:type="paragraph" w:customStyle="1" w:styleId="224">
    <w:name w:val="xl23"/>
    <w:basedOn w:val="1"/>
    <w:semiHidden/>
    <w:qFormat/>
    <w:uiPriority w:val="0"/>
    <w:pPr>
      <w:pBdr>
        <w:top w:val="single" w:color="auto" w:sz="8" w:space="0"/>
        <w:left w:val="single" w:color="auto" w:sz="8" w:space="0"/>
        <w:bottom w:val="single" w:color="auto" w:sz="4" w:space="0"/>
        <w:right w:val="single" w:color="auto" w:sz="4" w:space="0"/>
      </w:pBdr>
      <w:shd w:val="clear" w:color="auto" w:fill="FFFFFF"/>
      <w:spacing w:before="100" w:beforeAutospacing="1" w:after="100" w:afterAutospacing="1"/>
      <w:ind w:firstLine="480"/>
      <w:jc w:val="center"/>
      <w:textAlignment w:val="center"/>
    </w:pPr>
    <w:rPr>
      <w:rFonts w:ascii="宋体" w:hAnsi="宋体"/>
      <w:color w:val="000000"/>
      <w:sz w:val="18"/>
      <w:szCs w:val="18"/>
    </w:rPr>
  </w:style>
  <w:style w:type="paragraph" w:customStyle="1" w:styleId="225">
    <w:name w:val="xl37"/>
    <w:basedOn w:val="1"/>
    <w:semiHidden/>
    <w:qFormat/>
    <w:uiPriority w:val="0"/>
    <w:pPr>
      <w:pBdr>
        <w:left w:val="single" w:color="auto" w:sz="4" w:space="0"/>
        <w:bottom w:val="single" w:color="auto" w:sz="4" w:space="0"/>
        <w:right w:val="single" w:color="auto" w:sz="4" w:space="0"/>
      </w:pBdr>
      <w:spacing w:before="100" w:beforeAutospacing="1" w:after="100" w:afterAutospacing="1"/>
      <w:ind w:firstLine="480"/>
      <w:jc w:val="center"/>
    </w:pPr>
    <w:rPr>
      <w:rFonts w:ascii="宋体" w:hAnsi="宋体"/>
      <w:sz w:val="20"/>
      <w:szCs w:val="20"/>
    </w:rPr>
  </w:style>
  <w:style w:type="paragraph" w:customStyle="1" w:styleId="226">
    <w:name w:val="xl38"/>
    <w:basedOn w:val="1"/>
    <w:semiHidden/>
    <w:qFormat/>
    <w:uiPriority w:val="0"/>
    <w:pPr>
      <w:pBdr>
        <w:bottom w:val="single" w:color="auto" w:sz="4" w:space="0"/>
        <w:right w:val="single" w:color="auto" w:sz="4" w:space="0"/>
      </w:pBdr>
      <w:spacing w:before="100" w:beforeAutospacing="1" w:after="100" w:afterAutospacing="1"/>
      <w:ind w:firstLine="480"/>
      <w:jc w:val="center"/>
      <w:textAlignment w:val="top"/>
    </w:pPr>
    <w:rPr>
      <w:rFonts w:ascii="宋体" w:hAnsi="宋体"/>
      <w:b/>
      <w:bCs/>
      <w:sz w:val="20"/>
      <w:szCs w:val="20"/>
    </w:rPr>
  </w:style>
  <w:style w:type="paragraph" w:customStyle="1" w:styleId="227">
    <w:name w:val="xl39"/>
    <w:basedOn w:val="1"/>
    <w:semiHidden/>
    <w:qFormat/>
    <w:uiPriority w:val="0"/>
    <w:pPr>
      <w:pBdr>
        <w:top w:val="single" w:color="auto" w:sz="4" w:space="0"/>
        <w:bottom w:val="single" w:color="auto" w:sz="4" w:space="0"/>
        <w:right w:val="single" w:color="auto" w:sz="4" w:space="0"/>
      </w:pBdr>
      <w:spacing w:before="100" w:beforeAutospacing="1" w:after="100" w:afterAutospacing="1"/>
      <w:ind w:firstLine="480"/>
      <w:jc w:val="center"/>
    </w:pPr>
    <w:rPr>
      <w:rFonts w:ascii="宋体" w:hAnsi="宋体"/>
      <w:sz w:val="20"/>
      <w:szCs w:val="20"/>
    </w:rPr>
  </w:style>
  <w:style w:type="paragraph" w:customStyle="1" w:styleId="228">
    <w:name w:val="xl40"/>
    <w:basedOn w:val="1"/>
    <w:semiHidden/>
    <w:qFormat/>
    <w:uiPriority w:val="0"/>
    <w:pPr>
      <w:pBdr>
        <w:bottom w:val="single" w:color="auto" w:sz="4" w:space="0"/>
        <w:right w:val="single" w:color="auto" w:sz="4" w:space="0"/>
      </w:pBdr>
      <w:spacing w:before="100" w:beforeAutospacing="1" w:after="100" w:afterAutospacing="1"/>
      <w:ind w:firstLine="480"/>
      <w:jc w:val="right"/>
    </w:pPr>
    <w:rPr>
      <w:b/>
      <w:bCs/>
      <w:sz w:val="20"/>
      <w:szCs w:val="20"/>
    </w:rPr>
  </w:style>
  <w:style w:type="paragraph" w:customStyle="1" w:styleId="229">
    <w:name w:val="Char Char1 Char"/>
    <w:basedOn w:val="21"/>
    <w:semiHidden/>
    <w:qFormat/>
    <w:uiPriority w:val="0"/>
    <w:pPr>
      <w:shd w:val="clear" w:color="auto" w:fill="000080"/>
    </w:pPr>
    <w:rPr>
      <w:rFonts w:ascii="Tahoma" w:hAnsi="Tahoma"/>
      <w:sz w:val="24"/>
      <w:szCs w:val="24"/>
    </w:rPr>
  </w:style>
  <w:style w:type="paragraph" w:customStyle="1" w:styleId="230">
    <w:name w:val="Table Text"/>
    <w:semiHidden/>
    <w:qFormat/>
    <w:uiPriority w:val="0"/>
    <w:pPr>
      <w:jc w:val="center"/>
    </w:pPr>
    <w:rPr>
      <w:rFonts w:ascii="Times New Roman" w:hAnsi="Times New Roman" w:eastAsia="宋体" w:cs="Times New Roman"/>
      <w:snapToGrid w:val="0"/>
      <w:color w:val="000000"/>
      <w:sz w:val="22"/>
      <w:lang w:val="en-US" w:eastAsia="en-US" w:bidi="ar-SA"/>
    </w:rPr>
  </w:style>
  <w:style w:type="table" w:customStyle="1" w:styleId="231">
    <w:name w:val="附注表格"/>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paragraph" w:customStyle="1" w:styleId="232">
    <w:name w:val="招股书正文"/>
    <w:basedOn w:val="1"/>
    <w:semiHidden/>
    <w:qFormat/>
    <w:uiPriority w:val="0"/>
    <w:rPr>
      <w:rFonts w:ascii="Arial" w:hAnsi="Arial"/>
    </w:rPr>
  </w:style>
  <w:style w:type="paragraph" w:customStyle="1" w:styleId="233">
    <w:name w:val="表格5"/>
    <w:basedOn w:val="1"/>
    <w:semiHidden/>
    <w:qFormat/>
    <w:uiPriority w:val="0"/>
    <w:pPr>
      <w:ind w:firstLine="480"/>
    </w:pPr>
    <w:rPr>
      <w:rFonts w:eastAsia="仿宋_GB2312"/>
      <w:szCs w:val="21"/>
    </w:rPr>
  </w:style>
  <w:style w:type="paragraph" w:customStyle="1" w:styleId="234">
    <w:name w:val="样式 招股书正文 + (符号) Arial 加粗"/>
    <w:basedOn w:val="232"/>
    <w:semiHidden/>
    <w:qFormat/>
    <w:uiPriority w:val="0"/>
    <w:rPr>
      <w:bCs/>
    </w:rPr>
  </w:style>
  <w:style w:type="paragraph" w:customStyle="1" w:styleId="235">
    <w:name w:val="样式 招股书正文 + (符号) Arial 加粗1"/>
    <w:basedOn w:val="232"/>
    <w:semiHidden/>
    <w:qFormat/>
    <w:uiPriority w:val="0"/>
    <w:rPr>
      <w:bCs/>
    </w:rPr>
  </w:style>
  <w:style w:type="character" w:customStyle="1" w:styleId="236">
    <w:name w:val="样式 招股书正文 + (符号) Arial 加粗 Char"/>
    <w:semiHidden/>
    <w:qFormat/>
    <w:uiPriority w:val="0"/>
    <w:rPr>
      <w:rFonts w:ascii="Arial" w:hAnsi="Arial" w:eastAsia="宋体"/>
      <w:bCs/>
      <w:kern w:val="2"/>
      <w:sz w:val="24"/>
      <w:szCs w:val="24"/>
      <w:lang w:val="en-US" w:eastAsia="zh-CN" w:bidi="ar-SA"/>
    </w:rPr>
  </w:style>
  <w:style w:type="paragraph" w:customStyle="1" w:styleId="237">
    <w:name w:val="样式 招股书正文 + 首行缩进:  2 字符"/>
    <w:basedOn w:val="232"/>
    <w:semiHidden/>
    <w:qFormat/>
    <w:uiPriority w:val="0"/>
    <w:pPr>
      <w:ind w:firstLine="480"/>
    </w:pPr>
    <w:rPr>
      <w:szCs w:val="20"/>
    </w:rPr>
  </w:style>
  <w:style w:type="paragraph" w:customStyle="1" w:styleId="238">
    <w:name w:val="样式 招股书标题3 + (西文) Arial (中文) 宋体 非加粗"/>
    <w:basedOn w:val="1"/>
    <w:semiHidden/>
    <w:qFormat/>
    <w:uiPriority w:val="0"/>
    <w:pPr>
      <w:spacing w:afterLines="50"/>
      <w:outlineLvl w:val="3"/>
    </w:pPr>
    <w:rPr>
      <w:rFonts w:ascii="Arial" w:hAnsi="Arial"/>
      <w:b/>
      <w:position w:val="2"/>
    </w:rPr>
  </w:style>
  <w:style w:type="character" w:customStyle="1" w:styleId="239">
    <w:name w:val="样式 样式 招股书正文 + 首行缩进:  2 字符 + 加粗 Char"/>
    <w:semiHidden/>
    <w:qFormat/>
    <w:uiPriority w:val="0"/>
    <w:rPr>
      <w:rFonts w:ascii="Arial" w:hAnsi="Arial" w:eastAsia="宋体" w:cs="宋体"/>
      <w:bCs/>
      <w:kern w:val="2"/>
      <w:sz w:val="24"/>
      <w:szCs w:val="24"/>
      <w:lang w:val="en-US" w:eastAsia="zh-CN" w:bidi="ar-SA"/>
    </w:rPr>
  </w:style>
  <w:style w:type="character" w:customStyle="1" w:styleId="240">
    <w:name w:val="样式 楷体_GB2312"/>
    <w:semiHidden/>
    <w:qFormat/>
    <w:uiPriority w:val="0"/>
    <w:rPr>
      <w:rFonts w:ascii="楷体_GB2312" w:hAnsi="楷体_GB2312" w:eastAsia="楷体_GB2312"/>
      <w:b/>
    </w:rPr>
  </w:style>
  <w:style w:type="character" w:customStyle="1" w:styleId="241">
    <w:name w:val="样式 楷体_GB23121"/>
    <w:semiHidden/>
    <w:qFormat/>
    <w:uiPriority w:val="0"/>
    <w:rPr>
      <w:rFonts w:ascii="楷体_GB2312" w:hAnsi="楷体_GB2312" w:eastAsia="楷体_GB2312"/>
      <w:b/>
    </w:rPr>
  </w:style>
  <w:style w:type="character" w:customStyle="1" w:styleId="242">
    <w:name w:val="样式 楷体_GB2312 小四"/>
    <w:semiHidden/>
    <w:qFormat/>
    <w:uiPriority w:val="0"/>
    <w:rPr>
      <w:rFonts w:ascii="楷体_GB2312" w:hAnsi="楷体_GB2312" w:eastAsia="楷体_GB2312"/>
      <w:b/>
      <w:sz w:val="24"/>
    </w:rPr>
  </w:style>
  <w:style w:type="character" w:customStyle="1" w:styleId="243">
    <w:name w:val="样式 样式 招股书正文 + 首行缩进:  2 字符 + 加粗1 Char"/>
    <w:semiHidden/>
    <w:qFormat/>
    <w:uiPriority w:val="0"/>
    <w:rPr>
      <w:rFonts w:ascii="Arial" w:hAnsi="Arial" w:eastAsia="宋体" w:cs="宋体"/>
      <w:bCs/>
      <w:kern w:val="2"/>
      <w:sz w:val="24"/>
      <w:szCs w:val="24"/>
      <w:lang w:val="en-US" w:eastAsia="zh-CN" w:bidi="ar-SA"/>
    </w:rPr>
  </w:style>
  <w:style w:type="character" w:customStyle="1" w:styleId="244">
    <w:name w:val="样式 小四 加粗"/>
    <w:semiHidden/>
    <w:qFormat/>
    <w:uiPriority w:val="0"/>
    <w:rPr>
      <w:rFonts w:ascii="Arial" w:hAnsi="Arial"/>
      <w:bCs/>
      <w:sz w:val="24"/>
    </w:rPr>
  </w:style>
  <w:style w:type="character" w:customStyle="1" w:styleId="245">
    <w:name w:val="脚注文本 字符"/>
    <w:link w:val="59"/>
    <w:semiHidden/>
    <w:qFormat/>
    <w:uiPriority w:val="99"/>
    <w:rPr>
      <w:rFonts w:ascii="Times New Roman" w:hAnsi="Times New Roman"/>
      <w:sz w:val="18"/>
      <w:szCs w:val="18"/>
      <w:lang w:val="zh-CN" w:eastAsia="zh-CN"/>
    </w:rPr>
  </w:style>
  <w:style w:type="paragraph" w:customStyle="1" w:styleId="246">
    <w:name w:val="正文_缩进"/>
    <w:basedOn w:val="1"/>
    <w:semiHidden/>
    <w:qFormat/>
    <w:uiPriority w:val="0"/>
    <w:rPr>
      <w:rFonts w:ascii="Arial" w:hAnsi="Arial" w:eastAsia="Times New Roman" w:cs="Arial"/>
    </w:rPr>
  </w:style>
  <w:style w:type="paragraph" w:customStyle="1" w:styleId="247">
    <w:name w:val="招股书标题3"/>
    <w:basedOn w:val="1"/>
    <w:next w:val="232"/>
    <w:semiHidden/>
    <w:qFormat/>
    <w:uiPriority w:val="0"/>
    <w:pPr>
      <w:outlineLvl w:val="3"/>
    </w:pPr>
    <w:rPr>
      <w:rFonts w:ascii="宋体" w:hAnsi="宋体" w:eastAsia="楷体_GB2312"/>
      <w:b/>
      <w:bCs/>
      <w:position w:val="2"/>
    </w:rPr>
  </w:style>
  <w:style w:type="paragraph" w:customStyle="1" w:styleId="248">
    <w:name w:val="招股书标题2"/>
    <w:basedOn w:val="1"/>
    <w:next w:val="232"/>
    <w:semiHidden/>
    <w:qFormat/>
    <w:uiPriority w:val="0"/>
    <w:pPr>
      <w:outlineLvl w:val="2"/>
    </w:pPr>
    <w:rPr>
      <w:rFonts w:ascii="宋体" w:hAnsi="宋体" w:eastAsia="楷体_GB2312"/>
      <w:b/>
      <w:bCs/>
      <w:position w:val="2"/>
    </w:rPr>
  </w:style>
  <w:style w:type="paragraph" w:customStyle="1" w:styleId="249">
    <w:name w:val="样式 招股书标题3 + (中文) 宋体 小五"/>
    <w:basedOn w:val="247"/>
    <w:semiHidden/>
    <w:qFormat/>
    <w:uiPriority w:val="0"/>
    <w:rPr>
      <w:rFonts w:ascii="Arial" w:hAnsi="Arial" w:eastAsia="宋体"/>
      <w:b w:val="0"/>
      <w:sz w:val="18"/>
    </w:rPr>
  </w:style>
  <w:style w:type="paragraph" w:customStyle="1" w:styleId="250">
    <w:name w:val="表序"/>
    <w:basedOn w:val="1"/>
    <w:semiHidden/>
    <w:qFormat/>
    <w:uiPriority w:val="0"/>
    <w:pPr>
      <w:adjustRightInd w:val="0"/>
      <w:spacing w:beforeLines="20" w:afterLines="20"/>
      <w:ind w:firstLine="100" w:firstLineChars="100"/>
      <w:textAlignment w:val="baseline"/>
    </w:pPr>
    <w:rPr>
      <w:rFonts w:ascii="宋体" w:hAnsi="宋体" w:eastAsia="黑体"/>
      <w:color w:val="000000"/>
      <w:szCs w:val="20"/>
    </w:rPr>
  </w:style>
  <w:style w:type="paragraph" w:customStyle="1" w:styleId="251">
    <w:name w:val="附注－标题二"/>
    <w:basedOn w:val="1"/>
    <w:semiHidden/>
    <w:qFormat/>
    <w:uiPriority w:val="0"/>
    <w:pPr>
      <w:keepNext/>
      <w:tabs>
        <w:tab w:val="left" w:pos="480"/>
        <w:tab w:val="left" w:pos="525"/>
        <w:tab w:val="left" w:pos="924"/>
        <w:tab w:val="left" w:pos="1092"/>
        <w:tab w:val="left" w:pos="1204"/>
      </w:tabs>
      <w:adjustRightInd w:val="0"/>
      <w:snapToGrid w:val="0"/>
      <w:spacing w:afterLines="50"/>
      <w:ind w:left="480" w:hanging="480"/>
      <w:outlineLvl w:val="1"/>
    </w:pPr>
    <w:rPr>
      <w:rFonts w:ascii="黑体" w:hAnsi="宋体" w:eastAsia="黑体"/>
      <w:b/>
      <w:snapToGrid w:val="0"/>
      <w:color w:val="000000"/>
      <w:szCs w:val="28"/>
    </w:rPr>
  </w:style>
  <w:style w:type="paragraph" w:customStyle="1" w:styleId="252">
    <w:name w:val="附注－标题五"/>
    <w:basedOn w:val="1"/>
    <w:next w:val="253"/>
    <w:semiHidden/>
    <w:qFormat/>
    <w:uiPriority w:val="0"/>
    <w:pPr>
      <w:tabs>
        <w:tab w:val="left" w:pos="720"/>
      </w:tabs>
      <w:adjustRightInd w:val="0"/>
      <w:snapToGrid w:val="0"/>
      <w:spacing w:before="120" w:afterLines="50"/>
      <w:ind w:firstLine="480"/>
    </w:pPr>
    <w:rPr>
      <w:rFonts w:ascii="Arial Narrow" w:hAnsi="Arial Narrow"/>
      <w:b/>
      <w:szCs w:val="21"/>
    </w:rPr>
  </w:style>
  <w:style w:type="paragraph" w:customStyle="1" w:styleId="253">
    <w:name w:val="附注－正文"/>
    <w:basedOn w:val="30"/>
    <w:semiHidden/>
    <w:qFormat/>
    <w:uiPriority w:val="99"/>
    <w:pPr>
      <w:autoSpaceDE/>
      <w:autoSpaceDN/>
      <w:snapToGrid w:val="0"/>
      <w:spacing w:afterLines="50"/>
      <w:ind w:firstLine="200"/>
      <w:jc w:val="both"/>
    </w:pPr>
    <w:rPr>
      <w:rFonts w:ascii="Times New Roman" w:hAnsi="Times New Roman"/>
      <w:color w:val="auto"/>
      <w:sz w:val="21"/>
      <w:szCs w:val="20"/>
    </w:rPr>
  </w:style>
  <w:style w:type="character" w:customStyle="1" w:styleId="254">
    <w:name w:val="HTML 预设格式 字符"/>
    <w:link w:val="68"/>
    <w:semiHidden/>
    <w:qFormat/>
    <w:uiPriority w:val="99"/>
    <w:rPr>
      <w:rFonts w:ascii="宋体" w:hAnsi="宋体"/>
      <w:sz w:val="24"/>
      <w:szCs w:val="24"/>
      <w:lang w:val="zh-CN" w:eastAsia="zh-CN"/>
    </w:rPr>
  </w:style>
  <w:style w:type="paragraph" w:customStyle="1" w:styleId="255">
    <w:name w:val="Char4"/>
    <w:basedOn w:val="1"/>
    <w:semiHidden/>
    <w:qFormat/>
    <w:uiPriority w:val="0"/>
    <w:pPr>
      <w:ind w:firstLine="480"/>
    </w:pPr>
    <w:rPr>
      <w:rFonts w:ascii="Tahoma" w:hAnsi="Tahoma"/>
      <w:szCs w:val="20"/>
    </w:rPr>
  </w:style>
  <w:style w:type="paragraph" w:customStyle="1" w:styleId="256">
    <w:name w:val="Char14"/>
    <w:basedOn w:val="1"/>
    <w:link w:val="257"/>
    <w:semiHidden/>
    <w:qFormat/>
    <w:uiPriority w:val="0"/>
    <w:pPr>
      <w:ind w:firstLine="480"/>
    </w:pPr>
    <w:rPr>
      <w:rFonts w:ascii="Tahoma" w:hAnsi="Tahoma" w:cs="Times New Roman"/>
      <w:szCs w:val="20"/>
      <w:lang w:val="zh-CN"/>
    </w:rPr>
  </w:style>
  <w:style w:type="character" w:customStyle="1" w:styleId="257">
    <w:name w:val="Char1 Char"/>
    <w:link w:val="256"/>
    <w:semiHidden/>
    <w:qFormat/>
    <w:uiPriority w:val="0"/>
    <w:rPr>
      <w:rFonts w:ascii="Tahoma" w:hAnsi="Tahoma"/>
      <w:sz w:val="24"/>
      <w:lang w:val="zh-CN" w:eastAsia="zh-CN"/>
    </w:rPr>
  </w:style>
  <w:style w:type="paragraph" w:customStyle="1" w:styleId="258">
    <w:name w:val="Char Char Char Char Char Char Char"/>
    <w:basedOn w:val="1"/>
    <w:semiHidden/>
    <w:qFormat/>
    <w:uiPriority w:val="0"/>
    <w:pPr>
      <w:spacing w:after="160" w:line="240" w:lineRule="exact"/>
      <w:ind w:firstLine="480"/>
    </w:pPr>
    <w:rPr>
      <w:rFonts w:ascii="Verdana" w:hAnsi="Verdana"/>
      <w:sz w:val="20"/>
      <w:szCs w:val="20"/>
      <w:lang w:eastAsia="en-US"/>
    </w:rPr>
  </w:style>
  <w:style w:type="paragraph" w:customStyle="1" w:styleId="259">
    <w:name w:val="p0"/>
    <w:basedOn w:val="1"/>
    <w:semiHidden/>
    <w:qFormat/>
    <w:uiPriority w:val="0"/>
    <w:pPr>
      <w:spacing w:before="100" w:beforeAutospacing="1" w:after="100" w:afterAutospacing="1"/>
      <w:ind w:firstLine="480"/>
    </w:pPr>
    <w:rPr>
      <w:rFonts w:ascii="宋体" w:hAnsi="宋体"/>
    </w:rPr>
  </w:style>
  <w:style w:type="paragraph" w:customStyle="1" w:styleId="260">
    <w:name w:val="xl44"/>
    <w:basedOn w:val="1"/>
    <w:semiHidden/>
    <w:qFormat/>
    <w:uiPriority w:val="0"/>
    <w:pPr>
      <w:spacing w:before="100" w:beforeAutospacing="1" w:after="100" w:afterAutospacing="1"/>
      <w:ind w:firstLine="480"/>
      <w:jc w:val="center"/>
      <w:textAlignment w:val="center"/>
    </w:pPr>
    <w:rPr>
      <w:rFonts w:ascii="宋体" w:hAnsi="宋体"/>
      <w:b/>
      <w:bCs/>
      <w:sz w:val="28"/>
      <w:szCs w:val="28"/>
    </w:rPr>
  </w:style>
  <w:style w:type="paragraph" w:customStyle="1" w:styleId="261">
    <w:name w:val="xl41"/>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ascii="宋体" w:hAnsi="宋体"/>
      <w:sz w:val="20"/>
      <w:szCs w:val="20"/>
    </w:rPr>
  </w:style>
  <w:style w:type="paragraph" w:customStyle="1" w:styleId="262">
    <w:name w:val="xl42"/>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ascii="宋体" w:hAnsi="宋体"/>
      <w:sz w:val="20"/>
      <w:szCs w:val="20"/>
    </w:rPr>
  </w:style>
  <w:style w:type="paragraph" w:customStyle="1" w:styleId="263">
    <w:name w:val="xl43"/>
    <w:basedOn w:val="1"/>
    <w:semiHidden/>
    <w:qFormat/>
    <w:uiPriority w:val="0"/>
    <w:pPr>
      <w:pBdr>
        <w:top w:val="single" w:color="auto" w:sz="4" w:space="0"/>
        <w:left w:val="single" w:color="auto" w:sz="4" w:space="0"/>
        <w:bottom w:val="single" w:color="auto" w:sz="4" w:space="0"/>
      </w:pBdr>
      <w:spacing w:before="100" w:beforeAutospacing="1" w:after="100" w:afterAutospacing="1"/>
      <w:ind w:firstLine="480"/>
      <w:jc w:val="center"/>
      <w:textAlignment w:val="center"/>
    </w:pPr>
    <w:rPr>
      <w:sz w:val="20"/>
      <w:szCs w:val="20"/>
    </w:rPr>
  </w:style>
  <w:style w:type="paragraph" w:customStyle="1" w:styleId="264">
    <w:name w:val="xl45"/>
    <w:basedOn w:val="1"/>
    <w:semiHidden/>
    <w:qFormat/>
    <w:uiPriority w:val="0"/>
    <w:pPr>
      <w:pBdr>
        <w:top w:val="single" w:color="auto" w:sz="4" w:space="0"/>
        <w:bottom w:val="single" w:color="auto" w:sz="4" w:space="0"/>
        <w:right w:val="single" w:color="auto" w:sz="4" w:space="0"/>
      </w:pBdr>
      <w:spacing w:before="100" w:beforeAutospacing="1" w:after="100" w:afterAutospacing="1"/>
      <w:ind w:firstLine="480"/>
      <w:textAlignment w:val="center"/>
    </w:pPr>
    <w:rPr>
      <w:rFonts w:ascii="宋体" w:hAnsi="宋体"/>
      <w:sz w:val="20"/>
      <w:szCs w:val="20"/>
    </w:rPr>
  </w:style>
  <w:style w:type="paragraph" w:customStyle="1" w:styleId="265">
    <w:name w:val="xl46"/>
    <w:basedOn w:val="1"/>
    <w:semiHidden/>
    <w:qFormat/>
    <w:uiPriority w:val="0"/>
    <w:pPr>
      <w:pBdr>
        <w:top w:val="single" w:color="auto" w:sz="4" w:space="0"/>
        <w:bottom w:val="single" w:color="auto" w:sz="4" w:space="0"/>
        <w:right w:val="single" w:color="auto" w:sz="4" w:space="0"/>
      </w:pBdr>
      <w:spacing w:before="100" w:beforeAutospacing="1" w:after="100" w:afterAutospacing="1"/>
      <w:ind w:firstLine="480"/>
      <w:jc w:val="center"/>
      <w:textAlignment w:val="center"/>
    </w:pPr>
    <w:rPr>
      <w:sz w:val="20"/>
      <w:szCs w:val="20"/>
    </w:rPr>
  </w:style>
  <w:style w:type="paragraph" w:customStyle="1" w:styleId="266">
    <w:name w:val="xl68"/>
    <w:basedOn w:val="1"/>
    <w:semiHidden/>
    <w:qFormat/>
    <w:uiPriority w:val="0"/>
    <w:pPr>
      <w:pBdr>
        <w:left w:val="single" w:color="auto" w:sz="4" w:space="0"/>
        <w:right w:val="single" w:color="auto" w:sz="4" w:space="0"/>
      </w:pBdr>
      <w:spacing w:before="100" w:beforeAutospacing="1" w:after="100" w:afterAutospacing="1"/>
      <w:ind w:firstLine="480"/>
      <w:jc w:val="center"/>
    </w:pPr>
    <w:rPr>
      <w:rFonts w:ascii="Arial Unicode MS" w:hAnsi="Arial Unicode MS" w:eastAsia="Arial Unicode MS" w:cs="Arial Unicode MS"/>
      <w:sz w:val="20"/>
      <w:szCs w:val="20"/>
    </w:rPr>
  </w:style>
  <w:style w:type="paragraph" w:customStyle="1" w:styleId="267">
    <w:name w:val="3"/>
    <w:basedOn w:val="1"/>
    <w:next w:val="68"/>
    <w:semiHidden/>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80"/>
    </w:pPr>
    <w:rPr>
      <w:rFonts w:ascii="黑体" w:hAnsi="Courier New" w:eastAsia="黑体" w:cs="Courier New"/>
      <w:sz w:val="20"/>
      <w:szCs w:val="20"/>
    </w:rPr>
  </w:style>
  <w:style w:type="paragraph" w:customStyle="1" w:styleId="268">
    <w:name w:val="编号"/>
    <w:basedOn w:val="74"/>
    <w:semiHidden/>
    <w:qFormat/>
    <w:uiPriority w:val="0"/>
    <w:pPr>
      <w:tabs>
        <w:tab w:val="left" w:pos="780"/>
      </w:tabs>
      <w:spacing w:before="120" w:after="0"/>
      <w:ind w:left="780" w:hanging="360"/>
    </w:pPr>
    <w:rPr>
      <w:rFonts w:ascii="Garamond" w:hAnsi="Garamond" w:eastAsia="仿宋_GB2312"/>
      <w:sz w:val="28"/>
    </w:rPr>
  </w:style>
  <w:style w:type="paragraph" w:customStyle="1" w:styleId="269">
    <w:name w:val="屈正文"/>
    <w:basedOn w:val="1"/>
    <w:semiHidden/>
    <w:qFormat/>
    <w:uiPriority w:val="0"/>
    <w:pPr>
      <w:tabs>
        <w:tab w:val="left" w:pos="1280"/>
      </w:tabs>
      <w:spacing w:after="120"/>
      <w:ind w:firstLine="560"/>
    </w:pPr>
    <w:rPr>
      <w:rFonts w:ascii="Garamond" w:hAnsi="Garamond" w:eastAsia="仿宋_GB2312"/>
      <w:sz w:val="28"/>
      <w:szCs w:val="20"/>
    </w:rPr>
  </w:style>
  <w:style w:type="paragraph" w:customStyle="1" w:styleId="270">
    <w:name w:val="2"/>
    <w:basedOn w:val="1"/>
    <w:next w:val="66"/>
    <w:semiHidden/>
    <w:qFormat/>
    <w:uiPriority w:val="0"/>
    <w:pPr>
      <w:spacing w:line="500" w:lineRule="exact"/>
      <w:ind w:right="28" w:firstLine="480"/>
    </w:pPr>
    <w:rPr>
      <w:rFonts w:ascii="宋体" w:hAnsi="宋体" w:cs="Arial"/>
      <w:color w:val="3366FF"/>
    </w:rPr>
  </w:style>
  <w:style w:type="paragraph" w:customStyle="1" w:styleId="271">
    <w:name w:val="主标题"/>
    <w:basedOn w:val="29"/>
    <w:semiHidden/>
    <w:qFormat/>
    <w:uiPriority w:val="0"/>
    <w:pPr>
      <w:spacing w:before="360" w:after="360"/>
      <w:jc w:val="center"/>
    </w:pPr>
    <w:rPr>
      <w:rFonts w:ascii="文鼎小标宋简" w:hAnsi="Garamond" w:eastAsia="文鼎小标宋简"/>
      <w:kern w:val="0"/>
      <w:sz w:val="40"/>
      <w:szCs w:val="20"/>
    </w:rPr>
  </w:style>
  <w:style w:type="paragraph" w:customStyle="1" w:styleId="272">
    <w:name w:val="附件标题1"/>
    <w:basedOn w:val="5"/>
    <w:semiHidden/>
    <w:qFormat/>
    <w:uiPriority w:val="0"/>
    <w:pPr>
      <w:tabs>
        <w:tab w:val="left" w:pos="1417"/>
      </w:tabs>
      <w:adjustRightInd w:val="0"/>
      <w:spacing w:before="120" w:after="0" w:line="376" w:lineRule="atLeast"/>
      <w:ind w:left="1417" w:hanging="855"/>
      <w:textAlignment w:val="baseline"/>
    </w:pPr>
    <w:rPr>
      <w:rFonts w:ascii="Arial" w:hAnsi="Arial"/>
      <w:bCs w:val="0"/>
      <w:szCs w:val="20"/>
    </w:rPr>
  </w:style>
  <w:style w:type="paragraph" w:customStyle="1" w:styleId="273">
    <w:name w:val="表格标题"/>
    <w:basedOn w:val="1"/>
    <w:semiHidden/>
    <w:qFormat/>
    <w:uiPriority w:val="0"/>
    <w:pPr>
      <w:spacing w:before="240" w:after="240" w:line="360" w:lineRule="atLeast"/>
      <w:ind w:firstLine="480"/>
      <w:jc w:val="center"/>
    </w:pPr>
    <w:rPr>
      <w:rFonts w:ascii="Garamond" w:hAnsi="Garamond" w:eastAsia="仿宋_GB2312"/>
      <w:b/>
      <w:sz w:val="30"/>
      <w:szCs w:val="20"/>
    </w:rPr>
  </w:style>
  <w:style w:type="paragraph" w:customStyle="1" w:styleId="274">
    <w:name w:val="1"/>
    <w:basedOn w:val="1"/>
    <w:next w:val="66"/>
    <w:link w:val="403"/>
    <w:semiHidden/>
    <w:qFormat/>
    <w:uiPriority w:val="0"/>
    <w:pPr>
      <w:spacing w:after="120" w:line="480" w:lineRule="auto"/>
      <w:ind w:firstLine="480"/>
    </w:pPr>
    <w:rPr>
      <w:rFonts w:cs="Times New Roman"/>
      <w:kern w:val="2"/>
      <w:sz w:val="21"/>
      <w:lang w:val="zh-CN"/>
    </w:rPr>
  </w:style>
  <w:style w:type="paragraph" w:customStyle="1" w:styleId="275">
    <w:name w:val="xl112"/>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ascii="宋体" w:hAnsi="宋体"/>
      <w:b/>
      <w:bCs/>
      <w:color w:val="000000"/>
      <w:sz w:val="18"/>
      <w:szCs w:val="18"/>
    </w:rPr>
  </w:style>
  <w:style w:type="paragraph" w:customStyle="1" w:styleId="276">
    <w:name w:val="xl113"/>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ascii="宋体" w:hAnsi="宋体"/>
      <w:color w:val="000000"/>
      <w:sz w:val="18"/>
      <w:szCs w:val="18"/>
    </w:rPr>
  </w:style>
  <w:style w:type="paragraph" w:customStyle="1" w:styleId="277">
    <w:name w:val="xl114"/>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textAlignment w:val="center"/>
    </w:pPr>
    <w:rPr>
      <w:rFonts w:ascii="宋体" w:hAnsi="宋体"/>
      <w:color w:val="000000"/>
      <w:sz w:val="18"/>
      <w:szCs w:val="18"/>
    </w:rPr>
  </w:style>
  <w:style w:type="paragraph" w:customStyle="1" w:styleId="278">
    <w:name w:val="xl115"/>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rFonts w:ascii="宋体" w:hAnsi="宋体"/>
      <w:sz w:val="20"/>
      <w:szCs w:val="20"/>
    </w:rPr>
  </w:style>
  <w:style w:type="paragraph" w:customStyle="1" w:styleId="279">
    <w:name w:val="xl116"/>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jc w:val="right"/>
      <w:textAlignment w:val="center"/>
    </w:pPr>
    <w:rPr>
      <w:rFonts w:ascii="宋体" w:hAnsi="宋体"/>
      <w:color w:val="000000"/>
      <w:sz w:val="18"/>
      <w:szCs w:val="18"/>
    </w:rPr>
  </w:style>
  <w:style w:type="paragraph" w:customStyle="1" w:styleId="280">
    <w:name w:val="xl117"/>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ind w:firstLine="480"/>
    </w:pPr>
    <w:rPr>
      <w:sz w:val="20"/>
      <w:szCs w:val="20"/>
    </w:rPr>
  </w:style>
  <w:style w:type="paragraph" w:customStyle="1" w:styleId="281">
    <w:name w:val="Presentation Subtitle"/>
    <w:basedOn w:val="1"/>
    <w:next w:val="1"/>
    <w:semiHidden/>
    <w:qFormat/>
    <w:uiPriority w:val="0"/>
    <w:pPr>
      <w:tabs>
        <w:tab w:val="right" w:pos="10800"/>
      </w:tabs>
      <w:ind w:right="648" w:firstLine="480"/>
    </w:pPr>
    <w:rPr>
      <w:rFonts w:ascii="UBSHeadline" w:hAnsi="UBSHeadline" w:eastAsia="华文楷体"/>
      <w:color w:val="FFD539"/>
      <w:sz w:val="48"/>
      <w:szCs w:val="20"/>
    </w:rPr>
  </w:style>
  <w:style w:type="paragraph" w:customStyle="1" w:styleId="282">
    <w:name w:val="Char2 Char Char Char"/>
    <w:basedOn w:val="1"/>
    <w:semiHidden/>
    <w:qFormat/>
    <w:uiPriority w:val="0"/>
    <w:pPr>
      <w:ind w:firstLine="480"/>
    </w:pPr>
    <w:rPr>
      <w:rFonts w:ascii="Tahoma" w:hAnsi="Tahoma"/>
      <w:szCs w:val="20"/>
    </w:rPr>
  </w:style>
  <w:style w:type="paragraph" w:customStyle="1" w:styleId="283">
    <w:name w:val="Char1 Char Char Char"/>
    <w:basedOn w:val="1"/>
    <w:semiHidden/>
    <w:qFormat/>
    <w:uiPriority w:val="0"/>
    <w:pPr>
      <w:ind w:firstLine="480"/>
    </w:pPr>
    <w:rPr>
      <w:rFonts w:ascii="Tahoma" w:hAnsi="Tahoma"/>
      <w:szCs w:val="20"/>
    </w:rPr>
  </w:style>
  <w:style w:type="paragraph" w:customStyle="1" w:styleId="284">
    <w:name w:val="内部地址姓名"/>
    <w:basedOn w:val="1"/>
    <w:semiHidden/>
    <w:qFormat/>
    <w:uiPriority w:val="0"/>
    <w:pPr>
      <w:ind w:firstLine="480"/>
    </w:pPr>
  </w:style>
  <w:style w:type="paragraph" w:customStyle="1" w:styleId="285">
    <w:name w:val="Char Char Char Char"/>
    <w:basedOn w:val="1"/>
    <w:semiHidden/>
    <w:qFormat/>
    <w:uiPriority w:val="0"/>
    <w:pPr>
      <w:ind w:firstLine="480"/>
    </w:pPr>
    <w:rPr>
      <w:rFonts w:ascii="Tahoma" w:hAnsi="Tahoma"/>
      <w:szCs w:val="20"/>
    </w:rPr>
  </w:style>
  <w:style w:type="paragraph" w:customStyle="1" w:styleId="286">
    <w:name w:val="样式2"/>
    <w:basedOn w:val="1"/>
    <w:semiHidden/>
    <w:qFormat/>
    <w:uiPriority w:val="0"/>
    <w:pPr>
      <w:adjustRightInd w:val="0"/>
      <w:snapToGrid w:val="0"/>
      <w:ind w:firstLine="480"/>
      <w:textAlignment w:val="baseline"/>
    </w:pPr>
    <w:rPr>
      <w:rFonts w:ascii="宋体"/>
      <w:spacing w:val="2"/>
      <w:szCs w:val="20"/>
    </w:rPr>
  </w:style>
  <w:style w:type="paragraph" w:customStyle="1" w:styleId="287">
    <w:name w:val="Char4 Char Char Char Char Char Char Char Char Char Char Char Char Char Char"/>
    <w:basedOn w:val="1"/>
    <w:semiHidden/>
    <w:qFormat/>
    <w:uiPriority w:val="0"/>
    <w:pPr>
      <w:ind w:firstLine="480"/>
    </w:pPr>
    <w:rPr>
      <w:rFonts w:ascii="Tahoma" w:hAnsi="Tahoma"/>
      <w:szCs w:val="20"/>
    </w:rPr>
  </w:style>
  <w:style w:type="paragraph" w:customStyle="1" w:styleId="288">
    <w:name w:val="Char2 Char Char1 Char Char Char Char Char Char Char Char Char"/>
    <w:basedOn w:val="1"/>
    <w:semiHidden/>
    <w:qFormat/>
    <w:uiPriority w:val="0"/>
    <w:pPr>
      <w:ind w:firstLine="480"/>
    </w:pPr>
    <w:rPr>
      <w:rFonts w:ascii="Tahoma" w:hAnsi="Tahoma"/>
      <w:szCs w:val="20"/>
    </w:rPr>
  </w:style>
  <w:style w:type="paragraph" w:customStyle="1" w:styleId="289">
    <w:name w:val="È±Ê¡ÎÄ±¾-×¢ÊÍ"/>
    <w:basedOn w:val="1"/>
    <w:semiHidden/>
    <w:qFormat/>
    <w:uiPriority w:val="0"/>
    <w:pPr>
      <w:tabs>
        <w:tab w:val="left" w:pos="595"/>
        <w:tab w:val="center" w:pos="2245"/>
        <w:tab w:val="center" w:pos="6497"/>
      </w:tabs>
      <w:overflowPunct w:val="0"/>
      <w:autoSpaceDE w:val="0"/>
      <w:autoSpaceDN w:val="0"/>
      <w:adjustRightInd w:val="0"/>
      <w:spacing w:after="120"/>
      <w:ind w:firstLine="480"/>
      <w:textAlignment w:val="baseline"/>
    </w:pPr>
    <w:rPr>
      <w:szCs w:val="20"/>
    </w:rPr>
  </w:style>
  <w:style w:type="paragraph" w:customStyle="1" w:styleId="290">
    <w:name w:val="×Ó±êÌâ2"/>
    <w:basedOn w:val="1"/>
    <w:semiHidden/>
    <w:qFormat/>
    <w:uiPriority w:val="0"/>
    <w:pPr>
      <w:overflowPunct w:val="0"/>
      <w:autoSpaceDE w:val="0"/>
      <w:autoSpaceDN w:val="0"/>
      <w:adjustRightInd w:val="0"/>
      <w:spacing w:after="140"/>
      <w:ind w:left="-383" w:firstLine="480"/>
      <w:textAlignment w:val="baseline"/>
    </w:pPr>
    <w:rPr>
      <w:rFonts w:ascii="Arial" w:hAnsi="Arial"/>
      <w:sz w:val="28"/>
      <w:szCs w:val="20"/>
    </w:rPr>
  </w:style>
  <w:style w:type="paragraph" w:customStyle="1" w:styleId="291">
    <w:name w:val="×Ó±êÌâ3-×¢ÊÍ"/>
    <w:basedOn w:val="1"/>
    <w:semiHidden/>
    <w:qFormat/>
    <w:uiPriority w:val="0"/>
    <w:pPr>
      <w:tabs>
        <w:tab w:val="left" w:pos="595"/>
        <w:tab w:val="center" w:pos="2245"/>
        <w:tab w:val="center" w:pos="6497"/>
      </w:tabs>
      <w:overflowPunct w:val="0"/>
      <w:autoSpaceDE w:val="0"/>
      <w:autoSpaceDN w:val="0"/>
      <w:adjustRightInd w:val="0"/>
      <w:spacing w:after="120"/>
      <w:ind w:left="-383" w:firstLine="480"/>
      <w:textAlignment w:val="baseline"/>
    </w:pPr>
    <w:rPr>
      <w:szCs w:val="20"/>
    </w:rPr>
  </w:style>
  <w:style w:type="character" w:customStyle="1" w:styleId="292">
    <w:name w:val="列表项目符号 字符"/>
    <w:link w:val="19"/>
    <w:semiHidden/>
    <w:qFormat/>
    <w:uiPriority w:val="0"/>
    <w:rPr>
      <w:rFonts w:ascii="Times New Roman" w:hAnsi="Times New Roman"/>
      <w:szCs w:val="24"/>
      <w:lang w:val="zh-CN" w:eastAsia="zh-CN"/>
    </w:rPr>
  </w:style>
  <w:style w:type="paragraph" w:customStyle="1" w:styleId="293">
    <w:name w:val="Char Char Char"/>
    <w:basedOn w:val="1"/>
    <w:semiHidden/>
    <w:qFormat/>
    <w:uiPriority w:val="0"/>
    <w:pPr>
      <w:spacing w:after="160" w:line="240" w:lineRule="exact"/>
      <w:ind w:firstLine="480"/>
    </w:pPr>
    <w:rPr>
      <w:rFonts w:ascii="Verdana" w:hAnsi="Verdana"/>
      <w:sz w:val="20"/>
      <w:szCs w:val="20"/>
      <w:lang w:eastAsia="en-US"/>
    </w:rPr>
  </w:style>
  <w:style w:type="paragraph" w:customStyle="1" w:styleId="294">
    <w:name w:val="font1"/>
    <w:basedOn w:val="1"/>
    <w:semiHidden/>
    <w:qFormat/>
    <w:uiPriority w:val="0"/>
    <w:pPr>
      <w:spacing w:before="100" w:beforeAutospacing="1" w:after="100" w:afterAutospacing="1"/>
      <w:ind w:firstLine="480"/>
    </w:pPr>
    <w:rPr>
      <w:rFonts w:hint="eastAsia" w:ascii="宋体" w:hAnsi="宋体" w:cs="Arial Unicode MS"/>
    </w:rPr>
  </w:style>
  <w:style w:type="paragraph" w:customStyle="1" w:styleId="295">
    <w:name w:val="6"/>
    <w:basedOn w:val="1"/>
    <w:next w:val="68"/>
    <w:semiHidden/>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80"/>
    </w:pPr>
    <w:rPr>
      <w:rFonts w:ascii="黑体" w:hAnsi="Courier New" w:eastAsia="黑体" w:cs="Courier New"/>
      <w:sz w:val="20"/>
      <w:szCs w:val="20"/>
    </w:rPr>
  </w:style>
  <w:style w:type="paragraph" w:customStyle="1" w:styleId="296">
    <w:name w:val="5"/>
    <w:basedOn w:val="1"/>
    <w:next w:val="66"/>
    <w:semiHidden/>
    <w:qFormat/>
    <w:uiPriority w:val="0"/>
    <w:pPr>
      <w:spacing w:line="500" w:lineRule="exact"/>
      <w:ind w:right="28" w:firstLine="480"/>
    </w:pPr>
    <w:rPr>
      <w:rFonts w:ascii="宋体" w:hAnsi="宋体" w:cs="Arial"/>
      <w:color w:val="3366FF"/>
    </w:rPr>
  </w:style>
  <w:style w:type="paragraph" w:customStyle="1" w:styleId="297">
    <w:name w:val="4"/>
    <w:basedOn w:val="1"/>
    <w:next w:val="66"/>
    <w:semiHidden/>
    <w:qFormat/>
    <w:uiPriority w:val="0"/>
    <w:pPr>
      <w:spacing w:after="120" w:line="480" w:lineRule="auto"/>
      <w:ind w:firstLine="480"/>
    </w:pPr>
  </w:style>
  <w:style w:type="character" w:customStyle="1" w:styleId="298">
    <w:name w:val="unnamed81"/>
    <w:semiHidden/>
    <w:qFormat/>
    <w:uiPriority w:val="0"/>
    <w:rPr>
      <w:sz w:val="22"/>
      <w:szCs w:val="22"/>
    </w:rPr>
  </w:style>
  <w:style w:type="paragraph" w:customStyle="1" w:styleId="299">
    <w:name w:val="正文2"/>
    <w:semiHidden/>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character" w:customStyle="1" w:styleId="300">
    <w:name w:val="v15"/>
    <w:basedOn w:val="83"/>
    <w:semiHidden/>
    <w:qFormat/>
    <w:uiPriority w:val="0"/>
  </w:style>
  <w:style w:type="paragraph" w:customStyle="1" w:styleId="301">
    <w:name w:val="H3"/>
    <w:basedOn w:val="3"/>
    <w:semiHidden/>
    <w:qFormat/>
    <w:uiPriority w:val="0"/>
    <w:pPr>
      <w:adjustRightInd w:val="0"/>
      <w:spacing w:before="120" w:after="120" w:line="360" w:lineRule="atLeast"/>
      <w:ind w:right="28" w:firstLine="480"/>
      <w:textAlignment w:val="baseline"/>
      <w:outlineLvl w:val="9"/>
    </w:pPr>
    <w:rPr>
      <w:rFonts w:ascii="宋体" w:eastAsia="宋体"/>
      <w:b/>
      <w:bCs w:val="0"/>
      <w:sz w:val="24"/>
      <w:szCs w:val="20"/>
      <w:lang w:val="en-US"/>
    </w:rPr>
  </w:style>
  <w:style w:type="paragraph" w:customStyle="1" w:styleId="302">
    <w:name w:val="table"/>
    <w:basedOn w:val="1"/>
    <w:semiHidden/>
    <w:qFormat/>
    <w:uiPriority w:val="0"/>
    <w:pPr>
      <w:adjustRightInd w:val="0"/>
      <w:spacing w:before="240" w:after="120" w:line="360" w:lineRule="atLeast"/>
      <w:ind w:firstLine="425"/>
      <w:jc w:val="center"/>
      <w:textAlignment w:val="baseline"/>
    </w:pPr>
    <w:rPr>
      <w:rFonts w:ascii="黑体" w:eastAsia="黑体"/>
      <w:b/>
      <w:szCs w:val="20"/>
    </w:rPr>
  </w:style>
  <w:style w:type="paragraph" w:customStyle="1" w:styleId="303">
    <w:name w:val="H4"/>
    <w:basedOn w:val="1"/>
    <w:semiHidden/>
    <w:qFormat/>
    <w:uiPriority w:val="0"/>
    <w:pPr>
      <w:adjustRightInd w:val="0"/>
      <w:spacing w:before="120" w:after="120" w:line="360" w:lineRule="exact"/>
      <w:ind w:right="28" w:firstLine="425"/>
      <w:textAlignment w:val="baseline"/>
    </w:pPr>
    <w:rPr>
      <w:rFonts w:ascii="宋体"/>
      <w:b/>
      <w:szCs w:val="20"/>
    </w:rPr>
  </w:style>
  <w:style w:type="paragraph" w:customStyle="1" w:styleId="304">
    <w:name w:val="ZWBT"/>
    <w:basedOn w:val="1"/>
    <w:semiHidden/>
    <w:qFormat/>
    <w:uiPriority w:val="0"/>
    <w:pPr>
      <w:autoSpaceDE w:val="0"/>
      <w:autoSpaceDN w:val="0"/>
      <w:adjustRightInd w:val="0"/>
      <w:spacing w:before="240" w:after="120" w:line="440" w:lineRule="atLeast"/>
      <w:ind w:left="601" w:right="386" w:firstLine="480"/>
      <w:textAlignment w:val="bottom"/>
    </w:pPr>
    <w:rPr>
      <w:rFonts w:ascii="黑体" w:hAnsi="Arial" w:eastAsia="黑体"/>
      <w:sz w:val="32"/>
      <w:szCs w:val="20"/>
    </w:rPr>
  </w:style>
  <w:style w:type="paragraph" w:customStyle="1" w:styleId="305">
    <w:name w:val="l18"/>
    <w:basedOn w:val="1"/>
    <w:semiHidden/>
    <w:qFormat/>
    <w:uiPriority w:val="0"/>
    <w:pPr>
      <w:spacing w:before="100" w:beforeAutospacing="1" w:after="100" w:afterAutospacing="1"/>
      <w:ind w:firstLine="480"/>
    </w:pPr>
    <w:rPr>
      <w:rFonts w:ascii="宋体" w:hAnsi="宋体"/>
      <w:color w:val="000000"/>
      <w:sz w:val="14"/>
      <w:szCs w:val="14"/>
    </w:rPr>
  </w:style>
  <w:style w:type="paragraph" w:customStyle="1" w:styleId="306">
    <w:name w:val="样式6"/>
    <w:basedOn w:val="1"/>
    <w:semiHidden/>
    <w:qFormat/>
    <w:uiPriority w:val="0"/>
    <w:pPr>
      <w:tabs>
        <w:tab w:val="left" w:pos="1440"/>
      </w:tabs>
      <w:spacing w:after="120"/>
      <w:ind w:left="675" w:hanging="315"/>
    </w:pPr>
    <w:rPr>
      <w:rFonts w:eastAsia="楷体_GB2312"/>
      <w:szCs w:val="20"/>
    </w:rPr>
  </w:style>
  <w:style w:type="paragraph" w:customStyle="1" w:styleId="307">
    <w:name w:val="样式7"/>
    <w:basedOn w:val="1"/>
    <w:semiHidden/>
    <w:qFormat/>
    <w:uiPriority w:val="0"/>
    <w:pPr>
      <w:tabs>
        <w:tab w:val="left" w:pos="992"/>
        <w:tab w:val="left" w:pos="1440"/>
      </w:tabs>
      <w:spacing w:after="120"/>
      <w:ind w:left="992" w:hanging="315"/>
    </w:pPr>
    <w:rPr>
      <w:rFonts w:eastAsia="楷体_GB2312"/>
      <w:szCs w:val="20"/>
    </w:rPr>
  </w:style>
  <w:style w:type="paragraph" w:customStyle="1" w:styleId="308">
    <w:name w:val="表格内容"/>
    <w:basedOn w:val="1"/>
    <w:link w:val="832"/>
    <w:semiHidden/>
    <w:qFormat/>
    <w:uiPriority w:val="0"/>
    <w:pPr>
      <w:autoSpaceDE w:val="0"/>
      <w:autoSpaceDN w:val="0"/>
      <w:adjustRightInd w:val="0"/>
      <w:spacing w:before="60" w:line="300" w:lineRule="auto"/>
      <w:ind w:firstLine="480"/>
      <w:jc w:val="center"/>
      <w:textAlignment w:val="bottom"/>
    </w:pPr>
    <w:rPr>
      <w:rFonts w:ascii="Arial" w:hAnsi="Arial" w:eastAsia="楷体_GB2312" w:cs="Times New Roman"/>
      <w:spacing w:val="-25"/>
      <w:szCs w:val="20"/>
      <w:lang w:val="zh-CN"/>
    </w:rPr>
  </w:style>
  <w:style w:type="paragraph" w:customStyle="1" w:styleId="309">
    <w:name w:val="简单回函地址"/>
    <w:basedOn w:val="1"/>
    <w:semiHidden/>
    <w:qFormat/>
    <w:uiPriority w:val="0"/>
    <w:pPr>
      <w:ind w:firstLine="480"/>
    </w:pPr>
    <w:rPr>
      <w:szCs w:val="20"/>
    </w:rPr>
  </w:style>
  <w:style w:type="paragraph" w:customStyle="1" w:styleId="310">
    <w:name w:val="Char Char Char Char Char Char Char1"/>
    <w:basedOn w:val="1"/>
    <w:semiHidden/>
    <w:qFormat/>
    <w:uiPriority w:val="0"/>
    <w:pPr>
      <w:spacing w:after="160" w:line="240" w:lineRule="exact"/>
      <w:ind w:firstLine="480"/>
    </w:pPr>
    <w:rPr>
      <w:rFonts w:eastAsia="Times New Roman" w:cs="Angsana New"/>
      <w:sz w:val="20"/>
      <w:szCs w:val="20"/>
      <w:lang w:bidi="th-TH"/>
    </w:rPr>
  </w:style>
  <w:style w:type="character" w:customStyle="1" w:styleId="311">
    <w:name w:val="14zihong_cu1"/>
    <w:semiHidden/>
    <w:qFormat/>
    <w:uiPriority w:val="0"/>
    <w:rPr>
      <w:b/>
      <w:bCs/>
      <w:sz w:val="18"/>
      <w:szCs w:val="18"/>
      <w:u w:val="none"/>
    </w:rPr>
  </w:style>
  <w:style w:type="character" w:customStyle="1" w:styleId="312">
    <w:name w:val="grame"/>
    <w:basedOn w:val="83"/>
    <w:semiHidden/>
    <w:qFormat/>
    <w:uiPriority w:val="0"/>
  </w:style>
  <w:style w:type="character" w:customStyle="1" w:styleId="313">
    <w:name w:val="font141"/>
    <w:semiHidden/>
    <w:qFormat/>
    <w:uiPriority w:val="0"/>
    <w:rPr>
      <w:rFonts w:hint="default" w:ascii="ˎ̥" w:hAnsi="ˎ̥"/>
      <w:sz w:val="21"/>
      <w:szCs w:val="21"/>
    </w:rPr>
  </w:style>
  <w:style w:type="paragraph" w:customStyle="1" w:styleId="314">
    <w:name w:val="Body Single"/>
    <w:semiHidden/>
    <w:qFormat/>
    <w:uiPriority w:val="0"/>
    <w:pPr>
      <w:widowControl w:val="0"/>
      <w:tabs>
        <w:tab w:val="left" w:pos="705"/>
        <w:tab w:val="left" w:pos="1440"/>
        <w:tab w:val="left" w:pos="2304"/>
        <w:tab w:val="right" w:pos="10425"/>
      </w:tabs>
      <w:jc w:val="both"/>
    </w:pPr>
    <w:rPr>
      <w:rFonts w:ascii="Times New Roman" w:hAnsi="Times New Roman" w:eastAsia="宋体" w:cs="Times New Roman"/>
      <w:snapToGrid w:val="0"/>
      <w:color w:val="000000"/>
      <w:sz w:val="24"/>
      <w:lang w:val="en-US" w:eastAsia="en-US" w:bidi="ar-SA"/>
    </w:rPr>
  </w:style>
  <w:style w:type="character" w:customStyle="1" w:styleId="315">
    <w:name w:val="text1"/>
    <w:semiHidden/>
    <w:qFormat/>
    <w:uiPriority w:val="0"/>
    <w:rPr>
      <w:color w:val="000000"/>
      <w:spacing w:val="360"/>
      <w:sz w:val="22"/>
      <w:szCs w:val="22"/>
      <w:u w:val="none"/>
    </w:rPr>
  </w:style>
  <w:style w:type="character" w:customStyle="1" w:styleId="316">
    <w:name w:val="txt1"/>
    <w:semiHidden/>
    <w:qFormat/>
    <w:uiPriority w:val="0"/>
    <w:rPr>
      <w:rFonts w:hint="eastAsia" w:ascii="宋体" w:hAnsi="宋体" w:eastAsia="宋体"/>
      <w:color w:val="000000"/>
      <w:spacing w:val="280"/>
      <w:sz w:val="16"/>
      <w:szCs w:val="16"/>
      <w:u w:val="none"/>
    </w:rPr>
  </w:style>
  <w:style w:type="paragraph" w:customStyle="1" w:styleId="317">
    <w:name w:val="Heading"/>
    <w:basedOn w:val="29"/>
    <w:semiHidden/>
    <w:qFormat/>
    <w:uiPriority w:val="0"/>
    <w:pPr>
      <w:tabs>
        <w:tab w:val="left" w:pos="1008"/>
        <w:tab w:val="left" w:pos="1872"/>
        <w:tab w:val="left" w:pos="2592"/>
      </w:tabs>
      <w:autoSpaceDE w:val="0"/>
      <w:autoSpaceDN w:val="0"/>
      <w:spacing w:after="0"/>
    </w:pPr>
    <w:rPr>
      <w:rFonts w:ascii="Arial" w:hAnsi="Arial"/>
      <w:b/>
      <w:color w:val="000000"/>
      <w:kern w:val="0"/>
      <w:sz w:val="20"/>
    </w:rPr>
  </w:style>
  <w:style w:type="paragraph" w:customStyle="1" w:styleId="318">
    <w:name w:val="LettHd_Only"/>
    <w:semiHidden/>
    <w:qFormat/>
    <w:uiPriority w:val="0"/>
    <w:pPr>
      <w:autoSpaceDE w:val="0"/>
      <w:autoSpaceDN w:val="0"/>
      <w:ind w:left="56"/>
    </w:pPr>
    <w:rPr>
      <w:rFonts w:ascii="Helvetica" w:hAnsi="Helvetica" w:eastAsia="宋体" w:cs="Times New Roman"/>
      <w:color w:val="000000"/>
      <w:sz w:val="14"/>
      <w:lang w:val="en-US" w:eastAsia="zh-CN" w:bidi="ar-SA"/>
    </w:rPr>
  </w:style>
  <w:style w:type="paragraph" w:customStyle="1" w:styleId="319">
    <w:name w:val="Level 1"/>
    <w:semiHidden/>
    <w:qFormat/>
    <w:uiPriority w:val="0"/>
    <w:pPr>
      <w:widowControl w:val="0"/>
      <w:tabs>
        <w:tab w:val="left" w:pos="720"/>
        <w:tab w:val="left" w:pos="1425"/>
        <w:tab w:val="left" w:pos="2355"/>
        <w:tab w:val="right" w:pos="10440"/>
      </w:tabs>
      <w:spacing w:after="288"/>
      <w:ind w:firstLine="720"/>
      <w:jc w:val="both"/>
    </w:pPr>
    <w:rPr>
      <w:rFonts w:ascii="Times New Roman" w:hAnsi="Times New Roman" w:eastAsia="宋体" w:cs="Times New Roman"/>
      <w:snapToGrid w:val="0"/>
      <w:color w:val="000000"/>
      <w:sz w:val="24"/>
      <w:lang w:val="en-US" w:eastAsia="en-US" w:bidi="ar-SA"/>
    </w:rPr>
  </w:style>
  <w:style w:type="paragraph" w:customStyle="1" w:styleId="320">
    <w:name w:val="Level 2"/>
    <w:semiHidden/>
    <w:qFormat/>
    <w:uiPriority w:val="0"/>
    <w:pPr>
      <w:widowControl w:val="0"/>
      <w:tabs>
        <w:tab w:val="left" w:pos="720"/>
        <w:tab w:val="left" w:pos="1425"/>
        <w:tab w:val="left" w:pos="2355"/>
      </w:tabs>
      <w:spacing w:after="288"/>
      <w:ind w:left="1440"/>
      <w:jc w:val="both"/>
    </w:pPr>
    <w:rPr>
      <w:rFonts w:ascii="Times New Roman" w:hAnsi="Times New Roman" w:eastAsia="宋体" w:cs="Times New Roman"/>
      <w:snapToGrid w:val="0"/>
      <w:color w:val="000000"/>
      <w:sz w:val="24"/>
      <w:lang w:val="en-US" w:eastAsia="en-US" w:bidi="ar-SA"/>
    </w:rPr>
  </w:style>
  <w:style w:type="paragraph" w:customStyle="1" w:styleId="321">
    <w:name w:val="Level 3"/>
    <w:semiHidden/>
    <w:qFormat/>
    <w:uiPriority w:val="0"/>
    <w:pPr>
      <w:widowControl w:val="0"/>
      <w:tabs>
        <w:tab w:val="left" w:pos="720"/>
        <w:tab w:val="left" w:pos="1425"/>
      </w:tabs>
      <w:spacing w:after="288"/>
      <w:ind w:left="2160"/>
      <w:jc w:val="both"/>
    </w:pPr>
    <w:rPr>
      <w:rFonts w:ascii="Times New Roman" w:hAnsi="Times New Roman" w:eastAsia="宋体" w:cs="Times New Roman"/>
      <w:snapToGrid w:val="0"/>
      <w:color w:val="000000"/>
      <w:sz w:val="24"/>
      <w:lang w:val="en-US" w:eastAsia="en-US" w:bidi="ar-SA"/>
    </w:rPr>
  </w:style>
  <w:style w:type="paragraph" w:customStyle="1" w:styleId="322">
    <w:name w:val="Bullet"/>
    <w:semiHidden/>
    <w:qFormat/>
    <w:uiPriority w:val="0"/>
    <w:pPr>
      <w:widowControl w:val="0"/>
      <w:spacing w:after="288"/>
      <w:ind w:left="1440"/>
      <w:jc w:val="both"/>
    </w:pPr>
    <w:rPr>
      <w:rFonts w:ascii="Times New Roman" w:hAnsi="Times New Roman" w:eastAsia="宋体" w:cs="Times New Roman"/>
      <w:snapToGrid w:val="0"/>
      <w:color w:val="000000"/>
      <w:sz w:val="24"/>
      <w:lang w:val="en-US" w:eastAsia="en-US" w:bidi="ar-SA"/>
    </w:rPr>
  </w:style>
  <w:style w:type="paragraph" w:customStyle="1" w:styleId="323">
    <w:name w:val="Major"/>
    <w:next w:val="29"/>
    <w:semiHidden/>
    <w:qFormat/>
    <w:uiPriority w:val="0"/>
    <w:pPr>
      <w:keepNext/>
      <w:keepLines/>
      <w:widowControl w:val="0"/>
      <w:tabs>
        <w:tab w:val="left" w:pos="705"/>
        <w:tab w:val="left" w:pos="1425"/>
        <w:tab w:val="left" w:pos="2310"/>
        <w:tab w:val="right" w:pos="10440"/>
      </w:tabs>
      <w:spacing w:after="288"/>
    </w:pPr>
    <w:rPr>
      <w:rFonts w:ascii="Times New Roman" w:hAnsi="Times New Roman" w:eastAsia="宋体" w:cs="Times New Roman"/>
      <w:b/>
      <w:snapToGrid w:val="0"/>
      <w:color w:val="000000"/>
      <w:sz w:val="28"/>
      <w:lang w:val="en-US" w:eastAsia="en-US" w:bidi="ar-SA"/>
    </w:rPr>
  </w:style>
  <w:style w:type="paragraph" w:customStyle="1" w:styleId="324">
    <w:name w:val="Minor"/>
    <w:next w:val="29"/>
    <w:semiHidden/>
    <w:qFormat/>
    <w:uiPriority w:val="0"/>
    <w:pPr>
      <w:keepNext/>
      <w:keepLines/>
      <w:widowControl w:val="0"/>
      <w:tabs>
        <w:tab w:val="left" w:pos="720"/>
        <w:tab w:val="left" w:pos="1425"/>
        <w:tab w:val="left" w:pos="2355"/>
        <w:tab w:val="right" w:pos="10440"/>
      </w:tabs>
      <w:spacing w:after="288"/>
    </w:pPr>
    <w:rPr>
      <w:rFonts w:ascii="Times New Roman" w:hAnsi="Times New Roman" w:eastAsia="宋体" w:cs="Times New Roman"/>
      <w:b/>
      <w:snapToGrid w:val="0"/>
      <w:color w:val="000000"/>
      <w:sz w:val="24"/>
      <w:lang w:val="en-US" w:eastAsia="en-US" w:bidi="ar-SA"/>
    </w:rPr>
  </w:style>
  <w:style w:type="paragraph" w:customStyle="1" w:styleId="325">
    <w:name w:val="Table S Below"/>
    <w:semiHidden/>
    <w:qFormat/>
    <w:uiPriority w:val="0"/>
    <w:pPr>
      <w:widowControl w:val="0"/>
    </w:pPr>
    <w:rPr>
      <w:rFonts w:ascii="Times New Roman" w:hAnsi="Times New Roman" w:eastAsia="宋体" w:cs="Times New Roman"/>
      <w:snapToGrid w:val="0"/>
      <w:color w:val="000000"/>
      <w:sz w:val="24"/>
      <w:lang w:val="en-US" w:eastAsia="en-US" w:bidi="ar-SA"/>
    </w:rPr>
  </w:style>
  <w:style w:type="paragraph" w:customStyle="1" w:styleId="326">
    <w:name w:val="Box bullet"/>
    <w:semiHidden/>
    <w:qFormat/>
    <w:uiPriority w:val="0"/>
    <w:pPr>
      <w:widowControl w:val="0"/>
      <w:spacing w:after="288"/>
      <w:ind w:left="1440"/>
      <w:jc w:val="both"/>
    </w:pPr>
    <w:rPr>
      <w:rFonts w:ascii="Times New Roman" w:hAnsi="Times New Roman" w:eastAsia="宋体" w:cs="Times New Roman"/>
      <w:snapToGrid w:val="0"/>
      <w:color w:val="000000"/>
      <w:sz w:val="24"/>
      <w:lang w:val="en-US" w:eastAsia="en-US" w:bidi="ar-SA"/>
    </w:rPr>
  </w:style>
  <w:style w:type="paragraph" w:customStyle="1" w:styleId="327">
    <w:name w:val="Bullet small"/>
    <w:semiHidden/>
    <w:qFormat/>
    <w:uiPriority w:val="0"/>
    <w:pPr>
      <w:widowControl w:val="0"/>
      <w:spacing w:after="288"/>
      <w:ind w:left="1440"/>
      <w:jc w:val="both"/>
    </w:pPr>
    <w:rPr>
      <w:rFonts w:ascii="Times New Roman" w:hAnsi="Times New Roman" w:eastAsia="宋体" w:cs="Times New Roman"/>
      <w:snapToGrid w:val="0"/>
      <w:color w:val="000000"/>
      <w:sz w:val="24"/>
      <w:lang w:val="en-US" w:eastAsia="en-US" w:bidi="ar-SA"/>
    </w:rPr>
  </w:style>
  <w:style w:type="paragraph" w:customStyle="1" w:styleId="328">
    <w:name w:val="Sub-minor"/>
    <w:next w:val="29"/>
    <w:semiHidden/>
    <w:qFormat/>
    <w:uiPriority w:val="0"/>
    <w:pPr>
      <w:keepNext/>
      <w:keepLines/>
      <w:widowControl w:val="0"/>
      <w:tabs>
        <w:tab w:val="left" w:pos="720"/>
        <w:tab w:val="left" w:pos="1425"/>
        <w:tab w:val="left" w:pos="2355"/>
        <w:tab w:val="right" w:pos="10440"/>
      </w:tabs>
      <w:spacing w:after="288"/>
      <w:ind w:left="720"/>
    </w:pPr>
    <w:rPr>
      <w:rFonts w:ascii="Times New Roman" w:hAnsi="Times New Roman" w:eastAsia="宋体" w:cs="Times New Roman"/>
      <w:b/>
      <w:snapToGrid w:val="0"/>
      <w:color w:val="000000"/>
      <w:sz w:val="24"/>
      <w:lang w:val="en-US" w:eastAsia="en-US" w:bidi="ar-SA"/>
    </w:rPr>
  </w:style>
  <w:style w:type="paragraph" w:customStyle="1" w:styleId="329">
    <w:name w:val="Section"/>
    <w:next w:val="323"/>
    <w:semiHidden/>
    <w:qFormat/>
    <w:uiPriority w:val="0"/>
    <w:pPr>
      <w:keepNext/>
      <w:keepLines/>
      <w:widowControl w:val="0"/>
      <w:tabs>
        <w:tab w:val="left" w:pos="705"/>
        <w:tab w:val="left" w:pos="1425"/>
        <w:tab w:val="left" w:pos="2310"/>
        <w:tab w:val="right" w:pos="10425"/>
      </w:tabs>
      <w:spacing w:after="288"/>
    </w:pPr>
    <w:rPr>
      <w:rFonts w:ascii="Times New Roman" w:hAnsi="Times New Roman" w:eastAsia="宋体" w:cs="Times New Roman"/>
      <w:b/>
      <w:snapToGrid w:val="0"/>
      <w:color w:val="000000"/>
      <w:sz w:val="36"/>
      <w:lang w:val="en-US" w:eastAsia="en-US" w:bidi="ar-SA"/>
    </w:rPr>
  </w:style>
  <w:style w:type="paragraph" w:customStyle="1" w:styleId="330">
    <w:name w:val="Note:"/>
    <w:next w:val="29"/>
    <w:semiHidden/>
    <w:qFormat/>
    <w:uiPriority w:val="0"/>
    <w:pPr>
      <w:widowControl w:val="0"/>
      <w:tabs>
        <w:tab w:val="left" w:pos="705"/>
        <w:tab w:val="left" w:pos="1440"/>
        <w:tab w:val="left" w:pos="2304"/>
        <w:tab w:val="right" w:pos="10425"/>
      </w:tabs>
      <w:spacing w:after="288"/>
      <w:ind w:left="720"/>
      <w:jc w:val="both"/>
    </w:pPr>
    <w:rPr>
      <w:rFonts w:ascii="Times New Roman" w:hAnsi="Times New Roman" w:eastAsia="宋体" w:cs="Times New Roman"/>
      <w:snapToGrid w:val="0"/>
      <w:color w:val="000000"/>
      <w:sz w:val="24"/>
      <w:lang w:val="en-US" w:eastAsia="en-US" w:bidi="ar-SA"/>
    </w:rPr>
  </w:style>
  <w:style w:type="paragraph" w:customStyle="1" w:styleId="331">
    <w:name w:val="Indent"/>
    <w:semiHidden/>
    <w:qFormat/>
    <w:uiPriority w:val="0"/>
    <w:pPr>
      <w:widowControl w:val="0"/>
      <w:tabs>
        <w:tab w:val="left" w:pos="1425"/>
        <w:tab w:val="left" w:pos="2175"/>
        <w:tab w:val="left" w:pos="2895"/>
      </w:tabs>
      <w:spacing w:after="288"/>
      <w:ind w:left="720"/>
      <w:jc w:val="both"/>
    </w:pPr>
    <w:rPr>
      <w:rFonts w:ascii="Times New Roman" w:hAnsi="Times New Roman" w:eastAsia="宋体" w:cs="Times New Roman"/>
      <w:snapToGrid w:val="0"/>
      <w:color w:val="000000"/>
      <w:sz w:val="24"/>
      <w:lang w:val="en-US" w:eastAsia="en-US" w:bidi="ar-SA"/>
    </w:rPr>
  </w:style>
  <w:style w:type="paragraph" w:customStyle="1" w:styleId="332">
    <w:name w:val="Tickbox"/>
    <w:semiHidden/>
    <w:qFormat/>
    <w:uiPriority w:val="0"/>
    <w:pPr>
      <w:widowControl w:val="0"/>
      <w:spacing w:after="288"/>
      <w:ind w:left="1440"/>
      <w:jc w:val="both"/>
    </w:pPr>
    <w:rPr>
      <w:rFonts w:ascii="Times New Roman" w:hAnsi="Times New Roman" w:eastAsia="宋体" w:cs="Times New Roman"/>
      <w:snapToGrid w:val="0"/>
      <w:color w:val="000000"/>
      <w:sz w:val="24"/>
      <w:lang w:val="en-US" w:eastAsia="en-US" w:bidi="ar-SA"/>
    </w:rPr>
  </w:style>
  <w:style w:type="paragraph" w:customStyle="1" w:styleId="333">
    <w:name w:val="Table bullet"/>
    <w:semiHidden/>
    <w:qFormat/>
    <w:uiPriority w:val="0"/>
    <w:pPr>
      <w:widowControl w:val="0"/>
      <w:ind w:left="316"/>
    </w:pPr>
    <w:rPr>
      <w:rFonts w:ascii="Times New Roman" w:hAnsi="Times New Roman" w:eastAsia="宋体" w:cs="Times New Roman"/>
      <w:snapToGrid w:val="0"/>
      <w:color w:val="000000"/>
      <w:sz w:val="24"/>
      <w:lang w:val="en-US" w:eastAsia="en-US" w:bidi="ar-SA"/>
    </w:rPr>
  </w:style>
  <w:style w:type="paragraph" w:customStyle="1" w:styleId="334">
    <w:name w:val="Table S/D Und"/>
    <w:semiHidden/>
    <w:qFormat/>
    <w:uiPriority w:val="0"/>
    <w:pPr>
      <w:widowControl w:val="0"/>
    </w:pPr>
    <w:rPr>
      <w:rFonts w:ascii="Times New Roman" w:hAnsi="Times New Roman" w:eastAsia="宋体" w:cs="Times New Roman"/>
      <w:snapToGrid w:val="0"/>
      <w:color w:val="000000"/>
      <w:sz w:val="24"/>
      <w:lang w:val="en-US" w:eastAsia="en-US" w:bidi="ar-SA"/>
    </w:rPr>
  </w:style>
  <w:style w:type="paragraph" w:customStyle="1" w:styleId="335">
    <w:name w:val="Dash"/>
    <w:semiHidden/>
    <w:qFormat/>
    <w:uiPriority w:val="0"/>
    <w:pPr>
      <w:widowControl w:val="0"/>
      <w:tabs>
        <w:tab w:val="left" w:pos="720"/>
        <w:tab w:val="left" w:pos="1425"/>
        <w:tab w:val="right" w:pos="9720"/>
      </w:tabs>
      <w:spacing w:after="288"/>
      <w:ind w:left="2160"/>
      <w:jc w:val="both"/>
    </w:pPr>
    <w:rPr>
      <w:rFonts w:ascii="Times New Roman" w:hAnsi="Times New Roman" w:eastAsia="宋体" w:cs="Times New Roman"/>
      <w:snapToGrid w:val="0"/>
      <w:color w:val="000000"/>
      <w:sz w:val="24"/>
      <w:lang w:val="en-US" w:eastAsia="en-US" w:bidi="ar-SA"/>
    </w:rPr>
  </w:style>
  <w:style w:type="paragraph" w:customStyle="1" w:styleId="336">
    <w:name w:val="Table MidLine"/>
    <w:semiHidden/>
    <w:qFormat/>
    <w:uiPriority w:val="0"/>
    <w:pPr>
      <w:widowControl w:val="0"/>
      <w:spacing w:line="360" w:lineRule="atLeast"/>
    </w:pPr>
    <w:rPr>
      <w:rFonts w:ascii="Times New Roman" w:hAnsi="Times New Roman" w:eastAsia="宋体" w:cs="Times New Roman"/>
      <w:snapToGrid w:val="0"/>
      <w:color w:val="000000"/>
      <w:sz w:val="24"/>
      <w:lang w:val="en-US" w:eastAsia="en-US" w:bidi="ar-SA"/>
    </w:rPr>
  </w:style>
  <w:style w:type="paragraph" w:customStyle="1" w:styleId="337">
    <w:name w:val="xl75"/>
    <w:basedOn w:val="1"/>
    <w:semiHidden/>
    <w:qFormat/>
    <w:uiPriority w:val="0"/>
    <w:pPr>
      <w:spacing w:before="100" w:after="100"/>
      <w:ind w:firstLine="480"/>
      <w:jc w:val="right"/>
      <w:textAlignment w:val="top"/>
    </w:pPr>
    <w:rPr>
      <w:rFonts w:ascii="Arial Unicode MS" w:hAnsi="Arial Unicode MS" w:eastAsia="Arial Unicode MS"/>
      <w:color w:val="000000"/>
      <w:sz w:val="18"/>
    </w:rPr>
  </w:style>
  <w:style w:type="character" w:customStyle="1" w:styleId="338">
    <w:name w:val="read1"/>
    <w:semiHidden/>
    <w:qFormat/>
    <w:uiPriority w:val="0"/>
    <w:rPr>
      <w:rFonts w:hint="default" w:ascii="ˎ̥" w:hAnsi="ˎ̥"/>
      <w:color w:val="000000"/>
      <w:u w:val="none"/>
    </w:rPr>
  </w:style>
  <w:style w:type="paragraph" w:customStyle="1" w:styleId="339">
    <w:name w:val="textbody-c1"/>
    <w:basedOn w:val="1"/>
    <w:semiHidden/>
    <w:qFormat/>
    <w:uiPriority w:val="0"/>
    <w:pPr>
      <w:spacing w:before="100" w:beforeAutospacing="1" w:after="100" w:afterAutospacing="1"/>
      <w:ind w:firstLine="480"/>
    </w:pPr>
    <w:rPr>
      <w:rFonts w:ascii="宋体" w:hAnsi="宋体"/>
    </w:rPr>
  </w:style>
  <w:style w:type="character" w:customStyle="1" w:styleId="340">
    <w:name w:val="签名 字符"/>
    <w:link w:val="51"/>
    <w:semiHidden/>
    <w:qFormat/>
    <w:uiPriority w:val="0"/>
    <w:rPr>
      <w:rFonts w:ascii="Times New Roman" w:hAnsi="Times New Roman"/>
      <w:szCs w:val="24"/>
      <w:lang w:val="zh-CN" w:eastAsia="zh-CN"/>
    </w:rPr>
  </w:style>
  <w:style w:type="paragraph" w:customStyle="1" w:styleId="341">
    <w:name w:val="PP 行"/>
    <w:basedOn w:val="51"/>
    <w:semiHidden/>
    <w:qFormat/>
    <w:uiPriority w:val="0"/>
  </w:style>
  <w:style w:type="paragraph" w:customStyle="1" w:styleId="342">
    <w:name w:val="样式 两端对齐 行距: 1.5 倍行距"/>
    <w:basedOn w:val="1"/>
    <w:semiHidden/>
    <w:qFormat/>
    <w:uiPriority w:val="0"/>
    <w:pPr>
      <w:autoSpaceDE w:val="0"/>
      <w:autoSpaceDN w:val="0"/>
      <w:adjustRightInd w:val="0"/>
      <w:ind w:firstLine="560"/>
    </w:pPr>
    <w:rPr>
      <w:rFonts w:ascii="仿宋_GB2312" w:eastAsia="仿宋_GB2312"/>
      <w:sz w:val="28"/>
      <w:szCs w:val="20"/>
    </w:rPr>
  </w:style>
  <w:style w:type="character" w:customStyle="1" w:styleId="343">
    <w:name w:val="f31"/>
    <w:semiHidden/>
    <w:qFormat/>
    <w:uiPriority w:val="0"/>
    <w:rPr>
      <w:spacing w:val="375"/>
      <w:sz w:val="18"/>
      <w:szCs w:val="18"/>
      <w:u w:val="none"/>
    </w:rPr>
  </w:style>
  <w:style w:type="paragraph" w:customStyle="1" w:styleId="344">
    <w:name w:val="样式 样式 样式 样式 首行缩进:  2 字符1 + 首行缩进:  2 字符 + 行距: 1.5 倍行距 Char + 首行缩进..."/>
    <w:basedOn w:val="1"/>
    <w:semiHidden/>
    <w:qFormat/>
    <w:uiPriority w:val="0"/>
    <w:pPr>
      <w:ind w:firstLine="560"/>
    </w:pPr>
    <w:rPr>
      <w:sz w:val="28"/>
      <w:szCs w:val="28"/>
    </w:rPr>
  </w:style>
  <w:style w:type="character" w:customStyle="1" w:styleId="345">
    <w:name w:val="dsfd"/>
    <w:basedOn w:val="83"/>
    <w:semiHidden/>
    <w:qFormat/>
    <w:uiPriority w:val="0"/>
  </w:style>
  <w:style w:type="character" w:customStyle="1" w:styleId="346">
    <w:name w:val="t151"/>
    <w:semiHidden/>
    <w:qFormat/>
    <w:uiPriority w:val="0"/>
    <w:rPr>
      <w:rFonts w:hint="default" w:ascii="ˎ̥" w:hAnsi="ˎ̥"/>
      <w:color w:val="B34300"/>
      <w:sz w:val="18"/>
      <w:szCs w:val="18"/>
    </w:rPr>
  </w:style>
  <w:style w:type="character" w:customStyle="1" w:styleId="347">
    <w:name w:val="red_color1"/>
    <w:semiHidden/>
    <w:qFormat/>
    <w:uiPriority w:val="0"/>
    <w:rPr>
      <w:color w:val="990000"/>
    </w:rPr>
  </w:style>
  <w:style w:type="paragraph" w:customStyle="1" w:styleId="348">
    <w:name w:val="AT标题3"/>
    <w:basedOn w:val="4"/>
    <w:next w:val="1"/>
    <w:semiHidden/>
    <w:qFormat/>
    <w:uiPriority w:val="0"/>
    <w:pPr>
      <w:keepNext w:val="0"/>
      <w:keepLines w:val="0"/>
      <w:spacing w:before="0" w:after="0" w:line="360" w:lineRule="auto"/>
    </w:pPr>
    <w:rPr>
      <w:rFonts w:ascii="仿宋_GB2312" w:hAnsi="Times New Roman" w:eastAsia="仿宋_GB2312"/>
      <w:sz w:val="28"/>
    </w:rPr>
  </w:style>
  <w:style w:type="paragraph" w:customStyle="1" w:styleId="349">
    <w:name w:val="AT正文"/>
    <w:basedOn w:val="1"/>
    <w:semiHidden/>
    <w:qFormat/>
    <w:uiPriority w:val="0"/>
    <w:pPr>
      <w:wordWrap w:val="0"/>
      <w:ind w:firstLine="5399" w:firstLineChars="2571"/>
    </w:pPr>
    <w:rPr>
      <w:rFonts w:eastAsia="仿宋_GB2312"/>
      <w:bCs/>
      <w:szCs w:val="21"/>
    </w:rPr>
  </w:style>
  <w:style w:type="paragraph" w:customStyle="1" w:styleId="350">
    <w:name w:val="AT表格"/>
    <w:basedOn w:val="1"/>
    <w:semiHidden/>
    <w:qFormat/>
    <w:uiPriority w:val="0"/>
    <w:pPr>
      <w:ind w:firstLine="480"/>
      <w:jc w:val="center"/>
    </w:pPr>
    <w:rPr>
      <w:rFonts w:ascii="Arial Narrow" w:hAnsi="Arial Narrow" w:eastAsia="仿宋_GB2312"/>
      <w:color w:val="000000"/>
      <w:sz w:val="18"/>
      <w:szCs w:val="18"/>
    </w:rPr>
  </w:style>
  <w:style w:type="paragraph" w:customStyle="1" w:styleId="351">
    <w:name w:val="AT表头"/>
    <w:basedOn w:val="349"/>
    <w:semiHidden/>
    <w:qFormat/>
    <w:uiPriority w:val="0"/>
    <w:pPr>
      <w:ind w:firstLine="0" w:firstLineChars="0"/>
      <w:jc w:val="center"/>
    </w:pPr>
    <w:rPr>
      <w:b/>
    </w:rPr>
  </w:style>
  <w:style w:type="character" w:customStyle="1" w:styleId="352">
    <w:name w:val="da1"/>
    <w:semiHidden/>
    <w:qFormat/>
    <w:uiPriority w:val="0"/>
    <w:rPr>
      <w:rFonts w:hint="eastAsia" w:ascii="宋体" w:hAnsi="宋体" w:eastAsia="宋体"/>
      <w:color w:val="000000"/>
      <w:spacing w:val="360"/>
      <w:sz w:val="28"/>
      <w:szCs w:val="28"/>
      <w:u w:val="none"/>
    </w:rPr>
  </w:style>
  <w:style w:type="character" w:customStyle="1" w:styleId="353">
    <w:name w:val="font21"/>
    <w:semiHidden/>
    <w:qFormat/>
    <w:uiPriority w:val="0"/>
    <w:rPr>
      <w:color w:val="000000"/>
      <w:sz w:val="21"/>
      <w:szCs w:val="21"/>
      <w:u w:val="none"/>
    </w:rPr>
  </w:style>
  <w:style w:type="paragraph" w:customStyle="1" w:styleId="354">
    <w:name w:val="font10"/>
    <w:basedOn w:val="1"/>
    <w:semiHidden/>
    <w:qFormat/>
    <w:uiPriority w:val="0"/>
    <w:pPr>
      <w:spacing w:before="100" w:beforeAutospacing="1" w:after="100" w:afterAutospacing="1"/>
      <w:ind w:firstLine="480"/>
    </w:pPr>
    <w:rPr>
      <w:rFonts w:hint="eastAsia" w:ascii="宋体" w:hAnsi="宋体" w:cs="Arial Unicode MS"/>
      <w:color w:val="000000"/>
      <w:sz w:val="20"/>
      <w:szCs w:val="20"/>
    </w:rPr>
  </w:style>
  <w:style w:type="character" w:customStyle="1" w:styleId="355">
    <w:name w:val="md2"/>
    <w:semiHidden/>
    <w:qFormat/>
    <w:uiPriority w:val="0"/>
    <w:rPr>
      <w:spacing w:val="300"/>
      <w:sz w:val="22"/>
      <w:szCs w:val="22"/>
    </w:rPr>
  </w:style>
  <w:style w:type="paragraph" w:customStyle="1" w:styleId="356">
    <w:name w:val="font11"/>
    <w:basedOn w:val="1"/>
    <w:semiHidden/>
    <w:qFormat/>
    <w:uiPriority w:val="0"/>
    <w:pPr>
      <w:spacing w:before="100" w:beforeAutospacing="1" w:after="100" w:afterAutospacing="1"/>
      <w:ind w:firstLine="480"/>
    </w:pPr>
    <w:rPr>
      <w:rFonts w:ascii="宋体" w:hAnsi="宋体"/>
      <w:sz w:val="20"/>
      <w:szCs w:val="20"/>
    </w:rPr>
  </w:style>
  <w:style w:type="character" w:customStyle="1" w:styleId="357">
    <w:name w:val="h1"/>
    <w:semiHidden/>
    <w:qFormat/>
    <w:uiPriority w:val="0"/>
    <w:rPr>
      <w:rFonts w:hint="default"/>
      <w:spacing w:val="274"/>
      <w:sz w:val="21"/>
      <w:szCs w:val="21"/>
    </w:rPr>
  </w:style>
  <w:style w:type="character" w:customStyle="1" w:styleId="358">
    <w:name w:val="style61"/>
    <w:semiHidden/>
    <w:qFormat/>
    <w:uiPriority w:val="0"/>
    <w:rPr>
      <w:b/>
      <w:bCs/>
      <w:color w:val="CC0000"/>
      <w:sz w:val="33"/>
      <w:szCs w:val="33"/>
    </w:rPr>
  </w:style>
  <w:style w:type="paragraph" w:customStyle="1" w:styleId="359">
    <w:name w:val="Char Char Char Char Char Char"/>
    <w:basedOn w:val="1"/>
    <w:semiHidden/>
    <w:qFormat/>
    <w:uiPriority w:val="0"/>
    <w:pPr>
      <w:spacing w:after="160" w:line="240" w:lineRule="exact"/>
      <w:ind w:firstLine="480"/>
    </w:pPr>
    <w:rPr>
      <w:rFonts w:ascii="Arial" w:hAnsi="Arial" w:eastAsia="Times New Roman" w:cs="Verdana"/>
      <w:b/>
      <w:szCs w:val="20"/>
      <w:lang w:eastAsia="en-US"/>
    </w:rPr>
  </w:style>
  <w:style w:type="paragraph" w:customStyle="1" w:styleId="360">
    <w:name w:val="正文文本缩进 31"/>
    <w:basedOn w:val="1"/>
    <w:semiHidden/>
    <w:qFormat/>
    <w:uiPriority w:val="0"/>
    <w:pPr>
      <w:adjustRightInd w:val="0"/>
      <w:spacing w:line="440" w:lineRule="exact"/>
      <w:ind w:firstLine="480"/>
      <w:textAlignment w:val="baseline"/>
    </w:pPr>
    <w:rPr>
      <w:rFonts w:ascii="宋体" w:hAnsi="宋体"/>
      <w:szCs w:val="20"/>
    </w:rPr>
  </w:style>
  <w:style w:type="paragraph" w:customStyle="1" w:styleId="361">
    <w:name w:val="af32hichaf0dbchf32cgrid"/>
    <w:semiHidden/>
    <w:qFormat/>
    <w:uiPriority w:val="0"/>
    <w:pPr>
      <w:widowControl w:val="0"/>
      <w:tabs>
        <w:tab w:val="left" w:pos="0"/>
      </w:tabs>
      <w:autoSpaceDE w:val="0"/>
      <w:autoSpaceDN w:val="0"/>
      <w:adjustRightInd w:val="0"/>
      <w:ind w:right="26" w:firstLine="480"/>
    </w:pPr>
    <w:rPr>
      <w:rFonts w:ascii="楷体_GB2312" w:hAnsi="Times New Roman" w:eastAsia="楷体_GB2312" w:cs="Times New Roman"/>
      <w:sz w:val="28"/>
      <w:lang w:val="en-US" w:eastAsia="zh-CN" w:bidi="ar-SA"/>
    </w:rPr>
  </w:style>
  <w:style w:type="character" w:customStyle="1" w:styleId="362">
    <w:name w:val="Char Char1"/>
    <w:semiHidden/>
    <w:qFormat/>
    <w:uiPriority w:val="0"/>
    <w:rPr>
      <w:rFonts w:ascii="宋体" w:hAnsi="宋体" w:eastAsia="宋体" w:cs="宋体"/>
      <w:color w:val="000080"/>
      <w:sz w:val="24"/>
      <w:szCs w:val="24"/>
      <w:lang w:val="en-US" w:eastAsia="zh-CN" w:bidi="ar-SA"/>
    </w:rPr>
  </w:style>
  <w:style w:type="paragraph" w:customStyle="1" w:styleId="363">
    <w:name w:val="AT正文 Char Char Char Char Char Char"/>
    <w:basedOn w:val="1"/>
    <w:semiHidden/>
    <w:qFormat/>
    <w:uiPriority w:val="0"/>
    <w:pPr>
      <w:wordWrap w:val="0"/>
      <w:ind w:firstLine="480"/>
    </w:pPr>
    <w:rPr>
      <w:rFonts w:ascii="仿宋_GB2312" w:eastAsia="仿宋_GB2312"/>
      <w:bCs/>
      <w:sz w:val="28"/>
      <w:szCs w:val="28"/>
    </w:rPr>
  </w:style>
  <w:style w:type="paragraph" w:customStyle="1" w:styleId="364">
    <w:name w:val="日期1"/>
    <w:basedOn w:val="1"/>
    <w:next w:val="1"/>
    <w:semiHidden/>
    <w:qFormat/>
    <w:uiPriority w:val="0"/>
    <w:pPr>
      <w:adjustRightInd w:val="0"/>
      <w:spacing w:line="312" w:lineRule="atLeast"/>
      <w:ind w:firstLine="480"/>
      <w:textAlignment w:val="baseline"/>
    </w:pPr>
    <w:rPr>
      <w:rFonts w:ascii="宋体"/>
      <w:sz w:val="28"/>
      <w:szCs w:val="20"/>
    </w:rPr>
  </w:style>
  <w:style w:type="paragraph" w:customStyle="1" w:styleId="365">
    <w:name w:val="ZW1"/>
    <w:basedOn w:val="1"/>
    <w:semiHidden/>
    <w:qFormat/>
    <w:uiPriority w:val="0"/>
    <w:pPr>
      <w:spacing w:before="120"/>
      <w:ind w:firstLine="567"/>
    </w:pPr>
    <w:rPr>
      <w:rFonts w:ascii="Arial Narrow" w:hAnsi="Arial Narrow"/>
      <w:szCs w:val="20"/>
    </w:rPr>
  </w:style>
  <w:style w:type="paragraph" w:customStyle="1" w:styleId="366">
    <w:name w:val="正文文本缩进 21"/>
    <w:basedOn w:val="1"/>
    <w:semiHidden/>
    <w:qFormat/>
    <w:uiPriority w:val="0"/>
    <w:pPr>
      <w:adjustRightInd w:val="0"/>
      <w:ind w:firstLine="435"/>
      <w:textAlignment w:val="baseline"/>
    </w:pPr>
    <w:rPr>
      <w:color w:val="000000"/>
      <w:sz w:val="28"/>
      <w:szCs w:val="20"/>
    </w:rPr>
  </w:style>
  <w:style w:type="paragraph" w:customStyle="1" w:styleId="367">
    <w:name w:val="正文文本 21"/>
    <w:basedOn w:val="1"/>
    <w:semiHidden/>
    <w:qFormat/>
    <w:uiPriority w:val="0"/>
    <w:pPr>
      <w:adjustRightInd w:val="0"/>
      <w:ind w:firstLine="420"/>
      <w:textAlignment w:val="baseline"/>
    </w:pPr>
    <w:rPr>
      <w:rFonts w:ascii="宋体"/>
      <w:color w:val="000000"/>
      <w:szCs w:val="20"/>
    </w:rPr>
  </w:style>
  <w:style w:type="paragraph" w:customStyle="1" w:styleId="368">
    <w:name w:val="xl1077"/>
    <w:basedOn w:val="1"/>
    <w:semiHidden/>
    <w:qFormat/>
    <w:uiPriority w:val="0"/>
    <w:pPr>
      <w:spacing w:before="100" w:after="100"/>
      <w:ind w:firstLine="480"/>
      <w:jc w:val="center"/>
      <w:textAlignment w:val="center"/>
    </w:pPr>
    <w:rPr>
      <w:rFonts w:hint="eastAsia" w:ascii="仿宋_GB2312" w:hAnsi="宋体" w:eastAsia="仿宋_GB2312"/>
      <w:b/>
      <w:szCs w:val="20"/>
    </w:rPr>
  </w:style>
  <w:style w:type="paragraph" w:customStyle="1" w:styleId="369">
    <w:name w:val="标准"/>
    <w:basedOn w:val="1"/>
    <w:semiHidden/>
    <w:qFormat/>
    <w:uiPriority w:val="0"/>
    <w:pPr>
      <w:autoSpaceDE w:val="0"/>
      <w:autoSpaceDN w:val="0"/>
      <w:adjustRightInd w:val="0"/>
      <w:ind w:firstLine="480"/>
      <w:jc w:val="center"/>
      <w:textAlignment w:val="baseline"/>
    </w:pPr>
    <w:rPr>
      <w:rFonts w:ascii="仿宋_GB2312" w:eastAsia="仿宋_GB2312"/>
      <w:szCs w:val="20"/>
    </w:rPr>
  </w:style>
  <w:style w:type="paragraph" w:customStyle="1" w:styleId="370">
    <w:name w:val="Char2"/>
    <w:basedOn w:val="1"/>
    <w:semiHidden/>
    <w:qFormat/>
    <w:uiPriority w:val="0"/>
    <w:pPr>
      <w:ind w:firstLine="480"/>
    </w:pPr>
  </w:style>
  <w:style w:type="paragraph" w:customStyle="1" w:styleId="371">
    <w:name w:val="xl72"/>
    <w:basedOn w:val="1"/>
    <w:semiHidden/>
    <w:qFormat/>
    <w:uiPriority w:val="0"/>
    <w:pPr>
      <w:pBdr>
        <w:left w:val="single" w:color="auto" w:sz="4" w:space="0"/>
        <w:bottom w:val="single" w:color="auto" w:sz="4" w:space="0"/>
        <w:right w:val="single" w:color="auto" w:sz="4" w:space="0"/>
      </w:pBdr>
      <w:spacing w:before="100" w:beforeAutospacing="1" w:after="100" w:afterAutospacing="1"/>
      <w:ind w:firstLine="480"/>
      <w:jc w:val="center"/>
      <w:textAlignment w:val="center"/>
    </w:pPr>
    <w:rPr>
      <w:rFonts w:hint="eastAsia" w:ascii="仿宋_GB2312" w:hAnsi="宋体" w:eastAsia="仿宋_GB2312"/>
      <w:sz w:val="20"/>
      <w:szCs w:val="20"/>
    </w:rPr>
  </w:style>
  <w:style w:type="paragraph" w:customStyle="1" w:styleId="372">
    <w:name w:val="Char2 Char Char Char Char Char Char Char Char Char"/>
    <w:basedOn w:val="1"/>
    <w:semiHidden/>
    <w:qFormat/>
    <w:uiPriority w:val="0"/>
    <w:pPr>
      <w:ind w:firstLine="480"/>
    </w:pPr>
    <w:rPr>
      <w:rFonts w:ascii="Tahoma" w:hAnsi="Tahoma"/>
      <w:szCs w:val="20"/>
    </w:rPr>
  </w:style>
  <w:style w:type="paragraph" w:customStyle="1" w:styleId="373">
    <w:name w:val="Char2 Char Char Char2 Char Char Char"/>
    <w:basedOn w:val="1"/>
    <w:semiHidden/>
    <w:qFormat/>
    <w:uiPriority w:val="0"/>
    <w:pPr>
      <w:spacing w:after="160" w:line="240" w:lineRule="exact"/>
      <w:ind w:firstLine="480"/>
    </w:pPr>
    <w:rPr>
      <w:sz w:val="20"/>
      <w:szCs w:val="20"/>
    </w:rPr>
  </w:style>
  <w:style w:type="paragraph" w:customStyle="1" w:styleId="374">
    <w:name w:val="Char2 Char Char Char Char Char Char Char Char1 Char"/>
    <w:basedOn w:val="1"/>
    <w:semiHidden/>
    <w:qFormat/>
    <w:uiPriority w:val="0"/>
    <w:pPr>
      <w:adjustRightInd w:val="0"/>
      <w:ind w:firstLine="480"/>
    </w:pPr>
    <w:rPr>
      <w:szCs w:val="20"/>
    </w:rPr>
  </w:style>
  <w:style w:type="paragraph" w:customStyle="1" w:styleId="375">
    <w:name w:val="默认段落字体 Para Char"/>
    <w:basedOn w:val="1"/>
    <w:semiHidden/>
    <w:qFormat/>
    <w:uiPriority w:val="0"/>
    <w:pPr>
      <w:ind w:firstLine="480"/>
    </w:pPr>
  </w:style>
  <w:style w:type="paragraph" w:customStyle="1" w:styleId="376">
    <w:name w:val="正文yu Char Char"/>
    <w:basedOn w:val="26"/>
    <w:link w:val="377"/>
    <w:semiHidden/>
    <w:qFormat/>
    <w:uiPriority w:val="0"/>
    <w:pPr>
      <w:spacing w:after="0"/>
      <w:ind w:firstLine="538" w:firstLineChars="192"/>
      <w:jc w:val="both"/>
    </w:pPr>
    <w:rPr>
      <w:rFonts w:ascii="宋体" w:hAnsi="宋体"/>
      <w:sz w:val="28"/>
      <w:szCs w:val="28"/>
    </w:rPr>
  </w:style>
  <w:style w:type="character" w:customStyle="1" w:styleId="377">
    <w:name w:val="正文yu Char Char Char"/>
    <w:link w:val="376"/>
    <w:semiHidden/>
    <w:qFormat/>
    <w:uiPriority w:val="0"/>
    <w:rPr>
      <w:rFonts w:ascii="宋体" w:hAnsi="宋体"/>
      <w:sz w:val="28"/>
      <w:szCs w:val="28"/>
      <w:lang w:val="zh-CN" w:eastAsia="zh-CN"/>
    </w:rPr>
  </w:style>
  <w:style w:type="paragraph" w:customStyle="1" w:styleId="378">
    <w:name w:val="房地产价值评估_正文"/>
    <w:basedOn w:val="1"/>
    <w:semiHidden/>
    <w:qFormat/>
    <w:uiPriority w:val="0"/>
    <w:pPr>
      <w:ind w:firstLine="560"/>
    </w:pPr>
    <w:rPr>
      <w:rFonts w:ascii="仿宋_GB2312" w:hAnsi="宋体" w:eastAsia="仿宋_GB2312" w:cs="Courier New"/>
      <w:sz w:val="28"/>
      <w:szCs w:val="28"/>
    </w:rPr>
  </w:style>
  <w:style w:type="paragraph" w:customStyle="1" w:styleId="379">
    <w:name w:val="默认段落字体 Char"/>
    <w:basedOn w:val="1"/>
    <w:semiHidden/>
    <w:qFormat/>
    <w:uiPriority w:val="0"/>
    <w:pPr>
      <w:ind w:firstLine="480"/>
    </w:pPr>
    <w:rPr>
      <w:rFonts w:ascii="Tahoma" w:hAnsi="Tahoma"/>
      <w:szCs w:val="20"/>
    </w:rPr>
  </w:style>
  <w:style w:type="paragraph" w:customStyle="1" w:styleId="380">
    <w:name w:val="附注一级"/>
    <w:basedOn w:val="1"/>
    <w:semiHidden/>
    <w:qFormat/>
    <w:uiPriority w:val="0"/>
    <w:pPr>
      <w:tabs>
        <w:tab w:val="left" w:pos="714"/>
      </w:tabs>
      <w:adjustRightInd w:val="0"/>
      <w:snapToGrid w:val="0"/>
      <w:spacing w:line="400" w:lineRule="atLeast"/>
      <w:ind w:left="720" w:hanging="734"/>
      <w:outlineLvl w:val="0"/>
    </w:pPr>
    <w:rPr>
      <w:rFonts w:ascii="宋体" w:hAnsi="宋体"/>
      <w:b/>
    </w:rPr>
  </w:style>
  <w:style w:type="paragraph" w:customStyle="1" w:styleId="381">
    <w:name w:val="Char2 Char Char Char2 Char Char Char2"/>
    <w:basedOn w:val="1"/>
    <w:semiHidden/>
    <w:qFormat/>
    <w:uiPriority w:val="0"/>
    <w:pPr>
      <w:spacing w:after="160" w:line="240" w:lineRule="exact"/>
      <w:ind w:firstLine="480"/>
    </w:pPr>
    <w:rPr>
      <w:sz w:val="20"/>
      <w:szCs w:val="20"/>
    </w:rPr>
  </w:style>
  <w:style w:type="paragraph" w:customStyle="1" w:styleId="382">
    <w:name w:val="纯文本2"/>
    <w:basedOn w:val="1"/>
    <w:semiHidden/>
    <w:qFormat/>
    <w:uiPriority w:val="0"/>
    <w:pPr>
      <w:adjustRightInd w:val="0"/>
      <w:ind w:firstLine="480"/>
      <w:textAlignment w:val="baseline"/>
    </w:pPr>
    <w:rPr>
      <w:rFonts w:ascii="宋体"/>
      <w:szCs w:val="20"/>
    </w:rPr>
  </w:style>
  <w:style w:type="paragraph" w:customStyle="1" w:styleId="383">
    <w:name w:val="Char5"/>
    <w:basedOn w:val="1"/>
    <w:semiHidden/>
    <w:qFormat/>
    <w:uiPriority w:val="0"/>
    <w:pPr>
      <w:ind w:firstLine="480"/>
    </w:pPr>
    <w:rPr>
      <w:rFonts w:ascii="Tahoma" w:hAnsi="Tahoma"/>
      <w:szCs w:val="20"/>
    </w:rPr>
  </w:style>
  <w:style w:type="paragraph" w:customStyle="1" w:styleId="384">
    <w:name w:val="Char Char1 Char2"/>
    <w:basedOn w:val="21"/>
    <w:semiHidden/>
    <w:qFormat/>
    <w:uiPriority w:val="0"/>
    <w:pPr>
      <w:shd w:val="clear" w:color="auto" w:fill="000080"/>
    </w:pPr>
    <w:rPr>
      <w:rFonts w:ascii="Tahoma" w:hAnsi="Tahoma"/>
      <w:sz w:val="24"/>
      <w:szCs w:val="24"/>
    </w:rPr>
  </w:style>
  <w:style w:type="paragraph" w:customStyle="1" w:styleId="385">
    <w:name w:val="Char42"/>
    <w:basedOn w:val="1"/>
    <w:semiHidden/>
    <w:qFormat/>
    <w:uiPriority w:val="0"/>
    <w:pPr>
      <w:ind w:firstLine="480"/>
    </w:pPr>
    <w:rPr>
      <w:rFonts w:ascii="Tahoma" w:hAnsi="Tahoma"/>
      <w:szCs w:val="20"/>
    </w:rPr>
  </w:style>
  <w:style w:type="paragraph" w:customStyle="1" w:styleId="386">
    <w:name w:val="Char12"/>
    <w:basedOn w:val="1"/>
    <w:link w:val="387"/>
    <w:semiHidden/>
    <w:qFormat/>
    <w:uiPriority w:val="0"/>
    <w:pPr>
      <w:ind w:firstLine="480"/>
    </w:pPr>
    <w:rPr>
      <w:rFonts w:ascii="Tahoma" w:hAnsi="Tahoma" w:cs="Times New Roman"/>
      <w:kern w:val="2"/>
      <w:szCs w:val="20"/>
      <w:lang w:val="zh-CN"/>
    </w:rPr>
  </w:style>
  <w:style w:type="character" w:customStyle="1" w:styleId="387">
    <w:name w:val="Char1 Char2"/>
    <w:link w:val="386"/>
    <w:semiHidden/>
    <w:qFormat/>
    <w:uiPriority w:val="0"/>
    <w:rPr>
      <w:rFonts w:ascii="Tahoma" w:hAnsi="Tahoma"/>
      <w:kern w:val="2"/>
      <w:sz w:val="24"/>
      <w:lang w:val="zh-CN" w:eastAsia="zh-CN"/>
    </w:rPr>
  </w:style>
  <w:style w:type="paragraph" w:customStyle="1" w:styleId="388">
    <w:name w:val="Char Char Char Char Char Char Char3"/>
    <w:basedOn w:val="1"/>
    <w:semiHidden/>
    <w:qFormat/>
    <w:uiPriority w:val="0"/>
    <w:pPr>
      <w:spacing w:after="160" w:line="240" w:lineRule="exact"/>
      <w:ind w:firstLine="480"/>
    </w:pPr>
    <w:rPr>
      <w:rFonts w:ascii="Verdana" w:hAnsi="Verdana"/>
      <w:sz w:val="20"/>
      <w:szCs w:val="20"/>
      <w:lang w:eastAsia="en-US"/>
    </w:rPr>
  </w:style>
  <w:style w:type="paragraph" w:customStyle="1" w:styleId="389">
    <w:name w:val="Char2 Char Char Char2"/>
    <w:basedOn w:val="1"/>
    <w:semiHidden/>
    <w:qFormat/>
    <w:uiPriority w:val="0"/>
    <w:pPr>
      <w:ind w:firstLine="480"/>
    </w:pPr>
    <w:rPr>
      <w:rFonts w:ascii="Tahoma" w:hAnsi="Tahoma"/>
      <w:szCs w:val="20"/>
    </w:rPr>
  </w:style>
  <w:style w:type="paragraph" w:customStyle="1" w:styleId="390">
    <w:name w:val="Char1 Char Char Char2"/>
    <w:basedOn w:val="1"/>
    <w:semiHidden/>
    <w:qFormat/>
    <w:uiPriority w:val="0"/>
    <w:pPr>
      <w:ind w:firstLine="480"/>
    </w:pPr>
    <w:rPr>
      <w:rFonts w:ascii="Tahoma" w:hAnsi="Tahoma"/>
      <w:szCs w:val="20"/>
    </w:rPr>
  </w:style>
  <w:style w:type="paragraph" w:customStyle="1" w:styleId="391">
    <w:name w:val="Char Char Char Char2"/>
    <w:basedOn w:val="1"/>
    <w:semiHidden/>
    <w:qFormat/>
    <w:uiPriority w:val="0"/>
    <w:pPr>
      <w:ind w:firstLine="480"/>
    </w:pPr>
    <w:rPr>
      <w:rFonts w:ascii="Tahoma" w:hAnsi="Tahoma"/>
      <w:szCs w:val="20"/>
    </w:rPr>
  </w:style>
  <w:style w:type="paragraph" w:customStyle="1" w:styleId="392">
    <w:name w:val="Char4 Char Char Char Char Char Char Char Char Char Char Char Char Char Char2"/>
    <w:basedOn w:val="1"/>
    <w:semiHidden/>
    <w:qFormat/>
    <w:uiPriority w:val="0"/>
    <w:pPr>
      <w:ind w:firstLine="480"/>
    </w:pPr>
    <w:rPr>
      <w:rFonts w:ascii="Tahoma" w:hAnsi="Tahoma"/>
      <w:szCs w:val="20"/>
    </w:rPr>
  </w:style>
  <w:style w:type="paragraph" w:customStyle="1" w:styleId="393">
    <w:name w:val="Char2 Char Char1 Char Char Char Char Char Char Char Char Char2"/>
    <w:basedOn w:val="1"/>
    <w:semiHidden/>
    <w:qFormat/>
    <w:uiPriority w:val="0"/>
    <w:pPr>
      <w:ind w:firstLine="480"/>
    </w:pPr>
    <w:rPr>
      <w:rFonts w:ascii="Tahoma" w:hAnsi="Tahoma"/>
      <w:szCs w:val="20"/>
    </w:rPr>
  </w:style>
  <w:style w:type="paragraph" w:customStyle="1" w:styleId="394">
    <w:name w:val="Char Char Char2"/>
    <w:basedOn w:val="1"/>
    <w:semiHidden/>
    <w:qFormat/>
    <w:uiPriority w:val="0"/>
    <w:pPr>
      <w:spacing w:after="160" w:line="240" w:lineRule="exact"/>
      <w:ind w:firstLine="480"/>
    </w:pPr>
    <w:rPr>
      <w:rFonts w:ascii="Verdana" w:hAnsi="Verdana"/>
      <w:sz w:val="20"/>
      <w:szCs w:val="20"/>
      <w:lang w:eastAsia="en-US"/>
    </w:rPr>
  </w:style>
  <w:style w:type="paragraph" w:customStyle="1" w:styleId="395">
    <w:name w:val="正文3"/>
    <w:link w:val="524"/>
    <w:semiHidden/>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96">
    <w:name w:val="正文文本缩进 32"/>
    <w:basedOn w:val="1"/>
    <w:semiHidden/>
    <w:qFormat/>
    <w:uiPriority w:val="0"/>
    <w:pPr>
      <w:adjustRightInd w:val="0"/>
      <w:spacing w:line="440" w:lineRule="exact"/>
      <w:ind w:firstLine="480"/>
      <w:textAlignment w:val="baseline"/>
    </w:pPr>
    <w:rPr>
      <w:rFonts w:ascii="宋体" w:hAnsi="宋体"/>
      <w:szCs w:val="20"/>
    </w:rPr>
  </w:style>
  <w:style w:type="character" w:customStyle="1" w:styleId="397">
    <w:name w:val="Char Char13"/>
    <w:semiHidden/>
    <w:qFormat/>
    <w:uiPriority w:val="0"/>
    <w:rPr>
      <w:rFonts w:ascii="宋体" w:hAnsi="宋体" w:eastAsia="宋体" w:cs="宋体"/>
      <w:color w:val="000080"/>
      <w:sz w:val="24"/>
      <w:szCs w:val="24"/>
      <w:lang w:val="en-US" w:eastAsia="zh-CN" w:bidi="ar-SA"/>
    </w:rPr>
  </w:style>
  <w:style w:type="paragraph" w:customStyle="1" w:styleId="398">
    <w:name w:val="日期2"/>
    <w:basedOn w:val="1"/>
    <w:next w:val="1"/>
    <w:semiHidden/>
    <w:qFormat/>
    <w:uiPriority w:val="0"/>
    <w:pPr>
      <w:adjustRightInd w:val="0"/>
      <w:spacing w:line="312" w:lineRule="atLeast"/>
      <w:ind w:firstLine="480"/>
      <w:textAlignment w:val="baseline"/>
    </w:pPr>
    <w:rPr>
      <w:rFonts w:ascii="宋体"/>
      <w:sz w:val="28"/>
      <w:szCs w:val="20"/>
    </w:rPr>
  </w:style>
  <w:style w:type="paragraph" w:customStyle="1" w:styleId="399">
    <w:name w:val="正文文本缩进 22"/>
    <w:basedOn w:val="1"/>
    <w:semiHidden/>
    <w:qFormat/>
    <w:uiPriority w:val="0"/>
    <w:pPr>
      <w:adjustRightInd w:val="0"/>
      <w:ind w:firstLine="435"/>
      <w:textAlignment w:val="baseline"/>
    </w:pPr>
    <w:rPr>
      <w:color w:val="000000"/>
      <w:sz w:val="28"/>
      <w:szCs w:val="20"/>
    </w:rPr>
  </w:style>
  <w:style w:type="paragraph" w:customStyle="1" w:styleId="400">
    <w:name w:val="正文文本 22"/>
    <w:basedOn w:val="1"/>
    <w:semiHidden/>
    <w:qFormat/>
    <w:uiPriority w:val="0"/>
    <w:pPr>
      <w:adjustRightInd w:val="0"/>
      <w:ind w:firstLine="420"/>
      <w:textAlignment w:val="baseline"/>
    </w:pPr>
    <w:rPr>
      <w:rFonts w:ascii="宋体"/>
      <w:color w:val="000000"/>
      <w:szCs w:val="20"/>
    </w:rPr>
  </w:style>
  <w:style w:type="paragraph" w:customStyle="1" w:styleId="401">
    <w:name w:val="Char2 Char Char Char Char Char Char Char Char Char2"/>
    <w:basedOn w:val="1"/>
    <w:semiHidden/>
    <w:qFormat/>
    <w:uiPriority w:val="0"/>
    <w:pPr>
      <w:ind w:firstLine="480"/>
    </w:pPr>
    <w:rPr>
      <w:rFonts w:ascii="Tahoma" w:hAnsi="Tahoma"/>
      <w:szCs w:val="20"/>
    </w:rPr>
  </w:style>
  <w:style w:type="paragraph" w:customStyle="1" w:styleId="402">
    <w:name w:val="Char Char Char1 Char2"/>
    <w:basedOn w:val="1"/>
    <w:semiHidden/>
    <w:qFormat/>
    <w:uiPriority w:val="0"/>
    <w:pPr>
      <w:ind w:firstLine="480"/>
    </w:pPr>
    <w:rPr>
      <w:rFonts w:ascii="Tahoma" w:hAnsi="Tahoma"/>
      <w:szCs w:val="20"/>
    </w:rPr>
  </w:style>
  <w:style w:type="character" w:customStyle="1" w:styleId="403">
    <w:name w:val="1 Char"/>
    <w:link w:val="274"/>
    <w:semiHidden/>
    <w:qFormat/>
    <w:uiPriority w:val="0"/>
    <w:rPr>
      <w:rFonts w:ascii="Times New Roman" w:hAnsi="Times New Roman"/>
      <w:kern w:val="2"/>
      <w:sz w:val="21"/>
      <w:szCs w:val="24"/>
      <w:lang w:val="zh-CN" w:eastAsia="zh-CN"/>
    </w:rPr>
  </w:style>
  <w:style w:type="character" w:customStyle="1" w:styleId="404">
    <w:name w:val="列表项目符号 Char1"/>
    <w:semiHidden/>
    <w:qFormat/>
    <w:uiPriority w:val="0"/>
    <w:rPr>
      <w:rFonts w:eastAsia="宋体"/>
      <w:kern w:val="2"/>
      <w:sz w:val="21"/>
      <w:szCs w:val="24"/>
      <w:lang w:val="en-US" w:eastAsia="zh-CN" w:bidi="ar-SA"/>
    </w:rPr>
  </w:style>
  <w:style w:type="paragraph" w:customStyle="1" w:styleId="405">
    <w:name w:val="默认段落字体 Para Char Char Char Char Char Char Char Char Char Char"/>
    <w:basedOn w:val="1"/>
    <w:semiHidden/>
    <w:qFormat/>
    <w:uiPriority w:val="0"/>
    <w:pPr>
      <w:ind w:firstLine="480"/>
    </w:pPr>
    <w:rPr>
      <w:rFonts w:ascii="Arial" w:hAnsi="Arial" w:cs="Arial"/>
      <w:sz w:val="20"/>
      <w:szCs w:val="20"/>
    </w:rPr>
  </w:style>
  <w:style w:type="character" w:customStyle="1" w:styleId="406">
    <w:name w:val="Char Char8"/>
    <w:semiHidden/>
    <w:qFormat/>
    <w:uiPriority w:val="0"/>
    <w:rPr>
      <w:rFonts w:eastAsia="宋体"/>
      <w:kern w:val="2"/>
      <w:sz w:val="21"/>
      <w:lang w:val="en-US" w:eastAsia="zh-CN" w:bidi="ar-SA"/>
    </w:rPr>
  </w:style>
  <w:style w:type="paragraph" w:customStyle="1" w:styleId="407">
    <w:name w:val="zhengwen1"/>
    <w:basedOn w:val="1"/>
    <w:link w:val="408"/>
    <w:semiHidden/>
    <w:qFormat/>
    <w:uiPriority w:val="0"/>
    <w:pPr>
      <w:tabs>
        <w:tab w:val="left" w:pos="1820"/>
      </w:tabs>
      <w:spacing w:afterLines="50"/>
      <w:ind w:left="180" w:hanging="420"/>
    </w:pPr>
    <w:rPr>
      <w:rFonts w:ascii="楷体_GB2312" w:hAnsi="宋体" w:eastAsia="楷体_GB2312" w:cs="Times New Roman"/>
      <w:kern w:val="2"/>
      <w:szCs w:val="20"/>
      <w:lang w:val="zh-CN"/>
    </w:rPr>
  </w:style>
  <w:style w:type="character" w:customStyle="1" w:styleId="408">
    <w:name w:val="zhengwen1 Char1"/>
    <w:link w:val="407"/>
    <w:semiHidden/>
    <w:qFormat/>
    <w:uiPriority w:val="0"/>
    <w:rPr>
      <w:rFonts w:ascii="楷体_GB2312" w:hAnsi="宋体" w:eastAsia="楷体_GB2312"/>
      <w:kern w:val="2"/>
      <w:sz w:val="24"/>
      <w:lang w:val="zh-CN" w:eastAsia="zh-CN"/>
    </w:rPr>
  </w:style>
  <w:style w:type="paragraph" w:customStyle="1" w:styleId="409">
    <w:name w:val="字元 字元"/>
    <w:basedOn w:val="1"/>
    <w:semiHidden/>
    <w:qFormat/>
    <w:uiPriority w:val="0"/>
    <w:pPr>
      <w:ind w:firstLine="480"/>
    </w:pPr>
    <w:rPr>
      <w:rFonts w:ascii="Tahoma" w:hAnsi="Tahoma"/>
      <w:szCs w:val="20"/>
    </w:rPr>
  </w:style>
  <w:style w:type="character" w:customStyle="1" w:styleId="410">
    <w:name w:val="lh151"/>
    <w:semiHidden/>
    <w:qFormat/>
    <w:uiPriority w:val="0"/>
  </w:style>
  <w:style w:type="paragraph" w:customStyle="1" w:styleId="411">
    <w:name w:val="标题1-1"/>
    <w:basedOn w:val="3"/>
    <w:semiHidden/>
    <w:qFormat/>
    <w:uiPriority w:val="0"/>
    <w:pPr>
      <w:keepNext/>
      <w:keepLines/>
      <w:tabs>
        <w:tab w:val="left" w:pos="425"/>
      </w:tabs>
      <w:spacing w:before="100" w:after="100"/>
      <w:ind w:left="425" w:hanging="425"/>
      <w:jc w:val="center"/>
    </w:pPr>
    <w:rPr>
      <w:rFonts w:ascii="Arial" w:hAnsi="Arial" w:eastAsia="楷体_GB2312"/>
      <w:b/>
    </w:rPr>
  </w:style>
  <w:style w:type="paragraph" w:customStyle="1" w:styleId="412">
    <w:name w:val="z-窗体顶端1"/>
    <w:basedOn w:val="1"/>
    <w:next w:val="1"/>
    <w:link w:val="413"/>
    <w:qFormat/>
    <w:uiPriority w:val="99"/>
    <w:pPr>
      <w:pBdr>
        <w:bottom w:val="single" w:color="auto" w:sz="6" w:space="1"/>
      </w:pBdr>
      <w:ind w:firstLine="480"/>
      <w:jc w:val="center"/>
    </w:pPr>
    <w:rPr>
      <w:rFonts w:ascii="Arial" w:hAnsi="Arial" w:cs="Times New Roman"/>
      <w:vanish/>
      <w:sz w:val="16"/>
      <w:szCs w:val="16"/>
      <w:lang w:val="zh-CN"/>
    </w:rPr>
  </w:style>
  <w:style w:type="character" w:customStyle="1" w:styleId="413">
    <w:name w:val="z-窗体顶端 字符"/>
    <w:link w:val="412"/>
    <w:qFormat/>
    <w:uiPriority w:val="99"/>
    <w:rPr>
      <w:rFonts w:ascii="Arial" w:hAnsi="Arial"/>
      <w:vanish/>
      <w:sz w:val="16"/>
      <w:szCs w:val="16"/>
      <w:lang w:val="zh-CN" w:eastAsia="zh-CN"/>
    </w:rPr>
  </w:style>
  <w:style w:type="character" w:customStyle="1" w:styleId="414">
    <w:name w:val="Char Char11"/>
    <w:semiHidden/>
    <w:qFormat/>
    <w:uiPriority w:val="0"/>
    <w:rPr>
      <w:rFonts w:eastAsia="宋体"/>
      <w:kern w:val="2"/>
      <w:sz w:val="21"/>
      <w:lang w:val="en-US" w:eastAsia="zh-CN" w:bidi="ar-SA"/>
    </w:rPr>
  </w:style>
  <w:style w:type="character" w:customStyle="1" w:styleId="415">
    <w:name w:val="正文文字缩进 2 Char Char1"/>
    <w:semiHidden/>
    <w:qFormat/>
    <w:uiPriority w:val="0"/>
    <w:rPr>
      <w:rFonts w:ascii="Times New Roman" w:hAnsi="Times New Roman" w:eastAsia="仿宋_GB2312" w:cs="Times New Roman"/>
      <w:kern w:val="0"/>
      <w:position w:val="-6"/>
      <w:sz w:val="28"/>
      <w:szCs w:val="20"/>
    </w:rPr>
  </w:style>
  <w:style w:type="character" w:customStyle="1" w:styleId="416">
    <w:name w:val="huei12b1"/>
    <w:semiHidden/>
    <w:qFormat/>
    <w:uiPriority w:val="0"/>
    <w:rPr>
      <w:rFonts w:cs="Times New Roman"/>
      <w:b/>
      <w:bCs/>
      <w:color w:val="333333"/>
      <w:sz w:val="18"/>
      <w:szCs w:val="18"/>
    </w:rPr>
  </w:style>
  <w:style w:type="character" w:customStyle="1" w:styleId="417">
    <w:name w:val="outborder1"/>
    <w:semiHidden/>
    <w:qFormat/>
    <w:uiPriority w:val="0"/>
    <w:rPr>
      <w:bdr w:val="single" w:color="CCCCCC" w:sz="6" w:space="0"/>
    </w:rPr>
  </w:style>
  <w:style w:type="character" w:customStyle="1" w:styleId="418">
    <w:name w:val="word2"/>
    <w:semiHidden/>
    <w:qFormat/>
    <w:uiPriority w:val="0"/>
  </w:style>
  <w:style w:type="paragraph" w:customStyle="1" w:styleId="419">
    <w:name w:val="7"/>
    <w:basedOn w:val="1"/>
    <w:semiHidden/>
    <w:qFormat/>
    <w:uiPriority w:val="0"/>
    <w:pPr>
      <w:ind w:firstLine="480"/>
    </w:pPr>
  </w:style>
  <w:style w:type="character" w:customStyle="1" w:styleId="420">
    <w:name w:val="headline-content2"/>
    <w:semiHidden/>
    <w:qFormat/>
    <w:uiPriority w:val="0"/>
  </w:style>
  <w:style w:type="character" w:customStyle="1" w:styleId="421">
    <w:name w:val="word21"/>
    <w:semiHidden/>
    <w:qFormat/>
    <w:uiPriority w:val="0"/>
    <w:rPr>
      <w:color w:val="000000"/>
      <w:sz w:val="18"/>
      <w:szCs w:val="18"/>
      <w:u w:val="none"/>
    </w:rPr>
  </w:style>
  <w:style w:type="paragraph" w:customStyle="1" w:styleId="422">
    <w:name w:val="CM91"/>
    <w:basedOn w:val="118"/>
    <w:next w:val="118"/>
    <w:semiHidden/>
    <w:qFormat/>
    <w:uiPriority w:val="0"/>
    <w:pPr>
      <w:spacing w:after="120"/>
    </w:pPr>
    <w:rPr>
      <w:rFonts w:hAnsi="Times New Roman" w:cs="Times New Roman"/>
      <w:color w:val="auto"/>
    </w:rPr>
  </w:style>
  <w:style w:type="paragraph" w:customStyle="1" w:styleId="423">
    <w:name w:val="CM19"/>
    <w:basedOn w:val="118"/>
    <w:next w:val="118"/>
    <w:semiHidden/>
    <w:qFormat/>
    <w:uiPriority w:val="0"/>
    <w:pPr>
      <w:spacing w:line="260" w:lineRule="atLeast"/>
    </w:pPr>
    <w:rPr>
      <w:rFonts w:hAnsi="Times New Roman" w:cs="Times New Roman"/>
      <w:color w:val="auto"/>
    </w:rPr>
  </w:style>
  <w:style w:type="table" w:customStyle="1" w:styleId="424">
    <w:name w:val="附注表格1"/>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425">
    <w:name w:val="附注表格2"/>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paragraph" w:customStyle="1" w:styleId="426">
    <w:name w:val="纯文本3"/>
    <w:basedOn w:val="1"/>
    <w:semiHidden/>
    <w:qFormat/>
    <w:uiPriority w:val="0"/>
    <w:pPr>
      <w:adjustRightInd w:val="0"/>
      <w:ind w:firstLine="480"/>
      <w:textAlignment w:val="baseline"/>
    </w:pPr>
    <w:rPr>
      <w:rFonts w:ascii="宋体"/>
      <w:szCs w:val="20"/>
    </w:rPr>
  </w:style>
  <w:style w:type="table" w:customStyle="1" w:styleId="427">
    <w:name w:val="网格型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8">
    <w:name w:val="Char3"/>
    <w:basedOn w:val="1"/>
    <w:semiHidden/>
    <w:qFormat/>
    <w:uiPriority w:val="0"/>
    <w:pPr>
      <w:ind w:firstLine="480"/>
    </w:pPr>
    <w:rPr>
      <w:rFonts w:ascii="Tahoma" w:hAnsi="Tahoma"/>
      <w:szCs w:val="20"/>
    </w:rPr>
  </w:style>
  <w:style w:type="paragraph" w:customStyle="1" w:styleId="429">
    <w:name w:val="已访问的超链接1"/>
    <w:semiHidden/>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0">
    <w:name w:val="Char Char1 Char1"/>
    <w:basedOn w:val="21"/>
    <w:semiHidden/>
    <w:qFormat/>
    <w:uiPriority w:val="0"/>
    <w:pPr>
      <w:shd w:val="clear" w:color="auto" w:fill="000080"/>
    </w:pPr>
    <w:rPr>
      <w:rFonts w:ascii="Tahoma" w:hAnsi="Tahoma"/>
      <w:sz w:val="24"/>
      <w:szCs w:val="24"/>
    </w:rPr>
  </w:style>
  <w:style w:type="table" w:customStyle="1" w:styleId="431">
    <w:name w:val="附注表格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paragraph" w:customStyle="1" w:styleId="432">
    <w:name w:val="Char41"/>
    <w:basedOn w:val="1"/>
    <w:semiHidden/>
    <w:qFormat/>
    <w:uiPriority w:val="0"/>
    <w:pPr>
      <w:ind w:firstLine="480"/>
    </w:pPr>
    <w:rPr>
      <w:rFonts w:ascii="Tahoma" w:hAnsi="Tahoma"/>
      <w:szCs w:val="20"/>
    </w:rPr>
  </w:style>
  <w:style w:type="paragraph" w:customStyle="1" w:styleId="433">
    <w:name w:val="Char11"/>
    <w:basedOn w:val="1"/>
    <w:link w:val="434"/>
    <w:semiHidden/>
    <w:qFormat/>
    <w:uiPriority w:val="0"/>
    <w:pPr>
      <w:ind w:firstLine="480"/>
    </w:pPr>
    <w:rPr>
      <w:rFonts w:ascii="Tahoma" w:hAnsi="Tahoma" w:cs="Times New Roman"/>
      <w:szCs w:val="20"/>
      <w:lang w:val="zh-CN"/>
    </w:rPr>
  </w:style>
  <w:style w:type="character" w:customStyle="1" w:styleId="434">
    <w:name w:val="Char1 Char1"/>
    <w:link w:val="433"/>
    <w:semiHidden/>
    <w:qFormat/>
    <w:uiPriority w:val="0"/>
    <w:rPr>
      <w:rFonts w:ascii="Tahoma" w:hAnsi="Tahoma"/>
      <w:sz w:val="24"/>
      <w:lang w:val="zh-CN" w:eastAsia="zh-CN"/>
    </w:rPr>
  </w:style>
  <w:style w:type="paragraph" w:customStyle="1" w:styleId="435">
    <w:name w:val="Char Char Char Char Char Char Char2"/>
    <w:basedOn w:val="1"/>
    <w:semiHidden/>
    <w:qFormat/>
    <w:uiPriority w:val="0"/>
    <w:pPr>
      <w:spacing w:after="160" w:line="240" w:lineRule="exact"/>
      <w:ind w:firstLine="480"/>
    </w:pPr>
    <w:rPr>
      <w:rFonts w:ascii="Verdana" w:hAnsi="Verdana"/>
      <w:sz w:val="20"/>
      <w:szCs w:val="20"/>
      <w:lang w:eastAsia="en-US"/>
    </w:rPr>
  </w:style>
  <w:style w:type="paragraph" w:customStyle="1" w:styleId="436">
    <w:name w:val="Char2 Char Char Char1"/>
    <w:basedOn w:val="1"/>
    <w:semiHidden/>
    <w:qFormat/>
    <w:uiPriority w:val="0"/>
    <w:pPr>
      <w:ind w:firstLine="480"/>
    </w:pPr>
    <w:rPr>
      <w:rFonts w:ascii="Tahoma" w:hAnsi="Tahoma"/>
      <w:szCs w:val="20"/>
    </w:rPr>
  </w:style>
  <w:style w:type="paragraph" w:customStyle="1" w:styleId="437">
    <w:name w:val="Char1 Char Char Char1"/>
    <w:basedOn w:val="1"/>
    <w:semiHidden/>
    <w:qFormat/>
    <w:uiPriority w:val="0"/>
    <w:pPr>
      <w:ind w:firstLine="480"/>
    </w:pPr>
    <w:rPr>
      <w:rFonts w:ascii="Tahoma" w:hAnsi="Tahoma"/>
      <w:szCs w:val="20"/>
    </w:rPr>
  </w:style>
  <w:style w:type="paragraph" w:customStyle="1" w:styleId="438">
    <w:name w:val="Char Char Char Char1"/>
    <w:basedOn w:val="1"/>
    <w:semiHidden/>
    <w:qFormat/>
    <w:uiPriority w:val="0"/>
    <w:pPr>
      <w:ind w:firstLine="480"/>
    </w:pPr>
    <w:rPr>
      <w:rFonts w:ascii="Tahoma" w:hAnsi="Tahoma"/>
      <w:szCs w:val="20"/>
    </w:rPr>
  </w:style>
  <w:style w:type="paragraph" w:customStyle="1" w:styleId="439">
    <w:name w:val="Char4 Char Char Char Char Char Char Char Char Char Char Char Char Char Char1"/>
    <w:basedOn w:val="1"/>
    <w:semiHidden/>
    <w:qFormat/>
    <w:uiPriority w:val="0"/>
    <w:pPr>
      <w:ind w:firstLine="480"/>
    </w:pPr>
    <w:rPr>
      <w:rFonts w:ascii="Tahoma" w:hAnsi="Tahoma"/>
      <w:szCs w:val="20"/>
    </w:rPr>
  </w:style>
  <w:style w:type="paragraph" w:customStyle="1" w:styleId="440">
    <w:name w:val="Char2 Char Char1 Char Char Char Char Char Char Char Char Char1"/>
    <w:basedOn w:val="1"/>
    <w:semiHidden/>
    <w:qFormat/>
    <w:uiPriority w:val="0"/>
    <w:pPr>
      <w:ind w:firstLine="480"/>
    </w:pPr>
    <w:rPr>
      <w:rFonts w:ascii="Tahoma" w:hAnsi="Tahoma"/>
      <w:szCs w:val="20"/>
    </w:rPr>
  </w:style>
  <w:style w:type="paragraph" w:customStyle="1" w:styleId="441">
    <w:name w:val="Char Char Char1"/>
    <w:basedOn w:val="1"/>
    <w:semiHidden/>
    <w:qFormat/>
    <w:uiPriority w:val="0"/>
    <w:pPr>
      <w:spacing w:after="160" w:line="240" w:lineRule="exact"/>
      <w:ind w:firstLine="480"/>
    </w:pPr>
    <w:rPr>
      <w:rFonts w:ascii="Verdana" w:hAnsi="Verdana"/>
      <w:sz w:val="20"/>
      <w:szCs w:val="20"/>
      <w:lang w:eastAsia="en-US"/>
    </w:rPr>
  </w:style>
  <w:style w:type="paragraph" w:customStyle="1" w:styleId="442">
    <w:name w:val="正文4"/>
    <w:semiHidden/>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443">
    <w:name w:val="正文文本缩进 33"/>
    <w:basedOn w:val="1"/>
    <w:semiHidden/>
    <w:qFormat/>
    <w:uiPriority w:val="0"/>
    <w:pPr>
      <w:adjustRightInd w:val="0"/>
      <w:spacing w:line="440" w:lineRule="exact"/>
      <w:ind w:firstLine="480"/>
      <w:textAlignment w:val="baseline"/>
    </w:pPr>
    <w:rPr>
      <w:rFonts w:ascii="宋体" w:hAnsi="宋体"/>
      <w:szCs w:val="20"/>
    </w:rPr>
  </w:style>
  <w:style w:type="character" w:customStyle="1" w:styleId="444">
    <w:name w:val="Char Char12"/>
    <w:semiHidden/>
    <w:qFormat/>
    <w:uiPriority w:val="0"/>
    <w:rPr>
      <w:rFonts w:ascii="宋体" w:hAnsi="宋体" w:eastAsia="宋体" w:cs="宋体"/>
      <w:color w:val="000080"/>
      <w:sz w:val="24"/>
      <w:szCs w:val="24"/>
      <w:lang w:val="en-US" w:eastAsia="zh-CN" w:bidi="ar-SA"/>
    </w:rPr>
  </w:style>
  <w:style w:type="paragraph" w:customStyle="1" w:styleId="445">
    <w:name w:val="日期3"/>
    <w:basedOn w:val="1"/>
    <w:next w:val="1"/>
    <w:semiHidden/>
    <w:qFormat/>
    <w:uiPriority w:val="0"/>
    <w:pPr>
      <w:adjustRightInd w:val="0"/>
      <w:spacing w:line="312" w:lineRule="atLeast"/>
      <w:ind w:firstLine="480"/>
      <w:textAlignment w:val="baseline"/>
    </w:pPr>
    <w:rPr>
      <w:rFonts w:ascii="宋体"/>
      <w:sz w:val="28"/>
      <w:szCs w:val="20"/>
    </w:rPr>
  </w:style>
  <w:style w:type="paragraph" w:customStyle="1" w:styleId="446">
    <w:name w:val="正文文本缩进 23"/>
    <w:basedOn w:val="1"/>
    <w:semiHidden/>
    <w:qFormat/>
    <w:uiPriority w:val="0"/>
    <w:pPr>
      <w:adjustRightInd w:val="0"/>
      <w:ind w:firstLine="435"/>
      <w:textAlignment w:val="baseline"/>
    </w:pPr>
    <w:rPr>
      <w:color w:val="000000"/>
      <w:sz w:val="28"/>
      <w:szCs w:val="20"/>
    </w:rPr>
  </w:style>
  <w:style w:type="paragraph" w:customStyle="1" w:styleId="447">
    <w:name w:val="正文文本 23"/>
    <w:basedOn w:val="1"/>
    <w:semiHidden/>
    <w:qFormat/>
    <w:uiPriority w:val="0"/>
    <w:pPr>
      <w:adjustRightInd w:val="0"/>
      <w:ind w:firstLine="420"/>
      <w:textAlignment w:val="baseline"/>
    </w:pPr>
    <w:rPr>
      <w:rFonts w:ascii="宋体"/>
      <w:color w:val="000000"/>
      <w:szCs w:val="20"/>
    </w:rPr>
  </w:style>
  <w:style w:type="paragraph" w:customStyle="1" w:styleId="448">
    <w:name w:val="Char2 Char Char Char Char Char Char Char Char Char1"/>
    <w:basedOn w:val="1"/>
    <w:semiHidden/>
    <w:qFormat/>
    <w:uiPriority w:val="0"/>
    <w:pPr>
      <w:ind w:firstLine="480"/>
    </w:pPr>
    <w:rPr>
      <w:rFonts w:ascii="Tahoma" w:hAnsi="Tahoma"/>
      <w:szCs w:val="20"/>
    </w:rPr>
  </w:style>
  <w:style w:type="paragraph" w:customStyle="1" w:styleId="449">
    <w:name w:val="Char Char Char1 Char1"/>
    <w:basedOn w:val="1"/>
    <w:semiHidden/>
    <w:qFormat/>
    <w:uiPriority w:val="0"/>
    <w:pPr>
      <w:ind w:firstLine="480"/>
    </w:pPr>
    <w:rPr>
      <w:rFonts w:ascii="Tahoma" w:hAnsi="Tahoma"/>
      <w:szCs w:val="20"/>
    </w:rPr>
  </w:style>
  <w:style w:type="character" w:customStyle="1" w:styleId="450">
    <w:name w:val="Char Char81"/>
    <w:semiHidden/>
    <w:qFormat/>
    <w:uiPriority w:val="0"/>
    <w:rPr>
      <w:rFonts w:eastAsia="宋体"/>
      <w:kern w:val="2"/>
      <w:sz w:val="21"/>
      <w:lang w:val="en-US" w:eastAsia="zh-CN" w:bidi="ar-SA"/>
    </w:rPr>
  </w:style>
  <w:style w:type="paragraph" w:customStyle="1" w:styleId="451">
    <w:name w:val="Char2 Char Char Char2 Char Char Char1"/>
    <w:basedOn w:val="1"/>
    <w:semiHidden/>
    <w:qFormat/>
    <w:uiPriority w:val="0"/>
    <w:pPr>
      <w:spacing w:after="160" w:line="240" w:lineRule="exact"/>
      <w:ind w:firstLine="480"/>
    </w:pPr>
    <w:rPr>
      <w:sz w:val="20"/>
      <w:szCs w:val="20"/>
    </w:rPr>
  </w:style>
  <w:style w:type="paragraph" w:customStyle="1" w:styleId="452">
    <w:name w:val="字元 字元1"/>
    <w:basedOn w:val="1"/>
    <w:semiHidden/>
    <w:qFormat/>
    <w:uiPriority w:val="0"/>
    <w:pPr>
      <w:ind w:firstLine="480"/>
    </w:pPr>
    <w:rPr>
      <w:rFonts w:ascii="Tahoma" w:hAnsi="Tahoma"/>
      <w:szCs w:val="20"/>
    </w:rPr>
  </w:style>
  <w:style w:type="character" w:customStyle="1" w:styleId="453">
    <w:name w:val="Char Char111"/>
    <w:semiHidden/>
    <w:qFormat/>
    <w:uiPriority w:val="0"/>
    <w:rPr>
      <w:rFonts w:eastAsia="宋体"/>
      <w:kern w:val="2"/>
      <w:sz w:val="21"/>
      <w:lang w:val="en-US" w:eastAsia="zh-CN" w:bidi="ar-SA"/>
    </w:rPr>
  </w:style>
  <w:style w:type="paragraph" w:customStyle="1" w:styleId="454">
    <w:name w:val="Char2 Char Char Char Char Char Char Char Char1 Char1"/>
    <w:basedOn w:val="1"/>
    <w:semiHidden/>
    <w:qFormat/>
    <w:uiPriority w:val="0"/>
    <w:pPr>
      <w:adjustRightInd w:val="0"/>
      <w:ind w:firstLine="480"/>
    </w:pPr>
    <w:rPr>
      <w:szCs w:val="20"/>
    </w:rPr>
  </w:style>
  <w:style w:type="table" w:customStyle="1" w:styleId="455">
    <w:name w:val="表格主题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6">
    <w:name w:val="典雅型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character" w:customStyle="1" w:styleId="457">
    <w:name w:val="font14 line-height"/>
    <w:basedOn w:val="83"/>
    <w:semiHidden/>
    <w:qFormat/>
    <w:uiPriority w:val="0"/>
  </w:style>
  <w:style w:type="paragraph" w:customStyle="1" w:styleId="458">
    <w:name w:val="样式"/>
    <w:basedOn w:val="50"/>
    <w:semiHidden/>
    <w:qFormat/>
    <w:uiPriority w:val="0"/>
    <w:pPr>
      <w:spacing w:before="156"/>
      <w:ind w:firstLine="360"/>
    </w:pPr>
    <w:rPr>
      <w:rFonts w:ascii="Times New Roman" w:hAnsi="Times New Roman"/>
      <w:szCs w:val="20"/>
    </w:rPr>
  </w:style>
  <w:style w:type="paragraph" w:customStyle="1" w:styleId="459">
    <w:name w:val="font12"/>
    <w:basedOn w:val="1"/>
    <w:semiHidden/>
    <w:qFormat/>
    <w:uiPriority w:val="0"/>
    <w:pPr>
      <w:spacing w:before="100" w:beforeAutospacing="1" w:after="100" w:afterAutospacing="1"/>
      <w:ind w:firstLine="480"/>
    </w:pPr>
    <w:rPr>
      <w:sz w:val="18"/>
      <w:szCs w:val="18"/>
    </w:rPr>
  </w:style>
  <w:style w:type="character" w:customStyle="1" w:styleId="460">
    <w:name w:val="t_tag"/>
    <w:basedOn w:val="83"/>
    <w:semiHidden/>
    <w:qFormat/>
    <w:uiPriority w:val="0"/>
  </w:style>
  <w:style w:type="character" w:customStyle="1" w:styleId="461">
    <w:name w:val="正文文本首行缩进 2 字符"/>
    <w:link w:val="75"/>
    <w:semiHidden/>
    <w:qFormat/>
    <w:uiPriority w:val="0"/>
    <w:rPr>
      <w:rFonts w:ascii="Times New Roman" w:hAnsi="Times New Roman" w:eastAsia="仿宋_GB2312"/>
      <w:color w:val="0000FF"/>
      <w:sz w:val="21"/>
      <w:szCs w:val="24"/>
      <w:lang w:val="zh-CN" w:eastAsia="zh-CN"/>
    </w:rPr>
  </w:style>
  <w:style w:type="character" w:customStyle="1" w:styleId="462">
    <w:name w:val="正文文本缩进 Char1"/>
    <w:semiHidden/>
    <w:qFormat/>
    <w:uiPriority w:val="99"/>
    <w:rPr>
      <w:rFonts w:ascii="仿宋_GB2312" w:hAnsi="Times New Roman" w:eastAsia="仿宋_GB2312" w:cs="Times New Roman"/>
      <w:sz w:val="28"/>
      <w:szCs w:val="24"/>
    </w:rPr>
  </w:style>
  <w:style w:type="paragraph" w:customStyle="1" w:styleId="463">
    <w:name w:val="a1"/>
    <w:basedOn w:val="1"/>
    <w:semiHidden/>
    <w:qFormat/>
    <w:uiPriority w:val="0"/>
    <w:pPr>
      <w:keepNext/>
      <w:keepLines/>
      <w:spacing w:before="260" w:after="260" w:line="416" w:lineRule="auto"/>
      <w:ind w:left="1260" w:hanging="360"/>
      <w:outlineLvl w:val="1"/>
    </w:pPr>
    <w:rPr>
      <w:rFonts w:ascii="Arial" w:hAnsi="Arial" w:eastAsia="楷体_GB2312"/>
      <w:b/>
      <w:bCs/>
      <w:sz w:val="28"/>
      <w:szCs w:val="20"/>
    </w:rPr>
  </w:style>
  <w:style w:type="paragraph" w:customStyle="1" w:styleId="464">
    <w:name w:val="char"/>
    <w:basedOn w:val="1"/>
    <w:semiHidden/>
    <w:qFormat/>
    <w:uiPriority w:val="0"/>
    <w:pPr>
      <w:spacing w:line="700" w:lineRule="exact"/>
      <w:ind w:firstLine="480"/>
      <w:jc w:val="center"/>
    </w:pPr>
    <w:rPr>
      <w:rFonts w:eastAsia="方正小标宋简体"/>
      <w:spacing w:val="16"/>
      <w:sz w:val="52"/>
      <w:szCs w:val="52"/>
    </w:rPr>
  </w:style>
  <w:style w:type="paragraph" w:customStyle="1" w:styleId="465">
    <w:name w:val="附注－标题一"/>
    <w:basedOn w:val="1"/>
    <w:semiHidden/>
    <w:qFormat/>
    <w:uiPriority w:val="0"/>
    <w:pPr>
      <w:adjustRightInd w:val="0"/>
      <w:snapToGrid w:val="0"/>
      <w:spacing w:beforeLines="100"/>
      <w:ind w:firstLine="480"/>
      <w:jc w:val="center"/>
      <w:outlineLvl w:val="0"/>
    </w:pPr>
    <w:rPr>
      <w:rFonts w:ascii="Arial Narrow" w:hAnsi="Arial Narrow" w:eastAsia="黑体"/>
      <w:bCs/>
      <w:snapToGrid w:val="0"/>
      <w:spacing w:val="20"/>
      <w:sz w:val="36"/>
      <w:szCs w:val="20"/>
    </w:rPr>
  </w:style>
  <w:style w:type="character" w:customStyle="1" w:styleId="466">
    <w:name w:val="style3"/>
    <w:basedOn w:val="83"/>
    <w:semiHidden/>
    <w:qFormat/>
    <w:uiPriority w:val="0"/>
  </w:style>
  <w:style w:type="character" w:customStyle="1" w:styleId="467">
    <w:name w:val="textfont1"/>
    <w:basedOn w:val="83"/>
    <w:semiHidden/>
    <w:qFormat/>
    <w:uiPriority w:val="0"/>
  </w:style>
  <w:style w:type="paragraph" w:customStyle="1" w:styleId="468">
    <w:name w:val="正文宋体"/>
    <w:basedOn w:val="38"/>
    <w:semiHidden/>
    <w:qFormat/>
    <w:uiPriority w:val="0"/>
    <w:pPr>
      <w:adjustRightInd w:val="0"/>
      <w:spacing w:before="60" w:after="60"/>
      <w:ind w:firstLine="454"/>
      <w:textAlignment w:val="baseline"/>
    </w:pPr>
    <w:rPr>
      <w:sz w:val="24"/>
    </w:rPr>
  </w:style>
  <w:style w:type="character" w:customStyle="1" w:styleId="469">
    <w:name w:val="texhtml"/>
    <w:basedOn w:val="83"/>
    <w:semiHidden/>
    <w:qFormat/>
    <w:uiPriority w:val="0"/>
  </w:style>
  <w:style w:type="character" w:customStyle="1" w:styleId="470">
    <w:name w:val="文档结构图 Char1"/>
    <w:semiHidden/>
    <w:qFormat/>
    <w:uiPriority w:val="99"/>
    <w:rPr>
      <w:rFonts w:ascii="宋体"/>
      <w:kern w:val="2"/>
      <w:sz w:val="18"/>
      <w:szCs w:val="18"/>
    </w:rPr>
  </w:style>
  <w:style w:type="paragraph" w:customStyle="1" w:styleId="471">
    <w:name w:val="p9"/>
    <w:basedOn w:val="1"/>
    <w:semiHidden/>
    <w:qFormat/>
    <w:uiPriority w:val="0"/>
    <w:pPr>
      <w:spacing w:before="100" w:beforeAutospacing="1" w:after="100" w:afterAutospacing="1"/>
      <w:ind w:firstLine="480"/>
    </w:pPr>
    <w:rPr>
      <w:rFonts w:hint="eastAsia" w:ascii="宋体" w:hAnsi="宋体"/>
      <w:sz w:val="18"/>
      <w:szCs w:val="18"/>
    </w:rPr>
  </w:style>
  <w:style w:type="character" w:customStyle="1" w:styleId="472">
    <w:name w:val="style12 style16"/>
    <w:basedOn w:val="83"/>
    <w:semiHidden/>
    <w:qFormat/>
    <w:uiPriority w:val="0"/>
  </w:style>
  <w:style w:type="character" w:customStyle="1" w:styleId="473">
    <w:name w:val="style12"/>
    <w:basedOn w:val="83"/>
    <w:semiHidden/>
    <w:qFormat/>
    <w:uiPriority w:val="0"/>
  </w:style>
  <w:style w:type="character" w:customStyle="1" w:styleId="474">
    <w:name w:val="f16b1"/>
    <w:semiHidden/>
    <w:qFormat/>
    <w:uiPriority w:val="0"/>
    <w:rPr>
      <w:b/>
      <w:bCs/>
      <w:color w:val="333333"/>
      <w:sz w:val="24"/>
      <w:szCs w:val="24"/>
    </w:rPr>
  </w:style>
  <w:style w:type="character" w:customStyle="1" w:styleId="475">
    <w:name w:val="Char Char2"/>
    <w:semiHidden/>
    <w:qFormat/>
    <w:uiPriority w:val="0"/>
    <w:rPr>
      <w:rFonts w:ascii="宋体" w:hAnsi="Courier New" w:eastAsia="宋体"/>
      <w:kern w:val="2"/>
      <w:sz w:val="21"/>
      <w:lang w:val="en-US" w:eastAsia="zh-CN" w:bidi="ar-SA"/>
    </w:rPr>
  </w:style>
  <w:style w:type="paragraph" w:customStyle="1" w:styleId="476">
    <w:name w:val="Char2 Char Char Char Char Char Char"/>
    <w:basedOn w:val="1"/>
    <w:semiHidden/>
    <w:qFormat/>
    <w:uiPriority w:val="0"/>
    <w:pPr>
      <w:adjustRightInd w:val="0"/>
      <w:ind w:firstLine="480"/>
    </w:pPr>
    <w:rPr>
      <w:szCs w:val="20"/>
    </w:rPr>
  </w:style>
  <w:style w:type="character" w:customStyle="1" w:styleId="477">
    <w:name w:val="hui3"/>
    <w:semiHidden/>
    <w:qFormat/>
    <w:uiPriority w:val="0"/>
    <w:rPr>
      <w:color w:val="333333"/>
    </w:rPr>
  </w:style>
  <w:style w:type="table" w:customStyle="1" w:styleId="478">
    <w:name w:val="附注表格11"/>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479">
    <w:name w:val="网格型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80">
    <w:name w:val="8"/>
    <w:semiHidden/>
    <w:qFormat/>
    <w:uiPriority w:val="0"/>
    <w:pPr>
      <w:widowControl w:val="0"/>
      <w:jc w:val="both"/>
    </w:pPr>
    <w:rPr>
      <w:rFonts w:ascii="Times New Roman" w:hAnsi="Times New Roman" w:eastAsia="宋体" w:cs="Times New Roman"/>
      <w:kern w:val="2"/>
      <w:sz w:val="21"/>
      <w:szCs w:val="24"/>
      <w:lang w:val="en-US" w:eastAsia="zh-CN" w:bidi="ar-SA"/>
    </w:rPr>
  </w:style>
  <w:style w:type="table" w:customStyle="1" w:styleId="481">
    <w:name w:val="附注表格4"/>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482">
    <w:name w:val="表格主题2"/>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83">
    <w:name w:val="典雅型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484">
    <w:name w:val="附注表格12"/>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485">
    <w:name w:val="附注表格21"/>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character" w:customStyle="1" w:styleId="486">
    <w:name w:val="notnullcss1"/>
    <w:semiHidden/>
    <w:qFormat/>
    <w:uiPriority w:val="0"/>
    <w:rPr>
      <w:rFonts w:eastAsia="宋体"/>
      <w:color w:val="FF0000"/>
      <w:kern w:val="2"/>
      <w:sz w:val="24"/>
      <w:szCs w:val="24"/>
      <w:lang w:val="en-US" w:eastAsia="zh-CN" w:bidi="ar-SA"/>
    </w:rPr>
  </w:style>
  <w:style w:type="paragraph" w:customStyle="1" w:styleId="487">
    <w:name w:val="批注框文本1"/>
    <w:basedOn w:val="1"/>
    <w:semiHidden/>
    <w:qFormat/>
    <w:uiPriority w:val="0"/>
    <w:pPr>
      <w:ind w:firstLine="480"/>
    </w:pPr>
    <w:rPr>
      <w:sz w:val="18"/>
      <w:szCs w:val="18"/>
    </w:rPr>
  </w:style>
  <w:style w:type="character" w:customStyle="1" w:styleId="488">
    <w:name w:val="正文缩进 字符"/>
    <w:link w:val="16"/>
    <w:semiHidden/>
    <w:qFormat/>
    <w:uiPriority w:val="0"/>
    <w:rPr>
      <w:rFonts w:ascii="Times New Roman" w:hAnsi="Times New Roman"/>
      <w:kern w:val="2"/>
      <w:sz w:val="21"/>
      <w:lang w:val="zh-CN" w:eastAsia="zh-CN"/>
    </w:rPr>
  </w:style>
  <w:style w:type="table" w:customStyle="1" w:styleId="489">
    <w:name w:val="网格型3"/>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90">
    <w:name w:val="访问过的超链接1"/>
    <w:semiHidden/>
    <w:qFormat/>
    <w:uiPriority w:val="99"/>
    <w:rPr>
      <w:color w:val="800080"/>
      <w:u w:val="single"/>
    </w:rPr>
  </w:style>
  <w:style w:type="table" w:customStyle="1" w:styleId="491">
    <w:name w:val="附注表格5"/>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paragraph" w:customStyle="1" w:styleId="492">
    <w:name w:val="Char Char Char1 Char3"/>
    <w:basedOn w:val="1"/>
    <w:semiHidden/>
    <w:qFormat/>
    <w:uiPriority w:val="0"/>
    <w:pPr>
      <w:ind w:firstLine="480"/>
    </w:pPr>
    <w:rPr>
      <w:rFonts w:ascii="Tahoma" w:hAnsi="Tahoma"/>
      <w:szCs w:val="20"/>
    </w:rPr>
  </w:style>
  <w:style w:type="paragraph" w:customStyle="1" w:styleId="493">
    <w:name w:val="12"/>
    <w:basedOn w:val="1"/>
    <w:semiHidden/>
    <w:qFormat/>
    <w:uiPriority w:val="69"/>
    <w:rPr>
      <w:lang w:eastAsia="en-US"/>
    </w:rPr>
  </w:style>
  <w:style w:type="character" w:customStyle="1" w:styleId="494">
    <w:name w:val="ZW Char"/>
    <w:link w:val="173"/>
    <w:semiHidden/>
    <w:qFormat/>
    <w:locked/>
    <w:uiPriority w:val="0"/>
    <w:rPr>
      <w:rFonts w:ascii="Arial Narrow" w:hAnsi="Times New Roman" w:eastAsia="昆仑楷体"/>
      <w:sz w:val="28"/>
      <w:lang w:val="zh-CN" w:eastAsia="zh-CN"/>
    </w:rPr>
  </w:style>
  <w:style w:type="character" w:customStyle="1" w:styleId="495">
    <w:name w:val="普通(网站) 字符"/>
    <w:link w:val="69"/>
    <w:semiHidden/>
    <w:qFormat/>
    <w:locked/>
    <w:uiPriority w:val="0"/>
    <w:rPr>
      <w:rFonts w:ascii="宋体" w:hAnsi="宋体"/>
      <w:sz w:val="24"/>
      <w:szCs w:val="24"/>
      <w:lang w:val="zh-CN" w:eastAsia="zh-CN"/>
    </w:rPr>
  </w:style>
  <w:style w:type="character" w:customStyle="1" w:styleId="496">
    <w:name w:val="样式 标题 2 + 首行缩进:  2 字符"/>
    <w:basedOn w:val="83"/>
    <w:semiHidden/>
    <w:qFormat/>
    <w:uiPriority w:val="0"/>
  </w:style>
  <w:style w:type="paragraph" w:customStyle="1" w:styleId="497">
    <w:name w:val="纯文本4"/>
    <w:basedOn w:val="1"/>
    <w:semiHidden/>
    <w:qFormat/>
    <w:uiPriority w:val="0"/>
    <w:pPr>
      <w:overflowPunct w:val="0"/>
      <w:autoSpaceDE w:val="0"/>
      <w:autoSpaceDN w:val="0"/>
      <w:adjustRightInd w:val="0"/>
      <w:ind w:firstLine="480"/>
      <w:textAlignment w:val="baseline"/>
    </w:pPr>
    <w:rPr>
      <w:rFonts w:ascii="宋体"/>
      <w:szCs w:val="20"/>
    </w:rPr>
  </w:style>
  <w:style w:type="character" w:customStyle="1" w:styleId="498">
    <w:name w:val="表头标题 Char"/>
    <w:link w:val="499"/>
    <w:semiHidden/>
    <w:qFormat/>
    <w:uiPriority w:val="0"/>
    <w:rPr>
      <w:rFonts w:ascii="Arial" w:hAnsi="Arial" w:eastAsia="楷体_GB2312"/>
      <w:b/>
      <w:sz w:val="24"/>
      <w:lang w:val="zh-CN" w:eastAsia="zh-CN"/>
    </w:rPr>
  </w:style>
  <w:style w:type="paragraph" w:customStyle="1" w:styleId="499">
    <w:name w:val="表头标题"/>
    <w:basedOn w:val="1"/>
    <w:link w:val="498"/>
    <w:semiHidden/>
    <w:qFormat/>
    <w:uiPriority w:val="0"/>
    <w:pPr>
      <w:ind w:firstLine="480"/>
      <w:jc w:val="center"/>
    </w:pPr>
    <w:rPr>
      <w:rFonts w:ascii="Arial" w:hAnsi="Arial" w:eastAsia="楷体_GB2312" w:cs="Times New Roman"/>
      <w:b/>
      <w:szCs w:val="20"/>
      <w:lang w:val="zh-CN"/>
    </w:rPr>
  </w:style>
  <w:style w:type="paragraph" w:customStyle="1" w:styleId="500">
    <w:name w:val="样式8"/>
    <w:basedOn w:val="1"/>
    <w:next w:val="61"/>
    <w:semiHidden/>
    <w:qFormat/>
    <w:uiPriority w:val="0"/>
    <w:pPr>
      <w:spacing w:after="120"/>
      <w:ind w:left="420" w:leftChars="200" w:firstLine="480"/>
    </w:pPr>
    <w:rPr>
      <w:sz w:val="16"/>
      <w:szCs w:val="16"/>
    </w:rPr>
  </w:style>
  <w:style w:type="character" w:customStyle="1" w:styleId="501">
    <w:name w:val="ng-scope"/>
    <w:semiHidden/>
    <w:qFormat/>
    <w:uiPriority w:val="0"/>
  </w:style>
  <w:style w:type="paragraph" w:customStyle="1" w:styleId="502">
    <w:name w:val="目录标题"/>
    <w:basedOn w:val="2"/>
    <w:next w:val="1"/>
    <w:semiHidden/>
    <w:qFormat/>
    <w:uiPriority w:val="39"/>
    <w:pPr>
      <w:keepNext/>
      <w:keepLines/>
      <w:spacing w:before="480" w:after="0" w:line="276" w:lineRule="auto"/>
      <w:jc w:val="left"/>
      <w:outlineLvl w:val="9"/>
    </w:pPr>
    <w:rPr>
      <w:rFonts w:ascii="Cambria" w:hAnsi="Cambria" w:eastAsia="宋体"/>
      <w:bCs/>
      <w:color w:val="365F91"/>
      <w:sz w:val="28"/>
      <w:szCs w:val="28"/>
    </w:rPr>
  </w:style>
  <w:style w:type="paragraph" w:customStyle="1" w:styleId="503">
    <w:name w:val="10"/>
    <w:semiHidden/>
    <w:qFormat/>
    <w:uiPriority w:val="99"/>
    <w:pPr>
      <w:widowControl w:val="0"/>
      <w:jc w:val="both"/>
    </w:pPr>
    <w:rPr>
      <w:rFonts w:ascii="Calibri" w:hAnsi="Calibri" w:eastAsia="宋体" w:cs="Times New Roman"/>
      <w:kern w:val="2"/>
      <w:sz w:val="21"/>
      <w:szCs w:val="22"/>
      <w:lang w:val="en-US" w:eastAsia="zh-CN" w:bidi="ar-SA"/>
    </w:rPr>
  </w:style>
  <w:style w:type="paragraph" w:customStyle="1" w:styleId="504">
    <w:name w:val="正文修订"/>
    <w:basedOn w:val="1"/>
    <w:next w:val="1"/>
    <w:link w:val="505"/>
    <w:semiHidden/>
    <w:qFormat/>
    <w:uiPriority w:val="0"/>
    <w:pPr>
      <w:tabs>
        <w:tab w:val="center" w:pos="4153"/>
        <w:tab w:val="right" w:pos="8306"/>
      </w:tabs>
      <w:snapToGrid w:val="0"/>
      <w:spacing w:afterLines="50"/>
    </w:pPr>
    <w:rPr>
      <w:rFonts w:ascii="宋体" w:cs="Times New Roman"/>
      <w:kern w:val="2"/>
      <w:szCs w:val="15"/>
      <w:lang w:val="zh-CN"/>
    </w:rPr>
  </w:style>
  <w:style w:type="character" w:customStyle="1" w:styleId="505">
    <w:name w:val="正文修订 Char"/>
    <w:link w:val="504"/>
    <w:semiHidden/>
    <w:qFormat/>
    <w:uiPriority w:val="0"/>
    <w:rPr>
      <w:rFonts w:ascii="宋体" w:hAnsi="Times New Roman"/>
      <w:kern w:val="2"/>
      <w:sz w:val="24"/>
      <w:szCs w:val="15"/>
      <w:lang w:val="zh-CN" w:eastAsia="zh-CN"/>
    </w:rPr>
  </w:style>
  <w:style w:type="paragraph" w:customStyle="1" w:styleId="506">
    <w:name w:val="正文修订2"/>
    <w:basedOn w:val="1"/>
    <w:next w:val="1"/>
    <w:semiHidden/>
    <w:qFormat/>
    <w:uiPriority w:val="1"/>
    <w:pPr>
      <w:ind w:firstLine="480"/>
      <w:jc w:val="right"/>
    </w:pPr>
    <w:rPr>
      <w:rFonts w:ascii="宋体" w:hAnsi="宋体"/>
      <w:bCs/>
      <w:szCs w:val="21"/>
      <w:lang w:eastAsia="en-US"/>
    </w:rPr>
  </w:style>
  <w:style w:type="character" w:customStyle="1" w:styleId="507">
    <w:name w:val="不明显强调1"/>
    <w:semiHidden/>
    <w:qFormat/>
    <w:uiPriority w:val="19"/>
    <w:rPr>
      <w:rFonts w:eastAsia="宋体"/>
      <w:b/>
      <w:iCs/>
      <w:color w:val="auto"/>
      <w:sz w:val="24"/>
    </w:rPr>
  </w:style>
  <w:style w:type="paragraph" w:customStyle="1" w:styleId="508">
    <w:name w:val="单位元右对齐"/>
    <w:basedOn w:val="1"/>
    <w:next w:val="1"/>
    <w:semiHidden/>
    <w:qFormat/>
    <w:uiPriority w:val="0"/>
    <w:pPr>
      <w:snapToGrid w:val="0"/>
      <w:spacing w:beforeLines="15"/>
      <w:ind w:firstLine="480"/>
      <w:jc w:val="right"/>
    </w:pPr>
    <w:rPr>
      <w:szCs w:val="21"/>
    </w:rPr>
  </w:style>
  <w:style w:type="paragraph" w:customStyle="1" w:styleId="509">
    <w:name w:val="单位"/>
    <w:basedOn w:val="1"/>
    <w:link w:val="510"/>
    <w:semiHidden/>
    <w:qFormat/>
    <w:uiPriority w:val="0"/>
    <w:pPr>
      <w:adjustRightInd w:val="0"/>
      <w:snapToGrid w:val="0"/>
      <w:ind w:firstLine="420"/>
      <w:jc w:val="right"/>
    </w:pPr>
    <w:rPr>
      <w:rFonts w:ascii="宋体" w:hAnsi="宋体" w:cs="Times New Roman"/>
      <w:sz w:val="21"/>
      <w:szCs w:val="21"/>
      <w:lang w:val="zh-CN"/>
    </w:rPr>
  </w:style>
  <w:style w:type="character" w:customStyle="1" w:styleId="510">
    <w:name w:val="单位 Char"/>
    <w:link w:val="509"/>
    <w:semiHidden/>
    <w:qFormat/>
    <w:uiPriority w:val="0"/>
    <w:rPr>
      <w:rFonts w:ascii="宋体" w:hAnsi="宋体"/>
      <w:sz w:val="21"/>
      <w:szCs w:val="21"/>
      <w:lang w:val="zh-CN" w:eastAsia="zh-CN"/>
    </w:rPr>
  </w:style>
  <w:style w:type="paragraph" w:customStyle="1" w:styleId="511">
    <w:name w:val="11"/>
    <w:semiHidden/>
    <w:qFormat/>
    <w:uiPriority w:val="99"/>
    <w:pPr>
      <w:widowControl w:val="0"/>
      <w:jc w:val="both"/>
    </w:pPr>
    <w:rPr>
      <w:rFonts w:ascii="Calibri" w:hAnsi="Calibri" w:eastAsia="宋体" w:cs="Times New Roman"/>
      <w:kern w:val="2"/>
      <w:sz w:val="21"/>
      <w:szCs w:val="22"/>
      <w:lang w:val="en-US" w:eastAsia="zh-CN" w:bidi="ar-SA"/>
    </w:rPr>
  </w:style>
  <w:style w:type="character" w:customStyle="1" w:styleId="512">
    <w:name w:val="标题1 Char Char"/>
    <w:link w:val="513"/>
    <w:semiHidden/>
    <w:qFormat/>
    <w:uiPriority w:val="0"/>
    <w:rPr>
      <w:rFonts w:ascii="Times New Roman" w:hAnsi="Times New Roman" w:eastAsia="黑体"/>
      <w:bCs/>
      <w:kern w:val="44"/>
      <w:sz w:val="36"/>
      <w:szCs w:val="36"/>
      <w:lang w:val="zh-CN" w:eastAsia="zh-CN"/>
    </w:rPr>
  </w:style>
  <w:style w:type="paragraph" w:customStyle="1" w:styleId="513">
    <w:name w:val="标题1"/>
    <w:basedOn w:val="2"/>
    <w:link w:val="512"/>
    <w:semiHidden/>
    <w:qFormat/>
    <w:uiPriority w:val="0"/>
    <w:pPr>
      <w:keepNext/>
      <w:keepLines/>
      <w:spacing w:before="360" w:afterLines="50"/>
    </w:pPr>
    <w:rPr>
      <w:rFonts w:ascii="Times New Roman" w:hAnsi="Times New Roman"/>
      <w:b w:val="0"/>
      <w:bCs/>
      <w:kern w:val="44"/>
      <w:szCs w:val="36"/>
    </w:rPr>
  </w:style>
  <w:style w:type="paragraph" w:customStyle="1" w:styleId="514">
    <w:name w:val="列出段落3"/>
    <w:basedOn w:val="1"/>
    <w:semiHidden/>
    <w:qFormat/>
    <w:uiPriority w:val="0"/>
    <w:pPr>
      <w:spacing w:before="0" w:beforeLines="0" w:line="240" w:lineRule="auto"/>
      <w:ind w:firstLine="0" w:firstLineChars="0"/>
    </w:pPr>
    <w:rPr>
      <w:rFonts w:cs="Times New Roman"/>
      <w:sz w:val="21"/>
      <w:lang w:val="zh-CN"/>
    </w:rPr>
  </w:style>
  <w:style w:type="character" w:customStyle="1" w:styleId="515">
    <w:name w:val="题注 字符"/>
    <w:link w:val="17"/>
    <w:semiHidden/>
    <w:qFormat/>
    <w:uiPriority w:val="99"/>
    <w:rPr>
      <w:rFonts w:ascii="宋体" w:hAnsi="宋体"/>
      <w:b/>
      <w:kern w:val="2"/>
      <w:sz w:val="32"/>
      <w:szCs w:val="32"/>
      <w:lang w:val="zh-CN" w:eastAsia="zh-CN"/>
    </w:rPr>
  </w:style>
  <w:style w:type="paragraph" w:customStyle="1" w:styleId="516">
    <w:name w:val="五级标题"/>
    <w:basedOn w:val="6"/>
    <w:semiHidden/>
    <w:qFormat/>
    <w:uiPriority w:val="0"/>
    <w:pPr>
      <w:keepNext w:val="0"/>
      <w:keepLines w:val="0"/>
      <w:spacing w:before="0" w:afterLines="50" w:line="360" w:lineRule="auto"/>
      <w:ind w:left="420"/>
    </w:pPr>
    <w:rPr>
      <w:rFonts w:ascii="Times New Roman" w:hAnsi="Times New Roman"/>
      <w:sz w:val="24"/>
      <w:szCs w:val="24"/>
    </w:rPr>
  </w:style>
  <w:style w:type="paragraph" w:customStyle="1" w:styleId="517">
    <w:name w:val="四级标题"/>
    <w:basedOn w:val="5"/>
    <w:semiHidden/>
    <w:qFormat/>
    <w:uiPriority w:val="0"/>
    <w:pPr>
      <w:keepNext w:val="0"/>
      <w:keepLines w:val="0"/>
      <w:spacing w:afterLines="50" w:line="360" w:lineRule="auto"/>
    </w:pPr>
    <w:rPr>
      <w:rFonts w:ascii="Times New Roman" w:hAnsi="Times New Roman"/>
      <w:sz w:val="24"/>
      <w:szCs w:val="24"/>
    </w:rPr>
  </w:style>
  <w:style w:type="table" w:customStyle="1" w:styleId="518">
    <w:name w:val="表格cm"/>
    <w:basedOn w:val="81"/>
    <w:qFormat/>
    <w:uiPriority w:val="0"/>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paragraph" w:customStyle="1" w:styleId="519">
    <w:name w:val="图示文字"/>
    <w:basedOn w:val="1"/>
    <w:semiHidden/>
    <w:qFormat/>
    <w:uiPriority w:val="0"/>
    <w:pPr>
      <w:spacing w:afterLines="50"/>
      <w:ind w:firstLine="480"/>
    </w:pPr>
    <w:rPr>
      <w:rFonts w:ascii="华文细黑" w:hAnsi="华文细黑" w:eastAsia="华文细黑"/>
    </w:rPr>
  </w:style>
  <w:style w:type="table" w:customStyle="1" w:styleId="520">
    <w:name w:val="网格型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21">
    <w:name w:val="网格型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22">
    <w:name w:val="Table Grid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23">
    <w:name w:val="grp"/>
    <w:basedOn w:val="77"/>
    <w:qFormat/>
    <w:uiPriority w:val="0"/>
    <w:pPr>
      <w:widowControl w:val="0"/>
      <w:jc w:val="center"/>
    </w:pPr>
    <w:tblPr>
      <w:tblBorders>
        <w:top w:val="thinThickSmallGap" w:color="003366" w:sz="12" w:space="0"/>
      </w:tblBorders>
    </w:tblPr>
    <w:tcPr>
      <w:vAlign w:val="center"/>
    </w:tcPr>
  </w:style>
  <w:style w:type="character" w:customStyle="1" w:styleId="524">
    <w:name w:val="正文 Char"/>
    <w:link w:val="395"/>
    <w:semiHidden/>
    <w:qFormat/>
    <w:uiPriority w:val="0"/>
    <w:rPr>
      <w:rFonts w:ascii="宋体" w:hAnsi="Times New Roman"/>
      <w:sz w:val="34"/>
    </w:rPr>
  </w:style>
  <w:style w:type="character" w:customStyle="1" w:styleId="525">
    <w:name w:val="unnamed21"/>
    <w:semiHidden/>
    <w:qFormat/>
    <w:uiPriority w:val="0"/>
  </w:style>
  <w:style w:type="paragraph" w:customStyle="1" w:styleId="526">
    <w:name w:val="Char Char Char Char Char Char Char Char Char1 Char"/>
    <w:basedOn w:val="1"/>
    <w:semiHidden/>
    <w:qFormat/>
    <w:uiPriority w:val="0"/>
    <w:pPr>
      <w:spacing w:afterLines="50" w:line="400" w:lineRule="exact"/>
      <w:ind w:firstLine="480"/>
    </w:pPr>
    <w:rPr>
      <w:rFonts w:ascii="Tahoma" w:hAnsi="Tahoma"/>
      <w:szCs w:val="20"/>
    </w:rPr>
  </w:style>
  <w:style w:type="paragraph" w:customStyle="1" w:styleId="527">
    <w:name w:val="Char Char1 Char Char Char Char"/>
    <w:basedOn w:val="1"/>
    <w:semiHidden/>
    <w:qFormat/>
    <w:uiPriority w:val="0"/>
    <w:pPr>
      <w:spacing w:afterLines="50" w:line="400" w:lineRule="exact"/>
      <w:ind w:firstLine="480"/>
    </w:pPr>
    <w:rPr>
      <w:rFonts w:ascii="Tahoma" w:hAnsi="Tahoma"/>
      <w:szCs w:val="20"/>
    </w:rPr>
  </w:style>
  <w:style w:type="paragraph" w:customStyle="1" w:styleId="528">
    <w:name w:val="Char Char Char Char Char Char Char Char Char Char Char Char Char"/>
    <w:basedOn w:val="1"/>
    <w:semiHidden/>
    <w:qFormat/>
    <w:uiPriority w:val="0"/>
    <w:pPr>
      <w:spacing w:afterLines="50" w:line="400" w:lineRule="exact"/>
      <w:ind w:firstLine="480"/>
    </w:pPr>
    <w:rPr>
      <w:rFonts w:ascii="Tahoma" w:hAnsi="Tahoma"/>
      <w:szCs w:val="20"/>
    </w:rPr>
  </w:style>
  <w:style w:type="paragraph" w:customStyle="1" w:styleId="529">
    <w:name w:val="Char Char Char Char Char Char1 Char Char Char Char"/>
    <w:basedOn w:val="1"/>
    <w:semiHidden/>
    <w:qFormat/>
    <w:uiPriority w:val="0"/>
    <w:pPr>
      <w:spacing w:afterLines="50" w:line="400" w:lineRule="exact"/>
      <w:ind w:firstLine="480"/>
    </w:pPr>
    <w:rPr>
      <w:rFonts w:ascii="Tahoma" w:hAnsi="Tahoma"/>
      <w:szCs w:val="20"/>
    </w:rPr>
  </w:style>
  <w:style w:type="character" w:customStyle="1" w:styleId="530">
    <w:name w:val="ss"/>
    <w:semiHidden/>
    <w:qFormat/>
    <w:uiPriority w:val="0"/>
  </w:style>
  <w:style w:type="paragraph" w:customStyle="1" w:styleId="531">
    <w:name w:val="Char1 Char Char Char Char Char Char Char Char1 Char Char Char Char Char Char Char Char Char Char Char Char"/>
    <w:basedOn w:val="1"/>
    <w:semiHidden/>
    <w:qFormat/>
    <w:uiPriority w:val="0"/>
    <w:pPr>
      <w:spacing w:afterLines="50"/>
      <w:ind w:firstLine="480"/>
    </w:pPr>
    <w:rPr>
      <w:rFonts w:ascii="Tahoma" w:hAnsi="Tahoma"/>
      <w:szCs w:val="20"/>
    </w:rPr>
  </w:style>
  <w:style w:type="character" w:customStyle="1" w:styleId="532">
    <w:name w:val="big1"/>
    <w:semiHidden/>
    <w:qFormat/>
    <w:uiPriority w:val="0"/>
    <w:rPr>
      <w:spacing w:val="360"/>
      <w:sz w:val="22"/>
      <w:szCs w:val="22"/>
    </w:rPr>
  </w:style>
  <w:style w:type="character" w:customStyle="1" w:styleId="533">
    <w:name w:val="段 Char Char1"/>
    <w:semiHidden/>
    <w:qFormat/>
    <w:uiPriority w:val="0"/>
    <w:rPr>
      <w:rFonts w:ascii="Times New Roman" w:hAnsi="Arial"/>
      <w:color w:val="000000"/>
      <w:sz w:val="24"/>
    </w:rPr>
  </w:style>
  <w:style w:type="character" w:customStyle="1" w:styleId="534">
    <w:name w:val="unnamed1"/>
    <w:semiHidden/>
    <w:qFormat/>
    <w:uiPriority w:val="0"/>
  </w:style>
  <w:style w:type="paragraph" w:customStyle="1" w:styleId="535">
    <w:name w:val="Char1 Char Char Char Char Char Char Char Char1 Char Char Char Char"/>
    <w:basedOn w:val="1"/>
    <w:semiHidden/>
    <w:qFormat/>
    <w:uiPriority w:val="0"/>
    <w:pPr>
      <w:spacing w:afterLines="50"/>
      <w:ind w:firstLine="480"/>
    </w:pPr>
    <w:rPr>
      <w:rFonts w:ascii="Tahoma" w:hAnsi="Tahoma"/>
      <w:szCs w:val="20"/>
    </w:rPr>
  </w:style>
  <w:style w:type="paragraph" w:customStyle="1" w:styleId="536">
    <w:name w:val="Char1 Char Char Char Char Char Char Char Char1 Char Char Char Char Char Char Char Char Char Char Char Char Char Char Char Char"/>
    <w:basedOn w:val="1"/>
    <w:semiHidden/>
    <w:qFormat/>
    <w:uiPriority w:val="0"/>
    <w:pPr>
      <w:spacing w:afterLines="50"/>
      <w:ind w:firstLine="480"/>
    </w:pPr>
    <w:rPr>
      <w:rFonts w:ascii="Tahoma" w:hAnsi="Tahoma"/>
      <w:szCs w:val="20"/>
    </w:rPr>
  </w:style>
  <w:style w:type="paragraph" w:customStyle="1" w:styleId="537">
    <w:name w:val="表题"/>
    <w:basedOn w:val="1"/>
    <w:semiHidden/>
    <w:qFormat/>
    <w:uiPriority w:val="0"/>
    <w:pPr>
      <w:spacing w:afterLines="50" w:line="300" w:lineRule="auto"/>
      <w:ind w:firstLine="480"/>
      <w:jc w:val="center"/>
    </w:pPr>
    <w:rPr>
      <w:rFonts w:ascii="黑体" w:eastAsia="黑体"/>
      <w:b/>
      <w:sz w:val="20"/>
      <w:szCs w:val="20"/>
    </w:rPr>
  </w:style>
  <w:style w:type="paragraph" w:customStyle="1" w:styleId="538">
    <w:name w:val="c_"/>
    <w:semiHidden/>
    <w:qFormat/>
    <w:uiPriority w:val="0"/>
    <w:pPr>
      <w:widowControl w:val="0"/>
      <w:autoSpaceDE w:val="0"/>
      <w:autoSpaceDN w:val="0"/>
      <w:adjustRightInd w:val="0"/>
      <w:jc w:val="both"/>
    </w:pPr>
    <w:rPr>
      <w:rFonts w:ascii="Arial" w:hAnsi="Arial" w:eastAsia="宋体" w:cs="Times New Roman"/>
      <w:sz w:val="24"/>
      <w:lang w:val="en-US" w:eastAsia="zh-CN" w:bidi="ar-SA"/>
    </w:rPr>
  </w:style>
  <w:style w:type="paragraph" w:customStyle="1" w:styleId="539">
    <w:name w:val="样式 标题 1 + 17.5 磅"/>
    <w:basedOn w:val="2"/>
    <w:next w:val="2"/>
    <w:semiHidden/>
    <w:qFormat/>
    <w:uiPriority w:val="0"/>
    <w:pPr>
      <w:keepNext/>
      <w:keepLines/>
      <w:tabs>
        <w:tab w:val="left" w:pos="420"/>
      </w:tabs>
      <w:spacing w:before="340" w:afterLines="50"/>
      <w:ind w:left="420" w:hanging="420"/>
    </w:pPr>
    <w:rPr>
      <w:rFonts w:ascii="Calibri" w:hAnsi="Times New Roman"/>
      <w:b w:val="0"/>
      <w:bCs/>
      <w:kern w:val="44"/>
      <w:szCs w:val="44"/>
    </w:rPr>
  </w:style>
  <w:style w:type="paragraph" w:customStyle="1" w:styleId="540">
    <w:name w:val="图题"/>
    <w:basedOn w:val="1"/>
    <w:link w:val="614"/>
    <w:semiHidden/>
    <w:qFormat/>
    <w:uiPriority w:val="0"/>
    <w:pPr>
      <w:autoSpaceDE w:val="0"/>
      <w:autoSpaceDN w:val="0"/>
      <w:spacing w:afterLines="50"/>
      <w:ind w:firstLine="480"/>
    </w:pPr>
    <w:rPr>
      <w:rFonts w:ascii="Arial" w:hAnsi="Arial" w:eastAsia="汉鼎简中黑" w:cs="Times New Roman"/>
      <w:sz w:val="20"/>
      <w:szCs w:val="20"/>
      <w:lang w:val="zh-CN"/>
    </w:rPr>
  </w:style>
  <w:style w:type="paragraph" w:customStyle="1" w:styleId="541">
    <w:name w:val="仿宋四号"/>
    <w:basedOn w:val="1"/>
    <w:semiHidden/>
    <w:qFormat/>
    <w:uiPriority w:val="0"/>
    <w:pPr>
      <w:spacing w:afterLines="50"/>
      <w:ind w:firstLine="560"/>
    </w:pPr>
    <w:rPr>
      <w:rFonts w:ascii="仿宋_GB2312" w:hAnsi="Arial" w:eastAsia="仿宋_GB2312"/>
      <w:sz w:val="28"/>
      <w:szCs w:val="20"/>
    </w:rPr>
  </w:style>
  <w:style w:type="paragraph" w:customStyle="1" w:styleId="542">
    <w:name w:val="Char Char Char Char Char Char Char Char Char Char Char Char Char Char Char Char Char Char Char"/>
    <w:basedOn w:val="1"/>
    <w:semiHidden/>
    <w:qFormat/>
    <w:uiPriority w:val="0"/>
    <w:pPr>
      <w:spacing w:afterLines="50"/>
      <w:ind w:firstLine="480"/>
    </w:pPr>
    <w:rPr>
      <w:rFonts w:ascii="Tahoma" w:hAnsi="Tahoma"/>
      <w:szCs w:val="20"/>
    </w:rPr>
  </w:style>
  <w:style w:type="paragraph" w:customStyle="1" w:styleId="543">
    <w:name w:val="单页标题"/>
    <w:basedOn w:val="1"/>
    <w:next w:val="1"/>
    <w:semiHidden/>
    <w:qFormat/>
    <w:uiPriority w:val="0"/>
    <w:pPr>
      <w:adjustRightInd w:val="0"/>
      <w:spacing w:afterLines="50" w:line="415" w:lineRule="auto"/>
      <w:ind w:firstLine="480"/>
      <w:jc w:val="center"/>
      <w:outlineLvl w:val="1"/>
    </w:pPr>
    <w:rPr>
      <w:rFonts w:eastAsia="黑体"/>
      <w:sz w:val="32"/>
      <w:szCs w:val="35"/>
    </w:rPr>
  </w:style>
  <w:style w:type="table" w:customStyle="1" w:styleId="544">
    <w:name w:val="BY表格样式"/>
    <w:basedOn w:val="78"/>
    <w:qFormat/>
    <w:uiPriority w:val="0"/>
    <w:pPr>
      <w:spacing w:line="276" w:lineRule="auto"/>
    </w:pPr>
    <w:rPr>
      <w:sz w:val="21"/>
    </w:r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style>
  <w:style w:type="paragraph" w:customStyle="1" w:styleId="545">
    <w:name w:val="CM3"/>
    <w:basedOn w:val="118"/>
    <w:next w:val="118"/>
    <w:semiHidden/>
    <w:qFormat/>
    <w:uiPriority w:val="0"/>
    <w:pPr>
      <w:spacing w:line="471" w:lineRule="atLeast"/>
    </w:pPr>
    <w:rPr>
      <w:rFonts w:ascii="黑体" w:hAnsi="Times New Roman" w:eastAsia="黑体" w:cs="Times New Roman"/>
      <w:color w:val="auto"/>
    </w:rPr>
  </w:style>
  <w:style w:type="paragraph" w:customStyle="1" w:styleId="546">
    <w:name w:val="CM112"/>
    <w:basedOn w:val="118"/>
    <w:next w:val="118"/>
    <w:semiHidden/>
    <w:qFormat/>
    <w:uiPriority w:val="0"/>
    <w:pPr>
      <w:spacing w:after="70"/>
    </w:pPr>
    <w:rPr>
      <w:rFonts w:ascii="黑体" w:hAnsi="Times New Roman" w:eastAsia="黑体" w:cs="Times New Roman"/>
      <w:color w:val="auto"/>
    </w:rPr>
  </w:style>
  <w:style w:type="paragraph" w:customStyle="1" w:styleId="547">
    <w:name w:val="CM25"/>
    <w:basedOn w:val="118"/>
    <w:next w:val="118"/>
    <w:semiHidden/>
    <w:qFormat/>
    <w:uiPriority w:val="0"/>
    <w:pPr>
      <w:spacing w:line="468" w:lineRule="atLeast"/>
    </w:pPr>
    <w:rPr>
      <w:rFonts w:ascii="黑体" w:hAnsi="Times New Roman" w:eastAsia="黑体" w:cs="Times New Roman"/>
      <w:color w:val="auto"/>
    </w:rPr>
  </w:style>
  <w:style w:type="paragraph" w:customStyle="1" w:styleId="548">
    <w:name w:val="CM26"/>
    <w:basedOn w:val="118"/>
    <w:next w:val="118"/>
    <w:semiHidden/>
    <w:qFormat/>
    <w:uiPriority w:val="0"/>
    <w:pPr>
      <w:spacing w:line="471" w:lineRule="atLeast"/>
    </w:pPr>
    <w:rPr>
      <w:rFonts w:ascii="黑体" w:hAnsi="Times New Roman" w:eastAsia="黑体" w:cs="Times New Roman"/>
      <w:color w:val="auto"/>
    </w:rPr>
  </w:style>
  <w:style w:type="paragraph" w:customStyle="1" w:styleId="549">
    <w:name w:val="清除格式"/>
    <w:basedOn w:val="1"/>
    <w:semiHidden/>
    <w:qFormat/>
    <w:uiPriority w:val="0"/>
    <w:pPr>
      <w:tabs>
        <w:tab w:val="left" w:pos="900"/>
      </w:tabs>
      <w:spacing w:afterLines="50"/>
      <w:ind w:left="900" w:hanging="420"/>
    </w:pPr>
    <w:rPr>
      <w:rFonts w:ascii="Arial" w:hAnsi="Arial" w:eastAsia="黑体" w:cs="Arial"/>
    </w:rPr>
  </w:style>
  <w:style w:type="paragraph" w:customStyle="1" w:styleId="550">
    <w:name w:val="CM27"/>
    <w:basedOn w:val="1"/>
    <w:next w:val="1"/>
    <w:semiHidden/>
    <w:qFormat/>
    <w:uiPriority w:val="0"/>
    <w:pPr>
      <w:autoSpaceDE w:val="0"/>
      <w:autoSpaceDN w:val="0"/>
      <w:adjustRightInd w:val="0"/>
      <w:spacing w:afterLines="50" w:line="466" w:lineRule="atLeast"/>
      <w:ind w:firstLine="480"/>
    </w:pPr>
    <w:rPr>
      <w:rFonts w:ascii="黑体" w:eastAsia="黑体"/>
    </w:rPr>
  </w:style>
  <w:style w:type="paragraph" w:customStyle="1" w:styleId="551">
    <w:name w:val="CM98"/>
    <w:basedOn w:val="1"/>
    <w:next w:val="1"/>
    <w:semiHidden/>
    <w:qFormat/>
    <w:uiPriority w:val="0"/>
    <w:pPr>
      <w:autoSpaceDE w:val="0"/>
      <w:autoSpaceDN w:val="0"/>
      <w:adjustRightInd w:val="0"/>
      <w:spacing w:afterLines="50" w:line="408" w:lineRule="atLeast"/>
      <w:ind w:firstLine="480"/>
    </w:pPr>
    <w:rPr>
      <w:rFonts w:ascii="黑体" w:eastAsia="黑体"/>
    </w:rPr>
  </w:style>
  <w:style w:type="paragraph" w:customStyle="1" w:styleId="552">
    <w:name w:val="CM5"/>
    <w:basedOn w:val="118"/>
    <w:next w:val="118"/>
    <w:semiHidden/>
    <w:qFormat/>
    <w:uiPriority w:val="0"/>
    <w:pPr>
      <w:spacing w:line="466" w:lineRule="atLeast"/>
    </w:pPr>
    <w:rPr>
      <w:rFonts w:ascii="黑体" w:hAnsi="Times New Roman" w:eastAsia="黑体" w:cs="Times New Roman"/>
      <w:color w:val="auto"/>
    </w:rPr>
  </w:style>
  <w:style w:type="paragraph" w:customStyle="1" w:styleId="553">
    <w:name w:val="CM17"/>
    <w:basedOn w:val="118"/>
    <w:next w:val="118"/>
    <w:semiHidden/>
    <w:qFormat/>
    <w:uiPriority w:val="0"/>
    <w:pPr>
      <w:spacing w:line="468" w:lineRule="atLeast"/>
    </w:pPr>
    <w:rPr>
      <w:rFonts w:ascii="黑体" w:hAnsi="Times New Roman" w:eastAsia="黑体" w:cs="Times New Roman"/>
      <w:color w:val="auto"/>
    </w:rPr>
  </w:style>
  <w:style w:type="character" w:customStyle="1" w:styleId="554">
    <w:name w:val="style81"/>
    <w:semiHidden/>
    <w:qFormat/>
    <w:uiPriority w:val="0"/>
    <w:rPr>
      <w:b/>
      <w:bCs/>
      <w:color w:val="FF8503"/>
      <w:sz w:val="28"/>
      <w:szCs w:val="28"/>
    </w:rPr>
  </w:style>
  <w:style w:type="character" w:customStyle="1" w:styleId="555">
    <w:name w:val="1501"/>
    <w:semiHidden/>
    <w:qFormat/>
    <w:uiPriority w:val="0"/>
    <w:rPr>
      <w:color w:val="333333"/>
      <w:spacing w:val="384"/>
      <w:sz w:val="18"/>
      <w:szCs w:val="18"/>
    </w:rPr>
  </w:style>
  <w:style w:type="character" w:customStyle="1" w:styleId="556">
    <w:name w:val="style101"/>
    <w:semiHidden/>
    <w:qFormat/>
    <w:uiPriority w:val="0"/>
    <w:rPr>
      <w:color w:val="FF8503"/>
    </w:rPr>
  </w:style>
  <w:style w:type="character" w:customStyle="1" w:styleId="557">
    <w:name w:val="style41"/>
    <w:semiHidden/>
    <w:qFormat/>
    <w:uiPriority w:val="0"/>
    <w:rPr>
      <w:b/>
      <w:bCs/>
      <w:color w:val="FF8503"/>
    </w:rPr>
  </w:style>
  <w:style w:type="character" w:customStyle="1" w:styleId="558">
    <w:name w:val="unnamed11"/>
    <w:semiHidden/>
    <w:qFormat/>
    <w:uiPriority w:val="0"/>
    <w:rPr>
      <w:rFonts w:hint="default"/>
      <w:spacing w:val="440"/>
      <w:sz w:val="24"/>
      <w:szCs w:val="24"/>
    </w:rPr>
  </w:style>
  <w:style w:type="character" w:customStyle="1" w:styleId="559">
    <w:name w:val="s"/>
    <w:semiHidden/>
    <w:qFormat/>
    <w:uiPriority w:val="0"/>
  </w:style>
  <w:style w:type="character" w:customStyle="1" w:styleId="560">
    <w:name w:val="detail"/>
    <w:semiHidden/>
    <w:qFormat/>
    <w:uiPriority w:val="0"/>
  </w:style>
  <w:style w:type="paragraph" w:customStyle="1" w:styleId="561">
    <w:name w:val="样式 仿宋_GB2312 四号"/>
    <w:basedOn w:val="1"/>
    <w:semiHidden/>
    <w:qFormat/>
    <w:uiPriority w:val="0"/>
    <w:pPr>
      <w:spacing w:afterLines="50"/>
      <w:ind w:firstLine="480"/>
    </w:pPr>
    <w:rPr>
      <w:rFonts w:ascii="仿宋_GB2312" w:eastAsia="仿宋_GB2312"/>
      <w:sz w:val="28"/>
      <w:szCs w:val="20"/>
    </w:rPr>
  </w:style>
  <w:style w:type="paragraph" w:customStyle="1" w:styleId="562">
    <w:name w:val="样式 仿宋_GB2312 四号 行距: 1.5 倍行距"/>
    <w:basedOn w:val="1"/>
    <w:semiHidden/>
    <w:qFormat/>
    <w:uiPriority w:val="0"/>
    <w:pPr>
      <w:spacing w:afterLines="50"/>
      <w:ind w:firstLine="480"/>
    </w:pPr>
    <w:rPr>
      <w:rFonts w:ascii="仿宋_GB2312" w:hAnsi="宋体" w:eastAsia="仿宋_GB2312"/>
      <w:sz w:val="28"/>
      <w:szCs w:val="20"/>
    </w:rPr>
  </w:style>
  <w:style w:type="paragraph" w:customStyle="1" w:styleId="563">
    <w:name w:val="样式 仿宋_GB2312 四号 行距: 1.5 倍行距1"/>
    <w:basedOn w:val="1"/>
    <w:semiHidden/>
    <w:qFormat/>
    <w:uiPriority w:val="0"/>
    <w:pPr>
      <w:spacing w:afterLines="50"/>
      <w:ind w:firstLine="480"/>
    </w:pPr>
    <w:rPr>
      <w:rFonts w:ascii="仿宋_GB2312" w:hAnsi="Arial" w:eastAsia="仿宋_GB2312"/>
      <w:sz w:val="28"/>
      <w:szCs w:val="20"/>
    </w:rPr>
  </w:style>
  <w:style w:type="paragraph" w:customStyle="1" w:styleId="564">
    <w:name w:val="样式 仿宋_GB2312 四号1"/>
    <w:basedOn w:val="1"/>
    <w:semiHidden/>
    <w:qFormat/>
    <w:uiPriority w:val="0"/>
    <w:pPr>
      <w:spacing w:afterLines="50"/>
      <w:ind w:firstLine="480"/>
    </w:pPr>
    <w:rPr>
      <w:rFonts w:ascii="仿宋_GB2312" w:eastAsia="仿宋_GB2312"/>
      <w:sz w:val="28"/>
      <w:szCs w:val="20"/>
    </w:rPr>
  </w:style>
  <w:style w:type="paragraph" w:customStyle="1" w:styleId="565">
    <w:name w:val="样式 仿宋_GB2312 四号 行距: 1.5 倍行距2"/>
    <w:basedOn w:val="1"/>
    <w:semiHidden/>
    <w:qFormat/>
    <w:uiPriority w:val="0"/>
    <w:pPr>
      <w:spacing w:afterLines="50"/>
      <w:ind w:firstLine="480"/>
    </w:pPr>
    <w:rPr>
      <w:rFonts w:ascii="仿宋_GB2312" w:eastAsia="仿宋_GB2312"/>
      <w:sz w:val="28"/>
      <w:szCs w:val="20"/>
    </w:rPr>
  </w:style>
  <w:style w:type="paragraph" w:customStyle="1" w:styleId="566">
    <w:name w:val="样式 仿宋_GB2312 四号 行距: 1.5 倍行距3"/>
    <w:basedOn w:val="1"/>
    <w:semiHidden/>
    <w:qFormat/>
    <w:uiPriority w:val="0"/>
    <w:pPr>
      <w:spacing w:afterLines="50"/>
      <w:ind w:firstLine="480"/>
    </w:pPr>
    <w:rPr>
      <w:rFonts w:ascii="仿宋_GB2312" w:hAnsi="Arial" w:eastAsia="仿宋_GB2312"/>
      <w:sz w:val="28"/>
      <w:szCs w:val="20"/>
    </w:rPr>
  </w:style>
  <w:style w:type="paragraph" w:customStyle="1" w:styleId="567">
    <w:name w:val="样式 样式 仿宋_GB2312 四号 行距: 1.5 倍行距1 + 首行缩进:  2 字符"/>
    <w:basedOn w:val="563"/>
    <w:semiHidden/>
    <w:qFormat/>
    <w:uiPriority w:val="0"/>
  </w:style>
  <w:style w:type="paragraph" w:customStyle="1" w:styleId="568">
    <w:name w:val="样式 样式 仿宋_GB2312 四号 + 首行缩进:  2 字符"/>
    <w:basedOn w:val="561"/>
    <w:semiHidden/>
    <w:qFormat/>
    <w:uiPriority w:val="0"/>
  </w:style>
  <w:style w:type="paragraph" w:customStyle="1" w:styleId="569">
    <w:name w:val="样式 仿宋_GB2312 四号 首行缩进:  1.06 厘米"/>
    <w:basedOn w:val="1"/>
    <w:semiHidden/>
    <w:qFormat/>
    <w:uiPriority w:val="0"/>
    <w:pPr>
      <w:spacing w:afterLines="50"/>
      <w:ind w:firstLine="480"/>
    </w:pPr>
    <w:rPr>
      <w:rFonts w:ascii="仿宋_GB2312" w:eastAsia="仿宋_GB2312"/>
      <w:sz w:val="28"/>
      <w:szCs w:val="20"/>
    </w:rPr>
  </w:style>
  <w:style w:type="paragraph" w:customStyle="1" w:styleId="570">
    <w:name w:val="样式 样式 仿宋_GB2312 四号 首行缩进:  1.06 厘米 + 首行缩进:  2 字符"/>
    <w:basedOn w:val="569"/>
    <w:semiHidden/>
    <w:qFormat/>
    <w:uiPriority w:val="0"/>
  </w:style>
  <w:style w:type="paragraph" w:customStyle="1" w:styleId="571">
    <w:name w:val="样式 仿宋_GB2312 四号2"/>
    <w:basedOn w:val="1"/>
    <w:semiHidden/>
    <w:qFormat/>
    <w:uiPriority w:val="0"/>
    <w:pPr>
      <w:spacing w:afterLines="50"/>
      <w:ind w:firstLine="480"/>
    </w:pPr>
    <w:rPr>
      <w:rFonts w:ascii="仿宋_GB2312" w:hAnsi="Arial" w:eastAsia="仿宋_GB2312"/>
      <w:sz w:val="28"/>
      <w:szCs w:val="20"/>
    </w:rPr>
  </w:style>
  <w:style w:type="paragraph" w:customStyle="1" w:styleId="572">
    <w:name w:val="样式 样式 样式 仿宋_GB2312 四号 行距: 1.5 倍行距1 + 首行缩进:  2 字符 + 首行缩进:  2 字符"/>
    <w:basedOn w:val="567"/>
    <w:semiHidden/>
    <w:qFormat/>
    <w:uiPriority w:val="0"/>
  </w:style>
  <w:style w:type="character" w:customStyle="1" w:styleId="573">
    <w:name w:val="duanluo2"/>
    <w:semiHidden/>
    <w:qFormat/>
    <w:uiPriority w:val="0"/>
    <w:rPr>
      <w:rFonts w:ascii="??" w:hAnsi="??"/>
      <w:color w:val="000000"/>
      <w:sz w:val="28"/>
    </w:rPr>
  </w:style>
  <w:style w:type="character" w:customStyle="1" w:styleId="574">
    <w:name w:val="px14"/>
    <w:semiHidden/>
    <w:qFormat/>
    <w:uiPriority w:val="0"/>
  </w:style>
  <w:style w:type="character" w:customStyle="1" w:styleId="575">
    <w:name w:val="newsbody1"/>
    <w:semiHidden/>
    <w:qFormat/>
    <w:uiPriority w:val="0"/>
    <w:rPr>
      <w:sz w:val="21"/>
      <w:szCs w:val="21"/>
    </w:rPr>
  </w:style>
  <w:style w:type="paragraph" w:customStyle="1" w:styleId="576">
    <w:name w:val="Char Char"/>
    <w:basedOn w:val="1"/>
    <w:semiHidden/>
    <w:qFormat/>
    <w:uiPriority w:val="0"/>
    <w:pPr>
      <w:adjustRightInd w:val="0"/>
      <w:spacing w:afterLines="50"/>
      <w:ind w:firstLine="480"/>
    </w:pPr>
    <w:rPr>
      <w:szCs w:val="20"/>
    </w:rPr>
  </w:style>
  <w:style w:type="paragraph" w:customStyle="1" w:styleId="577">
    <w:name w:val="CM31"/>
    <w:basedOn w:val="118"/>
    <w:next w:val="118"/>
    <w:semiHidden/>
    <w:qFormat/>
    <w:uiPriority w:val="0"/>
    <w:pPr>
      <w:spacing w:line="468" w:lineRule="atLeast"/>
    </w:pPr>
    <w:rPr>
      <w:rFonts w:ascii="黑体" w:hAnsi="Times New Roman" w:eastAsia="黑体" w:cs="Times New Roman"/>
      <w:color w:val="auto"/>
    </w:rPr>
  </w:style>
  <w:style w:type="character" w:customStyle="1" w:styleId="578">
    <w:name w:val="tpc_content1"/>
    <w:semiHidden/>
    <w:qFormat/>
    <w:uiPriority w:val="0"/>
    <w:rPr>
      <w:sz w:val="26"/>
      <w:szCs w:val="26"/>
    </w:rPr>
  </w:style>
  <w:style w:type="paragraph" w:customStyle="1" w:styleId="579">
    <w:name w:val="Char Char Char Char Char Char Char Char Char1 Char Char Char Char"/>
    <w:basedOn w:val="1"/>
    <w:semiHidden/>
    <w:qFormat/>
    <w:uiPriority w:val="0"/>
    <w:pPr>
      <w:spacing w:afterLines="50" w:line="400" w:lineRule="exact"/>
      <w:ind w:firstLine="480"/>
    </w:pPr>
    <w:rPr>
      <w:rFonts w:ascii="Tahoma" w:hAnsi="Tahoma"/>
      <w:szCs w:val="20"/>
    </w:rPr>
  </w:style>
  <w:style w:type="paragraph" w:customStyle="1" w:styleId="580">
    <w:name w:val="Char Char Char Char Char Char Char Char Char Char"/>
    <w:basedOn w:val="1"/>
    <w:semiHidden/>
    <w:qFormat/>
    <w:uiPriority w:val="0"/>
    <w:pPr>
      <w:tabs>
        <w:tab w:val="left" w:pos="425"/>
      </w:tabs>
      <w:spacing w:afterLines="50"/>
      <w:ind w:left="425" w:hanging="425"/>
    </w:pPr>
    <w:rPr>
      <w:rFonts w:ascii="宋体" w:hAnsi="宋体"/>
      <w:b/>
      <w:kern w:val="24"/>
    </w:rPr>
  </w:style>
  <w:style w:type="paragraph" w:customStyle="1" w:styleId="581">
    <w:name w:val="Char1 Char Char Char Char Char Char Char Char1 Char Char Char Char Char Char Char Char Char Char Char Char Char"/>
    <w:basedOn w:val="1"/>
    <w:semiHidden/>
    <w:qFormat/>
    <w:uiPriority w:val="0"/>
    <w:pPr>
      <w:spacing w:afterLines="50"/>
      <w:ind w:firstLine="480"/>
    </w:pPr>
    <w:rPr>
      <w:rFonts w:ascii="Tahoma" w:hAnsi="Tahoma"/>
      <w:szCs w:val="20"/>
    </w:rPr>
  </w:style>
  <w:style w:type="paragraph" w:customStyle="1" w:styleId="582">
    <w:name w:val="Char Char Char Char Char Char1 Char Char Char Char Char Char Char"/>
    <w:basedOn w:val="1"/>
    <w:semiHidden/>
    <w:qFormat/>
    <w:uiPriority w:val="0"/>
    <w:pPr>
      <w:spacing w:afterLines="50" w:line="400" w:lineRule="exact"/>
      <w:ind w:firstLine="480"/>
    </w:pPr>
    <w:rPr>
      <w:rFonts w:ascii="Tahoma" w:hAnsi="Tahoma"/>
      <w:szCs w:val="20"/>
    </w:rPr>
  </w:style>
  <w:style w:type="paragraph" w:customStyle="1" w:styleId="583">
    <w:name w:val="Char Char1 Char Char Char Char Char Char Char"/>
    <w:basedOn w:val="1"/>
    <w:semiHidden/>
    <w:qFormat/>
    <w:uiPriority w:val="0"/>
    <w:pPr>
      <w:spacing w:afterLines="50" w:line="400" w:lineRule="exact"/>
      <w:ind w:firstLine="480"/>
    </w:pPr>
    <w:rPr>
      <w:rFonts w:ascii="Tahoma" w:hAnsi="Tahoma"/>
      <w:szCs w:val="20"/>
    </w:rPr>
  </w:style>
  <w:style w:type="character" w:customStyle="1" w:styleId="584">
    <w:name w:val="style6"/>
    <w:semiHidden/>
    <w:qFormat/>
    <w:uiPriority w:val="0"/>
  </w:style>
  <w:style w:type="character" w:customStyle="1" w:styleId="585">
    <w:name w:val="htd0"/>
    <w:semiHidden/>
    <w:qFormat/>
    <w:uiPriority w:val="0"/>
  </w:style>
  <w:style w:type="character" w:customStyle="1" w:styleId="586">
    <w:name w:val="ourfont1"/>
    <w:semiHidden/>
    <w:qFormat/>
    <w:uiPriority w:val="0"/>
    <w:rPr>
      <w:spacing w:val="260"/>
      <w:sz w:val="22"/>
      <w:szCs w:val="22"/>
    </w:rPr>
  </w:style>
  <w:style w:type="paragraph" w:customStyle="1" w:styleId="587">
    <w:name w:val="插图说明"/>
    <w:basedOn w:val="1"/>
    <w:semiHidden/>
    <w:qFormat/>
    <w:uiPriority w:val="0"/>
    <w:pPr>
      <w:adjustRightInd w:val="0"/>
      <w:spacing w:afterLines="50"/>
      <w:ind w:firstLine="480"/>
      <w:jc w:val="center"/>
      <w:textAlignment w:val="baseline"/>
    </w:pPr>
    <w:rPr>
      <w:rFonts w:eastAsia="黑体"/>
      <w:szCs w:val="20"/>
    </w:rPr>
  </w:style>
  <w:style w:type="paragraph" w:customStyle="1" w:styleId="588">
    <w:name w:val="样式 首行缩进:  2 字符"/>
    <w:basedOn w:val="1"/>
    <w:semiHidden/>
    <w:qFormat/>
    <w:uiPriority w:val="0"/>
    <w:pPr>
      <w:spacing w:afterLines="50" w:line="288" w:lineRule="auto"/>
      <w:ind w:firstLine="560"/>
    </w:pPr>
    <w:rPr>
      <w:rFonts w:eastAsia="仿宋_GB2312"/>
      <w:sz w:val="28"/>
      <w:szCs w:val="20"/>
    </w:rPr>
  </w:style>
  <w:style w:type="paragraph" w:customStyle="1" w:styleId="589">
    <w:name w:val="xl176"/>
    <w:basedOn w:val="1"/>
    <w:semiHidden/>
    <w:qFormat/>
    <w:uiPriority w:val="0"/>
    <w:pPr>
      <w:pBdr>
        <w:left w:val="single" w:color="auto" w:sz="4" w:space="0"/>
        <w:right w:val="single" w:color="auto" w:sz="8" w:space="0"/>
      </w:pBdr>
      <w:spacing w:beforeAutospacing="1" w:afterLines="50" w:afterAutospacing="1"/>
      <w:ind w:firstLine="480"/>
      <w:jc w:val="center"/>
      <w:textAlignment w:val="center"/>
    </w:pPr>
    <w:rPr>
      <w:szCs w:val="21"/>
    </w:rPr>
  </w:style>
  <w:style w:type="paragraph" w:customStyle="1" w:styleId="590">
    <w:name w:val="封面标题"/>
    <w:semiHidden/>
    <w:qFormat/>
    <w:uiPriority w:val="0"/>
    <w:pPr>
      <w:spacing w:line="360" w:lineRule="auto"/>
      <w:jc w:val="center"/>
    </w:pPr>
    <w:rPr>
      <w:rFonts w:ascii="Times New Roman" w:hAnsi="Times New Roman" w:eastAsia="宋体" w:cs="Times New Roman"/>
      <w:b/>
      <w:color w:val="000000"/>
      <w:sz w:val="44"/>
      <w:lang w:val="en-US" w:eastAsia="zh-CN" w:bidi="ar-SA"/>
    </w:rPr>
  </w:style>
  <w:style w:type="paragraph" w:customStyle="1" w:styleId="591">
    <w:name w:val="缺省文本"/>
    <w:basedOn w:val="1"/>
    <w:semiHidden/>
    <w:qFormat/>
    <w:uiPriority w:val="0"/>
    <w:pPr>
      <w:autoSpaceDE w:val="0"/>
      <w:autoSpaceDN w:val="0"/>
      <w:adjustRightInd w:val="0"/>
      <w:spacing w:afterLines="50" w:line="400" w:lineRule="exact"/>
      <w:ind w:firstLine="504"/>
      <w:textAlignment w:val="baseline"/>
    </w:pPr>
    <w:rPr>
      <w:rFonts w:ascii="宋体" w:hAnsi="Tms Rmn"/>
      <w:szCs w:val="20"/>
    </w:rPr>
  </w:style>
  <w:style w:type="paragraph" w:customStyle="1" w:styleId="592">
    <w:name w:val="样式 标题 2章节标题sect 1.2H2PIM2Heading 2 HiddenHeading 2 CCBSh..."/>
    <w:basedOn w:val="3"/>
    <w:semiHidden/>
    <w:qFormat/>
    <w:uiPriority w:val="0"/>
    <w:pPr>
      <w:tabs>
        <w:tab w:val="left" w:pos="720"/>
      </w:tabs>
      <w:adjustRightInd w:val="0"/>
      <w:spacing w:afterLines="50" w:line="520" w:lineRule="atLeast"/>
      <w:ind w:left="454" w:hanging="454"/>
    </w:pPr>
    <w:rPr>
      <w:rFonts w:ascii="黑体" w:hAnsi="黑体"/>
      <w:sz w:val="30"/>
      <w:szCs w:val="20"/>
    </w:rPr>
  </w:style>
  <w:style w:type="paragraph" w:customStyle="1" w:styleId="593">
    <w:name w:val="标题5"/>
    <w:basedOn w:val="1"/>
    <w:semiHidden/>
    <w:qFormat/>
    <w:uiPriority w:val="0"/>
    <w:pPr>
      <w:autoSpaceDE w:val="0"/>
      <w:autoSpaceDN w:val="0"/>
      <w:adjustRightInd w:val="0"/>
      <w:spacing w:afterLines="50" w:line="320" w:lineRule="atLeast"/>
      <w:ind w:firstLine="480"/>
    </w:pPr>
    <w:rPr>
      <w:rFonts w:ascii="宋体"/>
      <w:szCs w:val="20"/>
    </w:rPr>
  </w:style>
  <w:style w:type="paragraph" w:customStyle="1" w:styleId="594">
    <w:name w:val="二级标题"/>
    <w:basedOn w:val="1"/>
    <w:semiHidden/>
    <w:qFormat/>
    <w:uiPriority w:val="0"/>
    <w:pPr>
      <w:snapToGrid w:val="0"/>
      <w:spacing w:afterLines="50" w:line="420" w:lineRule="atLeast"/>
      <w:ind w:firstLine="480"/>
      <w:outlineLvl w:val="0"/>
    </w:pPr>
    <w:rPr>
      <w:rFonts w:ascii="黑体" w:hAnsi="宋体" w:eastAsia="黑体"/>
      <w:b/>
      <w:sz w:val="28"/>
      <w:szCs w:val="20"/>
    </w:rPr>
  </w:style>
  <w:style w:type="paragraph" w:customStyle="1" w:styleId="595">
    <w:name w:val="表头"/>
    <w:basedOn w:val="1"/>
    <w:semiHidden/>
    <w:qFormat/>
    <w:uiPriority w:val="0"/>
    <w:pPr>
      <w:adjustRightInd w:val="0"/>
      <w:snapToGrid w:val="0"/>
      <w:spacing w:afterLines="50" w:line="320" w:lineRule="atLeast"/>
      <w:ind w:firstLine="480"/>
      <w:jc w:val="center"/>
      <w:textAlignment w:val="baseline"/>
    </w:pPr>
    <w:rPr>
      <w:rFonts w:eastAsia="黑体"/>
      <w:spacing w:val="-10"/>
      <w:szCs w:val="20"/>
    </w:rPr>
  </w:style>
  <w:style w:type="paragraph" w:customStyle="1" w:styleId="596">
    <w:name w:val="Char2 Char Char Char Char Char Char Char Char Char1 Char Char Char"/>
    <w:basedOn w:val="21"/>
    <w:semiHidden/>
    <w:qFormat/>
    <w:uiPriority w:val="0"/>
    <w:pPr>
      <w:shd w:val="clear" w:color="auto" w:fill="000080"/>
      <w:spacing w:afterLines="50"/>
    </w:pPr>
    <w:rPr>
      <w:rFonts w:ascii="Tahoma" w:hAnsi="Tahoma"/>
      <w:sz w:val="24"/>
      <w:szCs w:val="24"/>
    </w:rPr>
  </w:style>
  <w:style w:type="character" w:customStyle="1" w:styleId="597">
    <w:name w:val="sfont1"/>
    <w:semiHidden/>
    <w:qFormat/>
    <w:uiPriority w:val="0"/>
    <w:rPr>
      <w:rFonts w:hint="default" w:ascii="Arial" w:hAnsi="Arial" w:cs="Arial"/>
      <w:sz w:val="21"/>
      <w:szCs w:val="21"/>
    </w:rPr>
  </w:style>
  <w:style w:type="paragraph" w:customStyle="1" w:styleId="598">
    <w:name w:val="样式 标题 3 + 小四 段前: 7.8 磅 段后: 7.8 磅"/>
    <w:basedOn w:val="4"/>
    <w:semiHidden/>
    <w:qFormat/>
    <w:uiPriority w:val="0"/>
    <w:pPr>
      <w:tabs>
        <w:tab w:val="left" w:pos="0"/>
      </w:tabs>
      <w:adjustRightInd w:val="0"/>
      <w:snapToGrid w:val="0"/>
      <w:spacing w:before="0" w:afterLines="50" w:line="360" w:lineRule="auto"/>
      <w:ind w:firstLine="734" w:firstLineChars="262"/>
      <w:outlineLvl w:val="3"/>
    </w:pPr>
    <w:rPr>
      <w:rFonts w:ascii="黑体" w:hAnsi="宋体" w:eastAsia="黑体"/>
      <w:b w:val="0"/>
      <w:sz w:val="28"/>
      <w:szCs w:val="28"/>
    </w:rPr>
  </w:style>
  <w:style w:type="paragraph" w:customStyle="1" w:styleId="599">
    <w:name w:val="Char1 Char Char Char Char Char Char"/>
    <w:basedOn w:val="1"/>
    <w:semiHidden/>
    <w:qFormat/>
    <w:uiPriority w:val="0"/>
    <w:pPr>
      <w:adjustRightInd w:val="0"/>
      <w:spacing w:afterLines="50"/>
      <w:ind w:firstLine="480"/>
    </w:pPr>
    <w:rPr>
      <w:rFonts w:ascii="Tahoma" w:hAnsi="Tahoma"/>
      <w:szCs w:val="20"/>
    </w:rPr>
  </w:style>
  <w:style w:type="paragraph" w:customStyle="1" w:styleId="600">
    <w:name w:val="Char Char1 Char Char Char Char1 Char Char Char Char Char Char Char Char Char Char Char Char Char Char Char Char Char Char"/>
    <w:basedOn w:val="1"/>
    <w:semiHidden/>
    <w:qFormat/>
    <w:uiPriority w:val="0"/>
    <w:pPr>
      <w:spacing w:afterLines="50"/>
      <w:ind w:firstLine="480"/>
    </w:pPr>
  </w:style>
  <w:style w:type="character" w:customStyle="1" w:styleId="601">
    <w:name w:val="样式 图题 + (中文) 宋体 Char"/>
    <w:semiHidden/>
    <w:qFormat/>
    <w:uiPriority w:val="0"/>
    <w:rPr>
      <w:rFonts w:ascii="Arial" w:hAnsi="Arial" w:eastAsia="黑体" w:cs="Arial"/>
      <w:b/>
      <w:bCs/>
      <w:sz w:val="21"/>
      <w:szCs w:val="21"/>
      <w:lang w:val="en-US" w:eastAsia="zh-CN" w:bidi="ar-SA"/>
    </w:rPr>
  </w:style>
  <w:style w:type="paragraph" w:customStyle="1" w:styleId="602">
    <w:name w:val="数据来源"/>
    <w:basedOn w:val="1"/>
    <w:link w:val="610"/>
    <w:semiHidden/>
    <w:qFormat/>
    <w:uiPriority w:val="0"/>
    <w:pPr>
      <w:autoSpaceDE w:val="0"/>
      <w:autoSpaceDN w:val="0"/>
      <w:adjustRightInd w:val="0"/>
      <w:snapToGrid w:val="0"/>
      <w:spacing w:afterLines="50"/>
      <w:ind w:firstLine="480"/>
    </w:pPr>
    <w:rPr>
      <w:rFonts w:ascii="方正书宋简体" w:cs="Times New Roman"/>
      <w:sz w:val="18"/>
      <w:szCs w:val="21"/>
      <w:lang w:val="zh-CN"/>
    </w:rPr>
  </w:style>
  <w:style w:type="paragraph" w:customStyle="1" w:styleId="603">
    <w:name w:val="a14"/>
    <w:basedOn w:val="1"/>
    <w:semiHidden/>
    <w:qFormat/>
    <w:uiPriority w:val="0"/>
    <w:pPr>
      <w:spacing w:beforeAutospacing="1" w:afterLines="50" w:afterAutospacing="1"/>
      <w:ind w:firstLine="480"/>
    </w:pPr>
    <w:rPr>
      <w:rFonts w:ascii="宋体" w:hAnsi="宋体"/>
      <w:szCs w:val="21"/>
    </w:rPr>
  </w:style>
  <w:style w:type="paragraph" w:customStyle="1" w:styleId="604">
    <w:name w:val="Char Char1 Char Char Char Char1 Char Char Char"/>
    <w:basedOn w:val="1"/>
    <w:semiHidden/>
    <w:qFormat/>
    <w:uiPriority w:val="0"/>
    <w:pPr>
      <w:spacing w:afterLines="50"/>
      <w:ind w:firstLine="480"/>
    </w:pPr>
  </w:style>
  <w:style w:type="paragraph" w:customStyle="1" w:styleId="605">
    <w:name w:val="内容"/>
    <w:basedOn w:val="1"/>
    <w:semiHidden/>
    <w:qFormat/>
    <w:uiPriority w:val="0"/>
    <w:pPr>
      <w:spacing w:afterLines="50" w:line="480" w:lineRule="exact"/>
      <w:ind w:firstLine="480"/>
    </w:pPr>
  </w:style>
  <w:style w:type="character" w:customStyle="1" w:styleId="606">
    <w:name w:val="content1"/>
    <w:semiHidden/>
    <w:qFormat/>
    <w:uiPriority w:val="0"/>
    <w:rPr>
      <w:color w:val="000000"/>
      <w:spacing w:val="400"/>
      <w:sz w:val="21"/>
      <w:szCs w:val="21"/>
    </w:rPr>
  </w:style>
  <w:style w:type="character" w:customStyle="1" w:styleId="607">
    <w:name w:val="txtcontent11"/>
    <w:semiHidden/>
    <w:qFormat/>
    <w:uiPriority w:val="0"/>
    <w:rPr>
      <w:rFonts w:hint="default" w:ascii="ˎ̥" w:hAnsi="ˎ̥"/>
      <w:color w:val="000000"/>
      <w:sz w:val="21"/>
      <w:szCs w:val="21"/>
    </w:rPr>
  </w:style>
  <w:style w:type="paragraph" w:customStyle="1" w:styleId="608">
    <w:name w:val="TOC 标题1"/>
    <w:basedOn w:val="2"/>
    <w:next w:val="1"/>
    <w:semiHidden/>
    <w:qFormat/>
    <w:uiPriority w:val="0"/>
    <w:pPr>
      <w:keepNext/>
      <w:keepLines/>
      <w:spacing w:before="163" w:afterLines="50" w:line="276" w:lineRule="auto"/>
      <w:jc w:val="left"/>
      <w:outlineLvl w:val="9"/>
    </w:pPr>
    <w:rPr>
      <w:rFonts w:ascii="Cambria" w:hAnsi="Cambria" w:eastAsia="宋体"/>
      <w:bCs/>
      <w:color w:val="365F91"/>
      <w:sz w:val="28"/>
      <w:szCs w:val="28"/>
    </w:rPr>
  </w:style>
  <w:style w:type="paragraph" w:customStyle="1" w:styleId="609">
    <w:name w:val="Char1 Char Char Char Char Char Char Char Char1 Char Char Char Char Char Char Char Char Char Char Char Char Char Char Char Char Char Char Char1 Char Char Char Char Char"/>
    <w:basedOn w:val="1"/>
    <w:semiHidden/>
    <w:qFormat/>
    <w:uiPriority w:val="0"/>
    <w:pPr>
      <w:spacing w:afterLines="50"/>
      <w:ind w:firstLine="480"/>
    </w:pPr>
    <w:rPr>
      <w:rFonts w:ascii="Tahoma" w:hAnsi="Tahoma"/>
      <w:szCs w:val="20"/>
    </w:rPr>
  </w:style>
  <w:style w:type="character" w:customStyle="1" w:styleId="610">
    <w:name w:val="数据来源 Char"/>
    <w:link w:val="602"/>
    <w:semiHidden/>
    <w:qFormat/>
    <w:uiPriority w:val="0"/>
    <w:rPr>
      <w:rFonts w:ascii="方正书宋简体" w:hAnsi="Times New Roman"/>
      <w:sz w:val="18"/>
      <w:szCs w:val="21"/>
      <w:lang w:val="zh-CN" w:eastAsia="zh-CN"/>
    </w:rPr>
  </w:style>
  <w:style w:type="paragraph" w:customStyle="1" w:styleId="611">
    <w:name w:val="正文缩进 (一般)"/>
    <w:basedOn w:val="16"/>
    <w:link w:val="612"/>
    <w:semiHidden/>
    <w:qFormat/>
    <w:uiPriority w:val="0"/>
    <w:pPr>
      <w:kinsoku w:val="0"/>
      <w:overflowPunct w:val="0"/>
      <w:autoSpaceDE w:val="0"/>
      <w:autoSpaceDN w:val="0"/>
      <w:adjustRightInd w:val="0"/>
      <w:snapToGrid w:val="0"/>
      <w:spacing w:afterLines="50"/>
      <w:ind w:firstLine="200"/>
    </w:pPr>
    <w:rPr>
      <w:rFonts w:ascii="宋体" w:hAnsi="宋体"/>
      <w:kern w:val="0"/>
      <w:sz w:val="20"/>
      <w:szCs w:val="21"/>
    </w:rPr>
  </w:style>
  <w:style w:type="character" w:customStyle="1" w:styleId="612">
    <w:name w:val="正文缩进 (一般) Char"/>
    <w:link w:val="611"/>
    <w:semiHidden/>
    <w:qFormat/>
    <w:uiPriority w:val="0"/>
    <w:rPr>
      <w:rFonts w:ascii="宋体" w:hAnsi="宋体"/>
      <w:szCs w:val="21"/>
      <w:lang w:val="zh-CN" w:eastAsia="zh-CN"/>
    </w:rPr>
  </w:style>
  <w:style w:type="paragraph" w:customStyle="1" w:styleId="613">
    <w:name w:val="Char Char Char Char Char Char Char Char Char Char Char Char Char Char Char Char Char Char Char Char Char Char"/>
    <w:basedOn w:val="1"/>
    <w:semiHidden/>
    <w:qFormat/>
    <w:uiPriority w:val="0"/>
    <w:pPr>
      <w:spacing w:afterLines="50" w:line="400" w:lineRule="exact"/>
      <w:ind w:firstLine="480"/>
    </w:pPr>
    <w:rPr>
      <w:rFonts w:ascii="Tahoma" w:hAnsi="Tahoma"/>
      <w:szCs w:val="20"/>
    </w:rPr>
  </w:style>
  <w:style w:type="character" w:customStyle="1" w:styleId="614">
    <w:name w:val="图题 Char"/>
    <w:link w:val="540"/>
    <w:semiHidden/>
    <w:qFormat/>
    <w:uiPriority w:val="0"/>
    <w:rPr>
      <w:rFonts w:ascii="Arial" w:hAnsi="Arial" w:eastAsia="汉鼎简中黑"/>
      <w:lang w:val="zh-CN" w:eastAsia="zh-CN"/>
    </w:rPr>
  </w:style>
  <w:style w:type="character" w:customStyle="1" w:styleId="615">
    <w:name w:val="数据来源 Char1"/>
    <w:semiHidden/>
    <w:qFormat/>
    <w:uiPriority w:val="0"/>
    <w:rPr>
      <w:rFonts w:ascii="方正书宋简体" w:eastAsia="宋体" w:cs="方正书宋简体"/>
      <w:kern w:val="2"/>
      <w:sz w:val="18"/>
      <w:szCs w:val="21"/>
      <w:lang w:val="en-US" w:eastAsia="zh-CN" w:bidi="ar-SA"/>
    </w:rPr>
  </w:style>
  <w:style w:type="paragraph" w:customStyle="1" w:styleId="616">
    <w:name w:val="标题四"/>
    <w:basedOn w:val="611"/>
    <w:semiHidden/>
    <w:qFormat/>
    <w:uiPriority w:val="0"/>
    <w:pPr>
      <w:kinsoku/>
      <w:overflowPunct/>
      <w:ind w:firstLine="420"/>
    </w:pPr>
    <w:rPr>
      <w:rFonts w:ascii="Arial" w:hAnsi="Arial" w:cs="Arial"/>
    </w:rPr>
  </w:style>
  <w:style w:type="paragraph" w:customStyle="1" w:styleId="617">
    <w:name w:val="Char Char Char Char Char Char Char Char Char1 Char Char Char Char Char Char Char Char Char"/>
    <w:basedOn w:val="1"/>
    <w:semiHidden/>
    <w:qFormat/>
    <w:uiPriority w:val="0"/>
    <w:pPr>
      <w:spacing w:afterLines="50" w:line="400" w:lineRule="exact"/>
      <w:ind w:firstLine="480"/>
    </w:pPr>
    <w:rPr>
      <w:rFonts w:ascii="Tahoma" w:hAnsi="Tahoma"/>
      <w:szCs w:val="20"/>
    </w:rPr>
  </w:style>
  <w:style w:type="paragraph" w:customStyle="1" w:styleId="618">
    <w:name w:val="Char Char1 Char Char Char Char Char Char Char Char Char Char Char Char"/>
    <w:basedOn w:val="1"/>
    <w:semiHidden/>
    <w:qFormat/>
    <w:uiPriority w:val="0"/>
    <w:pPr>
      <w:spacing w:afterLines="50" w:line="400" w:lineRule="exact"/>
      <w:ind w:firstLine="480"/>
    </w:pPr>
    <w:rPr>
      <w:rFonts w:ascii="Tahoma" w:hAnsi="Tahoma"/>
      <w:szCs w:val="20"/>
    </w:rPr>
  </w:style>
  <w:style w:type="paragraph" w:customStyle="1" w:styleId="619">
    <w:name w:val="Char Char Char Char Char Char Char Char Char Char Char Char Char Char Char Char Char Char Char Char Char"/>
    <w:basedOn w:val="1"/>
    <w:semiHidden/>
    <w:qFormat/>
    <w:uiPriority w:val="0"/>
    <w:pPr>
      <w:spacing w:afterLines="50" w:line="400" w:lineRule="exact"/>
      <w:ind w:firstLine="480"/>
    </w:pPr>
    <w:rPr>
      <w:rFonts w:ascii="Tahoma" w:hAnsi="Tahoma"/>
      <w:szCs w:val="20"/>
    </w:rPr>
  </w:style>
  <w:style w:type="paragraph" w:customStyle="1" w:styleId="620">
    <w:name w:val="Char Char1 Char Char Char Char Char Char Char Char Char Char Char Char Char"/>
    <w:basedOn w:val="1"/>
    <w:semiHidden/>
    <w:qFormat/>
    <w:uiPriority w:val="0"/>
    <w:pPr>
      <w:spacing w:afterLines="50" w:line="400" w:lineRule="exact"/>
      <w:ind w:firstLine="480"/>
    </w:pPr>
    <w:rPr>
      <w:rFonts w:ascii="Tahoma" w:hAnsi="Tahoma"/>
      <w:szCs w:val="20"/>
    </w:rPr>
  </w:style>
  <w:style w:type="paragraph" w:customStyle="1" w:styleId="621">
    <w:name w:val="Char1 Char Char Char Char Char Char Char Char1 Char Char Char Char Char Char Char Char Char Char Char Char Char Char Char Char Char Char Char1 Char Char Char Char Char Char"/>
    <w:basedOn w:val="1"/>
    <w:semiHidden/>
    <w:qFormat/>
    <w:uiPriority w:val="0"/>
    <w:pPr>
      <w:spacing w:afterLines="50"/>
      <w:ind w:firstLine="480"/>
    </w:pPr>
    <w:rPr>
      <w:rFonts w:ascii="Tahoma" w:hAnsi="Tahoma"/>
      <w:szCs w:val="20"/>
    </w:rPr>
  </w:style>
  <w:style w:type="paragraph" w:customStyle="1" w:styleId="622">
    <w:name w:val="Char1 Char Char Char Char Char Char Char Char1 Char Char Char Char Char Char Char Char Char Char Char Char Char Char Char Char Char Char Char Char Char Char"/>
    <w:basedOn w:val="1"/>
    <w:semiHidden/>
    <w:qFormat/>
    <w:uiPriority w:val="0"/>
    <w:pPr>
      <w:spacing w:afterLines="50"/>
      <w:ind w:firstLine="480"/>
    </w:pPr>
    <w:rPr>
      <w:rFonts w:ascii="Tahoma" w:hAnsi="Tahoma"/>
      <w:szCs w:val="20"/>
    </w:rPr>
  </w:style>
  <w:style w:type="character" w:customStyle="1" w:styleId="623">
    <w:name w:val="附注三级正文 Char"/>
    <w:link w:val="147"/>
    <w:semiHidden/>
    <w:qFormat/>
    <w:uiPriority w:val="0"/>
    <w:rPr>
      <w:rFonts w:ascii="宋体" w:hAnsi="宋体"/>
      <w:kern w:val="2"/>
      <w:sz w:val="21"/>
      <w:szCs w:val="21"/>
      <w:lang w:val="zh-CN" w:eastAsia="zh-CN"/>
    </w:rPr>
  </w:style>
  <w:style w:type="paragraph" w:customStyle="1" w:styleId="624">
    <w:name w:val="段落正文"/>
    <w:basedOn w:val="1"/>
    <w:semiHidden/>
    <w:qFormat/>
    <w:uiPriority w:val="0"/>
    <w:pPr>
      <w:spacing w:afterLines="50"/>
      <w:ind w:firstLine="480"/>
    </w:pPr>
    <w:rPr>
      <w:rFonts w:ascii="宋体" w:hAnsi="宋体"/>
      <w:szCs w:val="20"/>
    </w:rPr>
  </w:style>
  <w:style w:type="table" w:customStyle="1" w:styleId="625">
    <w:name w:val="tangfu"/>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paragraph" w:customStyle="1" w:styleId="626">
    <w:name w:val="正文22"/>
    <w:basedOn w:val="1"/>
    <w:semiHidden/>
    <w:qFormat/>
    <w:uiPriority w:val="0"/>
    <w:pPr>
      <w:overflowPunct w:val="0"/>
      <w:autoSpaceDE w:val="0"/>
      <w:autoSpaceDN w:val="0"/>
      <w:adjustRightInd w:val="0"/>
      <w:spacing w:afterLines="50"/>
      <w:ind w:firstLine="480"/>
      <w:textAlignment w:val="baseline"/>
    </w:pPr>
    <w:rPr>
      <w:szCs w:val="20"/>
    </w:rPr>
  </w:style>
  <w:style w:type="paragraph" w:customStyle="1" w:styleId="627">
    <w:name w:val="正文文本 212"/>
    <w:basedOn w:val="1"/>
    <w:semiHidden/>
    <w:qFormat/>
    <w:uiPriority w:val="0"/>
    <w:pPr>
      <w:adjustRightInd w:val="0"/>
      <w:spacing w:afterLines="50" w:line="320" w:lineRule="exact"/>
      <w:ind w:firstLine="420"/>
      <w:textAlignment w:val="baseline"/>
    </w:pPr>
    <w:rPr>
      <w:rFonts w:ascii="黑体" w:eastAsia="黑体"/>
      <w:szCs w:val="20"/>
    </w:rPr>
  </w:style>
  <w:style w:type="paragraph" w:customStyle="1" w:styleId="628">
    <w:name w:val="Char Char6"/>
    <w:basedOn w:val="1"/>
    <w:semiHidden/>
    <w:qFormat/>
    <w:uiPriority w:val="0"/>
    <w:pPr>
      <w:autoSpaceDE w:val="0"/>
      <w:autoSpaceDN w:val="0"/>
      <w:adjustRightInd w:val="0"/>
      <w:spacing w:afterLines="50" w:line="240" w:lineRule="exact"/>
      <w:ind w:firstLine="480"/>
    </w:pPr>
    <w:rPr>
      <w:rFonts w:ascii="Tahoma" w:hAnsi="Tahoma" w:eastAsia="MS Mincho"/>
      <w:sz w:val="20"/>
      <w:lang w:eastAsia="ja-JP"/>
    </w:rPr>
  </w:style>
  <w:style w:type="paragraph" w:customStyle="1" w:styleId="629">
    <w:name w:val="Char Char Char Char Char Char2"/>
    <w:basedOn w:val="21"/>
    <w:semiHidden/>
    <w:qFormat/>
    <w:uiPriority w:val="0"/>
    <w:pPr>
      <w:shd w:val="clear" w:color="auto" w:fill="000080"/>
      <w:spacing w:afterLines="50"/>
    </w:pPr>
    <w:rPr>
      <w:rFonts w:ascii="Tahoma" w:hAnsi="Tahoma"/>
      <w:sz w:val="24"/>
      <w:szCs w:val="24"/>
    </w:rPr>
  </w:style>
  <w:style w:type="paragraph" w:customStyle="1" w:styleId="630">
    <w:name w:val="Char Char1 Char Char Char Char1 Char Char Char Char Char Char Char Char Char Char Char Char Char Char Char Char Char Char2"/>
    <w:basedOn w:val="1"/>
    <w:semiHidden/>
    <w:qFormat/>
    <w:uiPriority w:val="0"/>
    <w:pPr>
      <w:spacing w:afterLines="50"/>
      <w:ind w:firstLine="480"/>
    </w:pPr>
  </w:style>
  <w:style w:type="paragraph" w:customStyle="1" w:styleId="631">
    <w:name w:val="Char Char1 Char Char Char Char1 Char Char Char2"/>
    <w:basedOn w:val="1"/>
    <w:semiHidden/>
    <w:qFormat/>
    <w:uiPriority w:val="0"/>
    <w:pPr>
      <w:spacing w:afterLines="50"/>
      <w:ind w:firstLine="480"/>
    </w:pPr>
  </w:style>
  <w:style w:type="paragraph" w:customStyle="1" w:styleId="632">
    <w:name w:val="Char Char Char Char Char Char Char Char Char Char2"/>
    <w:basedOn w:val="1"/>
    <w:semiHidden/>
    <w:qFormat/>
    <w:uiPriority w:val="0"/>
    <w:pPr>
      <w:spacing w:afterLines="50" w:line="240" w:lineRule="exact"/>
      <w:ind w:firstLine="480"/>
    </w:pPr>
    <w:rPr>
      <w:rFonts w:ascii="Verdana" w:hAnsi="Verdana" w:eastAsia="Times New Roman"/>
      <w:sz w:val="20"/>
      <w:szCs w:val="20"/>
      <w:lang w:eastAsia="en-US"/>
    </w:rPr>
  </w:style>
  <w:style w:type="character" w:customStyle="1" w:styleId="633">
    <w:name w:val="14_black1"/>
    <w:semiHidden/>
    <w:qFormat/>
    <w:uiPriority w:val="0"/>
    <w:rPr>
      <w:color w:val="000000"/>
      <w:sz w:val="20"/>
      <w:szCs w:val="20"/>
    </w:rPr>
  </w:style>
  <w:style w:type="paragraph" w:customStyle="1" w:styleId="634">
    <w:name w:val="正文21"/>
    <w:basedOn w:val="1"/>
    <w:semiHidden/>
    <w:qFormat/>
    <w:uiPriority w:val="0"/>
    <w:pPr>
      <w:overflowPunct w:val="0"/>
      <w:autoSpaceDE w:val="0"/>
      <w:autoSpaceDN w:val="0"/>
      <w:adjustRightInd w:val="0"/>
      <w:spacing w:afterLines="50"/>
      <w:ind w:firstLine="480"/>
      <w:textAlignment w:val="baseline"/>
    </w:pPr>
    <w:rPr>
      <w:szCs w:val="20"/>
    </w:rPr>
  </w:style>
  <w:style w:type="paragraph" w:customStyle="1" w:styleId="635">
    <w:name w:val="正文文本 211"/>
    <w:basedOn w:val="1"/>
    <w:semiHidden/>
    <w:qFormat/>
    <w:uiPriority w:val="0"/>
    <w:pPr>
      <w:adjustRightInd w:val="0"/>
      <w:spacing w:afterLines="50" w:line="320" w:lineRule="exact"/>
      <w:ind w:firstLine="420"/>
      <w:textAlignment w:val="baseline"/>
    </w:pPr>
    <w:rPr>
      <w:rFonts w:ascii="黑体" w:eastAsia="黑体"/>
      <w:szCs w:val="20"/>
    </w:rPr>
  </w:style>
  <w:style w:type="paragraph" w:customStyle="1" w:styleId="636">
    <w:name w:val="Char Char Char Char Char Char1"/>
    <w:basedOn w:val="21"/>
    <w:semiHidden/>
    <w:qFormat/>
    <w:uiPriority w:val="0"/>
    <w:pPr>
      <w:shd w:val="clear" w:color="auto" w:fill="000080"/>
      <w:spacing w:afterLines="50"/>
    </w:pPr>
    <w:rPr>
      <w:rFonts w:ascii="Tahoma" w:hAnsi="Tahoma"/>
      <w:sz w:val="24"/>
      <w:szCs w:val="24"/>
    </w:rPr>
  </w:style>
  <w:style w:type="paragraph" w:customStyle="1" w:styleId="637">
    <w:name w:val="Char Char1 Char Char Char Char1 Char Char Char Char Char Char Char Char Char Char Char Char Char Char Char Char Char Char1"/>
    <w:basedOn w:val="1"/>
    <w:semiHidden/>
    <w:qFormat/>
    <w:uiPriority w:val="0"/>
    <w:pPr>
      <w:spacing w:afterLines="50"/>
      <w:ind w:firstLine="480"/>
    </w:pPr>
  </w:style>
  <w:style w:type="paragraph" w:customStyle="1" w:styleId="638">
    <w:name w:val="Char Char1 Char Char Char Char1 Char Char Char1"/>
    <w:basedOn w:val="1"/>
    <w:semiHidden/>
    <w:qFormat/>
    <w:uiPriority w:val="0"/>
    <w:pPr>
      <w:spacing w:afterLines="50"/>
      <w:ind w:firstLine="480"/>
    </w:pPr>
  </w:style>
  <w:style w:type="paragraph" w:customStyle="1" w:styleId="639">
    <w:name w:val="Char Char Char Char Char Char Char Char Char Char1"/>
    <w:basedOn w:val="1"/>
    <w:semiHidden/>
    <w:qFormat/>
    <w:uiPriority w:val="0"/>
    <w:pPr>
      <w:spacing w:afterLines="50" w:line="240" w:lineRule="exact"/>
      <w:ind w:firstLine="480"/>
    </w:pPr>
    <w:rPr>
      <w:rFonts w:ascii="Verdana" w:hAnsi="Verdana" w:eastAsia="Times New Roman"/>
      <w:sz w:val="20"/>
      <w:szCs w:val="20"/>
      <w:lang w:eastAsia="en-US"/>
    </w:rPr>
  </w:style>
  <w:style w:type="paragraph" w:customStyle="1" w:styleId="640">
    <w:name w:val="Char Char Char Char Char Char1 Char Char Char"/>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641">
    <w:name w:val="普通(网站) Char Char"/>
    <w:basedOn w:val="1"/>
    <w:semiHidden/>
    <w:qFormat/>
    <w:uiPriority w:val="0"/>
    <w:pPr>
      <w:spacing w:beforeAutospacing="1" w:afterLines="50" w:afterAutospacing="1"/>
      <w:ind w:firstLine="480"/>
    </w:pPr>
    <w:rPr>
      <w:rFonts w:hint="eastAsia" w:ascii="宋体" w:hAnsi="宋体"/>
      <w:color w:val="000000"/>
      <w:szCs w:val="20"/>
    </w:rPr>
  </w:style>
  <w:style w:type="paragraph" w:customStyle="1" w:styleId="642">
    <w:name w:val="Char Char Char Char Char Char Char Char Char2 Char Char Char Char Char Char Char Char Char Char Char Char Char Char Char2"/>
    <w:basedOn w:val="1"/>
    <w:semiHidden/>
    <w:qFormat/>
    <w:uiPriority w:val="0"/>
    <w:pPr>
      <w:spacing w:afterLines="50" w:line="240" w:lineRule="exact"/>
      <w:ind w:firstLine="480"/>
    </w:pPr>
    <w:rPr>
      <w:rFonts w:ascii="Verdana" w:hAnsi="Verdana" w:eastAsia="Times New Roman"/>
      <w:sz w:val="20"/>
      <w:szCs w:val="20"/>
      <w:lang w:eastAsia="en-US"/>
    </w:rPr>
  </w:style>
  <w:style w:type="paragraph" w:customStyle="1" w:styleId="643">
    <w:name w:val="Char Char Char Char Char Char1 Char Char Char5"/>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644">
    <w:name w:val="Char Char Char Char Char Char Char Char Char2 Char Char Char Char Char Char Char Char Char Char Char Char Char Char Char24"/>
    <w:basedOn w:val="1"/>
    <w:semiHidden/>
    <w:qFormat/>
    <w:uiPriority w:val="0"/>
    <w:pPr>
      <w:spacing w:afterLines="50" w:line="240" w:lineRule="exact"/>
      <w:ind w:firstLine="480"/>
    </w:pPr>
    <w:rPr>
      <w:rFonts w:ascii="Verdana" w:hAnsi="Verdana" w:eastAsia="Times New Roman"/>
      <w:sz w:val="20"/>
      <w:szCs w:val="20"/>
      <w:lang w:eastAsia="en-US"/>
    </w:rPr>
  </w:style>
  <w:style w:type="character" w:customStyle="1" w:styleId="645">
    <w:name w:val="要点1"/>
    <w:semiHidden/>
    <w:qFormat/>
    <w:uiPriority w:val="99"/>
    <w:rPr>
      <w:rFonts w:cs="Times New Roman"/>
      <w:b/>
      <w:bCs/>
    </w:rPr>
  </w:style>
  <w:style w:type="character" w:customStyle="1" w:styleId="646">
    <w:name w:val="a14c"/>
    <w:semiHidden/>
    <w:qFormat/>
    <w:uiPriority w:val="0"/>
    <w:rPr>
      <w:rFonts w:cs="Times New Roman"/>
    </w:rPr>
  </w:style>
  <w:style w:type="character" w:customStyle="1" w:styleId="647">
    <w:name w:val="main_tdbg_760"/>
    <w:semiHidden/>
    <w:qFormat/>
    <w:uiPriority w:val="0"/>
    <w:rPr>
      <w:rFonts w:cs="Times New Roman"/>
    </w:rPr>
  </w:style>
  <w:style w:type="paragraph" w:customStyle="1" w:styleId="648">
    <w:name w:val="Body Bullet List 1-IDC"/>
    <w:basedOn w:val="1"/>
    <w:semiHidden/>
    <w:qFormat/>
    <w:uiPriority w:val="0"/>
    <w:pPr>
      <w:tabs>
        <w:tab w:val="left" w:pos="720"/>
      </w:tabs>
      <w:spacing w:afterLines="50" w:line="260" w:lineRule="exact"/>
      <w:ind w:left="720" w:right="2160" w:hanging="360"/>
      <w:outlineLvl w:val="0"/>
    </w:pPr>
    <w:rPr>
      <w:rFonts w:ascii="Arial" w:hAnsi="Arial"/>
      <w:sz w:val="18"/>
      <w:lang w:eastAsia="en-US"/>
    </w:rPr>
  </w:style>
  <w:style w:type="paragraph" w:customStyle="1" w:styleId="649">
    <w:name w:val="Body Bullet List 2-IDC"/>
    <w:basedOn w:val="1"/>
    <w:semiHidden/>
    <w:qFormat/>
    <w:uiPriority w:val="0"/>
    <w:pPr>
      <w:tabs>
        <w:tab w:val="left" w:pos="1080"/>
      </w:tabs>
      <w:spacing w:afterLines="50" w:line="260" w:lineRule="exact"/>
      <w:ind w:left="1080" w:right="2160" w:hanging="360"/>
      <w:outlineLvl w:val="1"/>
    </w:pPr>
    <w:rPr>
      <w:rFonts w:ascii="Arial" w:hAnsi="Arial"/>
      <w:sz w:val="18"/>
      <w:lang w:eastAsia="en-US"/>
    </w:rPr>
  </w:style>
  <w:style w:type="paragraph" w:customStyle="1" w:styleId="650">
    <w:name w:val="Body Bullet List 3-IDC"/>
    <w:basedOn w:val="1"/>
    <w:semiHidden/>
    <w:qFormat/>
    <w:uiPriority w:val="0"/>
    <w:pPr>
      <w:tabs>
        <w:tab w:val="left" w:pos="1440"/>
      </w:tabs>
      <w:spacing w:afterLines="50" w:line="260" w:lineRule="exact"/>
      <w:ind w:left="1440" w:right="2160" w:hanging="360"/>
      <w:outlineLvl w:val="2"/>
    </w:pPr>
    <w:rPr>
      <w:rFonts w:ascii="Arial" w:hAnsi="Arial"/>
      <w:sz w:val="18"/>
      <w:lang w:eastAsia="en-US"/>
    </w:rPr>
  </w:style>
  <w:style w:type="paragraph" w:customStyle="1" w:styleId="651">
    <w:name w:val="Body Bullet List 4-IDC"/>
    <w:basedOn w:val="1"/>
    <w:semiHidden/>
    <w:qFormat/>
    <w:uiPriority w:val="0"/>
    <w:pPr>
      <w:tabs>
        <w:tab w:val="left" w:pos="1800"/>
      </w:tabs>
      <w:spacing w:afterLines="50" w:line="260" w:lineRule="exact"/>
      <w:ind w:left="1800" w:right="2160" w:hanging="360"/>
      <w:outlineLvl w:val="3"/>
    </w:pPr>
    <w:rPr>
      <w:rFonts w:ascii="Arial" w:hAnsi="Arial"/>
      <w:sz w:val="18"/>
      <w:lang w:eastAsia="en-US"/>
    </w:rPr>
  </w:style>
  <w:style w:type="paragraph" w:customStyle="1" w:styleId="652">
    <w:name w:val="Body Bullet List 5-IDC"/>
    <w:basedOn w:val="1"/>
    <w:semiHidden/>
    <w:qFormat/>
    <w:uiPriority w:val="0"/>
    <w:pPr>
      <w:tabs>
        <w:tab w:val="left" w:pos="2160"/>
      </w:tabs>
      <w:spacing w:afterLines="50" w:line="260" w:lineRule="exact"/>
      <w:ind w:left="2160" w:right="2160" w:hanging="360"/>
      <w:outlineLvl w:val="4"/>
    </w:pPr>
    <w:rPr>
      <w:rFonts w:ascii="Arial" w:hAnsi="Arial"/>
      <w:sz w:val="18"/>
      <w:lang w:eastAsia="en-US"/>
    </w:rPr>
  </w:style>
  <w:style w:type="paragraph" w:customStyle="1" w:styleId="653">
    <w:name w:val="Body Bullet List 6-IDC"/>
    <w:basedOn w:val="1"/>
    <w:semiHidden/>
    <w:qFormat/>
    <w:uiPriority w:val="0"/>
    <w:pPr>
      <w:numPr>
        <w:ilvl w:val="5"/>
        <w:numId w:val="2"/>
      </w:numPr>
      <w:tabs>
        <w:tab w:val="clear" w:pos="2520"/>
      </w:tabs>
      <w:spacing w:afterLines="50" w:line="260" w:lineRule="exact"/>
      <w:ind w:left="2992" w:right="2160" w:firstLine="0"/>
      <w:outlineLvl w:val="5"/>
    </w:pPr>
    <w:rPr>
      <w:rFonts w:ascii="Arial" w:hAnsi="Arial"/>
      <w:sz w:val="18"/>
      <w:lang w:eastAsia="en-US"/>
    </w:rPr>
  </w:style>
  <w:style w:type="paragraph" w:customStyle="1" w:styleId="654">
    <w:name w:val="Body Bullet List 7-IDC"/>
    <w:basedOn w:val="1"/>
    <w:semiHidden/>
    <w:qFormat/>
    <w:uiPriority w:val="0"/>
    <w:pPr>
      <w:numPr>
        <w:ilvl w:val="6"/>
        <w:numId w:val="2"/>
      </w:numPr>
      <w:tabs>
        <w:tab w:val="clear" w:pos="2880"/>
      </w:tabs>
      <w:spacing w:afterLines="50" w:line="260" w:lineRule="exact"/>
      <w:ind w:left="3412" w:right="2160" w:firstLine="0"/>
      <w:outlineLvl w:val="6"/>
    </w:pPr>
    <w:rPr>
      <w:rFonts w:ascii="Arial" w:hAnsi="Arial"/>
      <w:sz w:val="18"/>
      <w:lang w:eastAsia="en-US"/>
    </w:rPr>
  </w:style>
  <w:style w:type="paragraph" w:customStyle="1" w:styleId="655">
    <w:name w:val="Body Bullet List 8-IDC"/>
    <w:basedOn w:val="1"/>
    <w:semiHidden/>
    <w:qFormat/>
    <w:uiPriority w:val="0"/>
    <w:pPr>
      <w:numPr>
        <w:ilvl w:val="7"/>
        <w:numId w:val="2"/>
      </w:numPr>
      <w:tabs>
        <w:tab w:val="clear" w:pos="3240"/>
      </w:tabs>
      <w:spacing w:afterLines="50" w:line="260" w:lineRule="exact"/>
      <w:ind w:left="3832" w:right="2160" w:firstLine="0"/>
      <w:outlineLvl w:val="7"/>
    </w:pPr>
    <w:rPr>
      <w:rFonts w:ascii="Arial" w:hAnsi="Arial"/>
      <w:sz w:val="18"/>
      <w:lang w:eastAsia="en-US"/>
    </w:rPr>
  </w:style>
  <w:style w:type="paragraph" w:customStyle="1" w:styleId="656">
    <w:name w:val="Body Bullet List 9-IDC"/>
    <w:basedOn w:val="1"/>
    <w:semiHidden/>
    <w:qFormat/>
    <w:uiPriority w:val="0"/>
    <w:pPr>
      <w:numPr>
        <w:ilvl w:val="8"/>
        <w:numId w:val="2"/>
      </w:numPr>
      <w:tabs>
        <w:tab w:val="clear" w:pos="3600"/>
      </w:tabs>
      <w:spacing w:afterLines="50" w:line="260" w:lineRule="exact"/>
      <w:ind w:left="4252" w:right="2160" w:firstLine="0"/>
      <w:outlineLvl w:val="8"/>
    </w:pPr>
    <w:rPr>
      <w:rFonts w:ascii="Arial" w:hAnsi="Arial"/>
      <w:sz w:val="18"/>
      <w:lang w:eastAsia="en-US"/>
    </w:rPr>
  </w:style>
  <w:style w:type="paragraph" w:customStyle="1" w:styleId="657">
    <w:name w:val="Body-IDC"/>
    <w:basedOn w:val="1"/>
    <w:semiHidden/>
    <w:qFormat/>
    <w:uiPriority w:val="0"/>
    <w:pPr>
      <w:spacing w:afterLines="50" w:line="260" w:lineRule="exact"/>
      <w:ind w:left="360" w:right="2160" w:firstLine="480"/>
    </w:pPr>
    <w:rPr>
      <w:rFonts w:ascii="Arial" w:hAnsi="Arial"/>
      <w:sz w:val="18"/>
      <w:lang w:eastAsia="en-US"/>
    </w:rPr>
  </w:style>
  <w:style w:type="character" w:customStyle="1" w:styleId="658">
    <w:name w:val="the_font4"/>
    <w:semiHidden/>
    <w:qFormat/>
    <w:uiPriority w:val="0"/>
    <w:rPr>
      <w:rFonts w:cs="Times New Roman"/>
    </w:rPr>
  </w:style>
  <w:style w:type="paragraph" w:customStyle="1" w:styleId="659">
    <w:name w:val="缩进_五号_1.5行距"/>
    <w:basedOn w:val="1"/>
    <w:semiHidden/>
    <w:qFormat/>
    <w:uiPriority w:val="0"/>
    <w:pPr>
      <w:spacing w:afterLines="50"/>
      <w:ind w:firstLine="420"/>
    </w:pPr>
    <w:rPr>
      <w:szCs w:val="20"/>
    </w:rPr>
  </w:style>
  <w:style w:type="paragraph" w:customStyle="1" w:styleId="660">
    <w:name w:val="默认段落字体 Char2 Char1 Char Char1 Char Char Char Char1 Char Char Char"/>
    <w:basedOn w:val="1"/>
    <w:semiHidden/>
    <w:qFormat/>
    <w:uiPriority w:val="0"/>
    <w:pPr>
      <w:spacing w:afterLines="50"/>
      <w:ind w:firstLine="480"/>
      <w:jc w:val="center"/>
    </w:pPr>
    <w:rPr>
      <w:rFonts w:ascii="Tahoma" w:hAnsi="Tahoma"/>
      <w:szCs w:val="20"/>
    </w:rPr>
  </w:style>
  <w:style w:type="paragraph" w:customStyle="1" w:styleId="661">
    <w:name w:val="Table Description"/>
    <w:next w:val="1"/>
    <w:semiHidden/>
    <w:qFormat/>
    <w:uiPriority w:val="0"/>
    <w:pPr>
      <w:keepNext/>
      <w:snapToGrid w:val="0"/>
      <w:spacing w:before="160" w:after="80"/>
      <w:ind w:left="1134"/>
    </w:pPr>
    <w:rPr>
      <w:rFonts w:ascii="Arial" w:hAnsi="Arial" w:eastAsia="楷体_GB2312" w:cs="Arial"/>
      <w:sz w:val="18"/>
      <w:szCs w:val="18"/>
      <w:lang w:val="en-US" w:eastAsia="zh-CN" w:bidi="ar-SA"/>
    </w:rPr>
  </w:style>
  <w:style w:type="paragraph" w:customStyle="1" w:styleId="662">
    <w:name w:val="Figure"/>
    <w:basedOn w:val="1"/>
    <w:next w:val="663"/>
    <w:semiHidden/>
    <w:qFormat/>
    <w:uiPriority w:val="0"/>
    <w:pPr>
      <w:keepNext/>
      <w:snapToGrid w:val="0"/>
      <w:spacing w:afterLines="50" w:line="300" w:lineRule="auto"/>
      <w:ind w:firstLine="480"/>
      <w:jc w:val="center"/>
    </w:pPr>
    <w:rPr>
      <w:rFonts w:ascii="Arial" w:hAnsi="Arial" w:cs="Arial"/>
      <w:szCs w:val="21"/>
    </w:rPr>
  </w:style>
  <w:style w:type="paragraph" w:customStyle="1" w:styleId="663">
    <w:name w:val="Figure Description"/>
    <w:next w:val="1"/>
    <w:semiHidden/>
    <w:qFormat/>
    <w:uiPriority w:val="0"/>
    <w:pPr>
      <w:snapToGrid w:val="0"/>
      <w:spacing w:before="80" w:after="320"/>
      <w:ind w:left="1134"/>
      <w:jc w:val="center"/>
    </w:pPr>
    <w:rPr>
      <w:rFonts w:ascii="Arial" w:hAnsi="Arial" w:eastAsia="楷体_GB2312" w:cs="Arial"/>
      <w:sz w:val="18"/>
      <w:szCs w:val="18"/>
      <w:lang w:val="en-US" w:eastAsia="zh-CN" w:bidi="ar-SA"/>
    </w:rPr>
  </w:style>
  <w:style w:type="paragraph" w:customStyle="1" w:styleId="664">
    <w:name w:val="Item List"/>
    <w:basedOn w:val="1"/>
    <w:semiHidden/>
    <w:qFormat/>
    <w:uiPriority w:val="0"/>
    <w:pPr>
      <w:spacing w:afterLines="50"/>
      <w:ind w:left="420" w:firstLine="480"/>
    </w:pPr>
    <w:rPr>
      <w:rFonts w:eastAsia="楷体_GB2312"/>
      <w:szCs w:val="20"/>
    </w:rPr>
  </w:style>
  <w:style w:type="character" w:customStyle="1" w:styleId="665">
    <w:name w:val="apple-style-span"/>
    <w:semiHidden/>
    <w:qFormat/>
    <w:uiPriority w:val="0"/>
  </w:style>
  <w:style w:type="paragraph" w:customStyle="1" w:styleId="666">
    <w:name w:val="title1"/>
    <w:basedOn w:val="1"/>
    <w:semiHidden/>
    <w:qFormat/>
    <w:uiPriority w:val="0"/>
    <w:pPr>
      <w:spacing w:beforeAutospacing="1" w:afterLines="50" w:afterAutospacing="1"/>
      <w:ind w:firstLine="480"/>
    </w:pPr>
    <w:rPr>
      <w:rFonts w:ascii="宋体" w:hAnsi="宋体"/>
    </w:rPr>
  </w:style>
  <w:style w:type="paragraph" w:customStyle="1" w:styleId="667">
    <w:name w:val="Body 1"/>
    <w:basedOn w:val="1"/>
    <w:semiHidden/>
    <w:qFormat/>
    <w:uiPriority w:val="0"/>
    <w:pPr>
      <w:spacing w:afterLines="50" w:line="288" w:lineRule="auto"/>
      <w:ind w:left="680" w:firstLine="480"/>
    </w:pPr>
    <w:rPr>
      <w:rFonts w:ascii="Arial" w:hAnsi="Arial"/>
      <w:kern w:val="20"/>
      <w:sz w:val="20"/>
      <w:szCs w:val="20"/>
      <w:lang w:val="en-GB" w:eastAsia="en-US"/>
    </w:rPr>
  </w:style>
  <w:style w:type="character" w:customStyle="1" w:styleId="668">
    <w:name w:val="标准文本 Char"/>
    <w:link w:val="669"/>
    <w:semiHidden/>
    <w:qFormat/>
    <w:uiPriority w:val="0"/>
    <w:rPr>
      <w:sz w:val="24"/>
      <w:lang w:val="zh-CN" w:eastAsia="zh-CN"/>
    </w:rPr>
  </w:style>
  <w:style w:type="paragraph" w:customStyle="1" w:styleId="669">
    <w:name w:val="标准文本"/>
    <w:basedOn w:val="1"/>
    <w:link w:val="668"/>
    <w:semiHidden/>
    <w:qFormat/>
    <w:uiPriority w:val="0"/>
    <w:pPr>
      <w:spacing w:afterLines="50"/>
      <w:ind w:firstLine="480"/>
    </w:pPr>
    <w:rPr>
      <w:rFonts w:ascii="Calibri" w:hAnsi="Calibri" w:cs="Times New Roman"/>
      <w:szCs w:val="20"/>
      <w:lang w:val="zh-CN"/>
    </w:rPr>
  </w:style>
  <w:style w:type="character" w:customStyle="1" w:styleId="670">
    <w:name w:val="纯文本 Char1"/>
    <w:semiHidden/>
    <w:qFormat/>
    <w:uiPriority w:val="0"/>
    <w:rPr>
      <w:rFonts w:ascii="宋体" w:hAnsi="Courier New" w:eastAsia="宋体" w:cs="Courier New"/>
      <w:szCs w:val="21"/>
    </w:rPr>
  </w:style>
  <w:style w:type="character" w:customStyle="1" w:styleId="671">
    <w:name w:val="rd style23"/>
    <w:semiHidden/>
    <w:qFormat/>
    <w:uiPriority w:val="0"/>
  </w:style>
  <w:style w:type="character" w:customStyle="1" w:styleId="672">
    <w:name w:val="widthline1"/>
    <w:semiHidden/>
    <w:qFormat/>
    <w:uiPriority w:val="0"/>
  </w:style>
  <w:style w:type="character" w:customStyle="1" w:styleId="673">
    <w:name w:val="日期 Char1"/>
    <w:semiHidden/>
    <w:qFormat/>
    <w:uiPriority w:val="99"/>
    <w:rPr>
      <w:rFonts w:ascii="Times New Roman" w:hAnsi="Times New Roman" w:eastAsia="宋体" w:cs="Times New Roman"/>
      <w:szCs w:val="20"/>
    </w:rPr>
  </w:style>
  <w:style w:type="character" w:customStyle="1" w:styleId="674">
    <w:name w:val="articlelink"/>
    <w:semiHidden/>
    <w:qFormat/>
    <w:uiPriority w:val="0"/>
  </w:style>
  <w:style w:type="paragraph" w:customStyle="1" w:styleId="675">
    <w:name w:val="西矿招股书正文 Char"/>
    <w:basedOn w:val="1"/>
    <w:next w:val="1"/>
    <w:semiHidden/>
    <w:qFormat/>
    <w:uiPriority w:val="0"/>
    <w:pPr>
      <w:autoSpaceDE w:val="0"/>
      <w:autoSpaceDN w:val="0"/>
      <w:adjustRightInd w:val="0"/>
      <w:spacing w:afterLines="50"/>
      <w:ind w:firstLine="480"/>
    </w:pPr>
    <w:rPr>
      <w:rFonts w:ascii="宋体"/>
      <w:szCs w:val="20"/>
    </w:rPr>
  </w:style>
  <w:style w:type="paragraph" w:customStyle="1" w:styleId="676">
    <w:name w:val="图标题"/>
    <w:basedOn w:val="1"/>
    <w:next w:val="16"/>
    <w:semiHidden/>
    <w:qFormat/>
    <w:uiPriority w:val="0"/>
    <w:pPr>
      <w:spacing w:afterLines="50"/>
      <w:ind w:firstLine="480"/>
      <w:jc w:val="center"/>
    </w:pPr>
    <w:rPr>
      <w:rFonts w:ascii="楷体_GB2312" w:hAnsi="宋体" w:eastAsia="楷体_GB2312"/>
      <w:szCs w:val="20"/>
    </w:rPr>
  </w:style>
  <w:style w:type="paragraph" w:customStyle="1" w:styleId="677">
    <w:name w:val="文档题目"/>
    <w:basedOn w:val="1"/>
    <w:semiHidden/>
    <w:qFormat/>
    <w:uiPriority w:val="0"/>
    <w:pPr>
      <w:spacing w:afterLines="50" w:line="420" w:lineRule="atLeast"/>
      <w:ind w:firstLine="480"/>
      <w:jc w:val="center"/>
    </w:pPr>
    <w:rPr>
      <w:rFonts w:ascii="隶书" w:eastAsia="隶书"/>
      <w:b/>
      <w:bCs/>
      <w:sz w:val="48"/>
      <w:szCs w:val="20"/>
    </w:rPr>
  </w:style>
  <w:style w:type="paragraph" w:customStyle="1" w:styleId="678">
    <w:name w:val="#"/>
    <w:basedOn w:val="1"/>
    <w:semiHidden/>
    <w:qFormat/>
    <w:uiPriority w:val="0"/>
    <w:pPr>
      <w:tabs>
        <w:tab w:val="left" w:pos="360"/>
        <w:tab w:val="left" w:pos="964"/>
      </w:tabs>
      <w:spacing w:afterLines="50"/>
      <w:ind w:left="360" w:hanging="360"/>
    </w:pPr>
    <w:rPr>
      <w:szCs w:val="20"/>
    </w:rPr>
  </w:style>
  <w:style w:type="paragraph" w:customStyle="1" w:styleId="679">
    <w:name w:val="默认段落字体111 Char"/>
    <w:basedOn w:val="1"/>
    <w:semiHidden/>
    <w:qFormat/>
    <w:uiPriority w:val="0"/>
    <w:pPr>
      <w:spacing w:afterLines="50" w:line="240" w:lineRule="exact"/>
      <w:ind w:left="1600" w:leftChars="1600" w:firstLine="480"/>
    </w:pPr>
    <w:rPr>
      <w:rFonts w:eastAsia="楷体_GB2312"/>
      <w:b/>
      <w:sz w:val="20"/>
      <w:szCs w:val="20"/>
      <w:lang w:eastAsia="en-US"/>
    </w:rPr>
  </w:style>
  <w:style w:type="character" w:customStyle="1" w:styleId="680">
    <w:name w:val="正文正文 Char"/>
    <w:link w:val="681"/>
    <w:semiHidden/>
    <w:qFormat/>
    <w:locked/>
    <w:uiPriority w:val="0"/>
    <w:rPr>
      <w:rFonts w:ascii="宋体" w:hAnsi="宋体"/>
      <w:sz w:val="24"/>
      <w:lang w:val="zh-CN" w:eastAsia="zh-CN"/>
    </w:rPr>
  </w:style>
  <w:style w:type="paragraph" w:customStyle="1" w:styleId="681">
    <w:name w:val="正文正文"/>
    <w:basedOn w:val="1"/>
    <w:link w:val="680"/>
    <w:semiHidden/>
    <w:qFormat/>
    <w:uiPriority w:val="0"/>
    <w:pPr>
      <w:spacing w:afterLines="50"/>
      <w:ind w:firstLine="480"/>
    </w:pPr>
    <w:rPr>
      <w:rFonts w:ascii="宋体" w:hAnsi="宋体" w:cs="Times New Roman"/>
      <w:szCs w:val="20"/>
      <w:lang w:val="zh-CN"/>
    </w:rPr>
  </w:style>
  <w:style w:type="paragraph" w:customStyle="1" w:styleId="682">
    <w:name w:val="Char Char1 Char Char Char Char Char Char"/>
    <w:basedOn w:val="1"/>
    <w:semiHidden/>
    <w:qFormat/>
    <w:uiPriority w:val="0"/>
    <w:pPr>
      <w:adjustRightInd w:val="0"/>
      <w:snapToGrid w:val="0"/>
      <w:spacing w:beforeLines="25" w:afterLines="25" w:line="240" w:lineRule="exact"/>
      <w:ind w:firstLine="403" w:firstLineChars="192"/>
    </w:pPr>
    <w:rPr>
      <w:rFonts w:ascii="宋体" w:hAnsi="宋体"/>
      <w:szCs w:val="21"/>
      <w:lang w:eastAsia="en-US"/>
    </w:rPr>
  </w:style>
  <w:style w:type="character" w:customStyle="1" w:styleId="683">
    <w:name w:val="Char Char3"/>
    <w:semiHidden/>
    <w:qFormat/>
    <w:uiPriority w:val="0"/>
    <w:rPr>
      <w:rFonts w:ascii="黑体" w:hAnsi="宋体" w:eastAsia="黑体"/>
      <w:b/>
      <w:kern w:val="2"/>
      <w:sz w:val="24"/>
      <w:lang w:val="en-US" w:eastAsia="zh-CN" w:bidi="ar-SA"/>
    </w:rPr>
  </w:style>
  <w:style w:type="character" w:customStyle="1" w:styleId="684">
    <w:name w:val="尾注文本 字符"/>
    <w:link w:val="45"/>
    <w:semiHidden/>
    <w:qFormat/>
    <w:uiPriority w:val="0"/>
    <w:rPr>
      <w:b/>
      <w:sz w:val="32"/>
      <w:lang w:val="zh-CN" w:eastAsia="zh-CN"/>
    </w:rPr>
  </w:style>
  <w:style w:type="character" w:customStyle="1" w:styleId="685">
    <w:name w:val="尾注文本 Char1"/>
    <w:semiHidden/>
    <w:qFormat/>
    <w:uiPriority w:val="99"/>
    <w:rPr>
      <w:kern w:val="2"/>
      <w:sz w:val="21"/>
      <w:szCs w:val="22"/>
    </w:rPr>
  </w:style>
  <w:style w:type="character" w:customStyle="1" w:styleId="686">
    <w:name w:val="Char Char4"/>
    <w:semiHidden/>
    <w:qFormat/>
    <w:uiPriority w:val="0"/>
    <w:rPr>
      <w:rFonts w:eastAsia="宋体"/>
      <w:b/>
      <w:kern w:val="44"/>
      <w:sz w:val="44"/>
      <w:lang w:val="en-US" w:eastAsia="zh-CN" w:bidi="ar-SA"/>
    </w:rPr>
  </w:style>
  <w:style w:type="paragraph" w:customStyle="1" w:styleId="687">
    <w:name w:val="样式 样式 标题 2Reset numbering章节标题sect 1.2 + (西文) Times New Roman (....."/>
    <w:basedOn w:val="1"/>
    <w:semiHidden/>
    <w:qFormat/>
    <w:uiPriority w:val="0"/>
    <w:pPr>
      <w:keepNext/>
      <w:keepLines/>
      <w:adjustRightInd w:val="0"/>
      <w:spacing w:afterLines="50"/>
      <w:ind w:firstLine="560"/>
      <w:textAlignment w:val="baseline"/>
      <w:outlineLvl w:val="1"/>
    </w:pPr>
    <w:rPr>
      <w:rFonts w:eastAsia="黑体"/>
      <w:b/>
      <w:sz w:val="28"/>
      <w:szCs w:val="20"/>
    </w:rPr>
  </w:style>
  <w:style w:type="character" w:customStyle="1" w:styleId="688">
    <w:name w:val="Char Char5"/>
    <w:semiHidden/>
    <w:qFormat/>
    <w:uiPriority w:val="0"/>
    <w:rPr>
      <w:rFonts w:ascii="Times New Roman" w:hAnsi="Times New Roman" w:eastAsia="宋体" w:cs="Times New Roman"/>
      <w:b/>
      <w:kern w:val="44"/>
      <w:sz w:val="44"/>
      <w:szCs w:val="20"/>
    </w:rPr>
  </w:style>
  <w:style w:type="character" w:customStyle="1" w:styleId="689">
    <w:name w:val="Char Char9"/>
    <w:semiHidden/>
    <w:qFormat/>
    <w:uiPriority w:val="0"/>
    <w:rPr>
      <w:rFonts w:ascii="Cambria" w:hAnsi="Cambria" w:eastAsia="宋体" w:cs="Times New Roman"/>
      <w:b/>
      <w:bCs/>
      <w:sz w:val="32"/>
      <w:szCs w:val="32"/>
    </w:rPr>
  </w:style>
  <w:style w:type="character" w:customStyle="1" w:styleId="690">
    <w:name w:val="Char Char10"/>
    <w:semiHidden/>
    <w:qFormat/>
    <w:uiPriority w:val="0"/>
    <w:rPr>
      <w:b/>
      <w:bCs/>
      <w:kern w:val="44"/>
      <w:sz w:val="44"/>
      <w:szCs w:val="44"/>
    </w:rPr>
  </w:style>
  <w:style w:type="paragraph" w:customStyle="1" w:styleId="691">
    <w:name w:val="1正文"/>
    <w:basedOn w:val="1"/>
    <w:link w:val="1455"/>
    <w:semiHidden/>
    <w:qFormat/>
    <w:uiPriority w:val="0"/>
    <w:pPr>
      <w:spacing w:afterLines="50"/>
      <w:ind w:firstLine="480"/>
    </w:pPr>
    <w:rPr>
      <w:rFonts w:cs="Times New Roman"/>
      <w:szCs w:val="20"/>
      <w:lang w:val="zh-CN"/>
    </w:rPr>
  </w:style>
  <w:style w:type="paragraph" w:customStyle="1" w:styleId="692">
    <w:name w:val="正文－恩普"/>
    <w:basedOn w:val="16"/>
    <w:semiHidden/>
    <w:qFormat/>
    <w:uiPriority w:val="0"/>
    <w:pPr>
      <w:spacing w:afterLines="50"/>
      <w:ind w:firstLine="480"/>
    </w:pPr>
    <w:rPr>
      <w:rFonts w:ascii="宋体" w:hAnsi="宋体"/>
      <w:b/>
      <w:kern w:val="0"/>
      <w:sz w:val="24"/>
      <w:szCs w:val="24"/>
    </w:rPr>
  </w:style>
  <w:style w:type="paragraph" w:customStyle="1" w:styleId="693">
    <w:name w:val="默认段落字体 Para Char Char Char Char Char Char Char Char Char"/>
    <w:basedOn w:val="1"/>
    <w:semiHidden/>
    <w:qFormat/>
    <w:uiPriority w:val="0"/>
    <w:pPr>
      <w:spacing w:afterLines="50"/>
      <w:ind w:firstLine="480"/>
    </w:pPr>
    <w:rPr>
      <w:szCs w:val="20"/>
    </w:rPr>
  </w:style>
  <w:style w:type="paragraph" w:customStyle="1" w:styleId="694">
    <w:name w:val="Char Char Char Char Char Char1 Char Char Char1"/>
    <w:basedOn w:val="1"/>
    <w:semiHidden/>
    <w:qFormat/>
    <w:uiPriority w:val="0"/>
    <w:pPr>
      <w:autoSpaceDE w:val="0"/>
      <w:autoSpaceDN w:val="0"/>
      <w:adjustRightInd w:val="0"/>
      <w:spacing w:afterLines="50"/>
      <w:ind w:firstLine="480"/>
      <w:textAlignment w:val="baseline"/>
    </w:pPr>
    <w:rPr>
      <w:rFonts w:eastAsia="方正仿宋简体"/>
      <w:sz w:val="32"/>
      <w:szCs w:val="20"/>
    </w:rPr>
  </w:style>
  <w:style w:type="character" w:customStyle="1" w:styleId="695">
    <w:name w:val="页眉2 Char Char"/>
    <w:semiHidden/>
    <w:qFormat/>
    <w:uiPriority w:val="0"/>
    <w:rPr>
      <w:rFonts w:ascii="Times New Roman" w:hAnsi="Times New Roman" w:eastAsia="宋体" w:cs="Times New Roman"/>
      <w:sz w:val="18"/>
      <w:szCs w:val="18"/>
    </w:rPr>
  </w:style>
  <w:style w:type="character" w:customStyle="1" w:styleId="696">
    <w:name w:val="Char Char31"/>
    <w:semiHidden/>
    <w:qFormat/>
    <w:uiPriority w:val="0"/>
    <w:rPr>
      <w:rFonts w:ascii="黑体" w:hAnsi="宋体" w:eastAsia="黑体"/>
      <w:b/>
      <w:kern w:val="2"/>
      <w:sz w:val="24"/>
      <w:lang w:val="en-US" w:eastAsia="zh-CN" w:bidi="ar-SA"/>
    </w:rPr>
  </w:style>
  <w:style w:type="character" w:customStyle="1" w:styleId="697">
    <w:name w:val="Char Char41"/>
    <w:semiHidden/>
    <w:qFormat/>
    <w:uiPriority w:val="0"/>
    <w:rPr>
      <w:rFonts w:eastAsia="宋体"/>
      <w:b/>
      <w:kern w:val="44"/>
      <w:sz w:val="44"/>
      <w:lang w:val="en-US" w:eastAsia="zh-CN" w:bidi="ar-SA"/>
    </w:rPr>
  </w:style>
  <w:style w:type="character" w:customStyle="1" w:styleId="698">
    <w:name w:val="标题 3 Char Char Char"/>
    <w:semiHidden/>
    <w:qFormat/>
    <w:uiPriority w:val="0"/>
    <w:rPr>
      <w:rFonts w:eastAsia="宋体"/>
      <w:b/>
      <w:kern w:val="2"/>
      <w:sz w:val="32"/>
      <w:lang w:val="en-US" w:eastAsia="zh-CN" w:bidi="ar-SA"/>
    </w:rPr>
  </w:style>
  <w:style w:type="character" w:customStyle="1" w:styleId="699">
    <w:name w:val="Char Char15"/>
    <w:semiHidden/>
    <w:qFormat/>
    <w:uiPriority w:val="0"/>
    <w:rPr>
      <w:rFonts w:ascii="宋体" w:eastAsia="宋体"/>
      <w:sz w:val="24"/>
      <w:lang w:val="en-US" w:eastAsia="zh-CN" w:bidi="ar-SA"/>
    </w:rPr>
  </w:style>
  <w:style w:type="character" w:customStyle="1" w:styleId="700">
    <w:name w:val="Char Char14"/>
    <w:semiHidden/>
    <w:qFormat/>
    <w:locked/>
    <w:uiPriority w:val="0"/>
    <w:rPr>
      <w:rFonts w:eastAsia="宋体"/>
      <w:kern w:val="2"/>
      <w:sz w:val="21"/>
      <w:lang w:val="en-US" w:eastAsia="zh-CN" w:bidi="ar-SA"/>
    </w:rPr>
  </w:style>
  <w:style w:type="character" w:customStyle="1" w:styleId="701">
    <w:name w:val="页眉2 Char Char1"/>
    <w:semiHidden/>
    <w:qFormat/>
    <w:locked/>
    <w:uiPriority w:val="0"/>
    <w:rPr>
      <w:rFonts w:eastAsia="宋体"/>
      <w:kern w:val="2"/>
      <w:sz w:val="18"/>
      <w:szCs w:val="18"/>
      <w:lang w:val="en-US" w:eastAsia="zh-CN" w:bidi="ar-SA"/>
    </w:rPr>
  </w:style>
  <w:style w:type="paragraph" w:customStyle="1" w:styleId="702">
    <w:name w:val="Char3 Char Char Char"/>
    <w:basedOn w:val="1"/>
    <w:semiHidden/>
    <w:qFormat/>
    <w:uiPriority w:val="0"/>
    <w:pPr>
      <w:spacing w:afterLines="50" w:line="240" w:lineRule="exact"/>
      <w:ind w:firstLine="480"/>
    </w:pPr>
    <w:rPr>
      <w:rFonts w:ascii="Verdana" w:hAnsi="Verdana"/>
      <w:sz w:val="20"/>
      <w:szCs w:val="20"/>
      <w:lang w:eastAsia="en-US"/>
    </w:rPr>
  </w:style>
  <w:style w:type="character" w:customStyle="1" w:styleId="703">
    <w:name w:val="Char Char51"/>
    <w:semiHidden/>
    <w:qFormat/>
    <w:uiPriority w:val="0"/>
    <w:rPr>
      <w:rFonts w:ascii="Times New Roman" w:hAnsi="Times New Roman" w:eastAsia="宋体" w:cs="Times New Roman"/>
      <w:b/>
      <w:kern w:val="44"/>
      <w:sz w:val="44"/>
      <w:szCs w:val="20"/>
    </w:rPr>
  </w:style>
  <w:style w:type="character" w:customStyle="1" w:styleId="704">
    <w:name w:val="Char Char91"/>
    <w:semiHidden/>
    <w:qFormat/>
    <w:uiPriority w:val="0"/>
    <w:rPr>
      <w:rFonts w:ascii="Cambria" w:hAnsi="Cambria" w:eastAsia="宋体" w:cs="Times New Roman"/>
      <w:b/>
      <w:bCs/>
      <w:sz w:val="32"/>
      <w:szCs w:val="32"/>
    </w:rPr>
  </w:style>
  <w:style w:type="character" w:customStyle="1" w:styleId="705">
    <w:name w:val="Char Char101"/>
    <w:semiHidden/>
    <w:qFormat/>
    <w:uiPriority w:val="0"/>
    <w:rPr>
      <w:b/>
      <w:bCs/>
      <w:kern w:val="44"/>
      <w:sz w:val="44"/>
      <w:szCs w:val="44"/>
    </w:rPr>
  </w:style>
  <w:style w:type="paragraph" w:customStyle="1" w:styleId="706">
    <w:name w:val="列出段落11"/>
    <w:basedOn w:val="1"/>
    <w:semiHidden/>
    <w:qFormat/>
    <w:uiPriority w:val="99"/>
    <w:pPr>
      <w:spacing w:afterLines="50"/>
      <w:ind w:firstLine="420"/>
    </w:pPr>
  </w:style>
  <w:style w:type="paragraph" w:customStyle="1" w:styleId="707">
    <w:name w:val="Char3 Char Char Char1"/>
    <w:basedOn w:val="1"/>
    <w:semiHidden/>
    <w:qFormat/>
    <w:uiPriority w:val="0"/>
    <w:pPr>
      <w:spacing w:afterLines="50" w:line="240" w:lineRule="exact"/>
      <w:ind w:firstLine="480"/>
    </w:pPr>
    <w:rPr>
      <w:rFonts w:ascii="Verdana" w:hAnsi="Verdana"/>
      <w:sz w:val="20"/>
      <w:szCs w:val="20"/>
      <w:lang w:eastAsia="en-US"/>
    </w:rPr>
  </w:style>
  <w:style w:type="paragraph" w:customStyle="1" w:styleId="708">
    <w:name w:val="Char Char Char Char Char Char1 Char Char Char2"/>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709">
    <w:name w:val="a"/>
    <w:basedOn w:val="1"/>
    <w:semiHidden/>
    <w:qFormat/>
    <w:uiPriority w:val="0"/>
    <w:pPr>
      <w:spacing w:beforeAutospacing="1" w:afterLines="50" w:afterAutospacing="1"/>
      <w:ind w:firstLine="480"/>
    </w:pPr>
    <w:rPr>
      <w:rFonts w:ascii="宋体" w:hAnsi="宋体"/>
    </w:rPr>
  </w:style>
  <w:style w:type="paragraph" w:customStyle="1" w:styleId="710">
    <w:name w:val="Char Char Char Char Char Char1 Char Char Char4"/>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711">
    <w:name w:val="Char Char Char Char Char Char Char Char Char2 Char Char Char Char Char Char Char Char Char Char Char Char Char Char Char2 Char"/>
    <w:basedOn w:val="1"/>
    <w:semiHidden/>
    <w:qFormat/>
    <w:uiPriority w:val="0"/>
    <w:pPr>
      <w:spacing w:afterLines="50" w:line="240" w:lineRule="exact"/>
      <w:ind w:firstLine="480"/>
    </w:pPr>
    <w:rPr>
      <w:rFonts w:ascii="Verdana" w:hAnsi="Verdana" w:eastAsia="Times New Roman"/>
      <w:sz w:val="20"/>
      <w:szCs w:val="20"/>
      <w:lang w:eastAsia="en-US"/>
    </w:rPr>
  </w:style>
  <w:style w:type="paragraph" w:customStyle="1" w:styleId="712">
    <w:name w:val="Char Char Char Char Char Char Char Char Char2 Char Char Char Char Char Char Char Char Char Char Char Char Char Char Char23"/>
    <w:basedOn w:val="1"/>
    <w:semiHidden/>
    <w:qFormat/>
    <w:uiPriority w:val="0"/>
    <w:pPr>
      <w:spacing w:afterLines="50" w:line="240" w:lineRule="exact"/>
      <w:ind w:firstLine="480"/>
    </w:pPr>
    <w:rPr>
      <w:rFonts w:ascii="Verdana" w:hAnsi="Verdana" w:eastAsia="Times New Roman"/>
      <w:sz w:val="20"/>
      <w:szCs w:val="20"/>
      <w:lang w:eastAsia="en-US"/>
    </w:rPr>
  </w:style>
  <w:style w:type="paragraph" w:customStyle="1" w:styleId="713">
    <w:name w:val="Char Char Char Char Char Char Char Char Char2 Char Char Char Char Char Char Char Char Char Char Char Char Char Char Char21"/>
    <w:basedOn w:val="1"/>
    <w:semiHidden/>
    <w:qFormat/>
    <w:uiPriority w:val="0"/>
    <w:pPr>
      <w:spacing w:afterLines="50" w:line="240" w:lineRule="exact"/>
      <w:ind w:firstLine="480"/>
    </w:pPr>
    <w:rPr>
      <w:rFonts w:ascii="Verdana" w:hAnsi="Verdana" w:eastAsia="Times New Roman"/>
      <w:sz w:val="20"/>
      <w:szCs w:val="20"/>
      <w:lang w:eastAsia="en-US"/>
    </w:rPr>
  </w:style>
  <w:style w:type="character" w:customStyle="1" w:styleId="714">
    <w:name w:val="style1"/>
    <w:semiHidden/>
    <w:qFormat/>
    <w:uiPriority w:val="0"/>
  </w:style>
  <w:style w:type="paragraph" w:customStyle="1" w:styleId="715">
    <w:name w:val="Char Char Char Char Char Char1 Char Char Char3"/>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716">
    <w:name w:val="Char Char Char Char Char Char Char Char Char2 Char Char Char Char Char Char Char Char Char Char Char Char Char Char Char2 Char1"/>
    <w:basedOn w:val="1"/>
    <w:semiHidden/>
    <w:qFormat/>
    <w:uiPriority w:val="0"/>
    <w:pPr>
      <w:spacing w:afterLines="50" w:line="240" w:lineRule="exact"/>
      <w:ind w:firstLine="480"/>
    </w:pPr>
    <w:rPr>
      <w:rFonts w:ascii="Verdana" w:hAnsi="Verdana" w:eastAsia="Times New Roman"/>
      <w:sz w:val="20"/>
      <w:szCs w:val="20"/>
      <w:lang w:eastAsia="en-US"/>
    </w:rPr>
  </w:style>
  <w:style w:type="paragraph" w:customStyle="1" w:styleId="717">
    <w:name w:val="Char Char Char Char Char Char Char Char Char2 Char Char Char Char Char Char Char Char Char Char Char Char Char Char Char22"/>
    <w:basedOn w:val="1"/>
    <w:semiHidden/>
    <w:qFormat/>
    <w:uiPriority w:val="0"/>
    <w:pPr>
      <w:spacing w:afterLines="50" w:line="240" w:lineRule="exact"/>
      <w:ind w:firstLine="480"/>
    </w:pPr>
    <w:rPr>
      <w:rFonts w:ascii="Verdana" w:hAnsi="Verdana" w:eastAsia="Times New Roman"/>
      <w:sz w:val="20"/>
      <w:szCs w:val="20"/>
      <w:lang w:eastAsia="en-US"/>
    </w:rPr>
  </w:style>
  <w:style w:type="character" w:customStyle="1" w:styleId="718">
    <w:name w:val="批注引用1"/>
    <w:semiHidden/>
    <w:qFormat/>
    <w:uiPriority w:val="0"/>
    <w:rPr>
      <w:sz w:val="21"/>
    </w:rPr>
  </w:style>
  <w:style w:type="character" w:customStyle="1" w:styleId="719">
    <w:name w:val="脚注引用1"/>
    <w:semiHidden/>
    <w:qFormat/>
    <w:uiPriority w:val="0"/>
    <w:rPr>
      <w:vertAlign w:val="superscript"/>
    </w:rPr>
  </w:style>
  <w:style w:type="character" w:customStyle="1" w:styleId="720">
    <w:name w:val="页码1"/>
    <w:semiHidden/>
    <w:qFormat/>
    <w:uiPriority w:val="0"/>
  </w:style>
  <w:style w:type="paragraph" w:customStyle="1" w:styleId="721">
    <w:name w:val="批注主题1"/>
    <w:basedOn w:val="722"/>
    <w:next w:val="722"/>
    <w:semiHidden/>
    <w:qFormat/>
    <w:uiPriority w:val="0"/>
    <w:rPr>
      <w:b/>
    </w:rPr>
  </w:style>
  <w:style w:type="paragraph" w:customStyle="1" w:styleId="722">
    <w:name w:val="批注文字1"/>
    <w:basedOn w:val="1"/>
    <w:semiHidden/>
    <w:qFormat/>
    <w:uiPriority w:val="0"/>
    <w:pPr>
      <w:spacing w:afterLines="50"/>
      <w:ind w:firstLine="480"/>
    </w:pPr>
    <w:rPr>
      <w:szCs w:val="20"/>
    </w:rPr>
  </w:style>
  <w:style w:type="paragraph" w:customStyle="1" w:styleId="723">
    <w:name w:val="列出段落2"/>
    <w:basedOn w:val="1"/>
    <w:semiHidden/>
    <w:qFormat/>
    <w:uiPriority w:val="0"/>
    <w:pPr>
      <w:spacing w:afterLines="50"/>
      <w:ind w:firstLine="420"/>
    </w:pPr>
  </w:style>
  <w:style w:type="paragraph" w:customStyle="1" w:styleId="724">
    <w:name w:val="脚注文本1"/>
    <w:basedOn w:val="1"/>
    <w:semiHidden/>
    <w:qFormat/>
    <w:uiPriority w:val="0"/>
    <w:pPr>
      <w:snapToGrid w:val="0"/>
      <w:spacing w:afterLines="50"/>
      <w:ind w:firstLine="480"/>
    </w:pPr>
    <w:rPr>
      <w:sz w:val="18"/>
      <w:szCs w:val="20"/>
    </w:rPr>
  </w:style>
  <w:style w:type="paragraph" w:customStyle="1" w:styleId="725">
    <w:name w:val="普通(网站)1"/>
    <w:basedOn w:val="1"/>
    <w:semiHidden/>
    <w:qFormat/>
    <w:uiPriority w:val="0"/>
    <w:pPr>
      <w:spacing w:beforeAutospacing="1" w:afterLines="50" w:afterAutospacing="1"/>
      <w:ind w:firstLine="480"/>
    </w:pPr>
    <w:rPr>
      <w:rFonts w:ascii="宋体" w:hAnsi="宋体"/>
    </w:rPr>
  </w:style>
  <w:style w:type="paragraph" w:customStyle="1" w:styleId="726">
    <w:name w:val="HTML 预设格式1"/>
    <w:basedOn w:val="1"/>
    <w:semiHidden/>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50"/>
      <w:ind w:firstLine="480"/>
    </w:pPr>
    <w:rPr>
      <w:rFonts w:ascii="宋体" w:hAnsi="宋体"/>
    </w:rPr>
  </w:style>
  <w:style w:type="paragraph" w:customStyle="1" w:styleId="727">
    <w:name w:val="页脚1"/>
    <w:basedOn w:val="1"/>
    <w:semiHidden/>
    <w:qFormat/>
    <w:uiPriority w:val="0"/>
    <w:pPr>
      <w:tabs>
        <w:tab w:val="center" w:pos="4153"/>
        <w:tab w:val="right" w:pos="8306"/>
      </w:tabs>
      <w:snapToGrid w:val="0"/>
      <w:spacing w:afterLines="50"/>
      <w:ind w:firstLine="480"/>
    </w:pPr>
    <w:rPr>
      <w:sz w:val="18"/>
      <w:szCs w:val="20"/>
    </w:rPr>
  </w:style>
  <w:style w:type="paragraph" w:customStyle="1" w:styleId="728">
    <w:name w:val="TOC 标题11"/>
    <w:basedOn w:val="2"/>
    <w:next w:val="1"/>
    <w:semiHidden/>
    <w:qFormat/>
    <w:uiPriority w:val="0"/>
    <w:pPr>
      <w:keepNext/>
      <w:keepLines/>
      <w:spacing w:before="163" w:afterLines="50" w:line="276" w:lineRule="auto"/>
      <w:jc w:val="left"/>
      <w:outlineLvl w:val="9"/>
    </w:pPr>
    <w:rPr>
      <w:rFonts w:ascii="Cambria" w:hAnsi="Cambria" w:eastAsia="宋体"/>
      <w:bCs/>
      <w:color w:val="365F91"/>
      <w:sz w:val="28"/>
      <w:szCs w:val="28"/>
    </w:rPr>
  </w:style>
  <w:style w:type="paragraph" w:customStyle="1" w:styleId="729">
    <w:name w:val="修订11"/>
    <w:qFormat/>
    <w:uiPriority w:val="99"/>
    <w:rPr>
      <w:rFonts w:ascii="Times New Roman" w:hAnsi="Times New Roman" w:eastAsia="宋体" w:cs="Times New Roman"/>
      <w:szCs w:val="24"/>
      <w:lang w:val="en-US" w:eastAsia="zh-CN" w:bidi="ar-SA"/>
    </w:rPr>
  </w:style>
  <w:style w:type="paragraph" w:customStyle="1" w:styleId="730">
    <w:name w:val="文档结构图1"/>
    <w:basedOn w:val="1"/>
    <w:semiHidden/>
    <w:qFormat/>
    <w:uiPriority w:val="0"/>
    <w:pPr>
      <w:spacing w:afterLines="50"/>
      <w:ind w:firstLine="480"/>
    </w:pPr>
    <w:rPr>
      <w:rFonts w:ascii="宋体"/>
      <w:sz w:val="18"/>
      <w:szCs w:val="18"/>
    </w:rPr>
  </w:style>
  <w:style w:type="paragraph" w:customStyle="1" w:styleId="731">
    <w:name w:val="正文文本缩进1"/>
    <w:basedOn w:val="1"/>
    <w:semiHidden/>
    <w:qFormat/>
    <w:uiPriority w:val="0"/>
    <w:pPr>
      <w:spacing w:afterLines="50"/>
      <w:ind w:left="420" w:leftChars="200" w:firstLine="480"/>
    </w:pPr>
    <w:rPr>
      <w:szCs w:val="20"/>
    </w:rPr>
  </w:style>
  <w:style w:type="paragraph" w:customStyle="1" w:styleId="732">
    <w:name w:val="正文文本1"/>
    <w:basedOn w:val="1"/>
    <w:semiHidden/>
    <w:qFormat/>
    <w:uiPriority w:val="0"/>
    <w:pPr>
      <w:spacing w:afterLines="50"/>
      <w:ind w:firstLine="480"/>
    </w:pPr>
    <w:rPr>
      <w:szCs w:val="20"/>
    </w:rPr>
  </w:style>
  <w:style w:type="paragraph" w:customStyle="1" w:styleId="733">
    <w:name w:val="尾注文本1"/>
    <w:basedOn w:val="1"/>
    <w:semiHidden/>
    <w:qFormat/>
    <w:uiPriority w:val="0"/>
    <w:pPr>
      <w:snapToGrid w:val="0"/>
      <w:spacing w:afterLines="50"/>
      <w:ind w:firstLine="480"/>
    </w:pPr>
    <w:rPr>
      <w:b/>
      <w:sz w:val="32"/>
      <w:szCs w:val="20"/>
    </w:rPr>
  </w:style>
  <w:style w:type="paragraph" w:customStyle="1" w:styleId="734">
    <w:name w:val="列表编号1"/>
    <w:basedOn w:val="1"/>
    <w:semiHidden/>
    <w:qFormat/>
    <w:uiPriority w:val="0"/>
    <w:pPr>
      <w:tabs>
        <w:tab w:val="left" w:pos="360"/>
      </w:tabs>
      <w:spacing w:afterLines="50"/>
      <w:ind w:left="360" w:hanging="360"/>
    </w:pPr>
    <w:rPr>
      <w:sz w:val="28"/>
      <w:szCs w:val="20"/>
    </w:rPr>
  </w:style>
  <w:style w:type="paragraph" w:customStyle="1" w:styleId="735">
    <w:name w:val="索引 11"/>
    <w:basedOn w:val="1"/>
    <w:next w:val="1"/>
    <w:semiHidden/>
    <w:qFormat/>
    <w:uiPriority w:val="0"/>
    <w:pPr>
      <w:spacing w:afterLines="50"/>
      <w:ind w:firstLine="480"/>
    </w:pPr>
    <w:rPr>
      <w:szCs w:val="20"/>
    </w:rPr>
  </w:style>
  <w:style w:type="character" w:customStyle="1" w:styleId="736">
    <w:name w:val="keyword"/>
    <w:semiHidden/>
    <w:qFormat/>
    <w:uiPriority w:val="0"/>
  </w:style>
  <w:style w:type="paragraph" w:customStyle="1" w:styleId="737">
    <w:name w:val="一、"/>
    <w:basedOn w:val="3"/>
    <w:link w:val="738"/>
    <w:semiHidden/>
    <w:qFormat/>
    <w:uiPriority w:val="0"/>
    <w:pPr>
      <w:adjustRightInd w:val="0"/>
      <w:spacing w:before="260" w:beforeLines="100" w:afterLines="100"/>
      <w:ind w:firstLine="480"/>
    </w:pPr>
    <w:rPr>
      <w:rFonts w:ascii="黑体" w:hAnsi="宋体"/>
      <w:b/>
      <w:bCs w:val="0"/>
      <w:szCs w:val="20"/>
    </w:rPr>
  </w:style>
  <w:style w:type="character" w:customStyle="1" w:styleId="738">
    <w:name w:val="一、 Char"/>
    <w:link w:val="737"/>
    <w:semiHidden/>
    <w:qFormat/>
    <w:uiPriority w:val="0"/>
    <w:rPr>
      <w:rFonts w:ascii="黑体" w:hAnsi="宋体" w:eastAsia="黑体"/>
      <w:b/>
      <w:sz w:val="32"/>
      <w:lang w:val="zh-CN" w:eastAsia="zh-CN"/>
    </w:rPr>
  </w:style>
  <w:style w:type="paragraph" w:customStyle="1" w:styleId="739">
    <w:name w:val="（一）"/>
    <w:basedOn w:val="669"/>
    <w:link w:val="740"/>
    <w:semiHidden/>
    <w:qFormat/>
    <w:uiPriority w:val="0"/>
    <w:pPr>
      <w:tabs>
        <w:tab w:val="left" w:pos="0"/>
      </w:tabs>
      <w:snapToGrid w:val="0"/>
      <w:ind w:firstLine="422" w:firstLineChars="150"/>
      <w:outlineLvl w:val="4"/>
    </w:pPr>
    <w:rPr>
      <w:rFonts w:ascii="黑体" w:hAnsi="宋体" w:eastAsia="黑体"/>
      <w:b/>
      <w:sz w:val="28"/>
      <w:szCs w:val="28"/>
    </w:rPr>
  </w:style>
  <w:style w:type="character" w:customStyle="1" w:styleId="740">
    <w:name w:val="（一） Char"/>
    <w:link w:val="739"/>
    <w:semiHidden/>
    <w:qFormat/>
    <w:uiPriority w:val="0"/>
    <w:rPr>
      <w:rFonts w:ascii="黑体" w:hAnsi="宋体" w:eastAsia="黑体"/>
      <w:b/>
      <w:sz w:val="28"/>
      <w:szCs w:val="28"/>
      <w:lang w:val="zh-CN" w:eastAsia="zh-CN"/>
    </w:rPr>
  </w:style>
  <w:style w:type="paragraph" w:customStyle="1" w:styleId="741">
    <w:name w:val="111"/>
    <w:basedOn w:val="669"/>
    <w:link w:val="742"/>
    <w:semiHidden/>
    <w:qFormat/>
    <w:uiPriority w:val="0"/>
    <w:pPr>
      <w:adjustRightInd w:val="0"/>
      <w:snapToGrid w:val="0"/>
      <w:ind w:firstLine="482"/>
    </w:pPr>
    <w:rPr>
      <w:rFonts w:eastAsia="黑体"/>
      <w:b/>
      <w:szCs w:val="24"/>
    </w:rPr>
  </w:style>
  <w:style w:type="character" w:customStyle="1" w:styleId="742">
    <w:name w:val="111 Char"/>
    <w:link w:val="741"/>
    <w:semiHidden/>
    <w:qFormat/>
    <w:uiPriority w:val="0"/>
    <w:rPr>
      <w:rFonts w:eastAsia="黑体"/>
      <w:b/>
      <w:sz w:val="24"/>
      <w:szCs w:val="24"/>
      <w:lang w:val="zh-CN" w:eastAsia="zh-CN"/>
    </w:rPr>
  </w:style>
  <w:style w:type="paragraph" w:customStyle="1" w:styleId="743">
    <w:name w:val="1111"/>
    <w:basedOn w:val="38"/>
    <w:next w:val="741"/>
    <w:semiHidden/>
    <w:qFormat/>
    <w:uiPriority w:val="0"/>
    <w:pPr>
      <w:adjustRightInd w:val="0"/>
      <w:snapToGrid w:val="0"/>
      <w:spacing w:afterLines="50"/>
      <w:ind w:firstLine="424" w:firstLineChars="176"/>
    </w:pPr>
    <w:rPr>
      <w:rFonts w:hAnsi="宋体"/>
      <w:b/>
      <w:sz w:val="24"/>
    </w:rPr>
  </w:style>
  <w:style w:type="paragraph" w:customStyle="1" w:styleId="744">
    <w:name w:val="（一）1"/>
    <w:basedOn w:val="37"/>
    <w:next w:val="739"/>
    <w:semiHidden/>
    <w:qFormat/>
    <w:uiPriority w:val="0"/>
    <w:pPr>
      <w:tabs>
        <w:tab w:val="left" w:pos="0"/>
      </w:tabs>
      <w:snapToGrid w:val="0"/>
      <w:spacing w:afterLines="50"/>
      <w:ind w:left="0" w:firstLine="424" w:firstLineChars="151"/>
      <w:outlineLvl w:val="4"/>
    </w:pPr>
    <w:rPr>
      <w:b/>
      <w:i w:val="0"/>
      <w:iCs w:val="0"/>
      <w:sz w:val="28"/>
      <w:szCs w:val="28"/>
    </w:rPr>
  </w:style>
  <w:style w:type="paragraph" w:customStyle="1" w:styleId="745">
    <w:name w:val="Char Char Char Char Char Char1 Char Char Char7"/>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746">
    <w:name w:val="Char Char Char Char Char Char1 Char Char Char6"/>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747">
    <w:name w:val="表注"/>
    <w:basedOn w:val="1"/>
    <w:link w:val="748"/>
    <w:semiHidden/>
    <w:qFormat/>
    <w:uiPriority w:val="0"/>
    <w:pPr>
      <w:spacing w:afterLines="50" w:line="300" w:lineRule="auto"/>
      <w:ind w:firstLine="420"/>
    </w:pPr>
    <w:rPr>
      <w:rFonts w:ascii="宋体" w:hAnsi="宋体" w:cs="Times New Roman"/>
      <w:bCs/>
      <w:sz w:val="20"/>
      <w:szCs w:val="21"/>
      <w:lang w:val="zh-CN"/>
    </w:rPr>
  </w:style>
  <w:style w:type="character" w:customStyle="1" w:styleId="748">
    <w:name w:val="表注 Char"/>
    <w:link w:val="747"/>
    <w:semiHidden/>
    <w:qFormat/>
    <w:uiPriority w:val="0"/>
    <w:rPr>
      <w:rFonts w:ascii="宋体" w:hAnsi="宋体"/>
      <w:bCs/>
      <w:szCs w:val="21"/>
      <w:lang w:val="zh-CN" w:eastAsia="zh-CN"/>
    </w:rPr>
  </w:style>
  <w:style w:type="paragraph" w:customStyle="1" w:styleId="749">
    <w:name w:val="（1）"/>
    <w:basedOn w:val="395"/>
    <w:link w:val="750"/>
    <w:semiHidden/>
    <w:qFormat/>
    <w:uiPriority w:val="0"/>
    <w:pPr>
      <w:tabs>
        <w:tab w:val="left" w:pos="0"/>
      </w:tabs>
      <w:adjustRightInd/>
      <w:snapToGrid w:val="0"/>
      <w:spacing w:beforeLines="50" w:afterLines="50" w:line="360" w:lineRule="auto"/>
      <w:ind w:firstLine="482" w:firstLineChars="200"/>
      <w:jc w:val="left"/>
      <w:textAlignment w:val="auto"/>
    </w:pPr>
    <w:rPr>
      <w:rFonts w:hAnsi="宋体"/>
      <w:b/>
      <w:sz w:val="24"/>
      <w:szCs w:val="24"/>
      <w:lang w:val="zh-CN"/>
    </w:rPr>
  </w:style>
  <w:style w:type="character" w:customStyle="1" w:styleId="750">
    <w:name w:val="（1） Char"/>
    <w:link w:val="749"/>
    <w:semiHidden/>
    <w:qFormat/>
    <w:uiPriority w:val="0"/>
    <w:rPr>
      <w:rFonts w:ascii="宋体" w:hAnsi="宋体"/>
      <w:b/>
      <w:sz w:val="24"/>
      <w:szCs w:val="24"/>
      <w:lang w:val="zh-CN" w:eastAsia="zh-CN"/>
    </w:rPr>
  </w:style>
  <w:style w:type="paragraph" w:customStyle="1" w:styleId="751">
    <w:name w:val="Char Char Char Char Char Char1 Char Char Char8"/>
    <w:basedOn w:val="1"/>
    <w:semiHidden/>
    <w:qFormat/>
    <w:uiPriority w:val="0"/>
    <w:pPr>
      <w:autoSpaceDE w:val="0"/>
      <w:autoSpaceDN w:val="0"/>
      <w:adjustRightInd w:val="0"/>
      <w:spacing w:afterLines="50"/>
      <w:ind w:firstLine="480"/>
      <w:textAlignment w:val="baseline"/>
    </w:pPr>
    <w:rPr>
      <w:rFonts w:ascii="宋体"/>
      <w:sz w:val="34"/>
      <w:szCs w:val="20"/>
    </w:rPr>
  </w:style>
  <w:style w:type="paragraph" w:customStyle="1" w:styleId="752">
    <w:name w:val="数据"/>
    <w:basedOn w:val="395"/>
    <w:link w:val="753"/>
    <w:semiHidden/>
    <w:qFormat/>
    <w:uiPriority w:val="0"/>
    <w:pPr>
      <w:tabs>
        <w:tab w:val="left" w:pos="0"/>
      </w:tabs>
      <w:adjustRightInd/>
      <w:snapToGrid w:val="0"/>
      <w:spacing w:beforeLines="50" w:afterLines="50" w:line="360" w:lineRule="auto"/>
      <w:ind w:firstLine="480" w:firstLineChars="200"/>
      <w:jc w:val="left"/>
      <w:textAlignment w:val="auto"/>
    </w:pPr>
    <w:rPr>
      <w:rFonts w:ascii="Times New Roman"/>
      <w:sz w:val="24"/>
      <w:szCs w:val="24"/>
      <w:lang w:val="zh-CN"/>
    </w:rPr>
  </w:style>
  <w:style w:type="character" w:customStyle="1" w:styleId="753">
    <w:name w:val="数据 Char"/>
    <w:link w:val="752"/>
    <w:semiHidden/>
    <w:qFormat/>
    <w:uiPriority w:val="0"/>
    <w:rPr>
      <w:rFonts w:ascii="Times New Roman" w:hAnsi="Times New Roman"/>
      <w:sz w:val="24"/>
      <w:szCs w:val="24"/>
      <w:lang w:val="zh-CN" w:eastAsia="zh-CN"/>
    </w:rPr>
  </w:style>
  <w:style w:type="character" w:customStyle="1" w:styleId="754">
    <w:name w:val="bodycopy"/>
    <w:semiHidden/>
    <w:qFormat/>
    <w:uiPriority w:val="0"/>
  </w:style>
  <w:style w:type="character" w:customStyle="1" w:styleId="755">
    <w:name w:val="附注二级正文 Char"/>
    <w:link w:val="149"/>
    <w:semiHidden/>
    <w:qFormat/>
    <w:uiPriority w:val="0"/>
    <w:rPr>
      <w:rFonts w:ascii="宋体" w:hAnsi="宋体"/>
      <w:kern w:val="2"/>
      <w:sz w:val="21"/>
      <w:szCs w:val="21"/>
      <w:lang w:val="zh-CN" w:eastAsia="zh-CN"/>
    </w:rPr>
  </w:style>
  <w:style w:type="character" w:customStyle="1" w:styleId="756">
    <w:name w:val="附注三级 Char"/>
    <w:link w:val="135"/>
    <w:semiHidden/>
    <w:qFormat/>
    <w:uiPriority w:val="0"/>
    <w:rPr>
      <w:rFonts w:ascii="宋体" w:hAnsi="宋体"/>
      <w:b/>
      <w:bCs/>
      <w:kern w:val="2"/>
      <w:sz w:val="21"/>
      <w:szCs w:val="21"/>
      <w:lang w:val="zh-CN" w:eastAsia="zh-CN"/>
    </w:rPr>
  </w:style>
  <w:style w:type="table" w:customStyle="1" w:styleId="757">
    <w:name w:val="vc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758">
    <w:name w:val="ZX"/>
    <w:basedOn w:val="77"/>
    <w:qFormat/>
    <w:uiPriority w:val="0"/>
    <w:pPr>
      <w:widowControl w:val="0"/>
      <w:jc w:val="both"/>
    </w:pPr>
    <w:tblPr>
      <w:tblBorders>
        <w:top w:val="thinThickSmallGap" w:color="003366" w:sz="24" w:space="0"/>
        <w:bottom w:val="single" w:color="003366" w:sz="4" w:space="0"/>
        <w:insideH w:val="single" w:color="003366" w:sz="4" w:space="0"/>
        <w:insideV w:val="single" w:color="003366" w:sz="4" w:space="0"/>
      </w:tblBorders>
    </w:tblPr>
  </w:style>
  <w:style w:type="character" w:customStyle="1" w:styleId="759">
    <w:name w:val="附注二级 Char"/>
    <w:link w:val="146"/>
    <w:semiHidden/>
    <w:qFormat/>
    <w:uiPriority w:val="0"/>
    <w:rPr>
      <w:rFonts w:ascii="宋体" w:hAnsi="宋体"/>
      <w:b/>
      <w:kern w:val="2"/>
      <w:sz w:val="21"/>
      <w:szCs w:val="21"/>
      <w:lang w:val="zh-CN" w:eastAsia="zh-CN"/>
    </w:rPr>
  </w:style>
  <w:style w:type="paragraph" w:customStyle="1" w:styleId="760">
    <w:name w:val="文章"/>
    <w:basedOn w:val="1"/>
    <w:link w:val="762"/>
    <w:semiHidden/>
    <w:qFormat/>
    <w:uiPriority w:val="0"/>
    <w:pPr>
      <w:spacing w:afterLines="50"/>
      <w:ind w:firstLine="480"/>
    </w:pPr>
    <w:rPr>
      <w:rFonts w:cs="Times New Roman"/>
      <w:szCs w:val="20"/>
      <w:lang w:val="zh-CN"/>
    </w:rPr>
  </w:style>
  <w:style w:type="paragraph" w:customStyle="1" w:styleId="761">
    <w:name w:val="(一）"/>
    <w:basedOn w:val="1"/>
    <w:link w:val="764"/>
    <w:semiHidden/>
    <w:qFormat/>
    <w:uiPriority w:val="0"/>
    <w:pPr>
      <w:spacing w:afterLines="50"/>
      <w:ind w:firstLine="422" w:firstLineChars="150"/>
      <w:outlineLvl w:val="1"/>
    </w:pPr>
    <w:rPr>
      <w:rFonts w:hAnsi="宋体" w:cs="Times New Roman"/>
      <w:b/>
      <w:sz w:val="28"/>
      <w:szCs w:val="28"/>
      <w:lang w:val="zh-CN"/>
    </w:rPr>
  </w:style>
  <w:style w:type="character" w:customStyle="1" w:styleId="762">
    <w:name w:val="文章 Char"/>
    <w:link w:val="760"/>
    <w:semiHidden/>
    <w:qFormat/>
    <w:uiPriority w:val="0"/>
    <w:rPr>
      <w:rFonts w:ascii="Times New Roman" w:hAnsi="Times New Roman"/>
      <w:sz w:val="24"/>
      <w:lang w:val="zh-CN" w:eastAsia="zh-CN"/>
    </w:rPr>
  </w:style>
  <w:style w:type="paragraph" w:customStyle="1" w:styleId="763">
    <w:name w:val="1、"/>
    <w:basedOn w:val="1"/>
    <w:link w:val="765"/>
    <w:semiHidden/>
    <w:qFormat/>
    <w:uiPriority w:val="0"/>
    <w:pPr>
      <w:spacing w:afterLines="50"/>
      <w:ind w:firstLine="482"/>
      <w:outlineLvl w:val="2"/>
    </w:pPr>
    <w:rPr>
      <w:rFonts w:cs="Times New Roman"/>
      <w:b/>
      <w:lang w:val="zh-CN"/>
    </w:rPr>
  </w:style>
  <w:style w:type="character" w:customStyle="1" w:styleId="764">
    <w:name w:val="(一） Char"/>
    <w:link w:val="761"/>
    <w:semiHidden/>
    <w:qFormat/>
    <w:uiPriority w:val="0"/>
    <w:rPr>
      <w:rFonts w:ascii="Times New Roman" w:hAnsi="宋体"/>
      <w:b/>
      <w:sz w:val="28"/>
      <w:szCs w:val="28"/>
      <w:lang w:val="zh-CN" w:eastAsia="zh-CN"/>
    </w:rPr>
  </w:style>
  <w:style w:type="character" w:customStyle="1" w:styleId="765">
    <w:name w:val="1、 Char"/>
    <w:link w:val="763"/>
    <w:semiHidden/>
    <w:qFormat/>
    <w:uiPriority w:val="0"/>
    <w:rPr>
      <w:rFonts w:ascii="Times New Roman" w:hAnsi="Times New Roman"/>
      <w:b/>
      <w:sz w:val="24"/>
      <w:szCs w:val="24"/>
      <w:lang w:val="zh-CN" w:eastAsia="zh-CN"/>
    </w:rPr>
  </w:style>
  <w:style w:type="paragraph" w:customStyle="1" w:styleId="766">
    <w:name w:val="正文啊"/>
    <w:basedOn w:val="1"/>
    <w:link w:val="768"/>
    <w:semiHidden/>
    <w:qFormat/>
    <w:uiPriority w:val="0"/>
    <w:pPr>
      <w:adjustRightInd w:val="0"/>
      <w:snapToGrid w:val="0"/>
      <w:spacing w:afterLines="50"/>
      <w:ind w:firstLine="480"/>
    </w:pPr>
    <w:rPr>
      <w:rFonts w:cs="Times New Roman"/>
      <w:lang w:val="zh-CN"/>
    </w:rPr>
  </w:style>
  <w:style w:type="paragraph" w:customStyle="1" w:styleId="767">
    <w:name w:val="（1）、"/>
    <w:basedOn w:val="1"/>
    <w:link w:val="770"/>
    <w:semiHidden/>
    <w:qFormat/>
    <w:uiPriority w:val="0"/>
    <w:pPr>
      <w:spacing w:afterLines="50"/>
      <w:ind w:firstLine="480"/>
      <w:outlineLvl w:val="0"/>
    </w:pPr>
    <w:rPr>
      <w:rFonts w:cs="Times New Roman"/>
      <w:lang w:val="zh-CN"/>
    </w:rPr>
  </w:style>
  <w:style w:type="character" w:customStyle="1" w:styleId="768">
    <w:name w:val="正文啊 Char"/>
    <w:link w:val="766"/>
    <w:semiHidden/>
    <w:qFormat/>
    <w:uiPriority w:val="0"/>
    <w:rPr>
      <w:rFonts w:ascii="Times New Roman" w:hAnsi="Times New Roman"/>
      <w:sz w:val="24"/>
      <w:szCs w:val="24"/>
      <w:lang w:val="zh-CN" w:eastAsia="zh-CN"/>
    </w:rPr>
  </w:style>
  <w:style w:type="paragraph" w:customStyle="1" w:styleId="769">
    <w:name w:val="一"/>
    <w:basedOn w:val="1"/>
    <w:link w:val="771"/>
    <w:semiHidden/>
    <w:qFormat/>
    <w:uiPriority w:val="0"/>
    <w:pPr>
      <w:spacing w:afterLines="50"/>
      <w:ind w:firstLine="480"/>
      <w:outlineLvl w:val="0"/>
    </w:pPr>
    <w:rPr>
      <w:rFonts w:ascii="黑体" w:hAnsi="黑体" w:eastAsia="黑体" w:cs="Times New Roman"/>
      <w:sz w:val="31"/>
      <w:szCs w:val="31"/>
      <w:lang w:val="zh-CN"/>
    </w:rPr>
  </w:style>
  <w:style w:type="character" w:customStyle="1" w:styleId="770">
    <w:name w:val="（1）、 Char"/>
    <w:link w:val="767"/>
    <w:semiHidden/>
    <w:qFormat/>
    <w:uiPriority w:val="0"/>
    <w:rPr>
      <w:rFonts w:ascii="Times New Roman" w:hAnsi="Times New Roman"/>
      <w:sz w:val="24"/>
      <w:szCs w:val="24"/>
      <w:lang w:val="zh-CN" w:eastAsia="zh-CN"/>
    </w:rPr>
  </w:style>
  <w:style w:type="character" w:customStyle="1" w:styleId="771">
    <w:name w:val="一 Char"/>
    <w:link w:val="769"/>
    <w:semiHidden/>
    <w:qFormat/>
    <w:uiPriority w:val="0"/>
    <w:rPr>
      <w:rFonts w:ascii="黑体" w:hAnsi="黑体" w:eastAsia="黑体"/>
      <w:sz w:val="31"/>
      <w:szCs w:val="31"/>
      <w:lang w:val="zh-CN" w:eastAsia="zh-CN"/>
    </w:rPr>
  </w:style>
  <w:style w:type="paragraph" w:customStyle="1" w:styleId="772">
    <w:name w:val="无间隔1"/>
    <w:next w:val="104"/>
    <w:semiHidden/>
    <w:qFormat/>
    <w:uiPriority w:val="1"/>
    <w:pPr>
      <w:widowControl w:val="0"/>
      <w:spacing w:beforeLines="50"/>
      <w:ind w:firstLine="480" w:firstLineChars="200"/>
    </w:pPr>
    <w:rPr>
      <w:rFonts w:ascii="宋体" w:hAnsi="宋体" w:eastAsia="宋体" w:cs="宋体"/>
      <w:sz w:val="24"/>
      <w:szCs w:val="24"/>
      <w:lang w:val="en-US" w:eastAsia="zh-CN" w:bidi="ar-SA"/>
    </w:rPr>
  </w:style>
  <w:style w:type="table" w:customStyle="1" w:styleId="773">
    <w:name w:val="王鑫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74">
    <w:name w:val="正文文"/>
    <w:basedOn w:val="1"/>
    <w:link w:val="775"/>
    <w:semiHidden/>
    <w:qFormat/>
    <w:uiPriority w:val="0"/>
    <w:pPr>
      <w:spacing w:afterLines="50"/>
      <w:ind w:firstLine="480"/>
    </w:pPr>
    <w:rPr>
      <w:rFonts w:ascii="Calibri" w:cs="Times New Roman"/>
      <w:szCs w:val="20"/>
      <w:lang w:val="zh-CN"/>
    </w:rPr>
  </w:style>
  <w:style w:type="character" w:customStyle="1" w:styleId="775">
    <w:name w:val="正文文 Char"/>
    <w:link w:val="774"/>
    <w:semiHidden/>
    <w:qFormat/>
    <w:uiPriority w:val="0"/>
    <w:rPr>
      <w:rFonts w:hAnsi="Times New Roman"/>
      <w:sz w:val="24"/>
      <w:lang w:val="zh-CN" w:eastAsia="zh-CN"/>
    </w:rPr>
  </w:style>
  <w:style w:type="paragraph" w:customStyle="1" w:styleId="776">
    <w:name w:val="1、、"/>
    <w:basedOn w:val="737"/>
    <w:link w:val="777"/>
    <w:semiHidden/>
    <w:qFormat/>
    <w:uiPriority w:val="0"/>
    <w:pPr>
      <w:adjustRightInd/>
      <w:spacing w:beforeLines="0" w:afterLines="0"/>
      <w:ind w:firstLine="482"/>
      <w:outlineLvl w:val="9"/>
    </w:pPr>
    <w:rPr>
      <w:rFonts w:ascii="Times New Roman" w:hAnsi="Times New Roman" w:eastAsia="宋体"/>
      <w:sz w:val="24"/>
      <w:szCs w:val="24"/>
    </w:rPr>
  </w:style>
  <w:style w:type="character" w:customStyle="1" w:styleId="777">
    <w:name w:val="1、、 Char"/>
    <w:link w:val="776"/>
    <w:semiHidden/>
    <w:qFormat/>
    <w:uiPriority w:val="0"/>
    <w:rPr>
      <w:rFonts w:ascii="Times New Roman" w:hAnsi="Times New Roman"/>
      <w:b/>
      <w:sz w:val="24"/>
      <w:szCs w:val="24"/>
      <w:lang w:val="zh-CN" w:eastAsia="zh-CN"/>
    </w:rPr>
  </w:style>
  <w:style w:type="paragraph" w:customStyle="1" w:styleId="778">
    <w:name w:val="标题2"/>
    <w:basedOn w:val="3"/>
    <w:link w:val="779"/>
    <w:semiHidden/>
    <w:qFormat/>
    <w:uiPriority w:val="0"/>
    <w:pPr>
      <w:keepNext/>
      <w:keepLines/>
      <w:spacing w:afterLines="50"/>
      <w:ind w:firstLine="602"/>
    </w:pPr>
    <w:rPr>
      <w:rFonts w:eastAsia="宋体"/>
      <w:b/>
      <w:sz w:val="30"/>
      <w:szCs w:val="30"/>
    </w:rPr>
  </w:style>
  <w:style w:type="character" w:customStyle="1" w:styleId="779">
    <w:name w:val="标题2 Char"/>
    <w:link w:val="778"/>
    <w:semiHidden/>
    <w:qFormat/>
    <w:uiPriority w:val="0"/>
    <w:rPr>
      <w:rFonts w:ascii="Times New Roman" w:hAnsi="Times New Roman"/>
      <w:b/>
      <w:bCs/>
      <w:sz w:val="30"/>
      <w:szCs w:val="30"/>
      <w:lang w:val="zh-CN" w:eastAsia="zh-CN"/>
    </w:rPr>
  </w:style>
  <w:style w:type="character" w:customStyle="1" w:styleId="780">
    <w:name w:val="标题1 Char"/>
    <w:semiHidden/>
    <w:qFormat/>
    <w:uiPriority w:val="0"/>
    <w:rPr>
      <w:rFonts w:ascii="Times New Roman" w:hAnsi="Times New Roman" w:eastAsia="黑体"/>
      <w:b/>
      <w:kern w:val="44"/>
      <w:sz w:val="32"/>
      <w:szCs w:val="40"/>
    </w:rPr>
  </w:style>
  <w:style w:type="table" w:customStyle="1" w:styleId="781">
    <w:name w:val="王鑫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2">
    <w:name w:val="表格cm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783">
    <w:name w:val="简明型 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784">
    <w:name w:val="网格型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5">
    <w:name w:val="网格型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6">
    <w:name w:val="网格型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7">
    <w:name w:val="网格型4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8">
    <w:name w:val="网格型5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9">
    <w:name w:val="Table Grid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0">
    <w:name w:val="中等深浅网格 3 - 强调文字颜色 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791">
    <w:name w:val="古典型 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792">
    <w:name w:val="grp1"/>
    <w:basedOn w:val="77"/>
    <w:qFormat/>
    <w:uiPriority w:val="0"/>
    <w:pPr>
      <w:widowControl w:val="0"/>
      <w:jc w:val="center"/>
    </w:pPr>
    <w:tblPr>
      <w:tblBorders>
        <w:top w:val="thinThickSmallGap" w:color="003366" w:sz="12" w:space="0"/>
      </w:tblBorders>
    </w:tblPr>
    <w:tcPr>
      <w:vAlign w:val="center"/>
    </w:tcPr>
  </w:style>
  <w:style w:type="table" w:customStyle="1" w:styleId="793">
    <w:name w:val="BY表格样式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794">
    <w:name w:val="网格型 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795">
    <w:name w:val="tangfu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796">
    <w:name w:val="vc2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797">
    <w:name w:val="ZX1"/>
    <w:basedOn w:val="77"/>
    <w:qFormat/>
    <w:uiPriority w:val="0"/>
    <w:pPr>
      <w:widowControl w:val="0"/>
      <w:jc w:val="both"/>
    </w:pPr>
    <w:tblPr>
      <w:tblBorders>
        <w:top w:val="thinThickSmallGap" w:color="003366" w:sz="24" w:space="0"/>
        <w:bottom w:val="single" w:color="003366" w:sz="4" w:space="0"/>
        <w:insideH w:val="single" w:color="003366" w:sz="4" w:space="0"/>
        <w:insideV w:val="single" w:color="003366" w:sz="4" w:space="0"/>
      </w:tblBorders>
    </w:tblPr>
  </w:style>
  <w:style w:type="table" w:customStyle="1" w:styleId="798">
    <w:name w:val="王鑫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99">
    <w:name w:val="题3"/>
    <w:basedOn w:val="4"/>
    <w:next w:val="1"/>
    <w:link w:val="800"/>
    <w:semiHidden/>
    <w:qFormat/>
    <w:uiPriority w:val="0"/>
    <w:pPr>
      <w:spacing w:afterLines="50" w:line="360" w:lineRule="auto"/>
    </w:pPr>
    <w:rPr>
      <w:rFonts w:ascii="Times New Roman" w:hAnsi="Times New Roman"/>
      <w:sz w:val="28"/>
      <w:szCs w:val="28"/>
    </w:rPr>
  </w:style>
  <w:style w:type="character" w:customStyle="1" w:styleId="800">
    <w:name w:val="题3 Char"/>
    <w:link w:val="799"/>
    <w:semiHidden/>
    <w:qFormat/>
    <w:uiPriority w:val="0"/>
    <w:rPr>
      <w:rFonts w:ascii="Times New Roman" w:hAnsi="Times New Roman"/>
      <w:b/>
      <w:bCs/>
      <w:sz w:val="28"/>
      <w:szCs w:val="28"/>
      <w:lang w:val="zh-CN" w:eastAsia="zh-CN"/>
    </w:rPr>
  </w:style>
  <w:style w:type="table" w:customStyle="1" w:styleId="801">
    <w:name w:val="王鑫3"/>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2">
    <w:name w:val="表格cm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803">
    <w:name w:val="简明型 1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804">
    <w:name w:val="网格型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5">
    <w:name w:val="网格型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6">
    <w:name w:val="网格型3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7">
    <w:name w:val="网格型4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8">
    <w:name w:val="网格型5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9">
    <w:name w:val="Table Grid1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0">
    <w:name w:val="中等深浅网格 3 - 强调文字颜色 1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811">
    <w:name w:val="古典型 1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812">
    <w:name w:val="grp2"/>
    <w:basedOn w:val="77"/>
    <w:qFormat/>
    <w:uiPriority w:val="0"/>
    <w:pPr>
      <w:widowControl w:val="0"/>
      <w:jc w:val="center"/>
    </w:pPr>
    <w:tblPr>
      <w:tblBorders>
        <w:top w:val="thinThickSmallGap" w:color="003366" w:sz="12" w:space="0"/>
      </w:tblBorders>
    </w:tblPr>
    <w:tcPr>
      <w:vAlign w:val="center"/>
    </w:tcPr>
  </w:style>
  <w:style w:type="table" w:customStyle="1" w:styleId="813">
    <w:name w:val="BY表格样式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814">
    <w:name w:val="网格型 1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815">
    <w:name w:val="tangfu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816">
    <w:name w:val="vc2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paragraph" w:customStyle="1" w:styleId="817">
    <w:name w:val="001一级标题"/>
    <w:qFormat/>
    <w:uiPriority w:val="0"/>
    <w:pPr>
      <w:keepNext/>
      <w:keepLines/>
      <w:pageBreakBefore/>
      <w:widowControl w:val="0"/>
      <w:spacing w:before="50" w:beforeLines="50" w:after="50" w:afterLines="50" w:line="360" w:lineRule="auto"/>
      <w:jc w:val="center"/>
      <w:outlineLvl w:val="0"/>
    </w:pPr>
    <w:rPr>
      <w:rFonts w:ascii="Times New Roman" w:hAnsi="Times New Roman" w:eastAsia="黑体" w:cs="Times New Roman"/>
      <w:b/>
      <w:bCs/>
      <w:kern w:val="2"/>
      <w:sz w:val="32"/>
      <w:szCs w:val="28"/>
      <w:lang w:val="zh-CN" w:eastAsia="zh-CN" w:bidi="ar-SA"/>
    </w:rPr>
  </w:style>
  <w:style w:type="table" w:customStyle="1" w:styleId="818">
    <w:name w:val="王鑫1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19">
    <w:name w:val="st"/>
    <w:semiHidden/>
    <w:qFormat/>
    <w:uiPriority w:val="0"/>
  </w:style>
  <w:style w:type="table" w:customStyle="1" w:styleId="820">
    <w:name w:val="王鑫4"/>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1">
    <w:name w:val="表格cm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822">
    <w:name w:val="简明型 13"/>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823">
    <w:name w:val="网格型1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4">
    <w:name w:val="网格型2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5">
    <w:name w:val="网格型3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6">
    <w:name w:val="网格型4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7">
    <w:name w:val="网格型5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8">
    <w:name w:val="Table Grid13"/>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9">
    <w:name w:val="中等深浅网格 3 - 强调文字颜色 13"/>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830">
    <w:name w:val="古典型 13"/>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831">
    <w:name w:val="tangfu3"/>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character" w:customStyle="1" w:styleId="832">
    <w:name w:val="表格内容 Char"/>
    <w:link w:val="308"/>
    <w:semiHidden/>
    <w:qFormat/>
    <w:uiPriority w:val="0"/>
    <w:rPr>
      <w:rFonts w:ascii="Arial" w:hAnsi="Arial" w:eastAsia="楷体_GB2312"/>
      <w:spacing w:val="-25"/>
      <w:sz w:val="24"/>
      <w:lang w:val="zh-CN" w:eastAsia="zh-CN"/>
    </w:rPr>
  </w:style>
  <w:style w:type="paragraph" w:customStyle="1" w:styleId="833">
    <w:name w:val="一、、"/>
    <w:basedOn w:val="4"/>
    <w:link w:val="835"/>
    <w:semiHidden/>
    <w:qFormat/>
    <w:uiPriority w:val="0"/>
    <w:pPr>
      <w:spacing w:before="120" w:afterLines="50" w:line="360" w:lineRule="auto"/>
      <w:ind w:firstLine="562"/>
      <w:outlineLvl w:val="1"/>
    </w:pPr>
    <w:rPr>
      <w:rFonts w:ascii="Times New Roman" w:hAnsi="Times New Roman"/>
      <w:sz w:val="28"/>
      <w:szCs w:val="28"/>
    </w:rPr>
  </w:style>
  <w:style w:type="paragraph" w:customStyle="1" w:styleId="834">
    <w:name w:val="（一））"/>
    <w:basedOn w:val="1"/>
    <w:link w:val="837"/>
    <w:semiHidden/>
    <w:qFormat/>
    <w:uiPriority w:val="0"/>
    <w:pPr>
      <w:spacing w:afterLines="50"/>
      <w:ind w:firstLine="482"/>
      <w:outlineLvl w:val="2"/>
    </w:pPr>
    <w:rPr>
      <w:rFonts w:cs="Times New Roman"/>
      <w:b/>
      <w:szCs w:val="22"/>
      <w:lang w:val="zh-CN"/>
    </w:rPr>
  </w:style>
  <w:style w:type="character" w:customStyle="1" w:styleId="835">
    <w:name w:val="一、、 Char"/>
    <w:link w:val="833"/>
    <w:semiHidden/>
    <w:qFormat/>
    <w:uiPriority w:val="0"/>
    <w:rPr>
      <w:rFonts w:ascii="Times New Roman" w:hAnsi="Times New Roman"/>
      <w:b/>
      <w:bCs/>
      <w:sz w:val="28"/>
      <w:szCs w:val="28"/>
      <w:lang w:val="zh-CN" w:eastAsia="zh-CN"/>
    </w:rPr>
  </w:style>
  <w:style w:type="paragraph" w:customStyle="1" w:styleId="836">
    <w:name w:val="1、、、"/>
    <w:basedOn w:val="1"/>
    <w:link w:val="838"/>
    <w:semiHidden/>
    <w:qFormat/>
    <w:uiPriority w:val="0"/>
    <w:pPr>
      <w:spacing w:afterLines="50"/>
      <w:ind w:firstLine="482"/>
    </w:pPr>
    <w:rPr>
      <w:rFonts w:cs="Times New Roman"/>
      <w:b/>
      <w:szCs w:val="22"/>
      <w:lang w:val="zh-CN"/>
    </w:rPr>
  </w:style>
  <w:style w:type="character" w:customStyle="1" w:styleId="837">
    <w:name w:val="（一）） Char"/>
    <w:link w:val="834"/>
    <w:semiHidden/>
    <w:qFormat/>
    <w:uiPriority w:val="0"/>
    <w:rPr>
      <w:rFonts w:ascii="Times New Roman" w:hAnsi="Times New Roman"/>
      <w:b/>
      <w:sz w:val="24"/>
      <w:szCs w:val="22"/>
      <w:lang w:val="zh-CN" w:eastAsia="zh-CN"/>
    </w:rPr>
  </w:style>
  <w:style w:type="character" w:customStyle="1" w:styleId="838">
    <w:name w:val="1、、、 Char"/>
    <w:link w:val="836"/>
    <w:semiHidden/>
    <w:qFormat/>
    <w:uiPriority w:val="0"/>
    <w:rPr>
      <w:rFonts w:ascii="Times New Roman" w:hAnsi="Times New Roman"/>
      <w:b/>
      <w:sz w:val="24"/>
      <w:szCs w:val="22"/>
      <w:lang w:val="zh-CN" w:eastAsia="zh-CN"/>
    </w:rPr>
  </w:style>
  <w:style w:type="character" w:customStyle="1" w:styleId="839">
    <w:name w:val="listtddate151"/>
    <w:semiHidden/>
    <w:qFormat/>
    <w:uiPriority w:val="0"/>
    <w:rPr>
      <w:color w:val="919191"/>
      <w:sz w:val="21"/>
      <w:szCs w:val="21"/>
    </w:rPr>
  </w:style>
  <w:style w:type="character" w:customStyle="1" w:styleId="840">
    <w:name w:val="正文CM Char Char"/>
    <w:link w:val="841"/>
    <w:semiHidden/>
    <w:qFormat/>
    <w:uiPriority w:val="0"/>
    <w:rPr>
      <w:color w:val="000000"/>
      <w:sz w:val="24"/>
      <w:szCs w:val="30"/>
      <w:shd w:val="clear" w:color="auto" w:fill="FFFFFF"/>
      <w:lang w:val="zh-CN" w:eastAsia="zh-CN"/>
    </w:rPr>
  </w:style>
  <w:style w:type="paragraph" w:customStyle="1" w:styleId="841">
    <w:name w:val="正文CM"/>
    <w:basedOn w:val="1"/>
    <w:link w:val="840"/>
    <w:semiHidden/>
    <w:qFormat/>
    <w:uiPriority w:val="0"/>
    <w:pPr>
      <w:shd w:val="clear" w:color="auto" w:fill="FFFFFF"/>
      <w:spacing w:afterLines="50"/>
      <w:ind w:firstLine="480"/>
    </w:pPr>
    <w:rPr>
      <w:rFonts w:ascii="Calibri" w:hAnsi="Calibri" w:cs="Times New Roman"/>
      <w:color w:val="000000"/>
      <w:szCs w:val="30"/>
      <w:shd w:val="clear" w:color="auto" w:fill="FFFFFF"/>
      <w:lang w:val="zh-CN"/>
    </w:rPr>
  </w:style>
  <w:style w:type="table" w:customStyle="1" w:styleId="842">
    <w:name w:val="王鑫5"/>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3">
    <w:name w:val="表格cm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844">
    <w:name w:val="简明型 14"/>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845">
    <w:name w:val="网格型1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6">
    <w:name w:val="网格型2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7">
    <w:name w:val="网格型3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8">
    <w:name w:val="网格型4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9">
    <w:name w:val="网格型5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0">
    <w:name w:val="Table Grid14"/>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1">
    <w:name w:val="中等深浅网格 3 - 强调文字颜色 14"/>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852">
    <w:name w:val="古典型 14"/>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853">
    <w:name w:val="grp3"/>
    <w:basedOn w:val="77"/>
    <w:qFormat/>
    <w:uiPriority w:val="0"/>
    <w:pPr>
      <w:widowControl w:val="0"/>
      <w:jc w:val="center"/>
    </w:pPr>
    <w:tblPr>
      <w:tblBorders>
        <w:top w:val="thinThickSmallGap" w:color="003366" w:sz="12" w:space="0"/>
      </w:tblBorders>
    </w:tblPr>
    <w:tcPr>
      <w:vAlign w:val="center"/>
    </w:tcPr>
  </w:style>
  <w:style w:type="table" w:customStyle="1" w:styleId="854">
    <w:name w:val="表格主题3"/>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855">
    <w:name w:val="BY表格样式3"/>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856">
    <w:name w:val="网格型 13"/>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857">
    <w:name w:val="典雅型3"/>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858">
    <w:name w:val="tangfu4"/>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859">
    <w:name w:val="vc23"/>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paragraph" w:customStyle="1" w:styleId="860">
    <w:name w:val="002二级标题"/>
    <w:link w:val="3164"/>
    <w:qFormat/>
    <w:uiPriority w:val="0"/>
    <w:pPr>
      <w:keepNext/>
      <w:keepLines/>
      <w:widowControl w:val="0"/>
      <w:spacing w:before="50" w:beforeLines="50" w:after="50" w:afterLines="50" w:line="360" w:lineRule="auto"/>
      <w:jc w:val="both"/>
      <w:outlineLvl w:val="1"/>
    </w:pPr>
    <w:rPr>
      <w:rFonts w:ascii="Times New Roman" w:hAnsi="Times New Roman" w:eastAsia="黑体" w:cs="Times New Roman"/>
      <w:b/>
      <w:bCs/>
      <w:kern w:val="2"/>
      <w:sz w:val="28"/>
      <w:szCs w:val="28"/>
      <w:lang w:val="en-US" w:eastAsia="zh-CN" w:bidi="ar-SA"/>
    </w:rPr>
  </w:style>
  <w:style w:type="table" w:customStyle="1" w:styleId="861">
    <w:name w:val="王鑫13"/>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2">
    <w:name w:val="王鑫2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3">
    <w:name w:val="表格cm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864">
    <w:name w:val="简明型 1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865">
    <w:name w:val="网格型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6">
    <w:name w:val="网格型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7">
    <w:name w:val="网格型3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8">
    <w:name w:val="网格型4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9">
    <w:name w:val="网格型5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0">
    <w:name w:val="Table Grid1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1">
    <w:name w:val="中等深浅网格 3 - 强调文字颜色 1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872">
    <w:name w:val="古典型 1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873">
    <w:name w:val="grp11"/>
    <w:basedOn w:val="77"/>
    <w:qFormat/>
    <w:uiPriority w:val="0"/>
    <w:pPr>
      <w:widowControl w:val="0"/>
      <w:jc w:val="center"/>
    </w:pPr>
    <w:tblPr>
      <w:tblBorders>
        <w:top w:val="thinThickSmallGap" w:color="003366" w:sz="12" w:space="0"/>
      </w:tblBorders>
    </w:tblPr>
    <w:tcPr>
      <w:vAlign w:val="center"/>
    </w:tcPr>
  </w:style>
  <w:style w:type="table" w:customStyle="1" w:styleId="874">
    <w:name w:val="表格主题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875">
    <w:name w:val="BY表格样式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876">
    <w:name w:val="网格型 1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877">
    <w:name w:val="典雅型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878">
    <w:name w:val="tangfu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879">
    <w:name w:val="vc2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paragraph" w:customStyle="1" w:styleId="880">
    <w:name w:val="003三级标题"/>
    <w:qFormat/>
    <w:uiPriority w:val="0"/>
    <w:pPr>
      <w:keepNext/>
      <w:keepLines/>
      <w:widowControl w:val="0"/>
      <w:spacing w:before="50" w:beforeLines="50" w:after="50" w:afterLines="50" w:line="360" w:lineRule="auto"/>
      <w:jc w:val="both"/>
      <w:outlineLvl w:val="2"/>
    </w:pPr>
    <w:rPr>
      <w:rFonts w:ascii="Times New Roman" w:hAnsi="Times New Roman" w:eastAsia="黑体" w:cs="Times New Roman"/>
      <w:b/>
      <w:bCs/>
      <w:kern w:val="2"/>
      <w:sz w:val="24"/>
      <w:szCs w:val="28"/>
      <w:lang w:val="en-US" w:eastAsia="zh-CN" w:bidi="ar-SA"/>
    </w:rPr>
  </w:style>
  <w:style w:type="table" w:customStyle="1" w:styleId="881">
    <w:name w:val="王鑫1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2">
    <w:name w:val="王鑫3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3">
    <w:name w:val="表格cm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884">
    <w:name w:val="简明型 12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885">
    <w:name w:val="网格型1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6">
    <w:name w:val="网格型2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7">
    <w:name w:val="网格型3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8">
    <w:name w:val="网格型4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9">
    <w:name w:val="网格型5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0">
    <w:name w:val="Table Grid12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1">
    <w:name w:val="中等深浅网格 3 - 强调文字颜色 12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892">
    <w:name w:val="古典型 12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893">
    <w:name w:val="grp21"/>
    <w:basedOn w:val="77"/>
    <w:qFormat/>
    <w:uiPriority w:val="0"/>
    <w:pPr>
      <w:widowControl w:val="0"/>
      <w:jc w:val="center"/>
    </w:pPr>
    <w:tblPr>
      <w:tblBorders>
        <w:top w:val="thinThickSmallGap" w:color="003366" w:sz="12" w:space="0"/>
      </w:tblBorders>
    </w:tblPr>
    <w:tcPr>
      <w:vAlign w:val="center"/>
    </w:tcPr>
  </w:style>
  <w:style w:type="table" w:customStyle="1" w:styleId="894">
    <w:name w:val="表格主题2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895">
    <w:name w:val="BY表格样式2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896">
    <w:name w:val="网格型 12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897">
    <w:name w:val="典雅型2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898">
    <w:name w:val="tangfu2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899">
    <w:name w:val="vc22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paragraph" w:customStyle="1" w:styleId="900">
    <w:name w:val="004四级标题"/>
    <w:qFormat/>
    <w:uiPriority w:val="0"/>
    <w:pPr>
      <w:keepNext/>
      <w:keepLines/>
      <w:widowControl w:val="0"/>
      <w:spacing w:before="50" w:beforeLines="50" w:after="50" w:afterLines="50" w:line="360" w:lineRule="auto"/>
      <w:ind w:firstLine="200" w:firstLineChars="200"/>
      <w:jc w:val="both"/>
      <w:outlineLvl w:val="3"/>
    </w:pPr>
    <w:rPr>
      <w:rFonts w:ascii="Times New Roman" w:hAnsi="Times New Roman" w:eastAsia="宋体" w:cs="Times New Roman"/>
      <w:b/>
      <w:bCs/>
      <w:kern w:val="2"/>
      <w:sz w:val="24"/>
      <w:szCs w:val="28"/>
      <w:lang w:val="zh-CN" w:eastAsia="zh-CN" w:bidi="ar-SA"/>
    </w:rPr>
  </w:style>
  <w:style w:type="table" w:customStyle="1" w:styleId="901">
    <w:name w:val="王鑫12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2">
    <w:name w:val="王鑫4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3">
    <w:name w:val="表格cm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04">
    <w:name w:val="简明型 13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905">
    <w:name w:val="网格型1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6">
    <w:name w:val="网格型2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7">
    <w:name w:val="网格型3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8">
    <w:name w:val="网格型4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9">
    <w:name w:val="网格型5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0">
    <w:name w:val="Table Grid13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1">
    <w:name w:val="中等深浅网格 3 - 强调文字颜色 13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912">
    <w:name w:val="古典型 13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913">
    <w:name w:val="tangfu3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914">
    <w:name w:val="王鑫6"/>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5">
    <w:name w:val="表格cm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16">
    <w:name w:val="简明型 15"/>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917">
    <w:name w:val="网格型1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8">
    <w:name w:val="网格型2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9">
    <w:name w:val="网格型3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0">
    <w:name w:val="网格型4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1">
    <w:name w:val="网格型5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2">
    <w:name w:val="Table Grid15"/>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3">
    <w:name w:val="中等深浅网格 3 - 强调文字颜色 15"/>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924">
    <w:name w:val="古典型 15"/>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925">
    <w:name w:val="grp4"/>
    <w:basedOn w:val="77"/>
    <w:qFormat/>
    <w:uiPriority w:val="0"/>
    <w:pPr>
      <w:widowControl w:val="0"/>
      <w:jc w:val="center"/>
    </w:pPr>
    <w:tblPr>
      <w:tblBorders>
        <w:top w:val="thinThickSmallGap" w:color="003366" w:sz="12" w:space="0"/>
      </w:tblBorders>
    </w:tblPr>
    <w:tcPr>
      <w:vAlign w:val="center"/>
    </w:tcPr>
  </w:style>
  <w:style w:type="table" w:customStyle="1" w:styleId="926">
    <w:name w:val="表格主题4"/>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927">
    <w:name w:val="BY表格样式4"/>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928">
    <w:name w:val="网格型 14"/>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929">
    <w:name w:val="典雅型4"/>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930">
    <w:name w:val="tangfu5"/>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931">
    <w:name w:val="vc24"/>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paragraph" w:customStyle="1" w:styleId="932">
    <w:name w:val="005正文"/>
    <w:qFormat/>
    <w:uiPriority w:val="0"/>
    <w:pPr>
      <w:widowControl w:val="0"/>
      <w:spacing w:before="50" w:beforeLines="50" w:after="50" w:afterLines="50" w:line="360" w:lineRule="auto"/>
      <w:ind w:firstLine="200" w:firstLineChars="200"/>
      <w:jc w:val="both"/>
    </w:pPr>
    <w:rPr>
      <w:rFonts w:ascii="Times New Roman" w:hAnsi="Times New Roman" w:eastAsia="宋体" w:cs="Times New Roman"/>
      <w:kern w:val="2"/>
      <w:sz w:val="24"/>
      <w:szCs w:val="22"/>
      <w:lang w:val="en-US" w:eastAsia="zh-CN" w:bidi="ar-SA"/>
    </w:rPr>
  </w:style>
  <w:style w:type="table" w:customStyle="1" w:styleId="933">
    <w:name w:val="王鑫14"/>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4">
    <w:name w:val="王鑫2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5">
    <w:name w:val="表格cm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36">
    <w:name w:val="简明型 11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937">
    <w:name w:val="网格型1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8">
    <w:name w:val="网格型2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9">
    <w:name w:val="网格型3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0">
    <w:name w:val="网格型4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1">
    <w:name w:val="网格型5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2">
    <w:name w:val="Table Grid11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3">
    <w:name w:val="中等深浅网格 3 - 强调文字颜色 11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944">
    <w:name w:val="古典型 11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945">
    <w:name w:val="grp12"/>
    <w:basedOn w:val="77"/>
    <w:qFormat/>
    <w:uiPriority w:val="0"/>
    <w:pPr>
      <w:widowControl w:val="0"/>
      <w:jc w:val="center"/>
    </w:pPr>
    <w:tblPr>
      <w:tblBorders>
        <w:top w:val="thinThickSmallGap" w:color="003366" w:sz="12" w:space="0"/>
      </w:tblBorders>
    </w:tblPr>
    <w:tcPr>
      <w:vAlign w:val="center"/>
    </w:tcPr>
  </w:style>
  <w:style w:type="table" w:customStyle="1" w:styleId="946">
    <w:name w:val="表格主题1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947">
    <w:name w:val="BY表格样式1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948">
    <w:name w:val="网格型 11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949">
    <w:name w:val="典雅型1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950">
    <w:name w:val="tangfu1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951">
    <w:name w:val="vc21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paragraph" w:customStyle="1" w:styleId="952">
    <w:name w:val="006备注"/>
    <w:qFormat/>
    <w:uiPriority w:val="0"/>
    <w:pPr>
      <w:widowControl w:val="0"/>
      <w:jc w:val="both"/>
    </w:pPr>
    <w:rPr>
      <w:rFonts w:ascii="Times New Roman" w:hAnsi="Times New Roman" w:eastAsia="宋体" w:cs="Arial"/>
      <w:bCs/>
      <w:kern w:val="2"/>
      <w:sz w:val="21"/>
      <w:szCs w:val="22"/>
      <w:lang w:val="en-US" w:eastAsia="zh-CN" w:bidi="ar-SA"/>
    </w:rPr>
  </w:style>
  <w:style w:type="table" w:customStyle="1" w:styleId="953">
    <w:name w:val="王鑫11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4">
    <w:name w:val="王鑫3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5">
    <w:name w:val="表格cm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56">
    <w:name w:val="简明型 12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957">
    <w:name w:val="网格型1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8">
    <w:name w:val="网格型2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9">
    <w:name w:val="网格型3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0">
    <w:name w:val="网格型4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1">
    <w:name w:val="网格型5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2">
    <w:name w:val="Table Grid12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3">
    <w:name w:val="中等深浅网格 3 - 强调文字颜色 12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964">
    <w:name w:val="古典型 12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965">
    <w:name w:val="grp22"/>
    <w:basedOn w:val="77"/>
    <w:qFormat/>
    <w:uiPriority w:val="0"/>
    <w:pPr>
      <w:widowControl w:val="0"/>
      <w:jc w:val="center"/>
    </w:pPr>
    <w:tblPr>
      <w:tblBorders>
        <w:top w:val="thinThickSmallGap" w:color="003366" w:sz="12" w:space="0"/>
      </w:tblBorders>
    </w:tblPr>
    <w:tcPr>
      <w:vAlign w:val="center"/>
    </w:tcPr>
  </w:style>
  <w:style w:type="table" w:customStyle="1" w:styleId="966">
    <w:name w:val="表格主题2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967">
    <w:name w:val="BY表格样式2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968">
    <w:name w:val="网格型 12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969">
    <w:name w:val="典雅型2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970">
    <w:name w:val="tangfu2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971">
    <w:name w:val="vc22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paragraph" w:customStyle="1" w:styleId="972">
    <w:name w:val="009单位"/>
    <w:qFormat/>
    <w:uiPriority w:val="0"/>
    <w:pPr>
      <w:keepNext/>
      <w:widowControl w:val="0"/>
      <w:jc w:val="right"/>
    </w:pPr>
    <w:rPr>
      <w:rFonts w:ascii="Times New Roman" w:hAnsi="Times New Roman" w:eastAsia="宋体" w:cs="Times New Roman"/>
      <w:kern w:val="2"/>
      <w:sz w:val="21"/>
      <w:szCs w:val="22"/>
      <w:lang w:val="en-US" w:eastAsia="zh-CN" w:bidi="ar-SA"/>
    </w:rPr>
  </w:style>
  <w:style w:type="table" w:customStyle="1" w:styleId="973">
    <w:name w:val="王鑫12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4">
    <w:name w:val="王鑫4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5">
    <w:name w:val="表格cm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76">
    <w:name w:val="简明型 13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977">
    <w:name w:val="网格型13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8">
    <w:name w:val="网格型23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9">
    <w:name w:val="网格型33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0">
    <w:name w:val="网格型43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1">
    <w:name w:val="网格型53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2">
    <w:name w:val="Table Grid13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3">
    <w:name w:val="中等深浅网格 3 - 强调文字颜色 13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984">
    <w:name w:val="古典型 13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985">
    <w:name w:val="tangfu3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986">
    <w:name w:val="表格cm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87">
    <w:name w:val="表格cm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88">
    <w:name w:val="表格cm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89">
    <w:name w:val="表格cm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0">
    <w:name w:val="表格cm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1">
    <w:name w:val="表格cm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2">
    <w:name w:val="表格cm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3">
    <w:name w:val="表格cm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4">
    <w:name w:val="表格cm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5">
    <w:name w:val="表格cm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6">
    <w:name w:val="表格cm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7">
    <w:name w:val="表格cm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998">
    <w:name w:val="王鑫7"/>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99">
    <w:name w:val="表编号"/>
    <w:basedOn w:val="1"/>
    <w:next w:val="1"/>
    <w:semiHidden/>
    <w:qFormat/>
    <w:uiPriority w:val="0"/>
    <w:pPr>
      <w:numPr>
        <w:ilvl w:val="0"/>
        <w:numId w:val="3"/>
      </w:numPr>
      <w:tabs>
        <w:tab w:val="clear" w:pos="720"/>
      </w:tabs>
      <w:spacing w:afterLines="50" w:line="300" w:lineRule="auto"/>
      <w:ind w:left="960" w:hanging="480"/>
      <w:jc w:val="center"/>
    </w:pPr>
    <w:rPr>
      <w:rFonts w:ascii="楷体_GB2312" w:eastAsia="楷体_GB2312"/>
    </w:rPr>
  </w:style>
  <w:style w:type="paragraph" w:customStyle="1" w:styleId="1000">
    <w:name w:val="附注-标题3"/>
    <w:semiHidden/>
    <w:qFormat/>
    <w:uiPriority w:val="0"/>
    <w:pPr>
      <w:tabs>
        <w:tab w:val="left" w:pos="1125"/>
      </w:tabs>
      <w:spacing w:beforeLines="25" w:afterLines="25" w:line="360" w:lineRule="auto"/>
      <w:ind w:left="1125" w:hanging="720"/>
      <w:outlineLvl w:val="1"/>
    </w:pPr>
    <w:rPr>
      <w:rFonts w:ascii="Arial Narrow" w:hAnsi="Arial Narrow" w:eastAsia="宋体" w:cs="Times New Roman"/>
      <w:b/>
      <w:kern w:val="2"/>
      <w:sz w:val="21"/>
      <w:szCs w:val="21"/>
      <w:lang w:val="en-US" w:eastAsia="zh-CN" w:bidi="ar-SA"/>
    </w:rPr>
  </w:style>
  <w:style w:type="paragraph" w:customStyle="1" w:styleId="1001">
    <w:name w:val="Default Text"/>
    <w:basedOn w:val="1"/>
    <w:semiHidden/>
    <w:qFormat/>
    <w:uiPriority w:val="0"/>
    <w:pPr>
      <w:tabs>
        <w:tab w:val="left" w:pos="595"/>
      </w:tabs>
      <w:overflowPunct w:val="0"/>
      <w:autoSpaceDE w:val="0"/>
      <w:autoSpaceDN w:val="0"/>
      <w:adjustRightInd w:val="0"/>
      <w:spacing w:afterLines="50" w:line="300" w:lineRule="auto"/>
      <w:textAlignment w:val="baseline"/>
    </w:pPr>
    <w:rPr>
      <w:sz w:val="28"/>
      <w:szCs w:val="20"/>
    </w:rPr>
  </w:style>
  <w:style w:type="paragraph" w:customStyle="1" w:styleId="1002">
    <w:name w:val="Char Char Char Char5"/>
    <w:basedOn w:val="1"/>
    <w:semiHidden/>
    <w:qFormat/>
    <w:uiPriority w:val="0"/>
    <w:pPr>
      <w:tabs>
        <w:tab w:val="left" w:pos="360"/>
      </w:tabs>
      <w:spacing w:afterLines="50" w:line="300" w:lineRule="auto"/>
    </w:pPr>
  </w:style>
  <w:style w:type="paragraph" w:customStyle="1" w:styleId="1003">
    <w:name w:val="zhang"/>
    <w:basedOn w:val="1"/>
    <w:semiHidden/>
    <w:qFormat/>
    <w:uiPriority w:val="0"/>
    <w:pPr>
      <w:spacing w:afterLines="50" w:line="300" w:lineRule="auto"/>
    </w:pPr>
    <w:rPr>
      <w:rFonts w:ascii="宋体" w:hAnsi="宋体"/>
      <w:b/>
      <w:bCs/>
      <w:smallCaps/>
      <w:color w:val="000000"/>
      <w:sz w:val="20"/>
      <w:szCs w:val="20"/>
    </w:rPr>
  </w:style>
  <w:style w:type="paragraph" w:customStyle="1" w:styleId="1004">
    <w:name w:val="Char52"/>
    <w:basedOn w:val="1"/>
    <w:semiHidden/>
    <w:qFormat/>
    <w:uiPriority w:val="0"/>
    <w:pPr>
      <w:spacing w:afterLines="50" w:line="300" w:lineRule="auto"/>
    </w:pPr>
    <w:rPr>
      <w:rFonts w:ascii="Tahoma" w:hAnsi="Tahoma"/>
      <w:szCs w:val="20"/>
    </w:rPr>
  </w:style>
  <w:style w:type="paragraph" w:customStyle="1" w:styleId="1005">
    <w:name w:val="Body Text 21"/>
    <w:basedOn w:val="1"/>
    <w:semiHidden/>
    <w:qFormat/>
    <w:uiPriority w:val="0"/>
    <w:pPr>
      <w:autoSpaceDE w:val="0"/>
      <w:autoSpaceDN w:val="0"/>
      <w:adjustRightInd w:val="0"/>
      <w:spacing w:afterLines="50" w:line="300" w:lineRule="auto"/>
      <w:textAlignment w:val="bottom"/>
    </w:pPr>
    <w:rPr>
      <w:sz w:val="22"/>
      <w:lang w:val="en-GB" w:eastAsia="en-US" w:bidi="en-US"/>
    </w:rPr>
  </w:style>
  <w:style w:type="character" w:customStyle="1" w:styleId="1006">
    <w:name w:val="hangju"/>
    <w:semiHidden/>
    <w:qFormat/>
    <w:uiPriority w:val="0"/>
  </w:style>
  <w:style w:type="paragraph" w:customStyle="1" w:styleId="1007">
    <w:name w:val="dash7eaf_6587_672c_002c_666e_901a_6587_5b57_002c_7eaf_6587_672c_0020char_002c_666e_901a_6587_5b57_0020char_002c_7eaf_6587_672c_0020char_0020char_002c_666e_901a_6587_5b57_0020char_0020char"/>
    <w:basedOn w:val="1"/>
    <w:semiHidden/>
    <w:qFormat/>
    <w:uiPriority w:val="0"/>
    <w:pPr>
      <w:spacing w:afterLines="50" w:line="300" w:lineRule="atLeast"/>
    </w:pPr>
    <w:rPr>
      <w:rFonts w:ascii="Courier New" w:hAnsi="Courier New" w:cs="Courier New"/>
      <w:sz w:val="20"/>
      <w:szCs w:val="20"/>
    </w:rPr>
  </w:style>
  <w:style w:type="paragraph" w:customStyle="1" w:styleId="1008">
    <w:name w:val="CM58"/>
    <w:basedOn w:val="118"/>
    <w:next w:val="118"/>
    <w:semiHidden/>
    <w:qFormat/>
    <w:uiPriority w:val="0"/>
    <w:pPr>
      <w:spacing w:after="243"/>
    </w:pPr>
    <w:rPr>
      <w:rFonts w:ascii="oúì." w:hAnsi="宋体" w:eastAsia="oúì." w:cs="oúì."/>
      <w:color w:val="auto"/>
      <w:kern w:val="2"/>
    </w:rPr>
  </w:style>
  <w:style w:type="character" w:customStyle="1" w:styleId="1009">
    <w:name w:val="批注文字 Char1"/>
    <w:semiHidden/>
    <w:qFormat/>
    <w:uiPriority w:val="99"/>
  </w:style>
  <w:style w:type="character" w:customStyle="1" w:styleId="1010">
    <w:name w:val="批注主题 Char1"/>
    <w:semiHidden/>
    <w:qFormat/>
    <w:uiPriority w:val="99"/>
    <w:rPr>
      <w:b/>
      <w:bCs/>
    </w:rPr>
  </w:style>
  <w:style w:type="character" w:customStyle="1" w:styleId="1011">
    <w:name w:val="脚注文本 Char1"/>
    <w:semiHidden/>
    <w:qFormat/>
    <w:uiPriority w:val="99"/>
    <w:rPr>
      <w:rFonts w:ascii="Times New Roman" w:hAnsi="Times New Roman"/>
      <w:kern w:val="2"/>
      <w:sz w:val="18"/>
      <w:szCs w:val="18"/>
    </w:rPr>
  </w:style>
  <w:style w:type="character" w:customStyle="1" w:styleId="1012">
    <w:name w:val="HTML 预设格式 Char1"/>
    <w:semiHidden/>
    <w:qFormat/>
    <w:uiPriority w:val="99"/>
    <w:rPr>
      <w:rFonts w:ascii="Courier New" w:hAnsi="Courier New" w:cs="Courier New"/>
      <w:kern w:val="2"/>
    </w:rPr>
  </w:style>
  <w:style w:type="character" w:customStyle="1" w:styleId="1013">
    <w:name w:val="afont1"/>
    <w:semiHidden/>
    <w:qFormat/>
    <w:uiPriority w:val="0"/>
    <w:rPr>
      <w:rFonts w:hint="default" w:ascii="Arial Narrow" w:hAnsi="Arial Narrow" w:eastAsia="宋体"/>
      <w:kern w:val="2"/>
      <w:sz w:val="22"/>
      <w:szCs w:val="22"/>
      <w:lang w:val="en-US" w:eastAsia="zh-CN" w:bidi="ar-SA"/>
    </w:rPr>
  </w:style>
  <w:style w:type="character" w:customStyle="1" w:styleId="1014">
    <w:name w:val="正文文本缩进 2 Char1"/>
    <w:semiHidden/>
    <w:qFormat/>
    <w:uiPriority w:val="99"/>
    <w:rPr>
      <w:rFonts w:ascii="Times New Roman" w:hAnsi="Times New Roman"/>
      <w:kern w:val="2"/>
      <w:sz w:val="21"/>
      <w:szCs w:val="24"/>
    </w:rPr>
  </w:style>
  <w:style w:type="character" w:customStyle="1" w:styleId="1015">
    <w:name w:val="tt11"/>
    <w:semiHidden/>
    <w:qFormat/>
    <w:uiPriority w:val="0"/>
    <w:rPr>
      <w:sz w:val="22"/>
      <w:szCs w:val="22"/>
    </w:rPr>
  </w:style>
  <w:style w:type="character" w:customStyle="1" w:styleId="1016">
    <w:name w:val="comb1"/>
    <w:semiHidden/>
    <w:qFormat/>
    <w:uiPriority w:val="0"/>
  </w:style>
  <w:style w:type="character" w:customStyle="1" w:styleId="1017">
    <w:name w:val="正文文本缩进 3 Char1"/>
    <w:semiHidden/>
    <w:qFormat/>
    <w:uiPriority w:val="99"/>
    <w:rPr>
      <w:rFonts w:ascii="Times New Roman" w:hAnsi="Times New Roman"/>
      <w:kern w:val="2"/>
      <w:sz w:val="16"/>
      <w:szCs w:val="16"/>
    </w:rPr>
  </w:style>
  <w:style w:type="paragraph" w:customStyle="1" w:styleId="1018">
    <w:name w:val="报告－正文"/>
    <w:basedOn w:val="1"/>
    <w:semiHidden/>
    <w:qFormat/>
    <w:uiPriority w:val="0"/>
    <w:pPr>
      <w:adjustRightInd w:val="0"/>
      <w:snapToGrid w:val="0"/>
      <w:spacing w:afterLines="50" w:line="300" w:lineRule="auto"/>
      <w:ind w:firstLine="560"/>
    </w:pPr>
    <w:rPr>
      <w:sz w:val="28"/>
      <w:szCs w:val="21"/>
    </w:rPr>
  </w:style>
  <w:style w:type="character" w:customStyle="1" w:styleId="1019">
    <w:name w:val="hign"/>
    <w:semiHidden/>
    <w:qFormat/>
    <w:uiPriority w:val="0"/>
  </w:style>
  <w:style w:type="paragraph" w:customStyle="1" w:styleId="1020">
    <w:name w:val="正文不空格"/>
    <w:basedOn w:val="1"/>
    <w:link w:val="1021"/>
    <w:semiHidden/>
    <w:qFormat/>
    <w:uiPriority w:val="0"/>
    <w:pPr>
      <w:spacing w:afterLines="50" w:line="300" w:lineRule="auto"/>
    </w:pPr>
    <w:rPr>
      <w:rFonts w:hAnsi="宋体" w:cs="Times New Roman"/>
      <w:lang w:val="zh-CN"/>
    </w:rPr>
  </w:style>
  <w:style w:type="character" w:customStyle="1" w:styleId="1021">
    <w:name w:val="正文不空格 Char"/>
    <w:link w:val="1020"/>
    <w:semiHidden/>
    <w:qFormat/>
    <w:uiPriority w:val="0"/>
    <w:rPr>
      <w:rFonts w:ascii="Times New Roman" w:hAnsi="宋体"/>
      <w:sz w:val="24"/>
      <w:szCs w:val="24"/>
      <w:lang w:val="zh-CN" w:eastAsia="zh-CN"/>
    </w:rPr>
  </w:style>
  <w:style w:type="table" w:customStyle="1" w:styleId="1022">
    <w:name w:val="网格型16"/>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3">
    <w:name w:val="网格型26"/>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4">
    <w:name w:val="网格型36"/>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25">
    <w:name w:val="中伦首页页脚"/>
    <w:basedOn w:val="1"/>
    <w:link w:val="1026"/>
    <w:semiHidden/>
    <w:qFormat/>
    <w:uiPriority w:val="0"/>
    <w:pPr>
      <w:tabs>
        <w:tab w:val="center" w:pos="4153"/>
        <w:tab w:val="right" w:pos="8306"/>
      </w:tabs>
      <w:snapToGrid w:val="0"/>
      <w:spacing w:afterLines="50" w:line="300" w:lineRule="auto"/>
      <w:jc w:val="center"/>
    </w:pPr>
    <w:rPr>
      <w:rFonts w:cs="Times New Roman"/>
      <w:sz w:val="15"/>
      <w:szCs w:val="15"/>
      <w:lang w:val="zh-CN"/>
    </w:rPr>
  </w:style>
  <w:style w:type="character" w:customStyle="1" w:styleId="1026">
    <w:name w:val="中伦首页页脚 Char"/>
    <w:link w:val="1025"/>
    <w:semiHidden/>
    <w:qFormat/>
    <w:uiPriority w:val="0"/>
    <w:rPr>
      <w:rFonts w:ascii="Times New Roman" w:hAnsi="Times New Roman"/>
      <w:sz w:val="15"/>
      <w:szCs w:val="15"/>
      <w:lang w:val="zh-CN" w:eastAsia="zh-CN"/>
    </w:rPr>
  </w:style>
  <w:style w:type="paragraph" w:customStyle="1" w:styleId="1027">
    <w:name w:val="中伦页眉"/>
    <w:basedOn w:val="50"/>
    <w:link w:val="1028"/>
    <w:semiHidden/>
    <w:qFormat/>
    <w:uiPriority w:val="0"/>
    <w:pPr>
      <w:pBdr>
        <w:bottom w:val="none" w:color="auto" w:sz="0" w:space="0"/>
      </w:pBdr>
      <w:spacing w:before="156" w:afterLines="50" w:line="300" w:lineRule="auto"/>
      <w:ind w:firstLine="200"/>
      <w:jc w:val="left"/>
    </w:pPr>
    <w:rPr>
      <w:rFonts w:ascii="Times New Roman" w:hAnsi="Times New Roman"/>
      <w:kern w:val="2"/>
    </w:rPr>
  </w:style>
  <w:style w:type="character" w:customStyle="1" w:styleId="1028">
    <w:name w:val="中伦页眉 Char"/>
    <w:link w:val="1027"/>
    <w:semiHidden/>
    <w:qFormat/>
    <w:uiPriority w:val="0"/>
    <w:rPr>
      <w:rFonts w:ascii="Times New Roman" w:hAnsi="Times New Roman"/>
      <w:kern w:val="2"/>
      <w:sz w:val="18"/>
      <w:szCs w:val="18"/>
      <w:lang w:val="zh-CN" w:eastAsia="zh-CN"/>
    </w:rPr>
  </w:style>
  <w:style w:type="paragraph" w:customStyle="1" w:styleId="1029">
    <w:name w:val="正文11"/>
    <w:basedOn w:val="1"/>
    <w:semiHidden/>
    <w:qFormat/>
    <w:uiPriority w:val="0"/>
    <w:pPr>
      <w:spacing w:afterLines="50" w:line="300" w:lineRule="auto"/>
      <w:ind w:firstLine="480"/>
    </w:pPr>
    <w:rPr>
      <w:rFonts w:ascii="宋体" w:hAnsi="宋体"/>
      <w:szCs w:val="20"/>
    </w:rPr>
  </w:style>
  <w:style w:type="table" w:customStyle="1" w:styleId="1030">
    <w:name w:val="网格型46"/>
    <w:basedOn w:val="76"/>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31">
    <w:name w:val="表格1行-2"/>
    <w:basedOn w:val="1"/>
    <w:next w:val="109"/>
    <w:semiHidden/>
    <w:qFormat/>
    <w:uiPriority w:val="0"/>
    <w:pPr>
      <w:tabs>
        <w:tab w:val="left" w:pos="110"/>
      </w:tabs>
      <w:autoSpaceDE w:val="0"/>
      <w:autoSpaceDN w:val="0"/>
      <w:adjustRightInd w:val="0"/>
      <w:spacing w:afterLines="50" w:line="460" w:lineRule="exact"/>
      <w:jc w:val="center"/>
    </w:pPr>
    <w:rPr>
      <w:rFonts w:ascii="宋体" w:hAnsi="宋体"/>
      <w:b/>
      <w:bCs/>
      <w:szCs w:val="20"/>
    </w:rPr>
  </w:style>
  <w:style w:type="character" w:customStyle="1" w:styleId="1032">
    <w:name w:val="zi_101"/>
    <w:semiHidden/>
    <w:qFormat/>
    <w:uiPriority w:val="0"/>
    <w:rPr>
      <w:rFonts w:hint="default" w:ascii="Verdana" w:hAnsi="Verdana"/>
      <w:color w:val="C90000"/>
      <w:sz w:val="18"/>
      <w:szCs w:val="18"/>
    </w:rPr>
  </w:style>
  <w:style w:type="paragraph" w:customStyle="1" w:styleId="1033">
    <w:name w:val="IPO Normal"/>
    <w:basedOn w:val="1"/>
    <w:semiHidden/>
    <w:qFormat/>
    <w:uiPriority w:val="0"/>
    <w:pPr>
      <w:spacing w:afterLines="50" w:line="300" w:lineRule="auto"/>
    </w:pPr>
    <w:rPr>
      <w:kern w:val="24"/>
    </w:rPr>
  </w:style>
  <w:style w:type="paragraph" w:customStyle="1" w:styleId="1034">
    <w:name w:val="中伦文件标题"/>
    <w:basedOn w:val="1"/>
    <w:link w:val="1035"/>
    <w:semiHidden/>
    <w:qFormat/>
    <w:uiPriority w:val="0"/>
    <w:pPr>
      <w:spacing w:afterLines="50" w:line="300" w:lineRule="auto"/>
      <w:jc w:val="center"/>
    </w:pPr>
    <w:rPr>
      <w:rFonts w:ascii="Cambria" w:hAnsi="Cambria" w:eastAsia="华文中宋" w:cs="Times New Roman"/>
      <w:b/>
      <w:bCs/>
      <w:sz w:val="30"/>
      <w:szCs w:val="32"/>
      <w:lang w:val="zh-CN"/>
    </w:rPr>
  </w:style>
  <w:style w:type="character" w:customStyle="1" w:styleId="1035">
    <w:name w:val="中伦文件标题 Char"/>
    <w:link w:val="1034"/>
    <w:semiHidden/>
    <w:qFormat/>
    <w:uiPriority w:val="0"/>
    <w:rPr>
      <w:rFonts w:ascii="Cambria" w:hAnsi="Cambria" w:eastAsia="华文中宋"/>
      <w:b/>
      <w:bCs/>
      <w:sz w:val="30"/>
      <w:szCs w:val="32"/>
      <w:lang w:val="zh-CN" w:eastAsia="zh-CN"/>
    </w:rPr>
  </w:style>
  <w:style w:type="paragraph" w:customStyle="1" w:styleId="1036">
    <w:name w:val="题目"/>
    <w:basedOn w:val="1"/>
    <w:link w:val="1038"/>
    <w:semiHidden/>
    <w:qFormat/>
    <w:uiPriority w:val="0"/>
    <w:pPr>
      <w:spacing w:afterLines="50"/>
      <w:ind w:firstLine="480"/>
      <w:jc w:val="center"/>
    </w:pPr>
    <w:rPr>
      <w:rFonts w:ascii="黑体" w:hAnsi="黑体" w:eastAsia="华文中宋" w:cs="Times New Roman"/>
      <w:b/>
      <w:sz w:val="30"/>
      <w:szCs w:val="30"/>
      <w:lang w:val="zh-CN"/>
    </w:rPr>
  </w:style>
  <w:style w:type="paragraph" w:customStyle="1" w:styleId="1037">
    <w:name w:val="封面"/>
    <w:basedOn w:val="1"/>
    <w:link w:val="1039"/>
    <w:semiHidden/>
    <w:qFormat/>
    <w:uiPriority w:val="0"/>
    <w:pPr>
      <w:spacing w:beforeLines="30" w:afterLines="30"/>
      <w:ind w:firstLine="480"/>
      <w:jc w:val="center"/>
    </w:pPr>
    <w:rPr>
      <w:rFonts w:eastAsia="华文中宋" w:cs="Times New Roman"/>
      <w:b/>
      <w:sz w:val="36"/>
      <w:lang w:val="zh-CN"/>
    </w:rPr>
  </w:style>
  <w:style w:type="character" w:customStyle="1" w:styleId="1038">
    <w:name w:val="题目 Char"/>
    <w:link w:val="1036"/>
    <w:semiHidden/>
    <w:qFormat/>
    <w:uiPriority w:val="0"/>
    <w:rPr>
      <w:rFonts w:ascii="黑体" w:hAnsi="黑体" w:eastAsia="华文中宋"/>
      <w:b/>
      <w:sz w:val="30"/>
      <w:szCs w:val="30"/>
      <w:lang w:val="zh-CN" w:eastAsia="zh-CN"/>
    </w:rPr>
  </w:style>
  <w:style w:type="character" w:customStyle="1" w:styleId="1039">
    <w:name w:val="封面 Char"/>
    <w:link w:val="1037"/>
    <w:semiHidden/>
    <w:qFormat/>
    <w:uiPriority w:val="0"/>
    <w:rPr>
      <w:rFonts w:ascii="Times New Roman" w:hAnsi="Times New Roman" w:eastAsia="华文中宋"/>
      <w:b/>
      <w:sz w:val="36"/>
      <w:szCs w:val="24"/>
      <w:lang w:val="zh-CN" w:eastAsia="zh-CN"/>
    </w:rPr>
  </w:style>
  <w:style w:type="paragraph" w:customStyle="1" w:styleId="1040">
    <w:name w:val="Center Heading"/>
    <w:basedOn w:val="1"/>
    <w:next w:val="1"/>
    <w:semiHidden/>
    <w:qFormat/>
    <w:uiPriority w:val="0"/>
    <w:pPr>
      <w:spacing w:afterLines="50" w:line="300" w:lineRule="auto"/>
      <w:jc w:val="center"/>
    </w:pPr>
    <w:rPr>
      <w:szCs w:val="20"/>
    </w:rPr>
  </w:style>
  <w:style w:type="paragraph" w:customStyle="1" w:styleId="1041">
    <w:name w:val="样式 目录 1 + 小四 非加粗 非全部大写 行距: 多倍行距 1.2 字行"/>
    <w:basedOn w:val="52"/>
    <w:semiHidden/>
    <w:qFormat/>
    <w:uiPriority w:val="0"/>
    <w:pPr>
      <w:tabs>
        <w:tab w:val="right" w:leader="dot" w:pos="8636"/>
      </w:tabs>
      <w:spacing w:afterLines="50" w:line="288" w:lineRule="auto"/>
    </w:pPr>
  </w:style>
  <w:style w:type="paragraph" w:customStyle="1" w:styleId="1042">
    <w:name w:val="Block Text 1 Sgl"/>
    <w:basedOn w:val="1"/>
    <w:semiHidden/>
    <w:qFormat/>
    <w:uiPriority w:val="0"/>
    <w:pPr>
      <w:spacing w:afterLines="50" w:line="300" w:lineRule="auto"/>
      <w:ind w:left="1440" w:right="1440"/>
    </w:pPr>
    <w:rPr>
      <w:szCs w:val="20"/>
      <w:lang w:eastAsia="en-US"/>
    </w:rPr>
  </w:style>
  <w:style w:type="paragraph" w:customStyle="1" w:styleId="1043">
    <w:name w:val="Block Text Sgl"/>
    <w:basedOn w:val="1"/>
    <w:semiHidden/>
    <w:qFormat/>
    <w:uiPriority w:val="0"/>
    <w:pPr>
      <w:spacing w:afterLines="50" w:line="300" w:lineRule="auto"/>
    </w:pPr>
    <w:rPr>
      <w:lang w:eastAsia="en-US"/>
    </w:rPr>
  </w:style>
  <w:style w:type="paragraph" w:customStyle="1" w:styleId="1044">
    <w:name w:val="Block Text 1 Sgl J"/>
    <w:basedOn w:val="1"/>
    <w:semiHidden/>
    <w:qFormat/>
    <w:uiPriority w:val="0"/>
    <w:pPr>
      <w:spacing w:afterLines="50" w:line="300" w:lineRule="auto"/>
      <w:ind w:left="1440" w:right="1440"/>
    </w:pPr>
    <w:rPr>
      <w:lang w:eastAsia="en-US"/>
    </w:rPr>
  </w:style>
  <w:style w:type="paragraph" w:customStyle="1" w:styleId="1045">
    <w:name w:val="Centered Text"/>
    <w:basedOn w:val="1"/>
    <w:semiHidden/>
    <w:qFormat/>
    <w:uiPriority w:val="0"/>
    <w:pPr>
      <w:spacing w:afterLines="50" w:line="300" w:lineRule="auto"/>
      <w:jc w:val="center"/>
    </w:pPr>
    <w:rPr>
      <w:lang w:eastAsia="en-US"/>
    </w:rPr>
  </w:style>
  <w:style w:type="paragraph" w:customStyle="1" w:styleId="1046">
    <w:name w:val="Body Text Sgl J"/>
    <w:basedOn w:val="1"/>
    <w:semiHidden/>
    <w:qFormat/>
    <w:uiPriority w:val="0"/>
    <w:pPr>
      <w:spacing w:afterLines="50" w:line="300" w:lineRule="auto"/>
      <w:ind w:firstLine="1440"/>
    </w:pPr>
    <w:rPr>
      <w:lang w:eastAsia="en-US"/>
    </w:rPr>
  </w:style>
  <w:style w:type="paragraph" w:customStyle="1" w:styleId="1047">
    <w:name w:val="Body Text 2 Sgl"/>
    <w:basedOn w:val="1"/>
    <w:semiHidden/>
    <w:qFormat/>
    <w:uiPriority w:val="0"/>
    <w:pPr>
      <w:spacing w:afterLines="50" w:line="300" w:lineRule="auto"/>
      <w:ind w:firstLine="720"/>
    </w:pPr>
    <w:rPr>
      <w:lang w:eastAsia="en-US"/>
    </w:rPr>
  </w:style>
  <w:style w:type="paragraph" w:customStyle="1" w:styleId="1048">
    <w:name w:val="Body Text Sgl"/>
    <w:basedOn w:val="1"/>
    <w:semiHidden/>
    <w:qFormat/>
    <w:uiPriority w:val="0"/>
    <w:pPr>
      <w:spacing w:afterLines="50" w:line="300" w:lineRule="auto"/>
      <w:ind w:firstLine="1440"/>
    </w:pPr>
    <w:rPr>
      <w:lang w:eastAsia="en-US"/>
    </w:rPr>
  </w:style>
  <w:style w:type="character" w:customStyle="1" w:styleId="1049">
    <w:name w:val="DocID"/>
    <w:semiHidden/>
    <w:qFormat/>
    <w:uiPriority w:val="0"/>
    <w:rPr>
      <w:sz w:val="14"/>
    </w:rPr>
  </w:style>
  <w:style w:type="paragraph" w:customStyle="1" w:styleId="1050">
    <w:name w:val="Body Text Numbered"/>
    <w:basedOn w:val="29"/>
    <w:semiHidden/>
    <w:qFormat/>
    <w:uiPriority w:val="0"/>
    <w:pPr>
      <w:tabs>
        <w:tab w:val="left" w:pos="567"/>
      </w:tabs>
      <w:spacing w:afterLines="50" w:line="480" w:lineRule="auto"/>
      <w:ind w:left="567" w:hanging="567"/>
    </w:pPr>
    <w:rPr>
      <w:rFonts w:ascii="Times New Roman" w:hAnsi="Times New Roman"/>
      <w:kern w:val="0"/>
      <w:sz w:val="24"/>
      <w:szCs w:val="20"/>
      <w:lang w:eastAsia="en-US"/>
    </w:rPr>
  </w:style>
  <w:style w:type="paragraph" w:customStyle="1" w:styleId="1051">
    <w:name w:val="Block Text Sgl J"/>
    <w:basedOn w:val="1"/>
    <w:semiHidden/>
    <w:qFormat/>
    <w:uiPriority w:val="0"/>
    <w:pPr>
      <w:spacing w:afterLines="50" w:line="300" w:lineRule="auto"/>
    </w:pPr>
    <w:rPr>
      <w:lang w:eastAsia="en-US"/>
    </w:rPr>
  </w:style>
  <w:style w:type="paragraph" w:customStyle="1" w:styleId="1052">
    <w:name w:val="Title UC"/>
    <w:basedOn w:val="1"/>
    <w:next w:val="1"/>
    <w:semiHidden/>
    <w:qFormat/>
    <w:uiPriority w:val="0"/>
    <w:pPr>
      <w:spacing w:afterLines="50" w:line="300" w:lineRule="auto"/>
      <w:jc w:val="center"/>
      <w:outlineLvl w:val="0"/>
    </w:pPr>
    <w:rPr>
      <w:u w:val="single"/>
      <w:lang w:eastAsia="en-US"/>
    </w:rPr>
  </w:style>
  <w:style w:type="paragraph" w:customStyle="1" w:styleId="1053">
    <w:name w:val="Footer Landscape"/>
    <w:basedOn w:val="1"/>
    <w:semiHidden/>
    <w:qFormat/>
    <w:uiPriority w:val="0"/>
    <w:pPr>
      <w:tabs>
        <w:tab w:val="center" w:pos="7200"/>
        <w:tab w:val="right" w:pos="14400"/>
      </w:tabs>
      <w:spacing w:afterLines="50" w:line="300" w:lineRule="auto"/>
    </w:pPr>
    <w:rPr>
      <w:rFonts w:ascii="Arial" w:hAnsi="Arial"/>
      <w:lang w:eastAsia="en-US"/>
    </w:rPr>
  </w:style>
  <w:style w:type="paragraph" w:customStyle="1" w:styleId="1054">
    <w:name w:val="Footnote TextMore"/>
    <w:basedOn w:val="59"/>
    <w:semiHidden/>
    <w:qFormat/>
    <w:uiPriority w:val="0"/>
    <w:pPr>
      <w:snapToGrid/>
      <w:spacing w:afterLines="50" w:line="300" w:lineRule="auto"/>
      <w:ind w:left="720" w:firstLine="200"/>
    </w:pPr>
    <w:rPr>
      <w:sz w:val="24"/>
      <w:szCs w:val="20"/>
      <w:lang w:eastAsia="en-US"/>
    </w:rPr>
  </w:style>
  <w:style w:type="paragraph" w:customStyle="1" w:styleId="1055">
    <w:name w:val="Endnote TextMore"/>
    <w:basedOn w:val="45"/>
    <w:semiHidden/>
    <w:qFormat/>
    <w:uiPriority w:val="0"/>
    <w:pPr>
      <w:snapToGrid/>
      <w:spacing w:line="300" w:lineRule="auto"/>
      <w:ind w:left="720" w:firstLine="200"/>
    </w:pPr>
    <w:rPr>
      <w:b w:val="0"/>
      <w:sz w:val="21"/>
      <w:lang w:eastAsia="en-US"/>
    </w:rPr>
  </w:style>
  <w:style w:type="paragraph" w:customStyle="1" w:styleId="1056">
    <w:name w:val="Block Text .5"/>
    <w:basedOn w:val="1"/>
    <w:semiHidden/>
    <w:qFormat/>
    <w:uiPriority w:val="0"/>
    <w:pPr>
      <w:spacing w:afterLines="50" w:line="480" w:lineRule="auto"/>
      <w:ind w:left="720" w:right="720"/>
    </w:pPr>
    <w:rPr>
      <w:szCs w:val="20"/>
      <w:lang w:eastAsia="en-US"/>
    </w:rPr>
  </w:style>
  <w:style w:type="paragraph" w:customStyle="1" w:styleId="1057">
    <w:name w:val="Block Text 1"/>
    <w:basedOn w:val="1"/>
    <w:semiHidden/>
    <w:qFormat/>
    <w:uiPriority w:val="0"/>
    <w:pPr>
      <w:spacing w:afterLines="50" w:line="480" w:lineRule="auto"/>
      <w:ind w:left="1440" w:right="1440"/>
    </w:pPr>
    <w:rPr>
      <w:lang w:eastAsia="en-US"/>
    </w:rPr>
  </w:style>
  <w:style w:type="paragraph" w:customStyle="1" w:styleId="1058">
    <w:name w:val="Block Text J"/>
    <w:basedOn w:val="33"/>
    <w:semiHidden/>
    <w:qFormat/>
    <w:uiPriority w:val="0"/>
    <w:pPr>
      <w:adjustRightInd/>
      <w:snapToGrid/>
      <w:spacing w:afterLines="50" w:line="480" w:lineRule="auto"/>
      <w:ind w:left="0" w:right="0" w:firstLine="200"/>
    </w:pPr>
    <w:rPr>
      <w:rFonts w:ascii="Times New Roman" w:eastAsia="宋体"/>
      <w:color w:val="auto"/>
      <w:sz w:val="24"/>
      <w:lang w:eastAsia="en-US"/>
    </w:rPr>
  </w:style>
  <w:style w:type="paragraph" w:customStyle="1" w:styleId="1059">
    <w:name w:val="Body Text 2 J"/>
    <w:basedOn w:val="66"/>
    <w:semiHidden/>
    <w:qFormat/>
    <w:uiPriority w:val="0"/>
    <w:pPr>
      <w:spacing w:afterLines="50" w:line="480" w:lineRule="auto"/>
      <w:ind w:right="0" w:firstLine="720"/>
    </w:pPr>
    <w:rPr>
      <w:rFonts w:ascii="Times New Roman" w:hAnsi="Times New Roman"/>
      <w:color w:val="auto"/>
      <w:szCs w:val="20"/>
      <w:lang w:eastAsia="en-US"/>
    </w:rPr>
  </w:style>
  <w:style w:type="paragraph" w:customStyle="1" w:styleId="1060">
    <w:name w:val="Body Text 3 J"/>
    <w:basedOn w:val="26"/>
    <w:semiHidden/>
    <w:qFormat/>
    <w:uiPriority w:val="0"/>
    <w:pPr>
      <w:spacing w:afterLines="50" w:line="300" w:lineRule="auto"/>
      <w:ind w:firstLine="1440"/>
      <w:jc w:val="both"/>
    </w:pPr>
    <w:rPr>
      <w:sz w:val="24"/>
      <w:szCs w:val="16"/>
      <w:lang w:eastAsia="en-US"/>
    </w:rPr>
  </w:style>
  <w:style w:type="paragraph" w:customStyle="1" w:styleId="1061">
    <w:name w:val="Body Text J"/>
    <w:basedOn w:val="29"/>
    <w:semiHidden/>
    <w:qFormat/>
    <w:uiPriority w:val="0"/>
    <w:pPr>
      <w:spacing w:afterLines="50" w:line="480" w:lineRule="auto"/>
      <w:ind w:firstLine="1440"/>
    </w:pPr>
    <w:rPr>
      <w:rFonts w:ascii="Times New Roman" w:hAnsi="Times New Roman"/>
      <w:kern w:val="0"/>
      <w:sz w:val="24"/>
      <w:szCs w:val="20"/>
      <w:lang w:eastAsia="en-US"/>
    </w:rPr>
  </w:style>
  <w:style w:type="character" w:customStyle="1" w:styleId="1062">
    <w:name w:val="称呼 字符"/>
    <w:link w:val="25"/>
    <w:semiHidden/>
    <w:qFormat/>
    <w:uiPriority w:val="0"/>
    <w:rPr>
      <w:rFonts w:ascii="Times New Roman" w:hAnsi="Times New Roman"/>
      <w:sz w:val="24"/>
      <w:szCs w:val="24"/>
      <w:lang w:val="zh-CN" w:eastAsia="en-US"/>
    </w:rPr>
  </w:style>
  <w:style w:type="paragraph" w:customStyle="1" w:styleId="1063">
    <w:name w:val="Title L"/>
    <w:basedOn w:val="72"/>
    <w:semiHidden/>
    <w:qFormat/>
    <w:uiPriority w:val="0"/>
    <w:pPr>
      <w:tabs>
        <w:tab w:val="left" w:pos="420"/>
      </w:tabs>
      <w:spacing w:before="0" w:afterLines="50" w:line="300" w:lineRule="auto"/>
      <w:jc w:val="left"/>
    </w:pPr>
    <w:rPr>
      <w:rFonts w:ascii="黑体" w:hAnsi="宋体" w:eastAsia="黑体"/>
      <w:bCs w:val="0"/>
      <w:color w:val="000000"/>
      <w:sz w:val="28"/>
      <w:szCs w:val="28"/>
    </w:rPr>
  </w:style>
  <w:style w:type="character" w:customStyle="1" w:styleId="1064">
    <w:name w:val="结束语 字符"/>
    <w:link w:val="27"/>
    <w:semiHidden/>
    <w:qFormat/>
    <w:uiPriority w:val="0"/>
    <w:rPr>
      <w:rFonts w:ascii="Times New Roman" w:hAnsi="Times New Roman"/>
      <w:sz w:val="24"/>
      <w:szCs w:val="24"/>
      <w:lang w:val="zh-CN" w:eastAsia="en-US"/>
    </w:rPr>
  </w:style>
  <w:style w:type="paragraph" w:customStyle="1" w:styleId="1065">
    <w:name w:val="Title B"/>
    <w:basedOn w:val="1"/>
    <w:next w:val="29"/>
    <w:semiHidden/>
    <w:qFormat/>
    <w:uiPriority w:val="0"/>
    <w:pPr>
      <w:spacing w:afterLines="50" w:line="300" w:lineRule="auto"/>
      <w:outlineLvl w:val="0"/>
    </w:pPr>
    <w:rPr>
      <w:b/>
      <w:lang w:eastAsia="en-US"/>
    </w:rPr>
  </w:style>
  <w:style w:type="paragraph" w:customStyle="1" w:styleId="1066">
    <w:name w:val="Title BC"/>
    <w:basedOn w:val="1"/>
    <w:next w:val="29"/>
    <w:semiHidden/>
    <w:qFormat/>
    <w:uiPriority w:val="0"/>
    <w:pPr>
      <w:spacing w:afterLines="50" w:line="300" w:lineRule="auto"/>
      <w:jc w:val="center"/>
      <w:outlineLvl w:val="0"/>
    </w:pPr>
    <w:rPr>
      <w:b/>
      <w:lang w:eastAsia="en-US"/>
    </w:rPr>
  </w:style>
  <w:style w:type="paragraph" w:customStyle="1" w:styleId="1067">
    <w:name w:val="Title BU"/>
    <w:basedOn w:val="1"/>
    <w:next w:val="29"/>
    <w:semiHidden/>
    <w:qFormat/>
    <w:uiPriority w:val="0"/>
    <w:pPr>
      <w:spacing w:afterLines="50" w:line="300" w:lineRule="auto"/>
      <w:outlineLvl w:val="0"/>
    </w:pPr>
    <w:rPr>
      <w:b/>
      <w:u w:val="single"/>
      <w:lang w:eastAsia="en-US"/>
    </w:rPr>
  </w:style>
  <w:style w:type="paragraph" w:customStyle="1" w:styleId="1068">
    <w:name w:val="Title BUC"/>
    <w:basedOn w:val="1"/>
    <w:next w:val="29"/>
    <w:semiHidden/>
    <w:qFormat/>
    <w:uiPriority w:val="0"/>
    <w:pPr>
      <w:spacing w:afterLines="50" w:line="300" w:lineRule="auto"/>
      <w:jc w:val="center"/>
      <w:outlineLvl w:val="0"/>
    </w:pPr>
    <w:rPr>
      <w:b/>
      <w:u w:val="single"/>
      <w:lang w:eastAsia="en-US"/>
    </w:rPr>
  </w:style>
  <w:style w:type="paragraph" w:customStyle="1" w:styleId="1069">
    <w:name w:val="Title C"/>
    <w:basedOn w:val="1"/>
    <w:next w:val="1"/>
    <w:semiHidden/>
    <w:qFormat/>
    <w:uiPriority w:val="0"/>
    <w:pPr>
      <w:spacing w:afterLines="50" w:line="300" w:lineRule="auto"/>
      <w:jc w:val="center"/>
    </w:pPr>
    <w:rPr>
      <w:lang w:eastAsia="en-US"/>
    </w:rPr>
  </w:style>
  <w:style w:type="paragraph" w:customStyle="1" w:styleId="1070">
    <w:name w:val="Centered U"/>
    <w:basedOn w:val="1"/>
    <w:semiHidden/>
    <w:qFormat/>
    <w:uiPriority w:val="0"/>
    <w:pPr>
      <w:spacing w:afterLines="50" w:line="300" w:lineRule="auto"/>
      <w:jc w:val="center"/>
    </w:pPr>
    <w:rPr>
      <w:u w:val="single"/>
      <w:lang w:eastAsia="en-US"/>
    </w:rPr>
  </w:style>
  <w:style w:type="paragraph" w:customStyle="1" w:styleId="1071">
    <w:name w:val="Centered B"/>
    <w:basedOn w:val="1"/>
    <w:semiHidden/>
    <w:qFormat/>
    <w:uiPriority w:val="0"/>
    <w:pPr>
      <w:spacing w:afterLines="50" w:line="300" w:lineRule="auto"/>
      <w:jc w:val="center"/>
    </w:pPr>
    <w:rPr>
      <w:b/>
      <w:lang w:eastAsia="en-US"/>
    </w:rPr>
  </w:style>
  <w:style w:type="paragraph" w:customStyle="1" w:styleId="1072">
    <w:name w:val="Centered BU"/>
    <w:basedOn w:val="1"/>
    <w:semiHidden/>
    <w:qFormat/>
    <w:uiPriority w:val="0"/>
    <w:pPr>
      <w:spacing w:afterLines="50" w:line="300" w:lineRule="auto"/>
      <w:jc w:val="center"/>
    </w:pPr>
    <w:rPr>
      <w:b/>
      <w:u w:val="single"/>
      <w:lang w:eastAsia="en-US"/>
    </w:rPr>
  </w:style>
  <w:style w:type="paragraph" w:customStyle="1" w:styleId="1073">
    <w:name w:val="Body Text Indent Inch"/>
    <w:basedOn w:val="1"/>
    <w:semiHidden/>
    <w:qFormat/>
    <w:uiPriority w:val="0"/>
    <w:pPr>
      <w:spacing w:afterLines="50" w:line="480" w:lineRule="auto"/>
      <w:ind w:left="1440"/>
    </w:pPr>
    <w:rPr>
      <w:lang w:eastAsia="en-US"/>
    </w:rPr>
  </w:style>
  <w:style w:type="paragraph" w:customStyle="1" w:styleId="1074">
    <w:name w:val="Body Text Indent Inch Sgl"/>
    <w:basedOn w:val="1"/>
    <w:semiHidden/>
    <w:qFormat/>
    <w:uiPriority w:val="0"/>
    <w:pPr>
      <w:spacing w:afterLines="50" w:line="300" w:lineRule="auto"/>
      <w:ind w:left="1440"/>
    </w:pPr>
    <w:rPr>
      <w:lang w:eastAsia="en-US"/>
    </w:rPr>
  </w:style>
  <w:style w:type="paragraph" w:customStyle="1" w:styleId="1075">
    <w:name w:val="Body Text Indent Inch J"/>
    <w:basedOn w:val="1"/>
    <w:semiHidden/>
    <w:qFormat/>
    <w:uiPriority w:val="0"/>
    <w:pPr>
      <w:spacing w:afterLines="50" w:line="480" w:lineRule="auto"/>
      <w:ind w:left="1440"/>
    </w:pPr>
    <w:rPr>
      <w:lang w:eastAsia="en-US"/>
    </w:rPr>
  </w:style>
  <w:style w:type="paragraph" w:customStyle="1" w:styleId="1076">
    <w:name w:val="Body Text Indent Inch Sgl J"/>
    <w:basedOn w:val="1"/>
    <w:semiHidden/>
    <w:qFormat/>
    <w:uiPriority w:val="0"/>
    <w:pPr>
      <w:spacing w:afterLines="50" w:line="300" w:lineRule="auto"/>
      <w:ind w:left="1440"/>
    </w:pPr>
    <w:rPr>
      <w:lang w:eastAsia="en-US"/>
    </w:rPr>
  </w:style>
  <w:style w:type="paragraph" w:customStyle="1" w:styleId="1077">
    <w:name w:val="Body Text 2 Sgl J"/>
    <w:basedOn w:val="1047"/>
    <w:semiHidden/>
    <w:qFormat/>
    <w:uiPriority w:val="0"/>
    <w:pPr>
      <w:jc w:val="both"/>
    </w:pPr>
  </w:style>
  <w:style w:type="paragraph" w:customStyle="1" w:styleId="1078">
    <w:name w:val="Block Text .5 J"/>
    <w:basedOn w:val="1056"/>
    <w:semiHidden/>
    <w:qFormat/>
    <w:uiPriority w:val="0"/>
    <w:pPr>
      <w:jc w:val="both"/>
    </w:pPr>
  </w:style>
  <w:style w:type="paragraph" w:customStyle="1" w:styleId="1079">
    <w:name w:val="Block Text .5 Sgl"/>
    <w:basedOn w:val="1"/>
    <w:semiHidden/>
    <w:qFormat/>
    <w:uiPriority w:val="0"/>
    <w:pPr>
      <w:spacing w:afterLines="50" w:line="300" w:lineRule="auto"/>
      <w:ind w:left="720" w:right="720"/>
    </w:pPr>
    <w:rPr>
      <w:lang w:eastAsia="en-US"/>
    </w:rPr>
  </w:style>
  <w:style w:type="paragraph" w:customStyle="1" w:styleId="1080">
    <w:name w:val="Block Text .5 Sgl J"/>
    <w:basedOn w:val="1"/>
    <w:semiHidden/>
    <w:qFormat/>
    <w:uiPriority w:val="0"/>
    <w:pPr>
      <w:spacing w:afterLines="50" w:line="300" w:lineRule="auto"/>
      <w:ind w:left="720" w:right="720"/>
    </w:pPr>
    <w:rPr>
      <w:lang w:eastAsia="en-US"/>
    </w:rPr>
  </w:style>
  <w:style w:type="paragraph" w:customStyle="1" w:styleId="1081">
    <w:name w:val="Block Text 1 J"/>
    <w:basedOn w:val="1"/>
    <w:semiHidden/>
    <w:qFormat/>
    <w:uiPriority w:val="0"/>
    <w:pPr>
      <w:spacing w:afterLines="50" w:line="480" w:lineRule="auto"/>
      <w:ind w:left="1440" w:right="1440"/>
    </w:pPr>
    <w:rPr>
      <w:lang w:eastAsia="en-US"/>
    </w:rPr>
  </w:style>
  <w:style w:type="paragraph" w:customStyle="1" w:styleId="1082">
    <w:name w:val="Body Text Indent Sgl"/>
    <w:basedOn w:val="1"/>
    <w:semiHidden/>
    <w:qFormat/>
    <w:uiPriority w:val="0"/>
    <w:pPr>
      <w:spacing w:afterLines="50" w:line="300" w:lineRule="auto"/>
      <w:ind w:left="720"/>
    </w:pPr>
    <w:rPr>
      <w:lang w:eastAsia="en-US"/>
    </w:rPr>
  </w:style>
  <w:style w:type="paragraph" w:customStyle="1" w:styleId="1083">
    <w:name w:val="Body Text Indent J"/>
    <w:basedOn w:val="1"/>
    <w:semiHidden/>
    <w:qFormat/>
    <w:uiPriority w:val="0"/>
    <w:pPr>
      <w:spacing w:afterLines="50" w:line="480" w:lineRule="auto"/>
      <w:ind w:left="720"/>
    </w:pPr>
    <w:rPr>
      <w:lang w:eastAsia="en-US"/>
    </w:rPr>
  </w:style>
  <w:style w:type="paragraph" w:customStyle="1" w:styleId="1084">
    <w:name w:val="Body Text Indent Sgl J"/>
    <w:basedOn w:val="1"/>
    <w:semiHidden/>
    <w:qFormat/>
    <w:uiPriority w:val="0"/>
    <w:pPr>
      <w:spacing w:afterLines="50" w:line="300" w:lineRule="auto"/>
      <w:ind w:left="720"/>
    </w:pPr>
    <w:rPr>
      <w:lang w:eastAsia="en-US"/>
    </w:rPr>
  </w:style>
  <w:style w:type="paragraph" w:customStyle="1" w:styleId="1085">
    <w:name w:val="STB Bullet 1"/>
    <w:basedOn w:val="1"/>
    <w:semiHidden/>
    <w:qFormat/>
    <w:uiPriority w:val="0"/>
    <w:pPr>
      <w:tabs>
        <w:tab w:val="left" w:pos="720"/>
      </w:tabs>
      <w:spacing w:afterLines="50" w:line="300" w:lineRule="auto"/>
      <w:ind w:firstLine="360"/>
    </w:pPr>
    <w:rPr>
      <w:lang w:eastAsia="en-US"/>
    </w:rPr>
  </w:style>
  <w:style w:type="paragraph" w:customStyle="1" w:styleId="1086">
    <w:name w:val="STB Bullet 1 DBL"/>
    <w:basedOn w:val="1"/>
    <w:semiHidden/>
    <w:qFormat/>
    <w:uiPriority w:val="0"/>
    <w:pPr>
      <w:tabs>
        <w:tab w:val="left" w:pos="720"/>
      </w:tabs>
      <w:spacing w:afterLines="50" w:line="480" w:lineRule="auto"/>
      <w:ind w:firstLine="360"/>
    </w:pPr>
    <w:rPr>
      <w:lang w:eastAsia="en-US"/>
    </w:rPr>
  </w:style>
  <w:style w:type="paragraph" w:customStyle="1" w:styleId="1087">
    <w:name w:val="STB Bullet 2"/>
    <w:basedOn w:val="1"/>
    <w:semiHidden/>
    <w:qFormat/>
    <w:uiPriority w:val="0"/>
    <w:pPr>
      <w:tabs>
        <w:tab w:val="left" w:pos="1080"/>
      </w:tabs>
      <w:spacing w:afterLines="50" w:line="300" w:lineRule="auto"/>
      <w:ind w:firstLine="720"/>
    </w:pPr>
    <w:rPr>
      <w:lang w:eastAsia="en-US"/>
    </w:rPr>
  </w:style>
  <w:style w:type="paragraph" w:customStyle="1" w:styleId="1088">
    <w:name w:val="STB Bullet 2 DBL"/>
    <w:basedOn w:val="1"/>
    <w:semiHidden/>
    <w:qFormat/>
    <w:uiPriority w:val="0"/>
    <w:pPr>
      <w:tabs>
        <w:tab w:val="left" w:pos="1080"/>
      </w:tabs>
      <w:spacing w:afterLines="50" w:line="480" w:lineRule="auto"/>
      <w:ind w:firstLine="720"/>
    </w:pPr>
    <w:rPr>
      <w:lang w:eastAsia="en-US"/>
    </w:rPr>
  </w:style>
  <w:style w:type="paragraph" w:customStyle="1" w:styleId="1089">
    <w:name w:val="STB Bullet 3"/>
    <w:basedOn w:val="1"/>
    <w:semiHidden/>
    <w:qFormat/>
    <w:uiPriority w:val="0"/>
    <w:pPr>
      <w:tabs>
        <w:tab w:val="left" w:pos="1440"/>
      </w:tabs>
      <w:spacing w:afterLines="50" w:line="300" w:lineRule="auto"/>
      <w:ind w:firstLine="1080"/>
    </w:pPr>
    <w:rPr>
      <w:lang w:eastAsia="en-US"/>
    </w:rPr>
  </w:style>
  <w:style w:type="paragraph" w:customStyle="1" w:styleId="1090">
    <w:name w:val="STB Bullet 3 DBL"/>
    <w:basedOn w:val="1"/>
    <w:semiHidden/>
    <w:qFormat/>
    <w:uiPriority w:val="0"/>
    <w:pPr>
      <w:tabs>
        <w:tab w:val="left" w:pos="1440"/>
      </w:tabs>
      <w:spacing w:afterLines="50" w:line="480" w:lineRule="auto"/>
      <w:ind w:firstLine="1080"/>
    </w:pPr>
    <w:rPr>
      <w:lang w:eastAsia="en-US"/>
    </w:rPr>
  </w:style>
  <w:style w:type="paragraph" w:customStyle="1" w:styleId="1091">
    <w:name w:val="STB Bullet 4"/>
    <w:basedOn w:val="1"/>
    <w:semiHidden/>
    <w:qFormat/>
    <w:uiPriority w:val="0"/>
    <w:pPr>
      <w:tabs>
        <w:tab w:val="left" w:pos="1800"/>
      </w:tabs>
      <w:spacing w:afterLines="50" w:line="300" w:lineRule="auto"/>
      <w:ind w:firstLine="1440"/>
    </w:pPr>
    <w:rPr>
      <w:lang w:eastAsia="en-US"/>
    </w:rPr>
  </w:style>
  <w:style w:type="paragraph" w:customStyle="1" w:styleId="1092">
    <w:name w:val="STB Bullet 4 DBL"/>
    <w:basedOn w:val="1"/>
    <w:semiHidden/>
    <w:qFormat/>
    <w:uiPriority w:val="0"/>
    <w:pPr>
      <w:tabs>
        <w:tab w:val="left" w:pos="1800"/>
      </w:tabs>
      <w:spacing w:afterLines="50" w:line="480" w:lineRule="auto"/>
      <w:ind w:firstLine="1440"/>
    </w:pPr>
    <w:rPr>
      <w:lang w:eastAsia="en-US"/>
    </w:rPr>
  </w:style>
  <w:style w:type="paragraph" w:customStyle="1" w:styleId="1093">
    <w:name w:val="STB List Number 1"/>
    <w:basedOn w:val="1"/>
    <w:semiHidden/>
    <w:qFormat/>
    <w:uiPriority w:val="0"/>
    <w:pPr>
      <w:spacing w:afterLines="50" w:line="300" w:lineRule="auto"/>
      <w:ind w:firstLine="720"/>
    </w:pPr>
    <w:rPr>
      <w:lang w:eastAsia="en-US"/>
    </w:rPr>
  </w:style>
  <w:style w:type="paragraph" w:customStyle="1" w:styleId="1094">
    <w:name w:val="STB List Number 1 DBL"/>
    <w:basedOn w:val="1"/>
    <w:semiHidden/>
    <w:qFormat/>
    <w:uiPriority w:val="0"/>
    <w:pPr>
      <w:spacing w:afterLines="50" w:line="480" w:lineRule="auto"/>
      <w:ind w:firstLine="720"/>
    </w:pPr>
    <w:rPr>
      <w:lang w:eastAsia="en-US"/>
    </w:rPr>
  </w:style>
  <w:style w:type="paragraph" w:customStyle="1" w:styleId="1095">
    <w:name w:val="STB List Number 2"/>
    <w:basedOn w:val="1"/>
    <w:semiHidden/>
    <w:qFormat/>
    <w:uiPriority w:val="0"/>
    <w:pPr>
      <w:spacing w:afterLines="50" w:line="300" w:lineRule="auto"/>
      <w:ind w:firstLine="1440"/>
    </w:pPr>
    <w:rPr>
      <w:lang w:eastAsia="en-US"/>
    </w:rPr>
  </w:style>
  <w:style w:type="paragraph" w:customStyle="1" w:styleId="1096">
    <w:name w:val="STB List Number 2 DBL"/>
    <w:basedOn w:val="1"/>
    <w:semiHidden/>
    <w:qFormat/>
    <w:uiPriority w:val="0"/>
    <w:pPr>
      <w:spacing w:afterLines="50" w:line="480" w:lineRule="auto"/>
      <w:ind w:firstLine="1440"/>
    </w:pPr>
    <w:rPr>
      <w:lang w:eastAsia="en-US"/>
    </w:rPr>
  </w:style>
  <w:style w:type="paragraph" w:customStyle="1" w:styleId="1097">
    <w:name w:val="STB List Number 3"/>
    <w:basedOn w:val="1"/>
    <w:semiHidden/>
    <w:qFormat/>
    <w:uiPriority w:val="0"/>
    <w:pPr>
      <w:spacing w:afterLines="50" w:line="300" w:lineRule="auto"/>
      <w:ind w:firstLine="2160"/>
    </w:pPr>
    <w:rPr>
      <w:lang w:eastAsia="en-US"/>
    </w:rPr>
  </w:style>
  <w:style w:type="paragraph" w:customStyle="1" w:styleId="1098">
    <w:name w:val="STB List Number 3 DBL"/>
    <w:basedOn w:val="1"/>
    <w:semiHidden/>
    <w:qFormat/>
    <w:uiPriority w:val="0"/>
    <w:pPr>
      <w:spacing w:afterLines="50" w:line="480" w:lineRule="auto"/>
      <w:ind w:firstLine="2160"/>
    </w:pPr>
    <w:rPr>
      <w:lang w:eastAsia="en-US"/>
    </w:rPr>
  </w:style>
  <w:style w:type="paragraph" w:customStyle="1" w:styleId="1099">
    <w:name w:val="STB List Number 4"/>
    <w:basedOn w:val="1"/>
    <w:semiHidden/>
    <w:qFormat/>
    <w:uiPriority w:val="0"/>
    <w:pPr>
      <w:spacing w:afterLines="50" w:line="300" w:lineRule="auto"/>
      <w:ind w:firstLine="2880"/>
    </w:pPr>
    <w:rPr>
      <w:lang w:eastAsia="en-US"/>
    </w:rPr>
  </w:style>
  <w:style w:type="paragraph" w:customStyle="1" w:styleId="1100">
    <w:name w:val="STB List Number 4 DBL"/>
    <w:basedOn w:val="1"/>
    <w:semiHidden/>
    <w:qFormat/>
    <w:uiPriority w:val="0"/>
    <w:pPr>
      <w:spacing w:afterLines="50" w:line="480" w:lineRule="auto"/>
      <w:ind w:firstLine="2880"/>
    </w:pPr>
    <w:rPr>
      <w:lang w:eastAsia="en-US"/>
    </w:rPr>
  </w:style>
  <w:style w:type="paragraph" w:customStyle="1" w:styleId="1101">
    <w:name w:val="HeadingBody 1"/>
    <w:basedOn w:val="29"/>
    <w:next w:val="1046"/>
    <w:semiHidden/>
    <w:qFormat/>
    <w:uiPriority w:val="0"/>
    <w:pPr>
      <w:spacing w:afterLines="50" w:line="480" w:lineRule="auto"/>
      <w:ind w:firstLine="200"/>
      <w:jc w:val="center"/>
    </w:pPr>
    <w:rPr>
      <w:rFonts w:ascii="Times New Roman" w:hAnsi="Times New Roman"/>
      <w:kern w:val="0"/>
      <w:sz w:val="24"/>
      <w:szCs w:val="20"/>
      <w:lang w:eastAsia="en-US"/>
    </w:rPr>
  </w:style>
  <w:style w:type="paragraph" w:customStyle="1" w:styleId="1102">
    <w:name w:val="HeadingBody 2"/>
    <w:basedOn w:val="1046"/>
    <w:next w:val="1046"/>
    <w:semiHidden/>
    <w:qFormat/>
    <w:uiPriority w:val="0"/>
    <w:pPr>
      <w:ind w:firstLine="0"/>
    </w:pPr>
  </w:style>
  <w:style w:type="paragraph" w:customStyle="1" w:styleId="1103">
    <w:name w:val="HeadingBody 3"/>
    <w:basedOn w:val="29"/>
    <w:next w:val="1046"/>
    <w:semiHidden/>
    <w:qFormat/>
    <w:uiPriority w:val="0"/>
    <w:pPr>
      <w:spacing w:afterLines="50" w:line="300" w:lineRule="auto"/>
      <w:ind w:left="720" w:firstLine="720"/>
    </w:pPr>
    <w:rPr>
      <w:rFonts w:ascii="Times New Roman" w:hAnsi="Times New Roman"/>
      <w:kern w:val="0"/>
      <w:sz w:val="24"/>
      <w:szCs w:val="20"/>
      <w:lang w:eastAsia="en-US"/>
    </w:rPr>
  </w:style>
  <w:style w:type="paragraph" w:customStyle="1" w:styleId="1104">
    <w:name w:val="HeadingBody 4"/>
    <w:basedOn w:val="29"/>
    <w:next w:val="1046"/>
    <w:semiHidden/>
    <w:qFormat/>
    <w:uiPriority w:val="0"/>
    <w:pPr>
      <w:spacing w:afterLines="50" w:line="300" w:lineRule="auto"/>
      <w:ind w:left="1440" w:firstLine="720"/>
    </w:pPr>
    <w:rPr>
      <w:rFonts w:ascii="Times New Roman" w:hAnsi="Times New Roman"/>
      <w:kern w:val="0"/>
      <w:sz w:val="24"/>
      <w:szCs w:val="20"/>
      <w:lang w:eastAsia="en-US"/>
    </w:rPr>
  </w:style>
  <w:style w:type="paragraph" w:customStyle="1" w:styleId="1105">
    <w:name w:val="HeadingBody 5"/>
    <w:basedOn w:val="29"/>
    <w:next w:val="1046"/>
    <w:semiHidden/>
    <w:qFormat/>
    <w:uiPriority w:val="0"/>
    <w:pPr>
      <w:spacing w:afterLines="50" w:line="300" w:lineRule="auto"/>
      <w:ind w:left="3600" w:hanging="720"/>
    </w:pPr>
    <w:rPr>
      <w:rFonts w:ascii="Times New Roman" w:hAnsi="Times New Roman"/>
      <w:kern w:val="0"/>
      <w:sz w:val="24"/>
      <w:szCs w:val="20"/>
      <w:lang w:eastAsia="en-US"/>
    </w:rPr>
  </w:style>
  <w:style w:type="paragraph" w:customStyle="1" w:styleId="1106">
    <w:name w:val="HeadingBody 6"/>
    <w:basedOn w:val="29"/>
    <w:next w:val="1046"/>
    <w:semiHidden/>
    <w:qFormat/>
    <w:uiPriority w:val="0"/>
    <w:pPr>
      <w:spacing w:afterLines="50" w:line="300" w:lineRule="auto"/>
      <w:ind w:left="4320" w:hanging="720"/>
    </w:pPr>
    <w:rPr>
      <w:rFonts w:ascii="Times New Roman" w:hAnsi="Times New Roman"/>
      <w:kern w:val="0"/>
      <w:sz w:val="24"/>
      <w:szCs w:val="20"/>
      <w:lang w:eastAsia="en-US"/>
    </w:rPr>
  </w:style>
  <w:style w:type="paragraph" w:customStyle="1" w:styleId="1107">
    <w:name w:val="HeadingBody 7"/>
    <w:basedOn w:val="29"/>
    <w:next w:val="1046"/>
    <w:semiHidden/>
    <w:qFormat/>
    <w:uiPriority w:val="0"/>
    <w:pPr>
      <w:spacing w:afterLines="50" w:line="300" w:lineRule="auto"/>
      <w:ind w:left="4320" w:hanging="720"/>
    </w:pPr>
    <w:rPr>
      <w:rFonts w:ascii="Times New Roman" w:hAnsi="Times New Roman"/>
      <w:kern w:val="0"/>
      <w:sz w:val="24"/>
      <w:szCs w:val="20"/>
      <w:lang w:eastAsia="en-US"/>
    </w:rPr>
  </w:style>
  <w:style w:type="paragraph" w:customStyle="1" w:styleId="1108">
    <w:name w:val="HeadingBody 8"/>
    <w:basedOn w:val="29"/>
    <w:next w:val="1046"/>
    <w:semiHidden/>
    <w:qFormat/>
    <w:uiPriority w:val="0"/>
    <w:pPr>
      <w:spacing w:afterLines="50" w:line="300" w:lineRule="auto"/>
      <w:ind w:left="5040" w:hanging="720"/>
    </w:pPr>
    <w:rPr>
      <w:rFonts w:ascii="Times New Roman" w:hAnsi="Times New Roman"/>
      <w:kern w:val="0"/>
      <w:sz w:val="24"/>
      <w:szCs w:val="20"/>
      <w:lang w:eastAsia="en-US"/>
    </w:rPr>
  </w:style>
  <w:style w:type="paragraph" w:customStyle="1" w:styleId="1109">
    <w:name w:val="HeadingBody 9"/>
    <w:basedOn w:val="29"/>
    <w:next w:val="1046"/>
    <w:semiHidden/>
    <w:qFormat/>
    <w:uiPriority w:val="0"/>
    <w:pPr>
      <w:spacing w:afterLines="50" w:line="300" w:lineRule="auto"/>
      <w:ind w:left="1584" w:hanging="1584"/>
    </w:pPr>
    <w:rPr>
      <w:rFonts w:ascii="Times New Roman" w:hAnsi="Times New Roman"/>
      <w:kern w:val="0"/>
      <w:sz w:val="24"/>
      <w:szCs w:val="20"/>
      <w:lang w:eastAsia="en-US"/>
    </w:rPr>
  </w:style>
  <w:style w:type="paragraph" w:customStyle="1" w:styleId="1110">
    <w:name w:val="Style1"/>
    <w:basedOn w:val="1102"/>
    <w:semiHidden/>
    <w:qFormat/>
    <w:uiPriority w:val="0"/>
  </w:style>
  <w:style w:type="paragraph" w:customStyle="1" w:styleId="1111">
    <w:name w:val="Hdg Body Text"/>
    <w:basedOn w:val="29"/>
    <w:next w:val="29"/>
    <w:semiHidden/>
    <w:qFormat/>
    <w:uiPriority w:val="0"/>
    <w:pPr>
      <w:spacing w:afterLines="50" w:line="300" w:lineRule="auto"/>
      <w:ind w:firstLine="200"/>
    </w:pPr>
    <w:rPr>
      <w:rFonts w:ascii="Times New Roman" w:hAnsi="Times New Roman"/>
      <w:kern w:val="0"/>
      <w:sz w:val="24"/>
      <w:szCs w:val="20"/>
      <w:lang w:eastAsia="en-US"/>
    </w:rPr>
  </w:style>
  <w:style w:type="paragraph" w:customStyle="1" w:styleId="1112">
    <w:name w:val="Body Text Numbered 2 (1)"/>
    <w:basedOn w:val="1"/>
    <w:semiHidden/>
    <w:qFormat/>
    <w:uiPriority w:val="0"/>
    <w:pPr>
      <w:tabs>
        <w:tab w:val="left" w:pos="567"/>
      </w:tabs>
      <w:spacing w:afterLines="50" w:line="300" w:lineRule="auto"/>
      <w:ind w:left="567" w:hanging="567"/>
    </w:pPr>
    <w:rPr>
      <w:lang w:eastAsia="en-US"/>
    </w:rPr>
  </w:style>
  <w:style w:type="paragraph" w:customStyle="1" w:styleId="1113">
    <w:name w:val="Flush Right"/>
    <w:basedOn w:val="1"/>
    <w:semiHidden/>
    <w:qFormat/>
    <w:uiPriority w:val="0"/>
    <w:pPr>
      <w:spacing w:afterLines="50" w:line="300" w:lineRule="auto"/>
      <w:jc w:val="right"/>
    </w:pPr>
    <w:rPr>
      <w:lang w:eastAsia="en-US"/>
    </w:rPr>
  </w:style>
  <w:style w:type="paragraph" w:customStyle="1" w:styleId="1114">
    <w:name w:val="Exh C Heading 1"/>
    <w:basedOn w:val="1"/>
    <w:semiHidden/>
    <w:qFormat/>
    <w:uiPriority w:val="0"/>
    <w:pPr>
      <w:spacing w:afterLines="50" w:line="300" w:lineRule="auto"/>
      <w:jc w:val="center"/>
    </w:pPr>
    <w:rPr>
      <w:u w:val="single"/>
      <w:lang w:eastAsia="en-US"/>
    </w:rPr>
  </w:style>
  <w:style w:type="paragraph" w:customStyle="1" w:styleId="1115">
    <w:name w:val="Exh C Heading 2"/>
    <w:basedOn w:val="1046"/>
    <w:semiHidden/>
    <w:qFormat/>
    <w:uiPriority w:val="0"/>
    <w:pPr>
      <w:tabs>
        <w:tab w:val="left" w:pos="1021"/>
      </w:tabs>
      <w:ind w:firstLine="422"/>
    </w:pPr>
  </w:style>
  <w:style w:type="paragraph" w:customStyle="1" w:styleId="1116">
    <w:name w:val="Article1_L1"/>
    <w:basedOn w:val="1"/>
    <w:next w:val="1"/>
    <w:semiHidden/>
    <w:qFormat/>
    <w:uiPriority w:val="0"/>
    <w:pPr>
      <w:keepNext/>
      <w:spacing w:afterLines="50" w:line="300" w:lineRule="auto"/>
      <w:jc w:val="center"/>
      <w:outlineLvl w:val="0"/>
    </w:pPr>
    <w:rPr>
      <w:rFonts w:eastAsia="MS Mincho"/>
      <w:b/>
      <w:szCs w:val="20"/>
      <w:lang w:eastAsia="en-US"/>
    </w:rPr>
  </w:style>
  <w:style w:type="paragraph" w:customStyle="1" w:styleId="1117">
    <w:name w:val="Article1_L2"/>
    <w:basedOn w:val="1116"/>
    <w:next w:val="1"/>
    <w:semiHidden/>
    <w:qFormat/>
    <w:uiPriority w:val="0"/>
    <w:pPr>
      <w:keepNext w:val="0"/>
      <w:tabs>
        <w:tab w:val="left" w:pos="2160"/>
      </w:tabs>
      <w:ind w:firstLine="1440"/>
      <w:jc w:val="left"/>
      <w:outlineLvl w:val="1"/>
    </w:pPr>
    <w:rPr>
      <w:b w:val="0"/>
    </w:rPr>
  </w:style>
  <w:style w:type="paragraph" w:customStyle="1" w:styleId="1118">
    <w:name w:val="Article1_L3"/>
    <w:basedOn w:val="1117"/>
    <w:next w:val="1"/>
    <w:semiHidden/>
    <w:qFormat/>
    <w:uiPriority w:val="0"/>
    <w:pPr>
      <w:tabs>
        <w:tab w:val="left" w:pos="1800"/>
        <w:tab w:val="left" w:pos="1980"/>
        <w:tab w:val="clear" w:pos="2160"/>
      </w:tabs>
      <w:outlineLvl w:val="2"/>
    </w:pPr>
  </w:style>
  <w:style w:type="paragraph" w:customStyle="1" w:styleId="1119">
    <w:name w:val="Article1_L4"/>
    <w:basedOn w:val="1118"/>
    <w:next w:val="1"/>
    <w:semiHidden/>
    <w:qFormat/>
    <w:uiPriority w:val="0"/>
    <w:pPr>
      <w:tabs>
        <w:tab w:val="left" w:pos="2880"/>
        <w:tab w:val="clear" w:pos="1800"/>
      </w:tabs>
      <w:ind w:left="720"/>
      <w:outlineLvl w:val="3"/>
    </w:pPr>
  </w:style>
  <w:style w:type="paragraph" w:customStyle="1" w:styleId="1120">
    <w:name w:val="Article1_L5"/>
    <w:basedOn w:val="1119"/>
    <w:next w:val="1"/>
    <w:semiHidden/>
    <w:qFormat/>
    <w:uiPriority w:val="0"/>
    <w:pPr>
      <w:tabs>
        <w:tab w:val="left" w:pos="1800"/>
        <w:tab w:val="clear" w:pos="1980"/>
        <w:tab w:val="clear" w:pos="2880"/>
      </w:tabs>
      <w:ind w:left="0"/>
      <w:outlineLvl w:val="4"/>
    </w:pPr>
  </w:style>
  <w:style w:type="paragraph" w:customStyle="1" w:styleId="1121">
    <w:name w:val="Article1_L6"/>
    <w:basedOn w:val="1120"/>
    <w:next w:val="1"/>
    <w:semiHidden/>
    <w:qFormat/>
    <w:uiPriority w:val="0"/>
    <w:pPr>
      <w:ind w:left="720" w:firstLine="720"/>
      <w:outlineLvl w:val="5"/>
    </w:pPr>
  </w:style>
  <w:style w:type="paragraph" w:customStyle="1" w:styleId="1122">
    <w:name w:val="Article1_L7"/>
    <w:basedOn w:val="1121"/>
    <w:next w:val="1"/>
    <w:semiHidden/>
    <w:qFormat/>
    <w:uiPriority w:val="0"/>
    <w:pPr>
      <w:tabs>
        <w:tab w:val="left" w:pos="2520"/>
        <w:tab w:val="clear" w:pos="1800"/>
      </w:tabs>
      <w:ind w:left="2520" w:hanging="360"/>
      <w:outlineLvl w:val="6"/>
    </w:pPr>
    <w:rPr>
      <w:rFonts w:eastAsia="Times New Roman"/>
    </w:rPr>
  </w:style>
  <w:style w:type="paragraph" w:customStyle="1" w:styleId="1123">
    <w:name w:val="Article1_L8"/>
    <w:basedOn w:val="1122"/>
    <w:next w:val="1"/>
    <w:semiHidden/>
    <w:qFormat/>
    <w:uiPriority w:val="0"/>
    <w:pPr>
      <w:tabs>
        <w:tab w:val="left" w:pos="2880"/>
        <w:tab w:val="clear" w:pos="2520"/>
      </w:tabs>
      <w:ind w:left="2880"/>
      <w:outlineLvl w:val="7"/>
    </w:pPr>
  </w:style>
  <w:style w:type="character" w:customStyle="1" w:styleId="1124">
    <w:name w:val="DeltaView Insertion"/>
    <w:semiHidden/>
    <w:qFormat/>
    <w:uiPriority w:val="99"/>
    <w:rPr>
      <w:color w:val="0000FF"/>
      <w:spacing w:val="0"/>
      <w:u w:val="double"/>
    </w:rPr>
  </w:style>
  <w:style w:type="character" w:customStyle="1" w:styleId="1125">
    <w:name w:val="zzmpTrailerItem"/>
    <w:semiHidden/>
    <w:qFormat/>
    <w:uiPriority w:val="0"/>
    <w:rPr>
      <w:rFonts w:ascii="Times New Roman" w:hAnsi="Times New Roman" w:cs="Times New Roman"/>
      <w:color w:val="auto"/>
      <w:spacing w:val="0"/>
      <w:position w:val="0"/>
      <w:sz w:val="20"/>
      <w:u w:val="none"/>
      <w:vertAlign w:val="baseline"/>
    </w:rPr>
  </w:style>
  <w:style w:type="paragraph" w:customStyle="1" w:styleId="1126">
    <w:name w:val="Body Text Continued"/>
    <w:basedOn w:val="29"/>
    <w:next w:val="29"/>
    <w:semiHidden/>
    <w:qFormat/>
    <w:uiPriority w:val="0"/>
    <w:pPr>
      <w:spacing w:afterLines="50" w:line="300" w:lineRule="auto"/>
      <w:ind w:firstLine="200"/>
    </w:pPr>
    <w:rPr>
      <w:rFonts w:ascii="Times New Roman" w:hAnsi="Times New Roman"/>
      <w:kern w:val="0"/>
      <w:sz w:val="24"/>
      <w:szCs w:val="20"/>
    </w:rPr>
  </w:style>
  <w:style w:type="paragraph" w:customStyle="1" w:styleId="1127">
    <w:name w:val="样式 目录 1 + 右侧:  1 字符"/>
    <w:basedOn w:val="52"/>
    <w:semiHidden/>
    <w:qFormat/>
    <w:uiPriority w:val="0"/>
    <w:pPr>
      <w:tabs>
        <w:tab w:val="right" w:leader="dot" w:pos="8636"/>
      </w:tabs>
      <w:spacing w:afterLines="50" w:line="240" w:lineRule="auto"/>
      <w:ind w:right="210"/>
    </w:pPr>
    <w:rPr>
      <w:bCs w:val="0"/>
      <w:caps w:val="0"/>
    </w:rPr>
  </w:style>
  <w:style w:type="paragraph" w:customStyle="1" w:styleId="1128">
    <w:name w:val="样式 样式 目录 1 + 右侧:  1 字符 + 左侧:  1 字符"/>
    <w:basedOn w:val="1127"/>
    <w:semiHidden/>
    <w:qFormat/>
    <w:uiPriority w:val="0"/>
  </w:style>
  <w:style w:type="paragraph" w:customStyle="1" w:styleId="1129">
    <w:name w:val="CM42"/>
    <w:basedOn w:val="118"/>
    <w:next w:val="118"/>
    <w:semiHidden/>
    <w:qFormat/>
    <w:uiPriority w:val="0"/>
    <w:pPr>
      <w:spacing w:after="293"/>
    </w:pPr>
    <w:rPr>
      <w:rFonts w:ascii="隶书" w:hAnsi="Times New Roman" w:eastAsia="隶书" w:cs="隶书"/>
      <w:color w:val="auto"/>
    </w:rPr>
  </w:style>
  <w:style w:type="paragraph" w:customStyle="1" w:styleId="1130">
    <w:name w:val="CM47"/>
    <w:basedOn w:val="118"/>
    <w:next w:val="118"/>
    <w:semiHidden/>
    <w:qFormat/>
    <w:uiPriority w:val="0"/>
    <w:pPr>
      <w:spacing w:after="240"/>
    </w:pPr>
    <w:rPr>
      <w:rFonts w:ascii="隶书" w:hAnsi="Times New Roman" w:eastAsia="隶书" w:cs="隶书"/>
      <w:color w:val="auto"/>
    </w:rPr>
  </w:style>
  <w:style w:type="paragraph" w:customStyle="1" w:styleId="1131">
    <w:name w:val="CM1"/>
    <w:basedOn w:val="118"/>
    <w:next w:val="118"/>
    <w:semiHidden/>
    <w:qFormat/>
    <w:uiPriority w:val="0"/>
    <w:rPr>
      <w:rFonts w:ascii="oúì." w:hAnsi="Times New Roman" w:eastAsia="oúì." w:cs="oúì."/>
      <w:color w:val="auto"/>
    </w:rPr>
  </w:style>
  <w:style w:type="paragraph" w:customStyle="1" w:styleId="1132">
    <w:name w:val="CM55"/>
    <w:basedOn w:val="118"/>
    <w:next w:val="118"/>
    <w:semiHidden/>
    <w:qFormat/>
    <w:uiPriority w:val="0"/>
    <w:pPr>
      <w:spacing w:after="983"/>
    </w:pPr>
    <w:rPr>
      <w:rFonts w:ascii="oúì." w:hAnsi="Times New Roman" w:eastAsia="oúì." w:cs="oúì."/>
      <w:color w:val="auto"/>
    </w:rPr>
  </w:style>
  <w:style w:type="paragraph" w:customStyle="1" w:styleId="1133">
    <w:name w:val="Char Char Char Char Char Char Char Char Char Char Char Char Char Char"/>
    <w:basedOn w:val="1"/>
    <w:semiHidden/>
    <w:qFormat/>
    <w:uiPriority w:val="0"/>
    <w:pPr>
      <w:spacing w:afterLines="50" w:line="300" w:lineRule="auto"/>
      <w:ind w:left="210" w:leftChars="100" w:right="100" w:rightChars="100"/>
    </w:pPr>
    <w:rPr>
      <w:sz w:val="20"/>
      <w:szCs w:val="20"/>
      <w:lang w:eastAsia="en-US"/>
    </w:rPr>
  </w:style>
  <w:style w:type="paragraph" w:customStyle="1" w:styleId="1134">
    <w:name w:val="CM56"/>
    <w:basedOn w:val="118"/>
    <w:next w:val="118"/>
    <w:semiHidden/>
    <w:qFormat/>
    <w:uiPriority w:val="0"/>
    <w:pPr>
      <w:spacing w:after="758"/>
    </w:pPr>
    <w:rPr>
      <w:rFonts w:ascii="oúì." w:hAnsi="Times New Roman" w:eastAsia="oúì." w:cs="oúì."/>
      <w:color w:val="auto"/>
    </w:rPr>
  </w:style>
  <w:style w:type="paragraph" w:customStyle="1" w:styleId="1135">
    <w:name w:val="CM57"/>
    <w:basedOn w:val="118"/>
    <w:next w:val="118"/>
    <w:semiHidden/>
    <w:qFormat/>
    <w:uiPriority w:val="0"/>
    <w:pPr>
      <w:spacing w:after="125"/>
    </w:pPr>
    <w:rPr>
      <w:rFonts w:ascii="oúì." w:hAnsi="Times New Roman" w:eastAsia="oúì." w:cs="oúì."/>
      <w:color w:val="auto"/>
    </w:rPr>
  </w:style>
  <w:style w:type="paragraph" w:customStyle="1" w:styleId="1136">
    <w:name w:val="CM60"/>
    <w:basedOn w:val="118"/>
    <w:next w:val="118"/>
    <w:semiHidden/>
    <w:qFormat/>
    <w:uiPriority w:val="0"/>
    <w:pPr>
      <w:spacing w:after="518"/>
    </w:pPr>
    <w:rPr>
      <w:rFonts w:ascii="oúì." w:hAnsi="Times New Roman" w:eastAsia="oúì." w:cs="oúì."/>
      <w:color w:val="auto"/>
    </w:rPr>
  </w:style>
  <w:style w:type="character" w:customStyle="1" w:styleId="1137">
    <w:name w:val="da"/>
    <w:semiHidden/>
    <w:qFormat/>
    <w:uiPriority w:val="0"/>
  </w:style>
  <w:style w:type="paragraph" w:customStyle="1" w:styleId="1138">
    <w:name w:val="小四标准段落"/>
    <w:basedOn w:val="1"/>
    <w:semiHidden/>
    <w:qFormat/>
    <w:uiPriority w:val="0"/>
    <w:pPr>
      <w:spacing w:afterLines="50" w:line="440" w:lineRule="exact"/>
      <w:ind w:firstLine="482"/>
    </w:pPr>
    <w:rPr>
      <w:rFonts w:ascii="宋体"/>
      <w:szCs w:val="20"/>
    </w:rPr>
  </w:style>
  <w:style w:type="character" w:customStyle="1" w:styleId="1139">
    <w:name w:val="read"/>
    <w:semiHidden/>
    <w:qFormat/>
    <w:uiPriority w:val="0"/>
  </w:style>
  <w:style w:type="paragraph" w:customStyle="1" w:styleId="1140">
    <w:name w:val="Char Char Char Char Char Char Char Char Char Char Char1 Char Char Char"/>
    <w:basedOn w:val="1"/>
    <w:semiHidden/>
    <w:qFormat/>
    <w:uiPriority w:val="0"/>
    <w:pPr>
      <w:spacing w:afterLines="50" w:line="240" w:lineRule="exact"/>
      <w:ind w:firstLine="480"/>
    </w:pPr>
    <w:rPr>
      <w:rFonts w:cs="Arial"/>
      <w:sz w:val="22"/>
      <w:szCs w:val="20"/>
      <w:lang w:eastAsia="en-US"/>
    </w:rPr>
  </w:style>
  <w:style w:type="paragraph" w:customStyle="1" w:styleId="1141">
    <w:name w:val="3 Char"/>
    <w:basedOn w:val="1"/>
    <w:semiHidden/>
    <w:qFormat/>
    <w:uiPriority w:val="0"/>
    <w:pPr>
      <w:spacing w:afterLines="50"/>
      <w:ind w:firstLine="480"/>
    </w:pPr>
    <w:rPr>
      <w:rFonts w:ascii="Tahoma" w:hAnsi="Tahoma"/>
      <w:szCs w:val="20"/>
    </w:rPr>
  </w:style>
  <w:style w:type="paragraph" w:customStyle="1" w:styleId="1142">
    <w:name w:val="正文标题"/>
    <w:basedOn w:val="1"/>
    <w:semiHidden/>
    <w:qFormat/>
    <w:uiPriority w:val="0"/>
    <w:pPr>
      <w:adjustRightInd w:val="0"/>
      <w:spacing w:afterLines="50" w:line="300" w:lineRule="auto"/>
      <w:ind w:right="55" w:firstLine="480"/>
    </w:pPr>
    <w:rPr>
      <w:rFonts w:hint="eastAsia" w:ascii="黑体" w:eastAsia="黑体"/>
      <w:b/>
      <w:color w:val="FF0000"/>
      <w:sz w:val="28"/>
      <w:szCs w:val="20"/>
    </w:rPr>
  </w:style>
  <w:style w:type="paragraph" w:customStyle="1" w:styleId="1143">
    <w:name w:val="Char Char Char Char3"/>
    <w:basedOn w:val="1"/>
    <w:semiHidden/>
    <w:qFormat/>
    <w:uiPriority w:val="0"/>
    <w:pPr>
      <w:spacing w:afterLines="50"/>
      <w:ind w:firstLine="480"/>
    </w:pPr>
    <w:rPr>
      <w:rFonts w:ascii="Tahoma" w:hAnsi="Tahoma"/>
      <w:szCs w:val="20"/>
    </w:rPr>
  </w:style>
  <w:style w:type="paragraph" w:customStyle="1" w:styleId="1144">
    <w:name w:val="Char1 Char Char Char Char Char Char1"/>
    <w:basedOn w:val="1"/>
    <w:semiHidden/>
    <w:qFormat/>
    <w:uiPriority w:val="0"/>
    <w:pPr>
      <w:spacing w:afterLines="50"/>
      <w:ind w:firstLine="480"/>
    </w:pPr>
  </w:style>
  <w:style w:type="paragraph" w:customStyle="1" w:styleId="1145">
    <w:name w:val="Char Char1 Char Char Char Char Char Char Char Char Char Char Char Char Char Char Char Char Char Char Char Char Char Char Char Char Char Char Char Char Char Char Char Char Char Char Char Char Char Char"/>
    <w:basedOn w:val="1"/>
    <w:semiHidden/>
    <w:qFormat/>
    <w:uiPriority w:val="0"/>
    <w:pPr>
      <w:spacing w:afterLines="50" w:line="240" w:lineRule="exact"/>
      <w:ind w:firstLine="480"/>
    </w:pPr>
    <w:rPr>
      <w:rFonts w:ascii="Verdana" w:hAnsi="Verdana" w:eastAsia="Times New Roman" w:cs="Arial"/>
      <w:sz w:val="22"/>
      <w:szCs w:val="20"/>
      <w:lang w:eastAsia="en-US"/>
    </w:rPr>
  </w:style>
  <w:style w:type="paragraph" w:customStyle="1" w:styleId="1146">
    <w:name w:val="Char Char Char4 Char Char Char Char Char Char Char"/>
    <w:basedOn w:val="1"/>
    <w:semiHidden/>
    <w:qFormat/>
    <w:uiPriority w:val="0"/>
    <w:pPr>
      <w:spacing w:afterLines="50"/>
      <w:ind w:firstLine="480"/>
    </w:pPr>
    <w:rPr>
      <w:rFonts w:ascii="Tahoma" w:hAnsi="Tahoma"/>
      <w:szCs w:val="20"/>
    </w:rPr>
  </w:style>
  <w:style w:type="character" w:customStyle="1" w:styleId="1147">
    <w:name w:val="style171"/>
    <w:semiHidden/>
    <w:qFormat/>
    <w:uiPriority w:val="0"/>
    <w:rPr>
      <w:color w:val="000000"/>
      <w:sz w:val="21"/>
      <w:szCs w:val="21"/>
    </w:rPr>
  </w:style>
  <w:style w:type="paragraph" w:customStyle="1" w:styleId="1148">
    <w:name w:val="7 表格"/>
    <w:basedOn w:val="1"/>
    <w:semiHidden/>
    <w:qFormat/>
    <w:uiPriority w:val="0"/>
    <w:pPr>
      <w:adjustRightInd w:val="0"/>
      <w:snapToGrid w:val="0"/>
      <w:spacing w:beforeLines="25" w:afterLines="25"/>
      <w:ind w:firstLine="480"/>
    </w:pPr>
    <w:rPr>
      <w:szCs w:val="21"/>
    </w:rPr>
  </w:style>
  <w:style w:type="paragraph" w:customStyle="1" w:styleId="1149">
    <w:name w:val="Char Char Char Char4"/>
    <w:basedOn w:val="1"/>
    <w:semiHidden/>
    <w:qFormat/>
    <w:uiPriority w:val="0"/>
    <w:pPr>
      <w:tabs>
        <w:tab w:val="left" w:pos="360"/>
      </w:tabs>
      <w:spacing w:afterLines="50" w:line="300" w:lineRule="auto"/>
    </w:pPr>
  </w:style>
  <w:style w:type="paragraph" w:customStyle="1" w:styleId="1150">
    <w:name w:val="Char51"/>
    <w:basedOn w:val="1"/>
    <w:semiHidden/>
    <w:qFormat/>
    <w:uiPriority w:val="0"/>
    <w:pPr>
      <w:spacing w:afterLines="50" w:line="300" w:lineRule="auto"/>
    </w:pPr>
    <w:rPr>
      <w:rFonts w:ascii="Tahoma" w:hAnsi="Tahoma"/>
      <w:szCs w:val="20"/>
    </w:rPr>
  </w:style>
  <w:style w:type="table" w:customStyle="1" w:styleId="1151">
    <w:name w:val="网格型56"/>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52">
    <w:name w:val="【】"/>
    <w:basedOn w:val="1"/>
    <w:link w:val="1154"/>
    <w:semiHidden/>
    <w:qFormat/>
    <w:uiPriority w:val="0"/>
    <w:pPr>
      <w:spacing w:afterLines="50"/>
      <w:ind w:firstLine="480"/>
    </w:pPr>
    <w:rPr>
      <w:rFonts w:hAnsi="宋体" w:cs="Times New Roman"/>
      <w:b/>
      <w:lang w:val="zh-CN"/>
    </w:rPr>
  </w:style>
  <w:style w:type="paragraph" w:customStyle="1" w:styleId="1153">
    <w:name w:val="正正文"/>
    <w:basedOn w:val="1"/>
    <w:link w:val="1155"/>
    <w:semiHidden/>
    <w:qFormat/>
    <w:uiPriority w:val="0"/>
    <w:pPr>
      <w:spacing w:afterLines="50"/>
      <w:ind w:firstLine="480"/>
    </w:pPr>
    <w:rPr>
      <w:rFonts w:cs="Times New Roman"/>
      <w:lang w:val="zh-CN"/>
    </w:rPr>
  </w:style>
  <w:style w:type="character" w:customStyle="1" w:styleId="1154">
    <w:name w:val="【】 Char"/>
    <w:link w:val="1152"/>
    <w:semiHidden/>
    <w:qFormat/>
    <w:uiPriority w:val="0"/>
    <w:rPr>
      <w:rFonts w:ascii="Times New Roman" w:hAnsi="宋体"/>
      <w:b/>
      <w:sz w:val="24"/>
      <w:szCs w:val="24"/>
      <w:lang w:val="zh-CN" w:eastAsia="zh-CN"/>
    </w:rPr>
  </w:style>
  <w:style w:type="character" w:customStyle="1" w:styleId="1155">
    <w:name w:val="正正文 Char"/>
    <w:link w:val="1153"/>
    <w:semiHidden/>
    <w:qFormat/>
    <w:uiPriority w:val="0"/>
    <w:rPr>
      <w:rFonts w:ascii="Times New Roman" w:hAnsi="Times New Roman"/>
      <w:sz w:val="24"/>
      <w:szCs w:val="24"/>
      <w:lang w:val="zh-CN" w:eastAsia="zh-CN"/>
    </w:rPr>
  </w:style>
  <w:style w:type="table" w:customStyle="1" w:styleId="1156">
    <w:name w:val="网格型6"/>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57">
    <w:name w:val="王鑫15"/>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58">
    <w:name w:val="表格cm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59">
    <w:name w:val="表格cm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0">
    <w:name w:val="表格cm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1">
    <w:name w:val="表格cm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2">
    <w:name w:val="表格cm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3">
    <w:name w:val="表格cm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4">
    <w:name w:val="表格cm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5">
    <w:name w:val="表格cm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6">
    <w:name w:val="表格cm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7">
    <w:name w:val="表格cm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8">
    <w:name w:val="表格cm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69">
    <w:name w:val="表格cm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0">
    <w:name w:val="表格cm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1">
    <w:name w:val="表格cm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2">
    <w:name w:val="表格cm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3">
    <w:name w:val="表格cm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4">
    <w:name w:val="表格cm4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5">
    <w:name w:val="表格cm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6">
    <w:name w:val="表格cm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7">
    <w:name w:val="表格cm3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8">
    <w:name w:val="表格cm5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79">
    <w:name w:val="表格cm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80">
    <w:name w:val="表格cm2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81">
    <w:name w:val="表格cm3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paragraph" w:customStyle="1" w:styleId="1182">
    <w:name w:val="一、、、、"/>
    <w:basedOn w:val="1"/>
    <w:link w:val="1184"/>
    <w:semiHidden/>
    <w:qFormat/>
    <w:uiPriority w:val="0"/>
    <w:pPr>
      <w:spacing w:afterLines="50"/>
      <w:ind w:firstLine="480"/>
      <w:outlineLvl w:val="0"/>
    </w:pPr>
    <w:rPr>
      <w:rFonts w:cs="Times New Roman"/>
      <w:b/>
      <w:lang w:val="zh-CN"/>
    </w:rPr>
  </w:style>
  <w:style w:type="paragraph" w:customStyle="1" w:styleId="1183">
    <w:name w:val="回复"/>
    <w:basedOn w:val="1153"/>
    <w:link w:val="1186"/>
    <w:semiHidden/>
    <w:qFormat/>
    <w:uiPriority w:val="0"/>
    <w:pPr>
      <w:ind w:firstLine="0" w:firstLineChars="0"/>
    </w:pPr>
    <w:rPr>
      <w:b/>
    </w:rPr>
  </w:style>
  <w:style w:type="character" w:customStyle="1" w:styleId="1184">
    <w:name w:val="一、、、、 Char"/>
    <w:link w:val="1182"/>
    <w:semiHidden/>
    <w:qFormat/>
    <w:uiPriority w:val="0"/>
    <w:rPr>
      <w:rFonts w:ascii="Times New Roman" w:hAnsi="Times New Roman"/>
      <w:b/>
      <w:sz w:val="24"/>
      <w:szCs w:val="24"/>
      <w:lang w:val="zh-CN" w:eastAsia="zh-CN"/>
    </w:rPr>
  </w:style>
  <w:style w:type="paragraph" w:customStyle="1" w:styleId="1185">
    <w:name w:val="（（一））"/>
    <w:basedOn w:val="1"/>
    <w:link w:val="1188"/>
    <w:semiHidden/>
    <w:qFormat/>
    <w:uiPriority w:val="0"/>
    <w:pPr>
      <w:spacing w:afterLines="50"/>
      <w:ind w:firstLine="482"/>
    </w:pPr>
    <w:rPr>
      <w:rFonts w:cs="Times New Roman"/>
      <w:b/>
      <w:szCs w:val="22"/>
      <w:lang w:val="zh-CN"/>
    </w:rPr>
  </w:style>
  <w:style w:type="character" w:customStyle="1" w:styleId="1186">
    <w:name w:val="回复 Char"/>
    <w:link w:val="1183"/>
    <w:semiHidden/>
    <w:qFormat/>
    <w:uiPriority w:val="0"/>
    <w:rPr>
      <w:rFonts w:ascii="Times New Roman" w:hAnsi="Times New Roman"/>
      <w:b/>
      <w:sz w:val="24"/>
      <w:szCs w:val="24"/>
      <w:lang w:val="zh-CN" w:eastAsia="zh-CN"/>
    </w:rPr>
  </w:style>
  <w:style w:type="paragraph" w:customStyle="1" w:styleId="1187">
    <w:name w:val="1、、、、、"/>
    <w:basedOn w:val="1"/>
    <w:link w:val="1189"/>
    <w:semiHidden/>
    <w:qFormat/>
    <w:uiPriority w:val="0"/>
    <w:pPr>
      <w:spacing w:afterLines="50"/>
      <w:ind w:firstLine="482"/>
    </w:pPr>
    <w:rPr>
      <w:rFonts w:cs="Times New Roman"/>
      <w:b/>
      <w:szCs w:val="22"/>
      <w:lang w:val="zh-CN"/>
    </w:rPr>
  </w:style>
  <w:style w:type="character" w:customStyle="1" w:styleId="1188">
    <w:name w:val="（（一）） Char"/>
    <w:link w:val="1185"/>
    <w:semiHidden/>
    <w:qFormat/>
    <w:uiPriority w:val="0"/>
    <w:rPr>
      <w:rFonts w:ascii="Times New Roman" w:hAnsi="Times New Roman"/>
      <w:b/>
      <w:sz w:val="24"/>
      <w:szCs w:val="22"/>
      <w:lang w:val="zh-CN" w:eastAsia="zh-CN"/>
    </w:rPr>
  </w:style>
  <w:style w:type="character" w:customStyle="1" w:styleId="1189">
    <w:name w:val="1、、、、、 Char"/>
    <w:link w:val="1187"/>
    <w:semiHidden/>
    <w:qFormat/>
    <w:uiPriority w:val="0"/>
    <w:rPr>
      <w:rFonts w:ascii="Times New Roman" w:hAnsi="Times New Roman"/>
      <w:b/>
      <w:sz w:val="24"/>
      <w:szCs w:val="22"/>
      <w:lang w:val="zh-CN" w:eastAsia="zh-CN"/>
    </w:rPr>
  </w:style>
  <w:style w:type="paragraph" w:customStyle="1" w:styleId="1190">
    <w:name w:val="正文问"/>
    <w:basedOn w:val="1"/>
    <w:link w:val="1191"/>
    <w:semiHidden/>
    <w:qFormat/>
    <w:uiPriority w:val="0"/>
    <w:pPr>
      <w:spacing w:afterLines="50"/>
      <w:ind w:firstLine="540" w:firstLineChars="225"/>
    </w:pPr>
    <w:rPr>
      <w:rFonts w:cs="Times New Roman"/>
      <w:lang w:val="zh-CN"/>
    </w:rPr>
  </w:style>
  <w:style w:type="character" w:customStyle="1" w:styleId="1191">
    <w:name w:val="正文问 Char"/>
    <w:link w:val="1190"/>
    <w:semiHidden/>
    <w:qFormat/>
    <w:uiPriority w:val="0"/>
    <w:rPr>
      <w:rFonts w:ascii="Times New Roman" w:hAnsi="Times New Roman"/>
      <w:sz w:val="24"/>
      <w:szCs w:val="24"/>
      <w:lang w:val="zh-CN" w:eastAsia="zh-CN"/>
    </w:rPr>
  </w:style>
  <w:style w:type="character" w:customStyle="1" w:styleId="1192">
    <w:name w:val="永安1 Char"/>
    <w:link w:val="1193"/>
    <w:semiHidden/>
    <w:qFormat/>
    <w:uiPriority w:val="0"/>
    <w:rPr>
      <w:rFonts w:ascii="Times New Roman" w:hAnsi="Times New Roman" w:eastAsia="黑体"/>
      <w:bCs/>
      <w:kern w:val="44"/>
      <w:sz w:val="36"/>
      <w:szCs w:val="36"/>
      <w:lang w:val="zh-CN" w:eastAsia="zh-CN"/>
    </w:rPr>
  </w:style>
  <w:style w:type="paragraph" w:customStyle="1" w:styleId="1193">
    <w:name w:val="永安1"/>
    <w:basedOn w:val="2"/>
    <w:link w:val="1192"/>
    <w:semiHidden/>
    <w:qFormat/>
    <w:uiPriority w:val="0"/>
    <w:pPr>
      <w:keepNext/>
      <w:keepLines/>
      <w:spacing w:before="340" w:after="330"/>
    </w:pPr>
    <w:rPr>
      <w:rFonts w:ascii="Times New Roman" w:hAnsi="Times New Roman"/>
      <w:b w:val="0"/>
      <w:bCs/>
      <w:kern w:val="44"/>
      <w:szCs w:val="36"/>
    </w:rPr>
  </w:style>
  <w:style w:type="table" w:customStyle="1" w:styleId="1194">
    <w:name w:val="王鑫8"/>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95">
    <w:name w:val="表格cm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196">
    <w:name w:val="简明型 16"/>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197">
    <w:name w:val="网格型1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98">
    <w:name w:val="网格型2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99">
    <w:name w:val="网格型3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0">
    <w:name w:val="网格型4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1">
    <w:name w:val="网格型5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2">
    <w:name w:val="Table Grid16"/>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03">
    <w:name w:val="中等深浅网格 3 - 强调文字颜色 16"/>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204">
    <w:name w:val="古典型 16"/>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205">
    <w:name w:val="grp5"/>
    <w:basedOn w:val="77"/>
    <w:qFormat/>
    <w:uiPriority w:val="0"/>
    <w:pPr>
      <w:widowControl w:val="0"/>
      <w:jc w:val="center"/>
    </w:pPr>
    <w:tblPr>
      <w:tblBorders>
        <w:top w:val="thinThickSmallGap" w:color="003366" w:sz="12" w:space="0"/>
      </w:tblBorders>
    </w:tblPr>
    <w:tcPr>
      <w:vAlign w:val="center"/>
    </w:tcPr>
  </w:style>
  <w:style w:type="table" w:customStyle="1" w:styleId="1206">
    <w:name w:val="表格主题5"/>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207">
    <w:name w:val="BY表格样式5"/>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208">
    <w:name w:val="网格型 15"/>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209">
    <w:name w:val="典雅型5"/>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210">
    <w:name w:val="tangfu6"/>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211">
    <w:name w:val="vc25"/>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212">
    <w:name w:val="ZX5"/>
    <w:basedOn w:val="77"/>
    <w:qFormat/>
    <w:uiPriority w:val="0"/>
    <w:pPr>
      <w:widowControl w:val="0"/>
      <w:jc w:val="both"/>
    </w:pPr>
    <w:tblPr>
      <w:tblBorders>
        <w:top w:val="thinThickSmallGap" w:color="003366" w:sz="24" w:space="0"/>
        <w:bottom w:val="single" w:color="003366" w:sz="4" w:space="0"/>
        <w:insideH w:val="single" w:color="003366" w:sz="4" w:space="0"/>
        <w:insideV w:val="single" w:color="003366" w:sz="4" w:space="0"/>
      </w:tblBorders>
    </w:tblPr>
  </w:style>
  <w:style w:type="table" w:customStyle="1" w:styleId="1213">
    <w:name w:val="王鑫16"/>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14">
    <w:name w:val="王鑫23"/>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15">
    <w:name w:val="表格cm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216">
    <w:name w:val="简明型 113"/>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217">
    <w:name w:val="网格型11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18">
    <w:name w:val="网格型21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19">
    <w:name w:val="网格型31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20">
    <w:name w:val="网格型41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21">
    <w:name w:val="网格型51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22">
    <w:name w:val="Table Grid113"/>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23">
    <w:name w:val="中等深浅网格 3 - 强调文字颜色 113"/>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224">
    <w:name w:val="古典型 113"/>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225">
    <w:name w:val="grp13"/>
    <w:basedOn w:val="77"/>
    <w:qFormat/>
    <w:uiPriority w:val="0"/>
    <w:pPr>
      <w:widowControl w:val="0"/>
      <w:jc w:val="center"/>
    </w:pPr>
    <w:tblPr>
      <w:tblBorders>
        <w:top w:val="thinThickSmallGap" w:color="003366" w:sz="12" w:space="0"/>
      </w:tblBorders>
    </w:tblPr>
    <w:tcPr>
      <w:vAlign w:val="center"/>
    </w:tcPr>
  </w:style>
  <w:style w:type="table" w:customStyle="1" w:styleId="1226">
    <w:name w:val="表格主题13"/>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227">
    <w:name w:val="BY表格样式13"/>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228">
    <w:name w:val="网格型 113"/>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229">
    <w:name w:val="典雅型13"/>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230">
    <w:name w:val="tangfu13"/>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231">
    <w:name w:val="vc213"/>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232">
    <w:name w:val="王鑫113"/>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33">
    <w:name w:val="王鑫33"/>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34">
    <w:name w:val="表格cm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235">
    <w:name w:val="简明型 123"/>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236">
    <w:name w:val="网格型12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37">
    <w:name w:val="网格型22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38">
    <w:name w:val="网格型32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39">
    <w:name w:val="网格型42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40">
    <w:name w:val="网格型52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41">
    <w:name w:val="Table Grid123"/>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42">
    <w:name w:val="中等深浅网格 3 - 强调文字颜色 123"/>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243">
    <w:name w:val="古典型 123"/>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244">
    <w:name w:val="grp23"/>
    <w:basedOn w:val="77"/>
    <w:qFormat/>
    <w:uiPriority w:val="0"/>
    <w:pPr>
      <w:widowControl w:val="0"/>
      <w:jc w:val="center"/>
    </w:pPr>
    <w:tblPr>
      <w:tblBorders>
        <w:top w:val="thinThickSmallGap" w:color="003366" w:sz="12" w:space="0"/>
      </w:tblBorders>
    </w:tblPr>
    <w:tcPr>
      <w:vAlign w:val="center"/>
    </w:tcPr>
  </w:style>
  <w:style w:type="table" w:customStyle="1" w:styleId="1245">
    <w:name w:val="表格主题23"/>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246">
    <w:name w:val="BY表格样式23"/>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247">
    <w:name w:val="网格型 123"/>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248">
    <w:name w:val="典雅型23"/>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249">
    <w:name w:val="tangfu23"/>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250">
    <w:name w:val="vc223"/>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251">
    <w:name w:val="王鑫123"/>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2">
    <w:name w:val="王鑫43"/>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3">
    <w:name w:val="表格cm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254">
    <w:name w:val="简明型 133"/>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255">
    <w:name w:val="网格型13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6">
    <w:name w:val="网格型23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7">
    <w:name w:val="网格型33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8">
    <w:name w:val="网格型43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59">
    <w:name w:val="网格型533"/>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60">
    <w:name w:val="Table Grid133"/>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61">
    <w:name w:val="中等深浅网格 3 - 强调文字颜色 133"/>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262">
    <w:name w:val="古典型 133"/>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263">
    <w:name w:val="tangfu33"/>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paragraph" w:customStyle="1" w:styleId="1264">
    <w:name w:val="永安2"/>
    <w:basedOn w:val="4"/>
    <w:link w:val="1266"/>
    <w:semiHidden/>
    <w:qFormat/>
    <w:uiPriority w:val="0"/>
    <w:pPr>
      <w:spacing w:line="360" w:lineRule="auto"/>
      <w:ind w:firstLine="562"/>
      <w:outlineLvl w:val="1"/>
    </w:pPr>
    <w:rPr>
      <w:rFonts w:ascii="Times New Roman" w:hAnsi="Times New Roman"/>
      <w:sz w:val="28"/>
      <w:szCs w:val="28"/>
    </w:rPr>
  </w:style>
  <w:style w:type="paragraph" w:customStyle="1" w:styleId="1265">
    <w:name w:val="永安3"/>
    <w:basedOn w:val="1"/>
    <w:link w:val="1267"/>
    <w:semiHidden/>
    <w:qFormat/>
    <w:uiPriority w:val="0"/>
    <w:pPr>
      <w:spacing w:afterLines="50"/>
      <w:ind w:firstLine="482"/>
      <w:outlineLvl w:val="2"/>
    </w:pPr>
    <w:rPr>
      <w:rFonts w:cs="Times New Roman"/>
      <w:b/>
      <w:szCs w:val="22"/>
      <w:lang w:val="zh-CN"/>
    </w:rPr>
  </w:style>
  <w:style w:type="character" w:customStyle="1" w:styleId="1266">
    <w:name w:val="永安2 Char"/>
    <w:link w:val="1264"/>
    <w:semiHidden/>
    <w:qFormat/>
    <w:uiPriority w:val="0"/>
    <w:rPr>
      <w:rFonts w:ascii="Times New Roman" w:hAnsi="Times New Roman"/>
      <w:b/>
      <w:bCs/>
      <w:sz w:val="28"/>
      <w:szCs w:val="28"/>
      <w:lang w:val="zh-CN" w:eastAsia="zh-CN"/>
    </w:rPr>
  </w:style>
  <w:style w:type="character" w:customStyle="1" w:styleId="1267">
    <w:name w:val="永安3 Char"/>
    <w:link w:val="1265"/>
    <w:semiHidden/>
    <w:qFormat/>
    <w:uiPriority w:val="0"/>
    <w:rPr>
      <w:rFonts w:ascii="Times New Roman" w:hAnsi="Times New Roman"/>
      <w:b/>
      <w:sz w:val="24"/>
      <w:szCs w:val="22"/>
      <w:lang w:val="zh-CN" w:eastAsia="zh-CN"/>
    </w:rPr>
  </w:style>
  <w:style w:type="paragraph" w:customStyle="1" w:styleId="1268">
    <w:name w:val="第【】节"/>
    <w:basedOn w:val="1264"/>
    <w:link w:val="1269"/>
    <w:semiHidden/>
    <w:qFormat/>
    <w:uiPriority w:val="0"/>
    <w:pPr>
      <w:spacing w:beforeLines="100"/>
      <w:ind w:firstLine="0" w:firstLineChars="0"/>
      <w:jc w:val="center"/>
      <w:outlineLvl w:val="0"/>
    </w:pPr>
    <w:rPr>
      <w:rFonts w:ascii="黑体" w:hAnsi="黑体" w:eastAsia="黑体"/>
      <w:sz w:val="36"/>
      <w:szCs w:val="36"/>
    </w:rPr>
  </w:style>
  <w:style w:type="character" w:customStyle="1" w:styleId="1269">
    <w:name w:val="第【】节 Char"/>
    <w:link w:val="1268"/>
    <w:semiHidden/>
    <w:qFormat/>
    <w:uiPriority w:val="0"/>
    <w:rPr>
      <w:rFonts w:ascii="黑体" w:hAnsi="黑体" w:eastAsia="黑体"/>
      <w:b/>
      <w:bCs/>
      <w:sz w:val="36"/>
      <w:szCs w:val="36"/>
      <w:lang w:val="zh-CN" w:eastAsia="zh-CN"/>
    </w:rPr>
  </w:style>
  <w:style w:type="table" w:customStyle="1" w:styleId="1270">
    <w:name w:val="王鑫5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1">
    <w:name w:val="表格cm4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272">
    <w:name w:val="简明型 14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273">
    <w:name w:val="网格型14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4">
    <w:name w:val="网格型24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5">
    <w:name w:val="网格型34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6">
    <w:name w:val="网格型44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7">
    <w:name w:val="网格型54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8">
    <w:name w:val="Table Grid14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79">
    <w:name w:val="中等深浅网格 3 - 强调文字颜色 14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280">
    <w:name w:val="古典型 14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281">
    <w:name w:val="grp31"/>
    <w:basedOn w:val="77"/>
    <w:qFormat/>
    <w:uiPriority w:val="0"/>
    <w:pPr>
      <w:widowControl w:val="0"/>
      <w:jc w:val="center"/>
    </w:pPr>
    <w:tblPr>
      <w:tblBorders>
        <w:top w:val="thinThickSmallGap" w:color="003366" w:sz="12" w:space="0"/>
      </w:tblBorders>
    </w:tblPr>
    <w:tcPr>
      <w:vAlign w:val="center"/>
    </w:tcPr>
  </w:style>
  <w:style w:type="table" w:customStyle="1" w:styleId="1282">
    <w:name w:val="表格主题3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283">
    <w:name w:val="BY表格样式3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284">
    <w:name w:val="网格型 13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285">
    <w:name w:val="典雅型3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286">
    <w:name w:val="tangfu4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287">
    <w:name w:val="vc23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288">
    <w:name w:val="王鑫13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89">
    <w:name w:val="王鑫2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0">
    <w:name w:val="表格cm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291">
    <w:name w:val="简明型 11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292">
    <w:name w:val="网格型1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3">
    <w:name w:val="网格型2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4">
    <w:name w:val="网格型3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5">
    <w:name w:val="网格型4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6">
    <w:name w:val="网格型5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7">
    <w:name w:val="Table Grid11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8">
    <w:name w:val="中等深浅网格 3 - 强调文字颜色 11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299">
    <w:name w:val="古典型 11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00">
    <w:name w:val="grp111"/>
    <w:basedOn w:val="77"/>
    <w:qFormat/>
    <w:uiPriority w:val="0"/>
    <w:pPr>
      <w:widowControl w:val="0"/>
      <w:jc w:val="center"/>
    </w:pPr>
    <w:tblPr>
      <w:tblBorders>
        <w:top w:val="thinThickSmallGap" w:color="003366" w:sz="12" w:space="0"/>
      </w:tblBorders>
    </w:tblPr>
    <w:tcPr>
      <w:vAlign w:val="center"/>
    </w:tcPr>
  </w:style>
  <w:style w:type="table" w:customStyle="1" w:styleId="1301">
    <w:name w:val="表格主题1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302">
    <w:name w:val="BY表格样式1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303">
    <w:name w:val="网格型 11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304">
    <w:name w:val="典雅型1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305">
    <w:name w:val="tangfu1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306">
    <w:name w:val="vc21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307">
    <w:name w:val="王鑫11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08">
    <w:name w:val="王鑫3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09">
    <w:name w:val="表格cm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310">
    <w:name w:val="简明型 12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311">
    <w:name w:val="网格型1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12">
    <w:name w:val="网格型2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13">
    <w:name w:val="网格型3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14">
    <w:name w:val="网格型4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15">
    <w:name w:val="网格型5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16">
    <w:name w:val="Table Grid12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17">
    <w:name w:val="中等深浅网格 3 - 强调文字颜色 12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318">
    <w:name w:val="古典型 12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19">
    <w:name w:val="grp211"/>
    <w:basedOn w:val="77"/>
    <w:qFormat/>
    <w:uiPriority w:val="0"/>
    <w:pPr>
      <w:widowControl w:val="0"/>
      <w:jc w:val="center"/>
    </w:pPr>
    <w:tblPr>
      <w:tblBorders>
        <w:top w:val="thinThickSmallGap" w:color="003366" w:sz="12" w:space="0"/>
      </w:tblBorders>
    </w:tblPr>
    <w:tcPr>
      <w:vAlign w:val="center"/>
    </w:tcPr>
  </w:style>
  <w:style w:type="table" w:customStyle="1" w:styleId="1320">
    <w:name w:val="表格主题2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321">
    <w:name w:val="BY表格样式2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322">
    <w:name w:val="网格型 12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323">
    <w:name w:val="典雅型2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324">
    <w:name w:val="tangfu2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325">
    <w:name w:val="vc22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326">
    <w:name w:val="王鑫12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27">
    <w:name w:val="王鑫4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28">
    <w:name w:val="表格cm3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329">
    <w:name w:val="简明型 13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330">
    <w:name w:val="网格型13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31">
    <w:name w:val="网格型23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32">
    <w:name w:val="网格型33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33">
    <w:name w:val="网格型43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34">
    <w:name w:val="网格型53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35">
    <w:name w:val="Table Grid13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36">
    <w:name w:val="中等深浅网格 3 - 强调文字颜色 13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337">
    <w:name w:val="古典型 13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38">
    <w:name w:val="tangfu3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339">
    <w:name w:val="王鑫6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40">
    <w:name w:val="表格cm5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341">
    <w:name w:val="简明型 15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342">
    <w:name w:val="网格型15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43">
    <w:name w:val="网格型25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44">
    <w:name w:val="网格型35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45">
    <w:name w:val="网格型45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46">
    <w:name w:val="网格型55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47">
    <w:name w:val="Table Grid15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48">
    <w:name w:val="中等深浅网格 3 - 强调文字颜色 15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349">
    <w:name w:val="古典型 15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50">
    <w:name w:val="grp41"/>
    <w:basedOn w:val="77"/>
    <w:qFormat/>
    <w:uiPriority w:val="0"/>
    <w:pPr>
      <w:widowControl w:val="0"/>
      <w:jc w:val="center"/>
    </w:pPr>
    <w:tblPr>
      <w:tblBorders>
        <w:top w:val="thinThickSmallGap" w:color="003366" w:sz="12" w:space="0"/>
      </w:tblBorders>
    </w:tblPr>
    <w:tcPr>
      <w:vAlign w:val="center"/>
    </w:tcPr>
  </w:style>
  <w:style w:type="table" w:customStyle="1" w:styleId="1351">
    <w:name w:val="表格主题4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352">
    <w:name w:val="BY表格样式4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353">
    <w:name w:val="网格型 14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354">
    <w:name w:val="典雅型4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355">
    <w:name w:val="tangfu5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356">
    <w:name w:val="vc24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357">
    <w:name w:val="王鑫14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58">
    <w:name w:val="王鑫22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59">
    <w:name w:val="表格cm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360">
    <w:name w:val="简明型 112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361">
    <w:name w:val="网格型11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62">
    <w:name w:val="网格型21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63">
    <w:name w:val="网格型31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64">
    <w:name w:val="网格型41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65">
    <w:name w:val="网格型51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66">
    <w:name w:val="Table Grid112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67">
    <w:name w:val="中等深浅网格 3 - 强调文字颜色 112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368">
    <w:name w:val="古典型 112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69">
    <w:name w:val="grp121"/>
    <w:basedOn w:val="77"/>
    <w:qFormat/>
    <w:uiPriority w:val="0"/>
    <w:pPr>
      <w:widowControl w:val="0"/>
      <w:jc w:val="center"/>
    </w:pPr>
    <w:tblPr>
      <w:tblBorders>
        <w:top w:val="thinThickSmallGap" w:color="003366" w:sz="12" w:space="0"/>
      </w:tblBorders>
    </w:tblPr>
    <w:tcPr>
      <w:vAlign w:val="center"/>
    </w:tcPr>
  </w:style>
  <w:style w:type="table" w:customStyle="1" w:styleId="1370">
    <w:name w:val="表格主题12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371">
    <w:name w:val="BY表格样式12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372">
    <w:name w:val="网格型 112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373">
    <w:name w:val="典雅型12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374">
    <w:name w:val="tangfu12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375">
    <w:name w:val="vc212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376">
    <w:name w:val="王鑫112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77">
    <w:name w:val="王鑫32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78">
    <w:name w:val="表格cm2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379">
    <w:name w:val="简明型 122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380">
    <w:name w:val="网格型12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1">
    <w:name w:val="网格型22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2">
    <w:name w:val="网格型32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3">
    <w:name w:val="网格型42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4">
    <w:name w:val="网格型52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5">
    <w:name w:val="Table Grid122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6">
    <w:name w:val="中等深浅网格 3 - 强调文字颜色 122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387">
    <w:name w:val="古典型 122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88">
    <w:name w:val="grp221"/>
    <w:basedOn w:val="77"/>
    <w:qFormat/>
    <w:uiPriority w:val="0"/>
    <w:pPr>
      <w:widowControl w:val="0"/>
      <w:jc w:val="center"/>
    </w:pPr>
    <w:tblPr>
      <w:tblBorders>
        <w:top w:val="thinThickSmallGap" w:color="003366" w:sz="12" w:space="0"/>
      </w:tblBorders>
    </w:tblPr>
    <w:tcPr>
      <w:vAlign w:val="center"/>
    </w:tcPr>
  </w:style>
  <w:style w:type="table" w:customStyle="1" w:styleId="1389">
    <w:name w:val="表格主题22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1390">
    <w:name w:val="BY表格样式22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1391">
    <w:name w:val="网格型 122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1392">
    <w:name w:val="典雅型22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1393">
    <w:name w:val="tangfu22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394">
    <w:name w:val="vc222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1395">
    <w:name w:val="王鑫122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96">
    <w:name w:val="王鑫42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97">
    <w:name w:val="表格cm3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398">
    <w:name w:val="简明型 132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399">
    <w:name w:val="网格型13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0">
    <w:name w:val="网格型23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1">
    <w:name w:val="网格型33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2">
    <w:name w:val="网格型43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3">
    <w:name w:val="网格型532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4">
    <w:name w:val="Table Grid132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5">
    <w:name w:val="中等深浅网格 3 - 强调文字颜色 132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406">
    <w:name w:val="古典型 132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407">
    <w:name w:val="tangfu32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1408">
    <w:name w:val="表格cm6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09">
    <w:name w:val="表格cm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0">
    <w:name w:val="表格cm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1">
    <w:name w:val="表格cm3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2">
    <w:name w:val="表格cm4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3">
    <w:name w:val="表格cm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4">
    <w:name w:val="表格cm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5">
    <w:name w:val="表格cm3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6">
    <w:name w:val="表格cm5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7">
    <w:name w:val="表格cm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8">
    <w:name w:val="表格cm2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19">
    <w:name w:val="表格cm3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20">
    <w:name w:val="王鑫7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1">
    <w:name w:val="网格型16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2">
    <w:name w:val="网格型26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3">
    <w:name w:val="网格型36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4">
    <w:name w:val="网格型461"/>
    <w:basedOn w:val="76"/>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5">
    <w:name w:val="网格型56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6">
    <w:name w:val="网格型6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7">
    <w:name w:val="王鑫15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28">
    <w:name w:val="表格cm7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29">
    <w:name w:val="表格cm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0">
    <w:name w:val="表格cm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1">
    <w:name w:val="表格cm3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2">
    <w:name w:val="表格cm4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3">
    <w:name w:val="表格cm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4">
    <w:name w:val="表格cm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5">
    <w:name w:val="表格cm3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6">
    <w:name w:val="表格cm5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7">
    <w:name w:val="表格cm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8">
    <w:name w:val="表格cm2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39">
    <w:name w:val="表格cm3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0">
    <w:name w:val="表格cm6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1">
    <w:name w:val="表格cm1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2">
    <w:name w:val="表格cm2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3">
    <w:name w:val="表格cm3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4">
    <w:name w:val="表格cm4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5">
    <w:name w:val="表格cm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6">
    <w:name w:val="表格cm2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7">
    <w:name w:val="表格cm3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8">
    <w:name w:val="表格cm5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49">
    <w:name w:val="表格cm1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50">
    <w:name w:val="表格cm2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51">
    <w:name w:val="表格cm3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452">
    <w:name w:val="网格型7"/>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453">
    <w:name w:val="网格型8"/>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454">
    <w:name w:val="网格型9"/>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55">
    <w:name w:val="1正文 Char2"/>
    <w:link w:val="691"/>
    <w:semiHidden/>
    <w:qFormat/>
    <w:uiPriority w:val="0"/>
    <w:rPr>
      <w:rFonts w:ascii="Times New Roman" w:hAnsi="Times New Roman"/>
      <w:sz w:val="24"/>
      <w:lang w:val="zh-CN" w:eastAsia="zh-CN"/>
    </w:rPr>
  </w:style>
  <w:style w:type="paragraph" w:customStyle="1" w:styleId="1456">
    <w:name w:val="金顶正文标注"/>
    <w:basedOn w:val="1"/>
    <w:semiHidden/>
    <w:qFormat/>
    <w:uiPriority w:val="0"/>
    <w:pPr>
      <w:overflowPunct w:val="0"/>
    </w:pPr>
    <w:rPr>
      <w:rFonts w:eastAsia="Times New Roman"/>
      <w:bCs/>
    </w:rPr>
  </w:style>
  <w:style w:type="table" w:customStyle="1" w:styleId="1457">
    <w:name w:val="网格型10"/>
    <w:basedOn w:val="76"/>
    <w:qFormat/>
    <w:uiPriority w:val="59"/>
    <w:rPr>
      <w:kern w:val="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58">
    <w:name w:val="网格型18"/>
    <w:basedOn w:val="76"/>
    <w:qFormat/>
    <w:uiPriority w:val="59"/>
    <w:rPr>
      <w:kern w:val="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59">
    <w:name w:val="正文特殊"/>
    <w:basedOn w:val="1"/>
    <w:link w:val="1460"/>
    <w:semiHidden/>
    <w:qFormat/>
    <w:uiPriority w:val="0"/>
    <w:pPr>
      <w:spacing w:afterLines="50"/>
      <w:ind w:firstLine="562"/>
    </w:pPr>
    <w:rPr>
      <w:rFonts w:cs="Times New Roman"/>
      <w:b/>
      <w:sz w:val="28"/>
      <w:szCs w:val="28"/>
      <w:lang w:val="zh-CN"/>
    </w:rPr>
  </w:style>
  <w:style w:type="character" w:customStyle="1" w:styleId="1460">
    <w:name w:val="正文特殊 Char"/>
    <w:link w:val="1459"/>
    <w:semiHidden/>
    <w:qFormat/>
    <w:uiPriority w:val="0"/>
    <w:rPr>
      <w:rFonts w:ascii="Times New Roman" w:hAnsi="Times New Roman"/>
      <w:b/>
      <w:sz w:val="28"/>
      <w:szCs w:val="28"/>
      <w:lang w:val="zh-CN" w:eastAsia="zh-CN"/>
    </w:rPr>
  </w:style>
  <w:style w:type="character" w:styleId="1461">
    <w:name w:val="Placeholder Text"/>
    <w:semiHidden/>
    <w:qFormat/>
    <w:uiPriority w:val="99"/>
    <w:rPr>
      <w:color w:val="808080"/>
    </w:rPr>
  </w:style>
  <w:style w:type="table" w:customStyle="1" w:styleId="1462">
    <w:name w:val="王鑫9"/>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63">
    <w:name w:val="王鑫10"/>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64">
    <w:name w:val="网格型19"/>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65">
    <w:name w:val="网格型110"/>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466">
    <w:name w:val="网格型114"/>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67">
    <w:name w:val="xl69"/>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jc w:val="center"/>
    </w:pPr>
    <w:rPr>
      <w:sz w:val="20"/>
      <w:szCs w:val="20"/>
    </w:rPr>
  </w:style>
  <w:style w:type="paragraph" w:customStyle="1" w:styleId="1468">
    <w:name w:val="xl70"/>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jc w:val="center"/>
    </w:pPr>
    <w:rPr>
      <w:rFonts w:ascii="宋体" w:hAnsi="宋体"/>
    </w:rPr>
  </w:style>
  <w:style w:type="paragraph" w:customStyle="1" w:styleId="1469">
    <w:name w:val="xl71"/>
    <w:basedOn w:val="1"/>
    <w:semiHidden/>
    <w:qFormat/>
    <w:uiPriority w:val="0"/>
    <w:pPr>
      <w:spacing w:before="100" w:beforeAutospacing="1" w:afterAutospacing="1"/>
      <w:ind w:firstLine="480"/>
      <w:jc w:val="center"/>
    </w:pPr>
    <w:rPr>
      <w:rFonts w:ascii="宋体" w:hAnsi="宋体"/>
    </w:rPr>
  </w:style>
  <w:style w:type="table" w:customStyle="1" w:styleId="1470">
    <w:name w:val="网格型28"/>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71">
    <w:name w:val="网格型124"/>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472">
    <w:name w:val="网格型1112"/>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73">
    <w:name w:val="网格型38"/>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74">
    <w:name w:val="正文文本缩进 Char2"/>
    <w:semiHidden/>
    <w:qFormat/>
    <w:uiPriority w:val="0"/>
    <w:rPr>
      <w:rFonts w:ascii="仿宋_GB2312" w:eastAsia="仿宋_GB2312"/>
      <w:kern w:val="2"/>
      <w:sz w:val="28"/>
      <w:szCs w:val="24"/>
    </w:rPr>
  </w:style>
  <w:style w:type="table" w:customStyle="1" w:styleId="1475">
    <w:name w:val="网格型48"/>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76">
    <w:name w:val="标题 2 Char1"/>
    <w:semiHidden/>
    <w:qFormat/>
    <w:uiPriority w:val="9"/>
    <w:rPr>
      <w:rFonts w:ascii="Cambria" w:hAnsi="Cambria" w:eastAsia="宋体" w:cs="Times New Roman"/>
      <w:b/>
      <w:bCs/>
      <w:kern w:val="2"/>
      <w:sz w:val="32"/>
      <w:szCs w:val="32"/>
    </w:rPr>
  </w:style>
  <w:style w:type="character" w:customStyle="1" w:styleId="1477">
    <w:name w:val="标题 3 Char1"/>
    <w:semiHidden/>
    <w:qFormat/>
    <w:uiPriority w:val="9"/>
    <w:rPr>
      <w:rFonts w:ascii="Times New Roman" w:hAnsi="Times New Roman"/>
      <w:b/>
      <w:bCs/>
      <w:kern w:val="2"/>
      <w:sz w:val="32"/>
      <w:szCs w:val="32"/>
    </w:rPr>
  </w:style>
  <w:style w:type="character" w:customStyle="1" w:styleId="1478">
    <w:name w:val="标题 4 Char1"/>
    <w:semiHidden/>
    <w:qFormat/>
    <w:uiPriority w:val="9"/>
    <w:rPr>
      <w:rFonts w:ascii="Cambria" w:hAnsi="Cambria" w:eastAsia="宋体" w:cs="Times New Roman"/>
      <w:b/>
      <w:bCs/>
      <w:kern w:val="2"/>
      <w:sz w:val="28"/>
      <w:szCs w:val="28"/>
    </w:rPr>
  </w:style>
  <w:style w:type="character" w:customStyle="1" w:styleId="1479">
    <w:name w:val="标题 5 Char1"/>
    <w:semiHidden/>
    <w:qFormat/>
    <w:uiPriority w:val="9"/>
    <w:rPr>
      <w:rFonts w:ascii="Times New Roman" w:hAnsi="Times New Roman"/>
      <w:b/>
      <w:bCs/>
      <w:kern w:val="2"/>
      <w:sz w:val="28"/>
      <w:szCs w:val="28"/>
    </w:rPr>
  </w:style>
  <w:style w:type="character" w:customStyle="1" w:styleId="1480">
    <w:name w:val="标题 7 Char1"/>
    <w:semiHidden/>
    <w:qFormat/>
    <w:uiPriority w:val="0"/>
    <w:rPr>
      <w:rFonts w:ascii="Times New Roman" w:hAnsi="Times New Roman"/>
      <w:b/>
      <w:bCs/>
      <w:kern w:val="2"/>
      <w:sz w:val="24"/>
      <w:szCs w:val="24"/>
    </w:rPr>
  </w:style>
  <w:style w:type="character" w:customStyle="1" w:styleId="1481">
    <w:name w:val="标题 8 Char1"/>
    <w:semiHidden/>
    <w:qFormat/>
    <w:uiPriority w:val="0"/>
    <w:rPr>
      <w:rFonts w:ascii="Cambria" w:hAnsi="Cambria" w:eastAsia="宋体" w:cs="Times New Roman"/>
      <w:kern w:val="2"/>
      <w:sz w:val="24"/>
      <w:szCs w:val="24"/>
    </w:rPr>
  </w:style>
  <w:style w:type="character" w:customStyle="1" w:styleId="1482">
    <w:name w:val="标题 9 Char1"/>
    <w:semiHidden/>
    <w:qFormat/>
    <w:uiPriority w:val="0"/>
    <w:rPr>
      <w:rFonts w:ascii="Cambria" w:hAnsi="Cambria" w:eastAsia="宋体" w:cs="Times New Roman"/>
      <w:kern w:val="2"/>
      <w:sz w:val="21"/>
      <w:szCs w:val="21"/>
    </w:rPr>
  </w:style>
  <w:style w:type="character" w:customStyle="1" w:styleId="1483">
    <w:name w:val="页脚 Char1"/>
    <w:semiHidden/>
    <w:qFormat/>
    <w:uiPriority w:val="99"/>
    <w:rPr>
      <w:rFonts w:ascii="Times New Roman" w:hAnsi="Times New Roman"/>
      <w:kern w:val="2"/>
      <w:sz w:val="18"/>
      <w:szCs w:val="18"/>
    </w:rPr>
  </w:style>
  <w:style w:type="character" w:customStyle="1" w:styleId="1484">
    <w:name w:val="正文文本 2 Char1"/>
    <w:semiHidden/>
    <w:qFormat/>
    <w:uiPriority w:val="0"/>
    <w:rPr>
      <w:rFonts w:ascii="Times New Roman" w:hAnsi="Times New Roman"/>
      <w:kern w:val="2"/>
      <w:sz w:val="21"/>
      <w:szCs w:val="24"/>
    </w:rPr>
  </w:style>
  <w:style w:type="character" w:customStyle="1" w:styleId="1485">
    <w:name w:val="正文文本 3 Char1"/>
    <w:semiHidden/>
    <w:qFormat/>
    <w:uiPriority w:val="0"/>
    <w:rPr>
      <w:rFonts w:ascii="Times New Roman" w:hAnsi="Times New Roman"/>
      <w:kern w:val="2"/>
      <w:sz w:val="16"/>
      <w:szCs w:val="16"/>
    </w:rPr>
  </w:style>
  <w:style w:type="character" w:customStyle="1" w:styleId="1486">
    <w:name w:val="签名 Char1"/>
    <w:semiHidden/>
    <w:qFormat/>
    <w:uiPriority w:val="0"/>
    <w:rPr>
      <w:rFonts w:ascii="Times New Roman" w:hAnsi="Times New Roman"/>
      <w:kern w:val="2"/>
      <w:sz w:val="21"/>
      <w:szCs w:val="24"/>
    </w:rPr>
  </w:style>
  <w:style w:type="character" w:customStyle="1" w:styleId="1487">
    <w:name w:val="页眉 Char1"/>
    <w:semiHidden/>
    <w:qFormat/>
    <w:uiPriority w:val="99"/>
    <w:rPr>
      <w:rFonts w:ascii="Times New Roman" w:hAnsi="Times New Roman"/>
      <w:kern w:val="2"/>
      <w:sz w:val="18"/>
      <w:szCs w:val="18"/>
    </w:rPr>
  </w:style>
  <w:style w:type="paragraph" w:customStyle="1" w:styleId="1488">
    <w:name w:val="xl73"/>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jc w:val="center"/>
    </w:pPr>
    <w:rPr>
      <w:rFonts w:ascii="宋体" w:hAnsi="宋体"/>
      <w:sz w:val="18"/>
      <w:szCs w:val="18"/>
    </w:rPr>
  </w:style>
  <w:style w:type="paragraph" w:customStyle="1" w:styleId="1489">
    <w:name w:val="xl74"/>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Autospacing="1"/>
      <w:ind w:firstLine="480"/>
      <w:jc w:val="center"/>
    </w:pPr>
    <w:rPr>
      <w:rFonts w:ascii="宋体" w:hAnsi="宋体"/>
      <w:b/>
      <w:bCs/>
      <w:sz w:val="18"/>
      <w:szCs w:val="18"/>
    </w:rPr>
  </w:style>
  <w:style w:type="paragraph" w:customStyle="1" w:styleId="1490">
    <w:name w:val="xl76"/>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Autospacing="1"/>
      <w:ind w:firstLine="480"/>
      <w:jc w:val="center"/>
    </w:pPr>
    <w:rPr>
      <w:rFonts w:ascii="宋体" w:hAnsi="宋体"/>
      <w:sz w:val="18"/>
      <w:szCs w:val="18"/>
    </w:rPr>
  </w:style>
  <w:style w:type="paragraph" w:customStyle="1" w:styleId="1491">
    <w:name w:val="xl77"/>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Autospacing="1"/>
      <w:ind w:firstLine="480"/>
      <w:jc w:val="center"/>
    </w:pPr>
    <w:rPr>
      <w:rFonts w:ascii="宋体" w:hAnsi="宋体"/>
      <w:sz w:val="18"/>
      <w:szCs w:val="18"/>
    </w:rPr>
  </w:style>
  <w:style w:type="paragraph" w:customStyle="1" w:styleId="1492">
    <w:name w:val="xl78"/>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Autospacing="1"/>
      <w:ind w:firstLine="480"/>
    </w:pPr>
    <w:rPr>
      <w:rFonts w:ascii="宋体" w:hAnsi="宋体"/>
      <w:sz w:val="18"/>
      <w:szCs w:val="18"/>
    </w:rPr>
  </w:style>
  <w:style w:type="paragraph" w:customStyle="1" w:styleId="1493">
    <w:name w:val="xl79"/>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pPr>
    <w:rPr>
      <w:rFonts w:ascii="宋体" w:hAnsi="宋体"/>
      <w:sz w:val="18"/>
      <w:szCs w:val="18"/>
    </w:rPr>
  </w:style>
  <w:style w:type="paragraph" w:customStyle="1" w:styleId="1494">
    <w:name w:val="xl80"/>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pPr>
    <w:rPr>
      <w:rFonts w:ascii="宋体" w:hAnsi="宋体"/>
      <w:sz w:val="18"/>
      <w:szCs w:val="18"/>
    </w:rPr>
  </w:style>
  <w:style w:type="paragraph" w:customStyle="1" w:styleId="1495">
    <w:name w:val="xl81"/>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pPr>
    <w:rPr>
      <w:rFonts w:ascii="宋体" w:hAnsi="宋体"/>
      <w:sz w:val="18"/>
      <w:szCs w:val="18"/>
    </w:rPr>
  </w:style>
  <w:style w:type="paragraph" w:customStyle="1" w:styleId="1496">
    <w:name w:val="xl82"/>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pPr>
    <w:rPr>
      <w:rFonts w:ascii="宋体" w:hAnsi="宋体"/>
      <w:sz w:val="18"/>
      <w:szCs w:val="18"/>
    </w:rPr>
  </w:style>
  <w:style w:type="paragraph" w:customStyle="1" w:styleId="1497">
    <w:name w:val="xl83"/>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jc w:val="center"/>
    </w:pPr>
    <w:rPr>
      <w:rFonts w:ascii="宋体" w:hAnsi="宋体"/>
      <w:sz w:val="18"/>
      <w:szCs w:val="18"/>
    </w:rPr>
  </w:style>
  <w:style w:type="paragraph" w:customStyle="1" w:styleId="1498">
    <w:name w:val="xl84"/>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jc w:val="center"/>
    </w:pPr>
    <w:rPr>
      <w:rFonts w:ascii="宋体" w:hAnsi="宋体"/>
      <w:sz w:val="18"/>
      <w:szCs w:val="18"/>
    </w:rPr>
  </w:style>
  <w:style w:type="paragraph" w:customStyle="1" w:styleId="1499">
    <w:name w:val="xl85"/>
    <w:basedOn w:val="1"/>
    <w:semiHidden/>
    <w:qFormat/>
    <w:uiPriority w:val="0"/>
    <w:pPr>
      <w:pBdr>
        <w:top w:val="single" w:color="auto" w:sz="4" w:space="0"/>
        <w:left w:val="single" w:color="auto" w:sz="4" w:space="0"/>
        <w:bottom w:val="single" w:color="auto" w:sz="4" w:space="0"/>
        <w:right w:val="single" w:color="auto" w:sz="4" w:space="0"/>
      </w:pBdr>
      <w:spacing w:before="100" w:beforeAutospacing="1" w:afterAutospacing="1"/>
      <w:ind w:firstLine="480"/>
      <w:jc w:val="center"/>
    </w:pPr>
    <w:rPr>
      <w:rFonts w:ascii="宋体" w:hAnsi="宋体"/>
      <w:sz w:val="18"/>
      <w:szCs w:val="18"/>
    </w:rPr>
  </w:style>
  <w:style w:type="paragraph" w:customStyle="1" w:styleId="1500">
    <w:name w:val="xl86"/>
    <w:basedOn w:val="1"/>
    <w:semiHidden/>
    <w:qFormat/>
    <w:uiPriority w:val="0"/>
    <w:pPr>
      <w:pBdr>
        <w:top w:val="single" w:color="auto" w:sz="4" w:space="0"/>
        <w:left w:val="single" w:color="auto" w:sz="4" w:space="0"/>
        <w:bottom w:val="single" w:color="auto" w:sz="4" w:space="0"/>
        <w:right w:val="single" w:color="auto" w:sz="4" w:space="0"/>
      </w:pBdr>
      <w:shd w:val="clear" w:color="auto" w:fill="FFFF00"/>
      <w:spacing w:before="100" w:beforeAutospacing="1" w:afterAutospacing="1"/>
      <w:ind w:firstLine="480"/>
    </w:pPr>
    <w:rPr>
      <w:rFonts w:ascii="宋体" w:hAnsi="宋体"/>
      <w:sz w:val="18"/>
      <w:szCs w:val="18"/>
    </w:rPr>
  </w:style>
  <w:style w:type="paragraph" w:customStyle="1" w:styleId="1501">
    <w:name w:val="Char13"/>
    <w:basedOn w:val="1"/>
    <w:semiHidden/>
    <w:qFormat/>
    <w:uiPriority w:val="0"/>
    <w:pPr>
      <w:ind w:firstLine="480"/>
    </w:pPr>
    <w:rPr>
      <w:rFonts w:ascii="Tahoma" w:hAnsi="Tahoma"/>
      <w:szCs w:val="20"/>
    </w:rPr>
  </w:style>
  <w:style w:type="character" w:customStyle="1" w:styleId="1502">
    <w:name w:val="批注框文本 Char1"/>
    <w:semiHidden/>
    <w:qFormat/>
    <w:uiPriority w:val="99"/>
    <w:rPr>
      <w:rFonts w:ascii="Times New Roman" w:hAnsi="Times New Roman"/>
      <w:kern w:val="2"/>
      <w:sz w:val="18"/>
      <w:szCs w:val="18"/>
    </w:rPr>
  </w:style>
  <w:style w:type="character" w:customStyle="1" w:styleId="1503">
    <w:name w:val="标题 Char1"/>
    <w:semiHidden/>
    <w:qFormat/>
    <w:uiPriority w:val="0"/>
    <w:rPr>
      <w:rFonts w:ascii="Cambria" w:hAnsi="Cambria" w:cs="Times New Roman"/>
      <w:b/>
      <w:bCs/>
      <w:kern w:val="2"/>
      <w:sz w:val="32"/>
      <w:szCs w:val="32"/>
    </w:rPr>
  </w:style>
  <w:style w:type="character" w:customStyle="1" w:styleId="1504">
    <w:name w:val="正文首行缩进 2 Char1"/>
    <w:semiHidden/>
    <w:qFormat/>
    <w:uiPriority w:val="0"/>
    <w:rPr>
      <w:rFonts w:ascii="Times New Roman" w:hAnsi="Times New Roman" w:eastAsia="仿宋_GB2312" w:cs="Times New Roman"/>
      <w:kern w:val="2"/>
      <w:sz w:val="21"/>
      <w:szCs w:val="24"/>
      <w:lang w:val="en-US" w:eastAsia="zh-CN" w:bidi="ar-SA"/>
    </w:rPr>
  </w:style>
  <w:style w:type="table" w:customStyle="1" w:styleId="1505">
    <w:name w:val="典雅型6"/>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06">
    <w:name w:val="表格主题6"/>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07">
    <w:name w:val="网格型58"/>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08">
    <w:name w:val="网格型13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09">
    <w:name w:val="表格主题1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0">
    <w:name w:val="典雅型14"/>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11">
    <w:name w:val="网格型21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2">
    <w:name w:val="表格主题2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3">
    <w:name w:val="典雅型24"/>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14">
    <w:name w:val="网格型20"/>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5">
    <w:name w:val="附注表格6"/>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516">
    <w:name w:val="网格型115"/>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17">
    <w:name w:val="网格型116"/>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8">
    <w:name w:val="网格型29"/>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19">
    <w:name w:val="附注表格1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520">
    <w:name w:val="网格型125"/>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21">
    <w:name w:val="网格型1113"/>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22">
    <w:name w:val="网格型39"/>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23">
    <w:name w:val="网格型49"/>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24">
    <w:name w:val="典雅型7"/>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25">
    <w:name w:val="表格主题7"/>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26">
    <w:name w:val="网格型59"/>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27">
    <w:name w:val="附注表格1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28">
    <w:name w:val="附注表格22"/>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29">
    <w:name w:val="网格型135"/>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30">
    <w:name w:val="附注表格3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31">
    <w:name w:val="表格主题15"/>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32">
    <w:name w:val="典雅型15"/>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33">
    <w:name w:val="网格型215"/>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34">
    <w:name w:val="附注表格4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35">
    <w:name w:val="表格主题25"/>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36">
    <w:name w:val="典雅型25"/>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37">
    <w:name w:val="附注表格1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38">
    <w:name w:val="附注表格2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39">
    <w:name w:val="附注表格5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40">
    <w:name w:val="网格型30"/>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41">
    <w:name w:val="网格型117"/>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42">
    <w:name w:val="网格型118"/>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43">
    <w:name w:val="网格型210"/>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44">
    <w:name w:val="网格型126"/>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45">
    <w:name w:val="网格型1114"/>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46">
    <w:name w:val="网格型310"/>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47">
    <w:name w:val="网格型410"/>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48">
    <w:name w:val="典雅型8"/>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49">
    <w:name w:val="表格主题8"/>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0">
    <w:name w:val="网格型510"/>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1">
    <w:name w:val="网格型136"/>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2">
    <w:name w:val="表格主题16"/>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3">
    <w:name w:val="典雅型16"/>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54">
    <w:name w:val="网格型216"/>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5">
    <w:name w:val="表格主题26"/>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6">
    <w:name w:val="典雅型26"/>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57">
    <w:name w:val="网格型40"/>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58">
    <w:name w:val="附注表格7"/>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559">
    <w:name w:val="网格型119"/>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60">
    <w:name w:val="网格型1110"/>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61">
    <w:name w:val="网格型217"/>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62">
    <w:name w:val="附注表格14"/>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563">
    <w:name w:val="网格型127"/>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64">
    <w:name w:val="网格型1115"/>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65">
    <w:name w:val="网格型31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66">
    <w:name w:val="网格型41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67">
    <w:name w:val="典雅型9"/>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68">
    <w:name w:val="表格主题9"/>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69">
    <w:name w:val="网格型514"/>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70">
    <w:name w:val="附注表格112"/>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71">
    <w:name w:val="附注表格2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72">
    <w:name w:val="网格型137"/>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73">
    <w:name w:val="附注表格32"/>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74">
    <w:name w:val="表格主题17"/>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75">
    <w:name w:val="典雅型17"/>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76">
    <w:name w:val="网格型218"/>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77">
    <w:name w:val="附注表格42"/>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78">
    <w:name w:val="表格主题27"/>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79">
    <w:name w:val="典雅型27"/>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1580">
    <w:name w:val="附注表格122"/>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81">
    <w:name w:val="附注表格212"/>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82">
    <w:name w:val="附注表格52"/>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1583">
    <w:name w:val="表格cm3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84">
    <w:name w:val="表格cm3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85">
    <w:name w:val="表格cm3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86">
    <w:name w:val="表格cm3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87">
    <w:name w:val="表格cm3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88">
    <w:name w:val="表格cm3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89">
    <w:name w:val="表格cm3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0">
    <w:name w:val="表格cm3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1">
    <w:name w:val="表格cm3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2">
    <w:name w:val="表格cm3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3">
    <w:name w:val="表格cm3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4">
    <w:name w:val="表格cm3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5">
    <w:name w:val="表格cm3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6">
    <w:name w:val="表格cm3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7">
    <w:name w:val="表格cm3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8">
    <w:name w:val="表格cm3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599">
    <w:name w:val="表格cm3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0">
    <w:name w:val="表格cm3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1">
    <w:name w:val="表格cm34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2">
    <w:name w:val="表格cm3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3">
    <w:name w:val="表格cm32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4">
    <w:name w:val="表格cm33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5">
    <w:name w:val="表格cm3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6">
    <w:name w:val="表格cm32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07">
    <w:name w:val="网格型50"/>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08">
    <w:name w:val="网格型60"/>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609">
    <w:name w:val="网格型62"/>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10">
    <w:name w:val="无序号段落样式 Char"/>
    <w:link w:val="1611"/>
    <w:semiHidden/>
    <w:qFormat/>
    <w:uiPriority w:val="0"/>
    <w:rPr>
      <w:rFonts w:hAnsi="宋体"/>
      <w:spacing w:val="3"/>
      <w:w w:val="103"/>
      <w:sz w:val="24"/>
      <w:szCs w:val="24"/>
      <w:lang w:val="zh-CN" w:eastAsia="zh-CN"/>
    </w:rPr>
  </w:style>
  <w:style w:type="paragraph" w:customStyle="1" w:styleId="1611">
    <w:name w:val="无序号段落样式"/>
    <w:basedOn w:val="1"/>
    <w:link w:val="1610"/>
    <w:semiHidden/>
    <w:qFormat/>
    <w:uiPriority w:val="0"/>
    <w:pPr>
      <w:adjustRightInd w:val="0"/>
      <w:snapToGrid w:val="0"/>
      <w:spacing w:afterLines="50"/>
      <w:ind w:firstLine="496" w:firstLineChars="196"/>
    </w:pPr>
    <w:rPr>
      <w:rFonts w:ascii="Calibri" w:hAnsi="宋体" w:cs="Times New Roman"/>
      <w:spacing w:val="3"/>
      <w:w w:val="103"/>
      <w:lang w:val="zh-CN"/>
    </w:rPr>
  </w:style>
  <w:style w:type="table" w:customStyle="1" w:styleId="1612">
    <w:name w:val="表格cm9"/>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3">
    <w:name w:val="表格cm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4">
    <w:name w:val="表格cm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5">
    <w:name w:val="表格cm4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6">
    <w:name w:val="表格cm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7">
    <w:name w:val="表格cm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8">
    <w:name w:val="表格cm5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19">
    <w:name w:val="表格cm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0">
    <w:name w:val="表格cm2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1">
    <w:name w:val="表格cm6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2">
    <w:name w:val="表格cm1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3">
    <w:name w:val="表格cm2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4">
    <w:name w:val="表格cm4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5">
    <w:name w:val="表格cm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6">
    <w:name w:val="表格cm2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7">
    <w:name w:val="表格cm5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8">
    <w:name w:val="表格cm1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29">
    <w:name w:val="表格cm2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0">
    <w:name w:val="表格cm7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1">
    <w:name w:val="表格cm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2">
    <w:name w:val="表格cm2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3">
    <w:name w:val="表格cm4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4">
    <w:name w:val="表格cm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5">
    <w:name w:val="表格cm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6">
    <w:name w:val="表格cm5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7">
    <w:name w:val="表格cm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8">
    <w:name w:val="表格cm2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39">
    <w:name w:val="表格cm6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0">
    <w:name w:val="表格cm1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1">
    <w:name w:val="表格cm2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2">
    <w:name w:val="表格cm4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3">
    <w:name w:val="表格cm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4">
    <w:name w:val="表格cm2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5">
    <w:name w:val="表格cm5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6">
    <w:name w:val="表格cm1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7">
    <w:name w:val="表格cm2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8">
    <w:name w:val="表格cm8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49">
    <w:name w:val="表格cm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0">
    <w:name w:val="表格cm2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1">
    <w:name w:val="表格cm4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2">
    <w:name w:val="表格cm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3">
    <w:name w:val="表格cm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4">
    <w:name w:val="表格cm5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5">
    <w:name w:val="表格cm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6">
    <w:name w:val="表格cm2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7">
    <w:name w:val="表格cm6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8">
    <w:name w:val="表格cm1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59">
    <w:name w:val="表格cm2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0">
    <w:name w:val="表格cm4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1">
    <w:name w:val="表格cm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2">
    <w:name w:val="表格cm2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3">
    <w:name w:val="表格cm5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4">
    <w:name w:val="表格cm1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5">
    <w:name w:val="表格cm2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6">
    <w:name w:val="表格cm7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7">
    <w:name w:val="表格cm14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8">
    <w:name w:val="表格cm24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69">
    <w:name w:val="表格cm4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0">
    <w:name w:val="表格cm1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1">
    <w:name w:val="表格cm2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2">
    <w:name w:val="表格cm5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3">
    <w:name w:val="表格cm12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4">
    <w:name w:val="表格cm22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5">
    <w:name w:val="表格cm6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6">
    <w:name w:val="表格cm13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7">
    <w:name w:val="表格cm23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8">
    <w:name w:val="表格cm4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79">
    <w:name w:val="表格cm1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0">
    <w:name w:val="表格cm2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1">
    <w:name w:val="表格cm5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2">
    <w:name w:val="表格cm12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3">
    <w:name w:val="表格cm22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4">
    <w:name w:val="表格cm10"/>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5">
    <w:name w:val="表格cm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6">
    <w:name w:val="表格cm2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7">
    <w:name w:val="表格cm3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8">
    <w:name w:val="表格cm4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89">
    <w:name w:val="表格cm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0">
    <w:name w:val="表格cm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1">
    <w:name w:val="表格cm3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2">
    <w:name w:val="表格cm5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3">
    <w:name w:val="表格cm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4">
    <w:name w:val="表格cm2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5">
    <w:name w:val="表格cm3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6">
    <w:name w:val="表格cm6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7">
    <w:name w:val="表格cm1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8">
    <w:name w:val="表格cm2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699">
    <w:name w:val="表格cm3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0">
    <w:name w:val="表格cm4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1">
    <w:name w:val="表格cm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2">
    <w:name w:val="表格cm2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3">
    <w:name w:val="表格cm3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4">
    <w:name w:val="表格cm5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5">
    <w:name w:val="表格cm1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6">
    <w:name w:val="表格cm2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7">
    <w:name w:val="表格cm3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8">
    <w:name w:val="表格cm7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09">
    <w:name w:val="表格cm14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0">
    <w:name w:val="表格cm24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1">
    <w:name w:val="表格cm34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2">
    <w:name w:val="表格cm4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3">
    <w:name w:val="表格cm1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4">
    <w:name w:val="表格cm2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5">
    <w:name w:val="表格cm3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6">
    <w:name w:val="表格cm5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7">
    <w:name w:val="表格cm12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8">
    <w:name w:val="表格cm22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19">
    <w:name w:val="表格cm32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0">
    <w:name w:val="表格cm6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1">
    <w:name w:val="表格cm13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2">
    <w:name w:val="表格cm23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3">
    <w:name w:val="表格cm33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4">
    <w:name w:val="表格cm4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5">
    <w:name w:val="表格cm1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6">
    <w:name w:val="表格cm2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7">
    <w:name w:val="表格cm3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8">
    <w:name w:val="表格cm5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29">
    <w:name w:val="表格cm12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0">
    <w:name w:val="表格cm22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1">
    <w:name w:val="表格cm32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2">
    <w:name w:val="表格cm8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3">
    <w:name w:val="表格cm1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4">
    <w:name w:val="表格cm2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5">
    <w:name w:val="表格cm3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6">
    <w:name w:val="表格cm4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7">
    <w:name w:val="表格cm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8">
    <w:name w:val="表格cm2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39">
    <w:name w:val="表格cm3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0">
    <w:name w:val="表格cm5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1">
    <w:name w:val="表格cm1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2">
    <w:name w:val="表格cm2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3">
    <w:name w:val="表格cm3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4">
    <w:name w:val="表格cm6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5">
    <w:name w:val="表格cm1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6">
    <w:name w:val="表格cm2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7">
    <w:name w:val="表格cm3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8">
    <w:name w:val="表格cm4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49">
    <w:name w:val="表格cm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0">
    <w:name w:val="表格cm2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1">
    <w:name w:val="表格cm3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2">
    <w:name w:val="表格cm5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3">
    <w:name w:val="表格cm1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4">
    <w:name w:val="表格cm2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5">
    <w:name w:val="表格cm3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6">
    <w:name w:val="表格cm7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7">
    <w:name w:val="表格cm14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8">
    <w:name w:val="表格cm24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59">
    <w:name w:val="表格cm34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0">
    <w:name w:val="表格cm4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1">
    <w:name w:val="表格cm1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2">
    <w:name w:val="表格cm2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3">
    <w:name w:val="表格cm3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4">
    <w:name w:val="表格cm5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5">
    <w:name w:val="表格cm12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6">
    <w:name w:val="表格cm22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7">
    <w:name w:val="表格cm32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8">
    <w:name w:val="表格cm6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69">
    <w:name w:val="表格cm13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0">
    <w:name w:val="表格cm23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1">
    <w:name w:val="表格cm33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2">
    <w:name w:val="表格cm4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3">
    <w:name w:val="表格cm1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4">
    <w:name w:val="表格cm2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5">
    <w:name w:val="表格cm3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6">
    <w:name w:val="表格cm5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7">
    <w:name w:val="表格cm12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8">
    <w:name w:val="表格cm22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79">
    <w:name w:val="表格cm32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0">
    <w:name w:val="表格cm1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1">
    <w:name w:val="表格cm19"/>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2">
    <w:name w:val="表格cm2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3">
    <w:name w:val="表格cm3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4">
    <w:name w:val="表格cm4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5">
    <w:name w:val="表格cm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6">
    <w:name w:val="表格cm2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7">
    <w:name w:val="表格cm3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8">
    <w:name w:val="表格cm5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89">
    <w:name w:val="表格cm1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0">
    <w:name w:val="表格cm2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1">
    <w:name w:val="表格cm3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2">
    <w:name w:val="表格cm6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3">
    <w:name w:val="表格cm1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4">
    <w:name w:val="表格cm2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5">
    <w:name w:val="表格cm3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6">
    <w:name w:val="表格cm4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7">
    <w:name w:val="表格cm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8">
    <w:name w:val="表格cm2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799">
    <w:name w:val="表格cm3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0">
    <w:name w:val="表格cm5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1">
    <w:name w:val="表格cm1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2">
    <w:name w:val="表格cm2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3">
    <w:name w:val="表格cm3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4">
    <w:name w:val="表格cm7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5">
    <w:name w:val="表格cm14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6">
    <w:name w:val="表格cm24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7">
    <w:name w:val="表格cm34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8">
    <w:name w:val="表格cm4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09">
    <w:name w:val="表格cm1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0">
    <w:name w:val="表格cm2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1">
    <w:name w:val="表格cm3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2">
    <w:name w:val="表格cm5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3">
    <w:name w:val="表格cm12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4">
    <w:name w:val="表格cm22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5">
    <w:name w:val="表格cm32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6">
    <w:name w:val="表格cm6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7">
    <w:name w:val="表格cm13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8">
    <w:name w:val="表格cm23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19">
    <w:name w:val="表格cm33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0">
    <w:name w:val="表格cm4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1">
    <w:name w:val="表格cm1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2">
    <w:name w:val="表格cm2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3">
    <w:name w:val="表格cm3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4">
    <w:name w:val="表格cm5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5">
    <w:name w:val="表格cm12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6">
    <w:name w:val="表格cm22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7">
    <w:name w:val="表格cm32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8">
    <w:name w:val="表格cm8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29">
    <w:name w:val="表格cm15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0">
    <w:name w:val="表格cm25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1">
    <w:name w:val="表格cm35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2">
    <w:name w:val="表格cm4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3">
    <w:name w:val="表格cm11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4">
    <w:name w:val="表格cm21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5">
    <w:name w:val="表格cm31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6">
    <w:name w:val="表格cm5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7">
    <w:name w:val="表格cm12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8">
    <w:name w:val="表格cm22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39">
    <w:name w:val="表格cm32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0">
    <w:name w:val="表格cm6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1">
    <w:name w:val="表格cm13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2">
    <w:name w:val="表格cm23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3">
    <w:name w:val="表格cm33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4">
    <w:name w:val="表格cm4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5">
    <w:name w:val="表格cm11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6">
    <w:name w:val="表格cm21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7">
    <w:name w:val="表格cm31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8">
    <w:name w:val="表格cm5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49">
    <w:name w:val="表格cm12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0">
    <w:name w:val="表格cm22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1">
    <w:name w:val="表格cm32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2">
    <w:name w:val="表格cm7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3">
    <w:name w:val="表格cm14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4">
    <w:name w:val="表格cm24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5">
    <w:name w:val="表格cm34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6">
    <w:name w:val="表格cm4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7">
    <w:name w:val="表格cm11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8">
    <w:name w:val="表格cm21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59">
    <w:name w:val="表格cm31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0">
    <w:name w:val="表格cm5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1">
    <w:name w:val="表格cm12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2">
    <w:name w:val="表格cm22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3">
    <w:name w:val="表格cm32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4">
    <w:name w:val="表格cm6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5">
    <w:name w:val="表格cm13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6">
    <w:name w:val="表格cm23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7">
    <w:name w:val="表格cm33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8">
    <w:name w:val="表格cm4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69">
    <w:name w:val="表格cm11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0">
    <w:name w:val="表格cm21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1">
    <w:name w:val="表格cm31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2">
    <w:name w:val="表格cm5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3">
    <w:name w:val="表格cm12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4">
    <w:name w:val="表格cm22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5">
    <w:name w:val="表格cm32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6">
    <w:name w:val="表格cm3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7">
    <w:name w:val="表格cm3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8">
    <w:name w:val="表格cm3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79">
    <w:name w:val="表格cm3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0">
    <w:name w:val="表格cm3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1">
    <w:name w:val="表格cm3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2">
    <w:name w:val="表格cm34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3">
    <w:name w:val="表格cm3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4">
    <w:name w:val="表格cm32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5">
    <w:name w:val="表格cm33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6">
    <w:name w:val="表格cm3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7">
    <w:name w:val="表格cm32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8">
    <w:name w:val="表格cm35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89">
    <w:name w:val="表格cm31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0">
    <w:name w:val="表格cm32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1">
    <w:name w:val="表格cm33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2">
    <w:name w:val="表格cm31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3">
    <w:name w:val="表格cm32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4">
    <w:name w:val="表格cm34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5">
    <w:name w:val="表格cm31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6">
    <w:name w:val="表格cm32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7">
    <w:name w:val="表格cm33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8">
    <w:name w:val="表格cm31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899">
    <w:name w:val="表格cm32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00">
    <w:name w:val="网格型63"/>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901">
    <w:name w:val="B2"/>
    <w:basedOn w:val="3"/>
    <w:link w:val="1902"/>
    <w:semiHidden/>
    <w:qFormat/>
    <w:uiPriority w:val="0"/>
    <w:pPr>
      <w:keepNext/>
      <w:keepLines/>
      <w:spacing w:before="260" w:beforeLines="0" w:beforeAutospacing="1" w:after="100" w:afterAutospacing="1"/>
    </w:pPr>
    <w:rPr>
      <w:rFonts w:ascii="Arial" w:hAnsi="Arial" w:eastAsia="宋体"/>
      <w:b/>
      <w:kern w:val="2"/>
      <w:szCs w:val="24"/>
    </w:rPr>
  </w:style>
  <w:style w:type="character" w:customStyle="1" w:styleId="1902">
    <w:name w:val="B2 Char"/>
    <w:link w:val="1901"/>
    <w:semiHidden/>
    <w:qFormat/>
    <w:uiPriority w:val="0"/>
    <w:rPr>
      <w:rFonts w:ascii="Arial" w:hAnsi="Arial"/>
      <w:b/>
      <w:bCs/>
      <w:kern w:val="2"/>
      <w:sz w:val="32"/>
      <w:szCs w:val="24"/>
      <w:lang w:val="zh-CN" w:eastAsia="zh-CN"/>
    </w:rPr>
  </w:style>
  <w:style w:type="paragraph" w:customStyle="1" w:styleId="1903">
    <w:name w:val="Table Paragraph"/>
    <w:basedOn w:val="1"/>
    <w:semiHidden/>
    <w:qFormat/>
    <w:uiPriority w:val="1"/>
    <w:pPr>
      <w:ind w:firstLine="480"/>
    </w:pPr>
    <w:rPr>
      <w:sz w:val="22"/>
      <w:lang w:eastAsia="en-US"/>
    </w:rPr>
  </w:style>
  <w:style w:type="paragraph" w:customStyle="1" w:styleId="1904">
    <w:name w:val="Char Char Char Char Char Char Char Char Char"/>
    <w:basedOn w:val="1"/>
    <w:semiHidden/>
    <w:qFormat/>
    <w:uiPriority w:val="0"/>
    <w:pPr>
      <w:numPr>
        <w:ilvl w:val="0"/>
        <w:numId w:val="4"/>
      </w:numPr>
      <w:tabs>
        <w:tab w:val="clear" w:pos="1220"/>
      </w:tabs>
      <w:ind w:left="360" w:firstLine="0"/>
    </w:pPr>
  </w:style>
  <w:style w:type="table" w:customStyle="1" w:styleId="1905">
    <w:name w:val="附注表格15"/>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906">
    <w:name w:val="附注表格24"/>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907">
    <w:name w:val="附注表格11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908">
    <w:name w:val="附注表格12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909">
    <w:name w:val="附注表格21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910">
    <w:name w:val="附注表格5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1911">
    <w:name w:val="表格cm20"/>
    <w:basedOn w:val="81"/>
    <w:qFormat/>
    <w:uiPriority w:val="0"/>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1912">
    <w:name w:val="表格cm110"/>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3">
    <w:name w:val="表格cm29"/>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4">
    <w:name w:val="表格cm39"/>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5">
    <w:name w:val="表格cm4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6">
    <w:name w:val="表格cm1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7">
    <w:name w:val="表格cm2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8">
    <w:name w:val="表格cm3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19">
    <w:name w:val="表格cm5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0">
    <w:name w:val="表格cm12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1">
    <w:name w:val="表格cm22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2">
    <w:name w:val="表格cm32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3">
    <w:name w:val="表格cm6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4">
    <w:name w:val="表格cm13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5">
    <w:name w:val="表格cm23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6">
    <w:name w:val="表格cm33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7">
    <w:name w:val="表格cm4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8">
    <w:name w:val="表格cm1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29">
    <w:name w:val="表格cm2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0">
    <w:name w:val="表格cm3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1">
    <w:name w:val="表格cm5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2">
    <w:name w:val="表格cm12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3">
    <w:name w:val="表格cm22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4">
    <w:name w:val="表格cm32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5">
    <w:name w:val="表格cm7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6">
    <w:name w:val="表格cm14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7">
    <w:name w:val="表格cm24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8">
    <w:name w:val="表格cm34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39">
    <w:name w:val="表格cm4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0">
    <w:name w:val="表格cm1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1">
    <w:name w:val="表格cm2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2">
    <w:name w:val="表格cm3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3">
    <w:name w:val="表格cm5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4">
    <w:name w:val="表格cm12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5">
    <w:name w:val="表格cm22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6">
    <w:name w:val="表格cm32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7">
    <w:name w:val="表格cm6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8">
    <w:name w:val="表格cm13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49">
    <w:name w:val="表格cm23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0">
    <w:name w:val="表格cm33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1">
    <w:name w:val="表格cm4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2">
    <w:name w:val="表格cm1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3">
    <w:name w:val="表格cm2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4">
    <w:name w:val="表格cm3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5">
    <w:name w:val="表格cm5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6">
    <w:name w:val="表格cm12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7">
    <w:name w:val="表格cm22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8">
    <w:name w:val="表格cm32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59">
    <w:name w:val="表格cm8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0">
    <w:name w:val="表格cm15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1">
    <w:name w:val="表格cm25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2">
    <w:name w:val="表格cm35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3">
    <w:name w:val="表格cm4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4">
    <w:name w:val="表格cm11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5">
    <w:name w:val="表格cm21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6">
    <w:name w:val="表格cm31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7">
    <w:name w:val="表格cm5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8">
    <w:name w:val="表格cm12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69">
    <w:name w:val="表格cm22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0">
    <w:name w:val="表格cm323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1">
    <w:name w:val="表格cm6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2">
    <w:name w:val="表格cm13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3">
    <w:name w:val="表格cm23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4">
    <w:name w:val="表格cm33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5">
    <w:name w:val="表格cm4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6">
    <w:name w:val="表格cm11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7">
    <w:name w:val="表格cm21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8">
    <w:name w:val="表格cm31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79">
    <w:name w:val="表格cm5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0">
    <w:name w:val="表格cm12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1">
    <w:name w:val="表格cm22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2">
    <w:name w:val="表格cm3212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3">
    <w:name w:val="表格cm7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4">
    <w:name w:val="表格cm14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5">
    <w:name w:val="表格cm24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6">
    <w:name w:val="表格cm34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7">
    <w:name w:val="表格cm4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8">
    <w:name w:val="表格cm11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89">
    <w:name w:val="表格cm21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0">
    <w:name w:val="表格cm31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1">
    <w:name w:val="表格cm5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2">
    <w:name w:val="表格cm12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3">
    <w:name w:val="表格cm22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4">
    <w:name w:val="表格cm322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5">
    <w:name w:val="表格cm6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6">
    <w:name w:val="表格cm13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7">
    <w:name w:val="表格cm23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8">
    <w:name w:val="表格cm33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1999">
    <w:name w:val="表格cm4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0">
    <w:name w:val="表格cm11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1">
    <w:name w:val="表格cm21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2">
    <w:name w:val="表格cm31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3">
    <w:name w:val="表格cm5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4">
    <w:name w:val="表格cm12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5">
    <w:name w:val="表格cm22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6">
    <w:name w:val="表格cm321114"/>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07">
    <w:name w:val="网格型7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08">
    <w:name w:val="网格型8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09">
    <w:name w:val="网格型9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0">
    <w:name w:val="网格型10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11">
    <w:name w:val="网格型18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12">
    <w:name w:val="网格型110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3">
    <w:name w:val="网格型124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4">
    <w:name w:val="网格型115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5">
    <w:name w:val="网格型125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6">
    <w:name w:val="网格型117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7">
    <w:name w:val="网格型126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8">
    <w:name w:val="网格型119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19">
    <w:name w:val="网格型1271"/>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20">
    <w:name w:val="表格cm36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1">
    <w:name w:val="表格cm3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2">
    <w:name w:val="表格cm32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3">
    <w:name w:val="表格cm33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4">
    <w:name w:val="表格cm3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5">
    <w:name w:val="表格cm32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6">
    <w:name w:val="表格cm34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7">
    <w:name w:val="表格cm3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8">
    <w:name w:val="表格cm32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29">
    <w:name w:val="表格cm33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0">
    <w:name w:val="表格cm3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1">
    <w:name w:val="表格cm32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2">
    <w:name w:val="表格cm35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3">
    <w:name w:val="表格cm31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4">
    <w:name w:val="表格cm32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5">
    <w:name w:val="表格cm33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6">
    <w:name w:val="表格cm31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7">
    <w:name w:val="表格cm32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8">
    <w:name w:val="表格cm34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39">
    <w:name w:val="表格cm31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40">
    <w:name w:val="表格cm32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41">
    <w:name w:val="表格cm33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42">
    <w:name w:val="表格cm31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43">
    <w:name w:val="表格cm32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44">
    <w:name w:val="网格型50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45">
    <w:name w:val="网格型60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46">
    <w:name w:val="网格型62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47">
    <w:name w:val="表格cm9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48">
    <w:name w:val="表格cm1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49">
    <w:name w:val="表格cm2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0">
    <w:name w:val="表格cm4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1">
    <w:name w:val="表格cm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2">
    <w:name w:val="表格cm2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3">
    <w:name w:val="表格cm5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4">
    <w:name w:val="表格cm1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5">
    <w:name w:val="表格cm2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6">
    <w:name w:val="表格cm6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7">
    <w:name w:val="表格cm1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8">
    <w:name w:val="表格cm2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59">
    <w:name w:val="表格cm4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0">
    <w:name w:val="表格cm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1">
    <w:name w:val="表格cm2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2">
    <w:name w:val="表格cm5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3">
    <w:name w:val="表格cm1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4">
    <w:name w:val="表格cm2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5">
    <w:name w:val="表格cm7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6">
    <w:name w:val="表格cm14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7">
    <w:name w:val="表格cm24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8">
    <w:name w:val="表格cm4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69">
    <w:name w:val="表格cm1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0">
    <w:name w:val="表格cm2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1">
    <w:name w:val="表格cm5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2">
    <w:name w:val="表格cm12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3">
    <w:name w:val="表格cm22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4">
    <w:name w:val="表格cm6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5">
    <w:name w:val="表格cm13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6">
    <w:name w:val="表格cm23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7">
    <w:name w:val="表格cm4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8">
    <w:name w:val="表格cm1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79">
    <w:name w:val="表格cm2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0">
    <w:name w:val="表格cm5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1">
    <w:name w:val="表格cm12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2">
    <w:name w:val="表格cm22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3">
    <w:name w:val="表格cm8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4">
    <w:name w:val="表格cm15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5">
    <w:name w:val="表格cm25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6">
    <w:name w:val="表格cm4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7">
    <w:name w:val="表格cm11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8">
    <w:name w:val="表格cm21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89">
    <w:name w:val="表格cm5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0">
    <w:name w:val="表格cm12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1">
    <w:name w:val="表格cm22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2">
    <w:name w:val="表格cm6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3">
    <w:name w:val="表格cm13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4">
    <w:name w:val="表格cm23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5">
    <w:name w:val="表格cm4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6">
    <w:name w:val="表格cm11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7">
    <w:name w:val="表格cm21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8">
    <w:name w:val="表格cm5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099">
    <w:name w:val="表格cm12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0">
    <w:name w:val="表格cm22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1">
    <w:name w:val="表格cm7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2">
    <w:name w:val="表格cm14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3">
    <w:name w:val="表格cm24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4">
    <w:name w:val="表格cm4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5">
    <w:name w:val="表格cm11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6">
    <w:name w:val="表格cm21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7">
    <w:name w:val="表格cm5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8">
    <w:name w:val="表格cm12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09">
    <w:name w:val="表格cm22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0">
    <w:name w:val="表格cm6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1">
    <w:name w:val="表格cm13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2">
    <w:name w:val="表格cm23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3">
    <w:name w:val="表格cm4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4">
    <w:name w:val="表格cm11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5">
    <w:name w:val="表格cm21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6">
    <w:name w:val="表格cm5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7">
    <w:name w:val="表格cm12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8">
    <w:name w:val="表格cm22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19">
    <w:name w:val="表格cm10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0">
    <w:name w:val="表格cm17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1">
    <w:name w:val="表格cm27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2">
    <w:name w:val="表格cm37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3">
    <w:name w:val="表格cm4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4">
    <w:name w:val="表格cm1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5">
    <w:name w:val="表格cm2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6">
    <w:name w:val="表格cm3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7">
    <w:name w:val="表格cm5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8">
    <w:name w:val="表格cm12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29">
    <w:name w:val="表格cm22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0">
    <w:name w:val="表格cm32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1">
    <w:name w:val="表格cm6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2">
    <w:name w:val="表格cm13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3">
    <w:name w:val="表格cm23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4">
    <w:name w:val="表格cm33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5">
    <w:name w:val="表格cm4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6">
    <w:name w:val="表格cm1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7">
    <w:name w:val="表格cm2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8">
    <w:name w:val="表格cm3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39">
    <w:name w:val="表格cm5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0">
    <w:name w:val="表格cm12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1">
    <w:name w:val="表格cm22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2">
    <w:name w:val="表格cm32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3">
    <w:name w:val="表格cm7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4">
    <w:name w:val="表格cm14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5">
    <w:name w:val="表格cm24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6">
    <w:name w:val="表格cm34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7">
    <w:name w:val="表格cm4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8">
    <w:name w:val="表格cm1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49">
    <w:name w:val="表格cm2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0">
    <w:name w:val="表格cm3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1">
    <w:name w:val="表格cm5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2">
    <w:name w:val="表格cm12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3">
    <w:name w:val="表格cm22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4">
    <w:name w:val="表格cm32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5">
    <w:name w:val="表格cm6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6">
    <w:name w:val="表格cm13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7">
    <w:name w:val="表格cm23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8">
    <w:name w:val="表格cm33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59">
    <w:name w:val="表格cm4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0">
    <w:name w:val="表格cm1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1">
    <w:name w:val="表格cm2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2">
    <w:name w:val="表格cm3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3">
    <w:name w:val="表格cm5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4">
    <w:name w:val="表格cm12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5">
    <w:name w:val="表格cm22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6">
    <w:name w:val="表格cm32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7">
    <w:name w:val="表格cm8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8">
    <w:name w:val="表格cm15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69">
    <w:name w:val="表格cm25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0">
    <w:name w:val="表格cm35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1">
    <w:name w:val="表格cm4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2">
    <w:name w:val="表格cm11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3">
    <w:name w:val="表格cm21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4">
    <w:name w:val="表格cm31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5">
    <w:name w:val="表格cm5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6">
    <w:name w:val="表格cm12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7">
    <w:name w:val="表格cm22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8">
    <w:name w:val="表格cm323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79">
    <w:name w:val="表格cm6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0">
    <w:name w:val="表格cm13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1">
    <w:name w:val="表格cm23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2">
    <w:name w:val="表格cm33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3">
    <w:name w:val="表格cm4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4">
    <w:name w:val="表格cm11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5">
    <w:name w:val="表格cm21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6">
    <w:name w:val="表格cm31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7">
    <w:name w:val="表格cm5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8">
    <w:name w:val="表格cm12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89">
    <w:name w:val="表格cm22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0">
    <w:name w:val="表格cm3212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1">
    <w:name w:val="表格cm7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2">
    <w:name w:val="表格cm14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3">
    <w:name w:val="表格cm24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4">
    <w:name w:val="表格cm34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5">
    <w:name w:val="表格cm4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6">
    <w:name w:val="表格cm11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7">
    <w:name w:val="表格cm21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8">
    <w:name w:val="表格cm31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199">
    <w:name w:val="表格cm5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0">
    <w:name w:val="表格cm12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1">
    <w:name w:val="表格cm22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2">
    <w:name w:val="表格cm322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3">
    <w:name w:val="表格cm6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4">
    <w:name w:val="表格cm13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5">
    <w:name w:val="表格cm23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6">
    <w:name w:val="表格cm33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7">
    <w:name w:val="表格cm4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8">
    <w:name w:val="表格cm11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09">
    <w:name w:val="表格cm21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0">
    <w:name w:val="表格cm31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1">
    <w:name w:val="表格cm5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2">
    <w:name w:val="表格cm12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3">
    <w:name w:val="表格cm22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4">
    <w:name w:val="表格cm321112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5">
    <w:name w:val="表格cm18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6">
    <w:name w:val="表格cm19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7">
    <w:name w:val="表格cm28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8">
    <w:name w:val="表格cm38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19">
    <w:name w:val="表格cm4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0">
    <w:name w:val="表格cm11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1">
    <w:name w:val="表格cm21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2">
    <w:name w:val="表格cm31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3">
    <w:name w:val="表格cm5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4">
    <w:name w:val="表格cm12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5">
    <w:name w:val="表格cm22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6">
    <w:name w:val="表格cm326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7">
    <w:name w:val="表格cm6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8">
    <w:name w:val="表格cm13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29">
    <w:name w:val="表格cm23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0">
    <w:name w:val="表格cm33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1">
    <w:name w:val="表格cm4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2">
    <w:name w:val="表格cm11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3">
    <w:name w:val="表格cm21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4">
    <w:name w:val="表格cm31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5">
    <w:name w:val="表格cm5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6">
    <w:name w:val="表格cm12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7">
    <w:name w:val="表格cm22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8">
    <w:name w:val="表格cm3215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39">
    <w:name w:val="表格cm7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0">
    <w:name w:val="表格cm14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1">
    <w:name w:val="表格cm24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2">
    <w:name w:val="表格cm34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3">
    <w:name w:val="表格cm4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4">
    <w:name w:val="表格cm11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5">
    <w:name w:val="表格cm21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6">
    <w:name w:val="表格cm31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7">
    <w:name w:val="表格cm5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8">
    <w:name w:val="表格cm12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49">
    <w:name w:val="表格cm22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0">
    <w:name w:val="表格cm322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1">
    <w:name w:val="表格cm6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2">
    <w:name w:val="表格cm13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3">
    <w:name w:val="表格cm23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4">
    <w:name w:val="表格cm33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5">
    <w:name w:val="表格cm4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6">
    <w:name w:val="表格cm11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7">
    <w:name w:val="表格cm21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8">
    <w:name w:val="表格cm31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59">
    <w:name w:val="表格cm5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0">
    <w:name w:val="表格cm12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1">
    <w:name w:val="表格cm22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2">
    <w:name w:val="表格cm32114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3">
    <w:name w:val="表格cm8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4">
    <w:name w:val="表格cm15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5">
    <w:name w:val="表格cm25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6">
    <w:name w:val="表格cm35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7">
    <w:name w:val="表格cm4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8">
    <w:name w:val="表格cm11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69">
    <w:name w:val="表格cm21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0">
    <w:name w:val="表格cm31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1">
    <w:name w:val="表格cm5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2">
    <w:name w:val="表格cm12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3">
    <w:name w:val="表格cm22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4">
    <w:name w:val="表格cm323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5">
    <w:name w:val="表格cm6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6">
    <w:name w:val="表格cm13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7">
    <w:name w:val="表格cm23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8">
    <w:name w:val="表格cm33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79">
    <w:name w:val="表格cm4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0">
    <w:name w:val="表格cm11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1">
    <w:name w:val="表格cm21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2">
    <w:name w:val="表格cm31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3">
    <w:name w:val="表格cm5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4">
    <w:name w:val="表格cm12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5">
    <w:name w:val="表格cm22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6">
    <w:name w:val="表格cm3212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7">
    <w:name w:val="表格cm7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8">
    <w:name w:val="表格cm14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89">
    <w:name w:val="表格cm24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0">
    <w:name w:val="表格cm34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1">
    <w:name w:val="表格cm4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2">
    <w:name w:val="表格cm11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3">
    <w:name w:val="表格cm21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4">
    <w:name w:val="表格cm31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5">
    <w:name w:val="表格cm5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6">
    <w:name w:val="表格cm12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7">
    <w:name w:val="表格cm22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8">
    <w:name w:val="表格cm322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299">
    <w:name w:val="表格cm6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0">
    <w:name w:val="表格cm13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1">
    <w:name w:val="表格cm23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2">
    <w:name w:val="表格cm33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3">
    <w:name w:val="表格cm4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4">
    <w:name w:val="表格cm11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5">
    <w:name w:val="表格cm21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6">
    <w:name w:val="表格cm31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7">
    <w:name w:val="表格cm5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8">
    <w:name w:val="表格cm12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09">
    <w:name w:val="表格cm22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0">
    <w:name w:val="表格cm321113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1">
    <w:name w:val="表格cm36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2">
    <w:name w:val="表格cm314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3">
    <w:name w:val="表格cm324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4">
    <w:name w:val="表格cm33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5">
    <w:name w:val="表格cm311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6">
    <w:name w:val="表格cm3213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7">
    <w:name w:val="表格cm34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8">
    <w:name w:val="表格cm312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19">
    <w:name w:val="表格cm322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0">
    <w:name w:val="表格cm33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1">
    <w:name w:val="表格cm311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2">
    <w:name w:val="表格cm32112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3">
    <w:name w:val="表格cm35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4">
    <w:name w:val="表格cm313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5">
    <w:name w:val="表格cm323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6">
    <w:name w:val="表格cm33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7">
    <w:name w:val="表格cm311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8">
    <w:name w:val="表格cm3212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29">
    <w:name w:val="表格cm34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30">
    <w:name w:val="表格cm312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31">
    <w:name w:val="表格cm322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32">
    <w:name w:val="表格cm33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33">
    <w:name w:val="表格cm311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34">
    <w:name w:val="表格cm32111111"/>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35">
    <w:name w:val="网格型63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36">
    <w:name w:val="中等深浅网格 3 - 强调文字颜色 17"/>
    <w:basedOn w:val="76"/>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cPr>
        <w:tcBorders>
          <w:top w:val="nil"/>
          <w:left w:val="single" w:color="CCE8CF" w:sz="24" w:space="0"/>
          <w:bottom w:val="nil"/>
          <w:right w:val="nil"/>
          <w:insideH w:val="nil"/>
          <w:insideV w:val="nil"/>
        </w:tcBorders>
        <w:shd w:val="clear" w:color="auto" w:fill="4F81BD"/>
      </w:tcPr>
    </w:tblStylePr>
    <w:tblStylePr w:type="band1Vert">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customStyle="1" w:styleId="2337">
    <w:name w:val="王鑫17"/>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338">
    <w:name w:val="附注表格8"/>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39">
    <w:name w:val="表格主题10"/>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0">
    <w:name w:val="典雅型10"/>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341">
    <w:name w:val="附注表格16"/>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42">
    <w:name w:val="附注表格25"/>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43">
    <w:name w:val="网格型120"/>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4">
    <w:name w:val="附注表格3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45">
    <w:name w:val="表格主题18"/>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6">
    <w:name w:val="典雅型18"/>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347">
    <w:name w:val="附注表格114"/>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48">
    <w:name w:val="网格型219"/>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49">
    <w:name w:val="附注表格43"/>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50">
    <w:name w:val="表格主题28"/>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51">
    <w:name w:val="典雅型28"/>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352">
    <w:name w:val="附注表格124"/>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53">
    <w:name w:val="附注表格214"/>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54">
    <w:name w:val="网格型315"/>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55">
    <w:name w:val="附注表格54"/>
    <w:basedOn w:val="76"/>
    <w:qFormat/>
    <w:uiPriority w:val="0"/>
    <w:pPr>
      <w:jc w:val="center"/>
    </w:pPr>
    <w:rPr>
      <w:sz w:val="21"/>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356">
    <w:name w:val="表格cm30"/>
    <w:basedOn w:val="81"/>
    <w:qFormat/>
    <w:uiPriority w:val="0"/>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357">
    <w:name w:val="简明型 17"/>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358">
    <w:name w:val="网格型41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59">
    <w:name w:val="网格型515"/>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60">
    <w:name w:val="Table Grid17"/>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61">
    <w:name w:val="中等深浅网格 3 - 着色 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362">
    <w:name w:val="古典型 17"/>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363">
    <w:name w:val="grp6"/>
    <w:basedOn w:val="77"/>
    <w:qFormat/>
    <w:uiPriority w:val="0"/>
    <w:pPr>
      <w:widowControl w:val="0"/>
      <w:jc w:val="center"/>
    </w:pPr>
    <w:tblPr>
      <w:tblBorders>
        <w:top w:val="thinThickSmallGap" w:color="003366" w:sz="12" w:space="0"/>
      </w:tblBorders>
    </w:tblPr>
    <w:tcPr>
      <w:vAlign w:val="center"/>
    </w:tcPr>
  </w:style>
  <w:style w:type="table" w:customStyle="1" w:styleId="2364">
    <w:name w:val="BY表格样式6"/>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365">
    <w:name w:val="网格型 16"/>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366">
    <w:name w:val="tangfu7"/>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367">
    <w:name w:val="vc26"/>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368">
    <w:name w:val="ZX6"/>
    <w:basedOn w:val="77"/>
    <w:qFormat/>
    <w:uiPriority w:val="0"/>
    <w:pPr>
      <w:widowControl w:val="0"/>
      <w:jc w:val="both"/>
    </w:pPr>
    <w:tblPr>
      <w:tblBorders>
        <w:top w:val="thinThickSmallGap" w:color="003366" w:sz="24" w:space="0"/>
        <w:bottom w:val="single" w:color="003366" w:sz="4" w:space="0"/>
        <w:insideH w:val="single" w:color="003366" w:sz="4" w:space="0"/>
        <w:insideV w:val="single" w:color="003366" w:sz="4" w:space="0"/>
      </w:tblBorders>
    </w:tblPr>
  </w:style>
  <w:style w:type="table" w:customStyle="1" w:styleId="2369">
    <w:name w:val="王鑫18"/>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0">
    <w:name w:val="王鑫24"/>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1">
    <w:name w:val="表格cm11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72">
    <w:name w:val="简明型 114"/>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373">
    <w:name w:val="网格型1116"/>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4">
    <w:name w:val="网格型2110"/>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5">
    <w:name w:val="网格型316"/>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6">
    <w:name w:val="网格型416"/>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7">
    <w:name w:val="网格型516"/>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8">
    <w:name w:val="Table Grid114"/>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79">
    <w:name w:val="中等深浅网格 3 - 强调文字颜色 114"/>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380">
    <w:name w:val="古典型 114"/>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381">
    <w:name w:val="grp14"/>
    <w:basedOn w:val="77"/>
    <w:qFormat/>
    <w:uiPriority w:val="0"/>
    <w:pPr>
      <w:widowControl w:val="0"/>
      <w:jc w:val="center"/>
    </w:pPr>
    <w:tblPr>
      <w:tblBorders>
        <w:top w:val="thinThickSmallGap" w:color="003366" w:sz="12" w:space="0"/>
      </w:tblBorders>
    </w:tblPr>
    <w:tcPr>
      <w:vAlign w:val="center"/>
    </w:tcPr>
  </w:style>
  <w:style w:type="table" w:customStyle="1" w:styleId="2382">
    <w:name w:val="BY表格样式14"/>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383">
    <w:name w:val="网格型 114"/>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384">
    <w:name w:val="tangfu14"/>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385">
    <w:name w:val="vc214"/>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386">
    <w:name w:val="王鑫114"/>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87">
    <w:name w:val="王鑫34"/>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88">
    <w:name w:val="表格cm210"/>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389">
    <w:name w:val="简明型 124"/>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390">
    <w:name w:val="网格型128"/>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1">
    <w:name w:val="网格型22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2">
    <w:name w:val="网格型32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3">
    <w:name w:val="网格型42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4">
    <w:name w:val="网格型52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5">
    <w:name w:val="Table Grid124"/>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396">
    <w:name w:val="中等深浅网格 3 - 强调文字颜色 124"/>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397">
    <w:name w:val="古典型 124"/>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398">
    <w:name w:val="grp24"/>
    <w:basedOn w:val="77"/>
    <w:qFormat/>
    <w:uiPriority w:val="0"/>
    <w:pPr>
      <w:widowControl w:val="0"/>
      <w:jc w:val="center"/>
    </w:pPr>
    <w:tblPr>
      <w:tblBorders>
        <w:top w:val="thinThickSmallGap" w:color="003366" w:sz="12" w:space="0"/>
      </w:tblBorders>
    </w:tblPr>
    <w:tcPr>
      <w:vAlign w:val="center"/>
    </w:tcPr>
  </w:style>
  <w:style w:type="table" w:customStyle="1" w:styleId="2399">
    <w:name w:val="BY表格样式24"/>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400">
    <w:name w:val="网格型 124"/>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401">
    <w:name w:val="tangfu24"/>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402">
    <w:name w:val="vc224"/>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403">
    <w:name w:val="王鑫124"/>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04">
    <w:name w:val="王鑫44"/>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05">
    <w:name w:val="表格cm310"/>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406">
    <w:name w:val="简明型 134"/>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07">
    <w:name w:val="网格型138"/>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08">
    <w:name w:val="网格型23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09">
    <w:name w:val="网格型33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10">
    <w:name w:val="网格型43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11">
    <w:name w:val="网格型534"/>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12">
    <w:name w:val="Table Grid134"/>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13">
    <w:name w:val="中等深浅网格 3 - 强调文字颜色 134"/>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414">
    <w:name w:val="古典型 134"/>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415">
    <w:name w:val="tangfu34"/>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416">
    <w:name w:val="王鑫5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17">
    <w:name w:val="表格cm4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418">
    <w:name w:val="简明型 14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19">
    <w:name w:val="网格型14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0">
    <w:name w:val="网格型24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1">
    <w:name w:val="网格型34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2">
    <w:name w:val="网格型44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3">
    <w:name w:val="网格型54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4">
    <w:name w:val="Table Grid14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25">
    <w:name w:val="中等深浅网格 3 - 强调文字颜色 14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426">
    <w:name w:val="古典型 14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427">
    <w:name w:val="grp32"/>
    <w:basedOn w:val="77"/>
    <w:qFormat/>
    <w:uiPriority w:val="0"/>
    <w:pPr>
      <w:widowControl w:val="0"/>
      <w:jc w:val="center"/>
    </w:pPr>
    <w:tblPr>
      <w:tblBorders>
        <w:top w:val="thinThickSmallGap" w:color="003366" w:sz="12" w:space="0"/>
      </w:tblBorders>
    </w:tblPr>
    <w:tcPr>
      <w:vAlign w:val="center"/>
    </w:tcPr>
  </w:style>
  <w:style w:type="table" w:customStyle="1" w:styleId="2428">
    <w:name w:val="表格主题3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429">
    <w:name w:val="BY表格样式3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430">
    <w:name w:val="网格型 13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431">
    <w:name w:val="典雅型3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432">
    <w:name w:val="tangfu4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433">
    <w:name w:val="vc23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434">
    <w:name w:val="王鑫13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35">
    <w:name w:val="王鑫21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36">
    <w:name w:val="表格cm119"/>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437">
    <w:name w:val="简明型 111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38">
    <w:name w:val="网格型111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39">
    <w:name w:val="网格型21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40">
    <w:name w:val="网格型31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41">
    <w:name w:val="网格型41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42">
    <w:name w:val="网格型51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43">
    <w:name w:val="Table Grid111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44">
    <w:name w:val="中等深浅网格 3 - 强调文字颜色 111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445">
    <w:name w:val="古典型 111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446">
    <w:name w:val="grp112"/>
    <w:basedOn w:val="77"/>
    <w:qFormat/>
    <w:uiPriority w:val="0"/>
    <w:pPr>
      <w:widowControl w:val="0"/>
      <w:jc w:val="center"/>
    </w:pPr>
    <w:tblPr>
      <w:tblBorders>
        <w:top w:val="thinThickSmallGap" w:color="003366" w:sz="12" w:space="0"/>
      </w:tblBorders>
    </w:tblPr>
    <w:tcPr>
      <w:vAlign w:val="center"/>
    </w:tcPr>
  </w:style>
  <w:style w:type="table" w:customStyle="1" w:styleId="2447">
    <w:name w:val="表格主题11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448">
    <w:name w:val="BY表格样式11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449">
    <w:name w:val="网格型 111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450">
    <w:name w:val="典雅型11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451">
    <w:name w:val="tangfu11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452">
    <w:name w:val="vc211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453">
    <w:name w:val="王鑫111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54">
    <w:name w:val="王鑫31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55">
    <w:name w:val="表格cm21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456">
    <w:name w:val="简明型 121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57">
    <w:name w:val="网格型12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58">
    <w:name w:val="网格型22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59">
    <w:name w:val="网格型32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60">
    <w:name w:val="网格型42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61">
    <w:name w:val="网格型52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62">
    <w:name w:val="Table Grid121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63">
    <w:name w:val="中等深浅网格 3 - 强调文字颜色 121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464">
    <w:name w:val="古典型 121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465">
    <w:name w:val="grp212"/>
    <w:basedOn w:val="77"/>
    <w:qFormat/>
    <w:uiPriority w:val="0"/>
    <w:pPr>
      <w:widowControl w:val="0"/>
      <w:jc w:val="center"/>
    </w:pPr>
    <w:tblPr>
      <w:tblBorders>
        <w:top w:val="thinThickSmallGap" w:color="003366" w:sz="12" w:space="0"/>
      </w:tblBorders>
    </w:tblPr>
    <w:tcPr>
      <w:vAlign w:val="center"/>
    </w:tcPr>
  </w:style>
  <w:style w:type="table" w:customStyle="1" w:styleId="2466">
    <w:name w:val="表格主题21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467">
    <w:name w:val="BY表格样式21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468">
    <w:name w:val="网格型 121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469">
    <w:name w:val="典雅型21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470">
    <w:name w:val="tangfu21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471">
    <w:name w:val="vc221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472">
    <w:name w:val="王鑫121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73">
    <w:name w:val="王鑫41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74">
    <w:name w:val="表格cm31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475">
    <w:name w:val="简明型 131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76">
    <w:name w:val="网格型13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77">
    <w:name w:val="网格型23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78">
    <w:name w:val="网格型33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79">
    <w:name w:val="网格型43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80">
    <w:name w:val="网格型531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81">
    <w:name w:val="Table Grid131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82">
    <w:name w:val="中等深浅网格 3 - 强调文字颜色 131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483">
    <w:name w:val="古典型 131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484">
    <w:name w:val="tangfu31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485">
    <w:name w:val="王鑫6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86">
    <w:name w:val="表格cm5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487">
    <w:name w:val="简明型 15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488">
    <w:name w:val="网格型15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89">
    <w:name w:val="网格型25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90">
    <w:name w:val="网格型35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91">
    <w:name w:val="网格型45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92">
    <w:name w:val="网格型55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93">
    <w:name w:val="Table Grid15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494">
    <w:name w:val="中等深浅网格 3 - 强调文字颜色 15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495">
    <w:name w:val="古典型 15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496">
    <w:name w:val="grp42"/>
    <w:basedOn w:val="77"/>
    <w:qFormat/>
    <w:uiPriority w:val="0"/>
    <w:pPr>
      <w:widowControl w:val="0"/>
      <w:jc w:val="center"/>
    </w:pPr>
    <w:tblPr>
      <w:tblBorders>
        <w:top w:val="thinThickSmallGap" w:color="003366" w:sz="12" w:space="0"/>
      </w:tblBorders>
    </w:tblPr>
    <w:tcPr>
      <w:vAlign w:val="center"/>
    </w:tcPr>
  </w:style>
  <w:style w:type="table" w:customStyle="1" w:styleId="2497">
    <w:name w:val="表格主题4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498">
    <w:name w:val="BY表格样式4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499">
    <w:name w:val="网格型 14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500">
    <w:name w:val="典雅型4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501">
    <w:name w:val="tangfu5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502">
    <w:name w:val="vc24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503">
    <w:name w:val="王鑫14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04">
    <w:name w:val="王鑫22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05">
    <w:name w:val="表格cm12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06">
    <w:name w:val="简明型 1122"/>
    <w:basedOn w:val="76"/>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507">
    <w:name w:val="网格型11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08">
    <w:name w:val="网格型21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09">
    <w:name w:val="网格型31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10">
    <w:name w:val="网格型41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11">
    <w:name w:val="网格型51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12">
    <w:name w:val="Table Grid112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13">
    <w:name w:val="中等深浅网格 3 - 强调文字颜色 112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514">
    <w:name w:val="古典型 112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515">
    <w:name w:val="grp122"/>
    <w:basedOn w:val="77"/>
    <w:qFormat/>
    <w:uiPriority w:val="0"/>
    <w:pPr>
      <w:widowControl w:val="0"/>
      <w:jc w:val="center"/>
    </w:pPr>
    <w:tblPr>
      <w:tblBorders>
        <w:top w:val="thinThickSmallGap" w:color="003366" w:sz="12" w:space="0"/>
      </w:tblBorders>
    </w:tblPr>
    <w:tcPr>
      <w:vAlign w:val="center"/>
    </w:tcPr>
  </w:style>
  <w:style w:type="table" w:customStyle="1" w:styleId="2516">
    <w:name w:val="表格主题12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517">
    <w:name w:val="BY表格样式12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518">
    <w:name w:val="网格型 112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519">
    <w:name w:val="典雅型12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520">
    <w:name w:val="tangfu12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521">
    <w:name w:val="vc212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522">
    <w:name w:val="王鑫112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23">
    <w:name w:val="王鑫32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24">
    <w:name w:val="表格cm22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25">
    <w:name w:val="简明型 122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526">
    <w:name w:val="网格型12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27">
    <w:name w:val="网格型22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28">
    <w:name w:val="网格型32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29">
    <w:name w:val="网格型42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30">
    <w:name w:val="网格型52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31">
    <w:name w:val="Table Grid122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32">
    <w:name w:val="中等深浅网格 3 - 强调文字颜色 122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533">
    <w:name w:val="古典型 122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534">
    <w:name w:val="grp222"/>
    <w:basedOn w:val="77"/>
    <w:qFormat/>
    <w:uiPriority w:val="0"/>
    <w:pPr>
      <w:widowControl w:val="0"/>
      <w:jc w:val="center"/>
    </w:pPr>
    <w:tblPr>
      <w:tblBorders>
        <w:top w:val="thinThickSmallGap" w:color="003366" w:sz="12" w:space="0"/>
      </w:tblBorders>
    </w:tblPr>
    <w:tcPr>
      <w:vAlign w:val="center"/>
    </w:tcPr>
  </w:style>
  <w:style w:type="table" w:customStyle="1" w:styleId="2535">
    <w:name w:val="表格主题222"/>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536">
    <w:name w:val="BY表格样式222"/>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537">
    <w:name w:val="网格型 1222"/>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538">
    <w:name w:val="典雅型222"/>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539">
    <w:name w:val="tangfu22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540">
    <w:name w:val="vc2222"/>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541">
    <w:name w:val="王鑫122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2">
    <w:name w:val="王鑫42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3">
    <w:name w:val="表格cm328"/>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44">
    <w:name w:val="简明型 1322"/>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545">
    <w:name w:val="网格型13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6">
    <w:name w:val="网格型23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7">
    <w:name w:val="网格型33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8">
    <w:name w:val="网格型43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49">
    <w:name w:val="网格型5322"/>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50">
    <w:name w:val="Table Grid1322"/>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51">
    <w:name w:val="中等深浅网格 3 - 强调文字颜色 1322"/>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552">
    <w:name w:val="古典型 1322"/>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553">
    <w:name w:val="tangfu322"/>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554">
    <w:name w:val="表格cm6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55">
    <w:name w:val="表格cm13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56">
    <w:name w:val="表格cm23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57">
    <w:name w:val="表格cm33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58">
    <w:name w:val="表格cm4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59">
    <w:name w:val="表格cm11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60">
    <w:name w:val="表格cm21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61">
    <w:name w:val="表格cm31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62">
    <w:name w:val="表格cm5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63">
    <w:name w:val="表格cm12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64">
    <w:name w:val="表格cm22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65">
    <w:name w:val="表格cm3217"/>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66">
    <w:name w:val="王鑫72"/>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67">
    <w:name w:val="网格型16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68">
    <w:name w:val="网格型26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69">
    <w:name w:val="网格型36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0">
    <w:name w:val="网格型462"/>
    <w:basedOn w:val="76"/>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1">
    <w:name w:val="网格型56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2">
    <w:name w:val="网格型64"/>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3">
    <w:name w:val="王鑫152"/>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74">
    <w:name w:val="表格cm7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75">
    <w:name w:val="表格cm14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76">
    <w:name w:val="表格cm24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77">
    <w:name w:val="表格cm34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78">
    <w:name w:val="表格cm4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79">
    <w:name w:val="表格cm11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0">
    <w:name w:val="表格cm21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1">
    <w:name w:val="表格cm31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2">
    <w:name w:val="表格cm5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3">
    <w:name w:val="表格cm12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4">
    <w:name w:val="表格cm22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5">
    <w:name w:val="表格cm322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6">
    <w:name w:val="表格cm6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7">
    <w:name w:val="表格cm13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8">
    <w:name w:val="表格cm23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89">
    <w:name w:val="表格cm33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0">
    <w:name w:val="表格cm4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1">
    <w:name w:val="表格cm11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2">
    <w:name w:val="表格cm21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3">
    <w:name w:val="表格cm31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4">
    <w:name w:val="表格cm5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5">
    <w:name w:val="表格cm12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6">
    <w:name w:val="表格cm22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7">
    <w:name w:val="表格cm32116"/>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598">
    <w:name w:val="王鑫8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599">
    <w:name w:val="表格cm8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600">
    <w:name w:val="简明型 16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601">
    <w:name w:val="网格型17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2">
    <w:name w:val="网格型27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3">
    <w:name w:val="网格型37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4">
    <w:name w:val="网格型47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5">
    <w:name w:val="网格型57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6">
    <w:name w:val="Table Grid16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07">
    <w:name w:val="中等深浅网格 3 - 强调文字颜色 16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608">
    <w:name w:val="古典型 16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609">
    <w:name w:val="grp51"/>
    <w:basedOn w:val="77"/>
    <w:qFormat/>
    <w:uiPriority w:val="0"/>
    <w:pPr>
      <w:widowControl w:val="0"/>
      <w:jc w:val="center"/>
    </w:pPr>
    <w:tblPr>
      <w:tblBorders>
        <w:top w:val="thinThickSmallGap" w:color="003366" w:sz="12" w:space="0"/>
      </w:tblBorders>
    </w:tblPr>
    <w:tcPr>
      <w:vAlign w:val="center"/>
    </w:tcPr>
  </w:style>
  <w:style w:type="table" w:customStyle="1" w:styleId="2610">
    <w:name w:val="表格主题5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611">
    <w:name w:val="BY表格样式5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612">
    <w:name w:val="网格型 15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613">
    <w:name w:val="典雅型5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614">
    <w:name w:val="tangfu6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615">
    <w:name w:val="vc25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616">
    <w:name w:val="ZX51"/>
    <w:basedOn w:val="77"/>
    <w:qFormat/>
    <w:uiPriority w:val="0"/>
    <w:pPr>
      <w:widowControl w:val="0"/>
      <w:jc w:val="both"/>
    </w:pPr>
    <w:tblPr>
      <w:tblBorders>
        <w:top w:val="thinThickSmallGap" w:color="003366" w:sz="24" w:space="0"/>
        <w:bottom w:val="single" w:color="003366" w:sz="4" w:space="0"/>
        <w:insideH w:val="single" w:color="003366" w:sz="4" w:space="0"/>
        <w:insideV w:val="single" w:color="003366" w:sz="4" w:space="0"/>
      </w:tblBorders>
    </w:tblPr>
  </w:style>
  <w:style w:type="table" w:customStyle="1" w:styleId="2617">
    <w:name w:val="王鑫16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18">
    <w:name w:val="王鑫23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19">
    <w:name w:val="表格cm15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620">
    <w:name w:val="简明型 113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621">
    <w:name w:val="网格型11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22">
    <w:name w:val="网格型21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23">
    <w:name w:val="网格型31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24">
    <w:name w:val="网格型41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25">
    <w:name w:val="网格型51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26">
    <w:name w:val="Table Grid113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27">
    <w:name w:val="中等深浅网格 3 - 强调文字颜色 113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628">
    <w:name w:val="古典型 113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629">
    <w:name w:val="grp131"/>
    <w:basedOn w:val="77"/>
    <w:qFormat/>
    <w:uiPriority w:val="0"/>
    <w:pPr>
      <w:widowControl w:val="0"/>
      <w:jc w:val="center"/>
    </w:pPr>
    <w:tblPr>
      <w:tblBorders>
        <w:top w:val="thinThickSmallGap" w:color="003366" w:sz="12" w:space="0"/>
      </w:tblBorders>
    </w:tblPr>
    <w:tcPr>
      <w:vAlign w:val="center"/>
    </w:tcPr>
  </w:style>
  <w:style w:type="table" w:customStyle="1" w:styleId="2630">
    <w:name w:val="表格主题13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631">
    <w:name w:val="BY表格样式13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632">
    <w:name w:val="网格型 113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633">
    <w:name w:val="典雅型13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634">
    <w:name w:val="tangfu13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635">
    <w:name w:val="vc213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636">
    <w:name w:val="王鑫113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37">
    <w:name w:val="王鑫33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38">
    <w:name w:val="表格cm25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639">
    <w:name w:val="简明型 123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640">
    <w:name w:val="网格型12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1">
    <w:name w:val="网格型22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2">
    <w:name w:val="网格型32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3">
    <w:name w:val="网格型42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4">
    <w:name w:val="网格型52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5">
    <w:name w:val="Table Grid123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46">
    <w:name w:val="中等深浅网格 3 - 强调文字颜色 123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647">
    <w:name w:val="古典型 123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648">
    <w:name w:val="grp231"/>
    <w:basedOn w:val="77"/>
    <w:qFormat/>
    <w:uiPriority w:val="0"/>
    <w:pPr>
      <w:widowControl w:val="0"/>
      <w:jc w:val="center"/>
    </w:pPr>
    <w:tblPr>
      <w:tblBorders>
        <w:top w:val="thinThickSmallGap" w:color="003366" w:sz="12" w:space="0"/>
      </w:tblBorders>
    </w:tblPr>
    <w:tcPr>
      <w:vAlign w:val="center"/>
    </w:tcPr>
  </w:style>
  <w:style w:type="table" w:customStyle="1" w:styleId="2649">
    <w:name w:val="表格主题23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650">
    <w:name w:val="BY表格样式23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651">
    <w:name w:val="网格型 123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652">
    <w:name w:val="典雅型23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653">
    <w:name w:val="tangfu23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654">
    <w:name w:val="vc223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655">
    <w:name w:val="王鑫123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56">
    <w:name w:val="王鑫43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57">
    <w:name w:val="表格cm35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658">
    <w:name w:val="简明型 133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659">
    <w:name w:val="网格型13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60">
    <w:name w:val="网格型23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61">
    <w:name w:val="网格型33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62">
    <w:name w:val="网格型43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63">
    <w:name w:val="网格型533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64">
    <w:name w:val="Table Grid133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65">
    <w:name w:val="中等深浅网格 3 - 强调文字颜色 133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666">
    <w:name w:val="古典型 133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667">
    <w:name w:val="tangfu33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668">
    <w:name w:val="王鑫5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69">
    <w:name w:val="表格cm4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670">
    <w:name w:val="简明型 14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671">
    <w:name w:val="网格型14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72">
    <w:name w:val="网格型24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73">
    <w:name w:val="网格型34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74">
    <w:name w:val="网格型44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75">
    <w:name w:val="网格型54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76">
    <w:name w:val="Table Grid14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77">
    <w:name w:val="中等深浅网格 3 - 强调文字颜色 14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678">
    <w:name w:val="古典型 14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679">
    <w:name w:val="grp311"/>
    <w:basedOn w:val="77"/>
    <w:qFormat/>
    <w:uiPriority w:val="0"/>
    <w:pPr>
      <w:widowControl w:val="0"/>
      <w:jc w:val="center"/>
    </w:pPr>
    <w:tblPr>
      <w:tblBorders>
        <w:top w:val="thinThickSmallGap" w:color="003366" w:sz="12" w:space="0"/>
      </w:tblBorders>
    </w:tblPr>
    <w:tcPr>
      <w:vAlign w:val="center"/>
    </w:tcPr>
  </w:style>
  <w:style w:type="table" w:customStyle="1" w:styleId="2680">
    <w:name w:val="表格主题3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681">
    <w:name w:val="BY表格样式3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682">
    <w:name w:val="网格型 13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683">
    <w:name w:val="典雅型3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684">
    <w:name w:val="tangfu4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685">
    <w:name w:val="vc23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686">
    <w:name w:val="王鑫13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87">
    <w:name w:val="王鑫21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88">
    <w:name w:val="表格cm11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689">
    <w:name w:val="简明型 111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690">
    <w:name w:val="网格型11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1">
    <w:name w:val="网格型21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2">
    <w:name w:val="网格型31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3">
    <w:name w:val="网格型41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4">
    <w:name w:val="网格型51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5">
    <w:name w:val="Table Grid111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696">
    <w:name w:val="中等深浅网格 3 - 强调文字颜色 111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697">
    <w:name w:val="古典型 111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698">
    <w:name w:val="grp1111"/>
    <w:basedOn w:val="77"/>
    <w:qFormat/>
    <w:uiPriority w:val="0"/>
    <w:pPr>
      <w:widowControl w:val="0"/>
      <w:jc w:val="center"/>
    </w:pPr>
    <w:tblPr>
      <w:tblBorders>
        <w:top w:val="thinThickSmallGap" w:color="003366" w:sz="12" w:space="0"/>
      </w:tblBorders>
    </w:tblPr>
    <w:tcPr>
      <w:vAlign w:val="center"/>
    </w:tcPr>
  </w:style>
  <w:style w:type="table" w:customStyle="1" w:styleId="2699">
    <w:name w:val="表格主题11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700">
    <w:name w:val="BY表格样式11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701">
    <w:name w:val="网格型 111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702">
    <w:name w:val="典雅型11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703">
    <w:name w:val="tangfu11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704">
    <w:name w:val="vc211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705">
    <w:name w:val="王鑫111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06">
    <w:name w:val="王鑫31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07">
    <w:name w:val="表格cm21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708">
    <w:name w:val="简明型 121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709">
    <w:name w:val="网格型12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10">
    <w:name w:val="网格型22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11">
    <w:name w:val="网格型32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12">
    <w:name w:val="网格型42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13">
    <w:name w:val="网格型52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14">
    <w:name w:val="Table Grid121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15">
    <w:name w:val="中等深浅网格 3 - 强调文字颜色 121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716">
    <w:name w:val="古典型 121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717">
    <w:name w:val="grp2111"/>
    <w:basedOn w:val="77"/>
    <w:qFormat/>
    <w:uiPriority w:val="0"/>
    <w:pPr>
      <w:widowControl w:val="0"/>
      <w:jc w:val="center"/>
    </w:pPr>
    <w:tblPr>
      <w:tblBorders>
        <w:top w:val="thinThickSmallGap" w:color="003366" w:sz="12" w:space="0"/>
      </w:tblBorders>
    </w:tblPr>
    <w:tcPr>
      <w:vAlign w:val="center"/>
    </w:tcPr>
  </w:style>
  <w:style w:type="table" w:customStyle="1" w:styleId="2718">
    <w:name w:val="表格主题21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719">
    <w:name w:val="BY表格样式21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720">
    <w:name w:val="网格型 121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721">
    <w:name w:val="典雅型21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722">
    <w:name w:val="tangfu21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723">
    <w:name w:val="vc221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724">
    <w:name w:val="王鑫121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25">
    <w:name w:val="王鑫41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26">
    <w:name w:val="表格cm31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727">
    <w:name w:val="简明型 131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728">
    <w:name w:val="网格型13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29">
    <w:name w:val="网格型23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30">
    <w:name w:val="网格型33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31">
    <w:name w:val="网格型43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32">
    <w:name w:val="网格型531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33">
    <w:name w:val="Table Grid131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34">
    <w:name w:val="中等深浅网格 3 - 强调文字颜色 131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735">
    <w:name w:val="古典型 131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736">
    <w:name w:val="tangfu31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737">
    <w:name w:val="王鑫6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38">
    <w:name w:val="表格cm5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739">
    <w:name w:val="简明型 15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740">
    <w:name w:val="网格型15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41">
    <w:name w:val="网格型25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42">
    <w:name w:val="网格型35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43">
    <w:name w:val="网格型45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44">
    <w:name w:val="网格型55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45">
    <w:name w:val="Table Grid15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46">
    <w:name w:val="中等深浅网格 3 - 强调文字颜色 15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747">
    <w:name w:val="古典型 15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748">
    <w:name w:val="grp411"/>
    <w:basedOn w:val="77"/>
    <w:qFormat/>
    <w:uiPriority w:val="0"/>
    <w:pPr>
      <w:widowControl w:val="0"/>
      <w:jc w:val="center"/>
    </w:pPr>
    <w:tblPr>
      <w:tblBorders>
        <w:top w:val="thinThickSmallGap" w:color="003366" w:sz="12" w:space="0"/>
      </w:tblBorders>
    </w:tblPr>
    <w:tcPr>
      <w:vAlign w:val="center"/>
    </w:tcPr>
  </w:style>
  <w:style w:type="table" w:customStyle="1" w:styleId="2749">
    <w:name w:val="表格主题4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750">
    <w:name w:val="BY表格样式4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751">
    <w:name w:val="网格型 14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752">
    <w:name w:val="典雅型4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753">
    <w:name w:val="tangfu5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754">
    <w:name w:val="vc24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755">
    <w:name w:val="王鑫14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56">
    <w:name w:val="王鑫22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57">
    <w:name w:val="表格cm12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758">
    <w:name w:val="简明型 112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759">
    <w:name w:val="网格型11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60">
    <w:name w:val="网格型21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61">
    <w:name w:val="网格型31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62">
    <w:name w:val="网格型41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63">
    <w:name w:val="网格型51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64">
    <w:name w:val="Table Grid112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65">
    <w:name w:val="中等深浅网格 3 - 强调文字颜色 112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766">
    <w:name w:val="古典型 112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767">
    <w:name w:val="grp1211"/>
    <w:basedOn w:val="77"/>
    <w:qFormat/>
    <w:uiPriority w:val="0"/>
    <w:pPr>
      <w:widowControl w:val="0"/>
      <w:jc w:val="center"/>
    </w:pPr>
    <w:tblPr>
      <w:tblBorders>
        <w:top w:val="thinThickSmallGap" w:color="003366" w:sz="12" w:space="0"/>
      </w:tblBorders>
    </w:tblPr>
    <w:tcPr>
      <w:vAlign w:val="center"/>
    </w:tcPr>
  </w:style>
  <w:style w:type="table" w:customStyle="1" w:styleId="2768">
    <w:name w:val="表格主题12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769">
    <w:name w:val="BY表格样式12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770">
    <w:name w:val="网格型 112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771">
    <w:name w:val="典雅型12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772">
    <w:name w:val="tangfu12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773">
    <w:name w:val="vc212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774">
    <w:name w:val="王鑫112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75">
    <w:name w:val="王鑫32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76">
    <w:name w:val="表格cm22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777">
    <w:name w:val="简明型 122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778">
    <w:name w:val="网格型12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79">
    <w:name w:val="网格型22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80">
    <w:name w:val="网格型32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81">
    <w:name w:val="网格型42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82">
    <w:name w:val="网格型52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83">
    <w:name w:val="Table Grid122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84">
    <w:name w:val="中等深浅网格 3 - 强调文字颜色 122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785">
    <w:name w:val="古典型 122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786">
    <w:name w:val="grp2211"/>
    <w:basedOn w:val="77"/>
    <w:qFormat/>
    <w:uiPriority w:val="0"/>
    <w:pPr>
      <w:widowControl w:val="0"/>
      <w:jc w:val="center"/>
    </w:pPr>
    <w:tblPr>
      <w:tblBorders>
        <w:top w:val="thinThickSmallGap" w:color="003366" w:sz="12" w:space="0"/>
      </w:tblBorders>
    </w:tblPr>
    <w:tcPr>
      <w:vAlign w:val="center"/>
    </w:tcPr>
  </w:style>
  <w:style w:type="table" w:customStyle="1" w:styleId="2787">
    <w:name w:val="表格主题2211"/>
    <w:basedOn w:val="76"/>
    <w:qFormat/>
    <w:uiPriority w:val="0"/>
    <w:pPr>
      <w:widowControl w:val="0"/>
      <w:spacing w:line="30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cantSplit/>
    </w:trPr>
  </w:style>
  <w:style w:type="table" w:customStyle="1" w:styleId="2788">
    <w:name w:val="BY表格样式2211"/>
    <w:basedOn w:val="78"/>
    <w:qFormat/>
    <w:uiPriority w:val="0"/>
    <w:pPr>
      <w:spacing w:line="300" w:lineRule="auto"/>
    </w:pPr>
    <w:tblPr>
      <w:tblBorders>
        <w:top w:val="thinThickSmallGap" w:color="auto" w:sz="24" w:space="0"/>
        <w:bottom w:val="thickThinSmallGap" w:color="auto" w:sz="24" w:space="0"/>
        <w:insideH w:val="single" w:color="auto" w:sz="6" w:space="0"/>
        <w:insideV w:val="single" w:color="auto" w:sz="6" w:space="0"/>
      </w:tblBorders>
      <w:tblCellMar>
        <w:top w:w="28" w:type="dxa"/>
        <w:bottom w:w="28" w:type="dxa"/>
      </w:tblCellMar>
    </w:tblPr>
    <w:trPr>
      <w:cantSplit/>
    </w:trPr>
  </w:style>
  <w:style w:type="table" w:customStyle="1" w:styleId="2789">
    <w:name w:val="网格型 12211"/>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2790">
    <w:name w:val="典雅型221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2791">
    <w:name w:val="tangfu22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792">
    <w:name w:val="vc22211"/>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2793">
    <w:name w:val="王鑫122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94">
    <w:name w:val="王鑫42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95">
    <w:name w:val="表格cm323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796">
    <w:name w:val="简明型 13211"/>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2797">
    <w:name w:val="网格型13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98">
    <w:name w:val="网格型23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799">
    <w:name w:val="网格型33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00">
    <w:name w:val="网格型43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01">
    <w:name w:val="网格型53211"/>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02">
    <w:name w:val="Table Grid13211"/>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03">
    <w:name w:val="中等深浅网格 3 - 强调文字颜色 13211"/>
    <w:basedOn w:val="76"/>
    <w:qFormat/>
    <w:uiPriority w:val="69"/>
    <w:rPr>
      <w:sz w:val="24"/>
      <w:szCs w:val="24"/>
      <w:lang w:eastAsia="en-US"/>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2804">
    <w:name w:val="古典型 13211"/>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2805">
    <w:name w:val="tangfu3211"/>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2806">
    <w:name w:val="表格cm6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07">
    <w:name w:val="表格cm13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08">
    <w:name w:val="表格cm23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09">
    <w:name w:val="表格cm33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0">
    <w:name w:val="表格cm4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1">
    <w:name w:val="表格cm11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2">
    <w:name w:val="表格cm21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3">
    <w:name w:val="表格cm31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4">
    <w:name w:val="表格cm5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5">
    <w:name w:val="表格cm12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6">
    <w:name w:val="表格cm22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7">
    <w:name w:val="表格cm3212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18">
    <w:name w:val="王鑫711"/>
    <w:basedOn w:val="7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19">
    <w:name w:val="网格型16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20">
    <w:name w:val="网格型26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21">
    <w:name w:val="网格型36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22">
    <w:name w:val="网格型4611"/>
    <w:basedOn w:val="76"/>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23">
    <w:name w:val="网格型56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24">
    <w:name w:val="网格型6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25">
    <w:name w:val="王鑫151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26">
    <w:name w:val="表格cm7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27">
    <w:name w:val="表格cm14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28">
    <w:name w:val="表格cm24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29">
    <w:name w:val="表格cm34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0">
    <w:name w:val="表格cm4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1">
    <w:name w:val="表格cm11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2">
    <w:name w:val="表格cm21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3">
    <w:name w:val="表格cm31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4">
    <w:name w:val="表格cm5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5">
    <w:name w:val="表格cm12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6">
    <w:name w:val="表格cm22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7">
    <w:name w:val="表格cm322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8">
    <w:name w:val="表格cm6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39">
    <w:name w:val="表格cm13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0">
    <w:name w:val="表格cm23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1">
    <w:name w:val="表格cm33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2">
    <w:name w:val="表格cm4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3">
    <w:name w:val="表格cm11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4">
    <w:name w:val="表格cm21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5">
    <w:name w:val="表格cm31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6">
    <w:name w:val="表格cm5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7">
    <w:name w:val="表格cm12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8">
    <w:name w:val="表格cm22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49">
    <w:name w:val="表格cm321115"/>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850">
    <w:name w:val="网格型7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851">
    <w:name w:val="网格型8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852">
    <w:name w:val="网格型9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853">
    <w:name w:val="网格型102"/>
    <w:basedOn w:val="76"/>
    <w:qFormat/>
    <w:uiPriority w:val="59"/>
    <w:rPr>
      <w:kern w:val="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54">
    <w:name w:val="网格型182"/>
    <w:basedOn w:val="76"/>
    <w:qFormat/>
    <w:uiPriority w:val="59"/>
    <w:rPr>
      <w:kern w:val="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55">
    <w:name w:val="王鑫9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56">
    <w:name w:val="王鑫101"/>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57">
    <w:name w:val="网格型19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58">
    <w:name w:val="网格型110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859">
    <w:name w:val="网格型114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0">
    <w:name w:val="网格型28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1">
    <w:name w:val="网格型124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862">
    <w:name w:val="网格型1112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3">
    <w:name w:val="网格型38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4">
    <w:name w:val="网格型48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5">
    <w:name w:val="典雅型61"/>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66">
    <w:name w:val="表格主题61"/>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7">
    <w:name w:val="网格型58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8">
    <w:name w:val="网格型134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69">
    <w:name w:val="表格主题14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0">
    <w:name w:val="典雅型14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71">
    <w:name w:val="网格型214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2">
    <w:name w:val="表格主题24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3">
    <w:name w:val="典雅型24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74">
    <w:name w:val="网格型20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5">
    <w:name w:val="附注表格6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876">
    <w:name w:val="网格型115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877">
    <w:name w:val="网格型116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8">
    <w:name w:val="网格型29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79">
    <w:name w:val="附注表格13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880">
    <w:name w:val="网格型125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881">
    <w:name w:val="网格型1113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2">
    <w:name w:val="网格型39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3">
    <w:name w:val="网格型49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4">
    <w:name w:val="典雅型71"/>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85">
    <w:name w:val="表格主题71"/>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6">
    <w:name w:val="网格型59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87">
    <w:name w:val="附注表格11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888">
    <w:name w:val="附注表格2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889">
    <w:name w:val="网格型135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0">
    <w:name w:val="附注表格3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891">
    <w:name w:val="表格主题15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2">
    <w:name w:val="典雅型15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93">
    <w:name w:val="网格型215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4">
    <w:name w:val="附注表格4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895">
    <w:name w:val="表格主题25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96">
    <w:name w:val="典雅型25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897">
    <w:name w:val="附注表格12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898">
    <w:name w:val="附注表格21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899">
    <w:name w:val="附注表格51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00">
    <w:name w:val="网格型30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1">
    <w:name w:val="网格型117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902">
    <w:name w:val="网格型118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3">
    <w:name w:val="网格型210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4">
    <w:name w:val="网格型126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905">
    <w:name w:val="网格型1114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6">
    <w:name w:val="网格型310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7">
    <w:name w:val="网格型410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08">
    <w:name w:val="典雅型81"/>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909">
    <w:name w:val="表格主题81"/>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0">
    <w:name w:val="网格型510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1">
    <w:name w:val="网格型136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2">
    <w:name w:val="表格主题16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3">
    <w:name w:val="典雅型16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914">
    <w:name w:val="网格型216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5">
    <w:name w:val="表格主题26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6">
    <w:name w:val="典雅型26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917">
    <w:name w:val="网格型40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18">
    <w:name w:val="附注表格7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919">
    <w:name w:val="网格型119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920">
    <w:name w:val="网格型1110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1">
    <w:name w:val="网格型2171"/>
    <w:basedOn w:val="76"/>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2">
    <w:name w:val="附注表格14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trPr>
      <w:tblHeader/>
    </w:trPr>
  </w:style>
  <w:style w:type="table" w:customStyle="1" w:styleId="2923">
    <w:name w:val="网格型1272"/>
    <w:basedOn w:val="76"/>
    <w:qFormat/>
    <w:uiPriority w:val="5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924">
    <w:name w:val="网格型11151"/>
    <w:basedOn w:val="7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5">
    <w:name w:val="网格型314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6">
    <w:name w:val="网格型414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7">
    <w:name w:val="典雅型91"/>
    <w:basedOn w:val="76"/>
    <w:semiHidden/>
    <w:unhideWhenUsed/>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928">
    <w:name w:val="表格主题91"/>
    <w:basedOn w:val="76"/>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29">
    <w:name w:val="网格型514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30">
    <w:name w:val="附注表格11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31">
    <w:name w:val="附注表格23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32">
    <w:name w:val="网格型137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33">
    <w:name w:val="附注表格3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34">
    <w:name w:val="表格主题17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35">
    <w:name w:val="典雅型17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936">
    <w:name w:val="网格型218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37">
    <w:name w:val="附注表格4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38">
    <w:name w:val="表格主题271"/>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39">
    <w:name w:val="典雅型271"/>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blStylePr w:type="firstRow">
      <w:rPr>
        <w:caps/>
        <w:color w:val="auto"/>
      </w:rPr>
      <w:tcPr>
        <w:tcBorders>
          <w:tl2br w:val="nil"/>
          <w:tr2bl w:val="nil"/>
        </w:tcBorders>
      </w:tcPr>
    </w:tblStylePr>
  </w:style>
  <w:style w:type="table" w:customStyle="1" w:styleId="2940">
    <w:name w:val="附注表格12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41">
    <w:name w:val="附注表格21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42">
    <w:name w:val="附注表格521"/>
    <w:basedOn w:val="76"/>
    <w:qFormat/>
    <w:uiPriority w:val="0"/>
    <w:pPr>
      <w:jc w:val="center"/>
    </w:pPr>
    <w:rPr>
      <w:szCs w:val="21"/>
    </w:rPr>
    <w:tblPr>
      <w:tblBorders>
        <w:top w:val="single" w:color="auto" w:sz="4" w:space="0"/>
        <w:bottom w:val="single" w:color="auto" w:sz="4" w:space="0"/>
        <w:insideH w:val="dotted" w:color="auto" w:sz="4" w:space="0"/>
        <w:insideV w:val="dotted" w:color="auto" w:sz="4" w:space="0"/>
      </w:tblBorders>
    </w:tblPr>
  </w:style>
  <w:style w:type="table" w:customStyle="1" w:styleId="2943">
    <w:name w:val="表格cm36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44">
    <w:name w:val="表格cm314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45">
    <w:name w:val="表格cm324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46">
    <w:name w:val="表格cm33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47">
    <w:name w:val="表格cm311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48">
    <w:name w:val="表格cm3213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49">
    <w:name w:val="表格cm34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0">
    <w:name w:val="表格cm312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1">
    <w:name w:val="表格cm322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2">
    <w:name w:val="表格cm33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3">
    <w:name w:val="表格cm311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4">
    <w:name w:val="表格cm32112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5">
    <w:name w:val="表格cm35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6">
    <w:name w:val="表格cm313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7">
    <w:name w:val="表格cm323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8">
    <w:name w:val="表格cm33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59">
    <w:name w:val="表格cm311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0">
    <w:name w:val="表格cm3212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1">
    <w:name w:val="表格cm34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2">
    <w:name w:val="表格cm312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3">
    <w:name w:val="表格cm322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4">
    <w:name w:val="表格cm33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5">
    <w:name w:val="表格cm311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6">
    <w:name w:val="表格cm3211113"/>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67">
    <w:name w:val="网格型502"/>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68">
    <w:name w:val="网格型602"/>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69">
    <w:name w:val="网格型622"/>
    <w:basedOn w:val="76"/>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70">
    <w:name w:val="表格cm9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1">
    <w:name w:val="表格cm16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2">
    <w:name w:val="表格cm26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3">
    <w:name w:val="表格cm4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4">
    <w:name w:val="表格cm1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5">
    <w:name w:val="表格cm2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6">
    <w:name w:val="表格cm5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7">
    <w:name w:val="表格cm12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8">
    <w:name w:val="表格cm22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79">
    <w:name w:val="表格cm6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0">
    <w:name w:val="表格cm13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1">
    <w:name w:val="表格cm23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2">
    <w:name w:val="表格cm4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3">
    <w:name w:val="表格cm1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4">
    <w:name w:val="表格cm2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5">
    <w:name w:val="表格cm5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6">
    <w:name w:val="表格cm12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7">
    <w:name w:val="表格cm22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8">
    <w:name w:val="表格cm7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89">
    <w:name w:val="表格cm14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0">
    <w:name w:val="表格cm24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1">
    <w:name w:val="表格cm4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2">
    <w:name w:val="表格cm1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3">
    <w:name w:val="表格cm2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4">
    <w:name w:val="表格cm5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5">
    <w:name w:val="表格cm12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6">
    <w:name w:val="表格cm22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7">
    <w:name w:val="表格cm6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8">
    <w:name w:val="表格cm13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2999">
    <w:name w:val="表格cm23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0">
    <w:name w:val="表格cm4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1">
    <w:name w:val="表格cm1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2">
    <w:name w:val="表格cm2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3">
    <w:name w:val="表格cm5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4">
    <w:name w:val="表格cm12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5">
    <w:name w:val="表格cm22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6">
    <w:name w:val="表格cm8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7">
    <w:name w:val="表格cm15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8">
    <w:name w:val="表格cm25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09">
    <w:name w:val="表格cm4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0">
    <w:name w:val="表格cm11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1">
    <w:name w:val="表格cm21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2">
    <w:name w:val="表格cm5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3">
    <w:name w:val="表格cm12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4">
    <w:name w:val="表格cm223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5">
    <w:name w:val="表格cm6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6">
    <w:name w:val="表格cm13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7">
    <w:name w:val="表格cm23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8">
    <w:name w:val="表格cm4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19">
    <w:name w:val="表格cm11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0">
    <w:name w:val="表格cm21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1">
    <w:name w:val="表格cm5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2">
    <w:name w:val="表格cm12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3">
    <w:name w:val="表格cm2212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4">
    <w:name w:val="表格cm7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5">
    <w:name w:val="表格cm14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6">
    <w:name w:val="表格cm24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7">
    <w:name w:val="表格cm4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8">
    <w:name w:val="表格cm11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29">
    <w:name w:val="表格cm21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0">
    <w:name w:val="表格cm5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1">
    <w:name w:val="表格cm12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2">
    <w:name w:val="表格cm222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3">
    <w:name w:val="表格cm6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4">
    <w:name w:val="表格cm13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5">
    <w:name w:val="表格cm23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6">
    <w:name w:val="表格cm4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7">
    <w:name w:val="表格cm11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8">
    <w:name w:val="表格cm21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39">
    <w:name w:val="表格cm5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0">
    <w:name w:val="表格cm12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1">
    <w:name w:val="表格cm221111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2">
    <w:name w:val="表格cm10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3">
    <w:name w:val="表格cm17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4">
    <w:name w:val="表格cm27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5">
    <w:name w:val="表格cm37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6">
    <w:name w:val="表格cm4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7">
    <w:name w:val="表格cm11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8">
    <w:name w:val="表格cm21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49">
    <w:name w:val="表格cm31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0">
    <w:name w:val="表格cm5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1">
    <w:name w:val="表格cm12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2">
    <w:name w:val="表格cm22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3">
    <w:name w:val="表格cm325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4">
    <w:name w:val="表格cm6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5">
    <w:name w:val="表格cm13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6">
    <w:name w:val="表格cm23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7">
    <w:name w:val="表格cm33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8">
    <w:name w:val="表格cm4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59">
    <w:name w:val="表格cm11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0">
    <w:name w:val="表格cm21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1">
    <w:name w:val="表格cm31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2">
    <w:name w:val="表格cm5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3">
    <w:name w:val="表格cm12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4">
    <w:name w:val="表格cm22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5">
    <w:name w:val="表格cm3214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6">
    <w:name w:val="表格cm7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7">
    <w:name w:val="表格cm14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8">
    <w:name w:val="表格cm24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69">
    <w:name w:val="表格cm34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0">
    <w:name w:val="表格cm4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1">
    <w:name w:val="表格cm11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2">
    <w:name w:val="表格cm21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3">
    <w:name w:val="表格cm31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4">
    <w:name w:val="表格cm5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5">
    <w:name w:val="表格cm12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6">
    <w:name w:val="表格cm22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7">
    <w:name w:val="表格cm322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8">
    <w:name w:val="表格cm6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79">
    <w:name w:val="表格cm13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0">
    <w:name w:val="表格cm23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1">
    <w:name w:val="表格cm33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2">
    <w:name w:val="表格cm4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3">
    <w:name w:val="表格cm11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4">
    <w:name w:val="表格cm21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5">
    <w:name w:val="表格cm31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6">
    <w:name w:val="表格cm5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7">
    <w:name w:val="表格cm12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8">
    <w:name w:val="表格cm22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89">
    <w:name w:val="表格cm32113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0">
    <w:name w:val="表格cm8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1">
    <w:name w:val="表格cm15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2">
    <w:name w:val="表格cm25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3">
    <w:name w:val="表格cm35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4">
    <w:name w:val="表格cm4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5">
    <w:name w:val="表格cm11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6">
    <w:name w:val="表格cm21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7">
    <w:name w:val="表格cm31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8">
    <w:name w:val="表格cm5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099">
    <w:name w:val="表格cm12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0">
    <w:name w:val="表格cm22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1">
    <w:name w:val="表格cm323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2">
    <w:name w:val="表格cm6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3">
    <w:name w:val="表格cm13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4">
    <w:name w:val="表格cm23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5">
    <w:name w:val="表格cm33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6">
    <w:name w:val="表格cm4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7">
    <w:name w:val="表格cm11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8">
    <w:name w:val="表格cm21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09">
    <w:name w:val="表格cm31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0">
    <w:name w:val="表格cm5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1">
    <w:name w:val="表格cm12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2">
    <w:name w:val="表格cm22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3">
    <w:name w:val="表格cm3212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4">
    <w:name w:val="表格cm7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5">
    <w:name w:val="表格cm14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6">
    <w:name w:val="表格cm24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7">
    <w:name w:val="表格cm34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8">
    <w:name w:val="表格cm4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19">
    <w:name w:val="表格cm11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0">
    <w:name w:val="表格cm21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1">
    <w:name w:val="表格cm31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2">
    <w:name w:val="表格cm5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3">
    <w:name w:val="表格cm12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4">
    <w:name w:val="表格cm22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5">
    <w:name w:val="表格cm322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6">
    <w:name w:val="表格cm6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7">
    <w:name w:val="表格cm13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8">
    <w:name w:val="表格cm23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29">
    <w:name w:val="表格cm33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30">
    <w:name w:val="表格cm4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31">
    <w:name w:val="表格cm11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32">
    <w:name w:val="表格cm21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33">
    <w:name w:val="表格cm31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table" w:customStyle="1" w:styleId="3134">
    <w:name w:val="表格cm511122"/>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character" w:customStyle="1" w:styleId="3135">
    <w:name w:val="fontstyle01"/>
    <w:basedOn w:val="83"/>
    <w:qFormat/>
    <w:uiPriority w:val="0"/>
    <w:rPr>
      <w:rFonts w:hint="default" w:ascii="FZFSJW--GB1-0" w:hAnsi="FZFSJW--GB1-0"/>
      <w:color w:val="000000"/>
      <w:sz w:val="24"/>
      <w:szCs w:val="24"/>
    </w:rPr>
  </w:style>
  <w:style w:type="character" w:customStyle="1" w:styleId="3136">
    <w:name w:val="fontstyle21"/>
    <w:basedOn w:val="83"/>
    <w:qFormat/>
    <w:uiPriority w:val="0"/>
    <w:rPr>
      <w:rFonts w:hint="default" w:ascii="TimesNewRomanPSMT" w:hAnsi="TimesNewRomanPSMT"/>
      <w:color w:val="000000"/>
      <w:sz w:val="24"/>
      <w:szCs w:val="24"/>
    </w:rPr>
  </w:style>
  <w:style w:type="character" w:customStyle="1" w:styleId="3137">
    <w:name w:val="fontstyle11"/>
    <w:basedOn w:val="83"/>
    <w:qFormat/>
    <w:uiPriority w:val="0"/>
    <w:rPr>
      <w:rFonts w:hint="default" w:ascii="TimesNewRomanPS-BoldMT" w:hAnsi="TimesNewRomanPS-BoldMT"/>
      <w:b/>
      <w:bCs/>
      <w:color w:val="000000"/>
      <w:sz w:val="24"/>
      <w:szCs w:val="24"/>
    </w:rPr>
  </w:style>
  <w:style w:type="character" w:customStyle="1" w:styleId="3138">
    <w:name w:val="fontstyle31"/>
    <w:basedOn w:val="83"/>
    <w:qFormat/>
    <w:uiPriority w:val="0"/>
    <w:rPr>
      <w:rFonts w:hint="default" w:ascii="TimesNewRomanPSMT" w:hAnsi="TimesNewRomanPSMT"/>
      <w:color w:val="000000"/>
      <w:sz w:val="24"/>
      <w:szCs w:val="24"/>
    </w:rPr>
  </w:style>
  <w:style w:type="character" w:customStyle="1" w:styleId="3139">
    <w:name w:val="bg正文 Char1"/>
    <w:link w:val="3140"/>
    <w:qFormat/>
    <w:uiPriority w:val="0"/>
    <w:rPr>
      <w:kern w:val="2"/>
      <w:sz w:val="24"/>
    </w:rPr>
  </w:style>
  <w:style w:type="paragraph" w:customStyle="1" w:styleId="3140">
    <w:name w:val="bg正文"/>
    <w:basedOn w:val="1"/>
    <w:link w:val="3139"/>
    <w:qFormat/>
    <w:uiPriority w:val="0"/>
    <w:pPr>
      <w:spacing w:before="0" w:beforeLines="0"/>
      <w:jc w:val="both"/>
    </w:pPr>
    <w:rPr>
      <w:rFonts w:ascii="Calibri" w:hAnsi="Calibri" w:cs="Times New Roman"/>
      <w:kern w:val="2"/>
      <w:szCs w:val="20"/>
    </w:rPr>
  </w:style>
  <w:style w:type="paragraph" w:customStyle="1" w:styleId="3141">
    <w:name w:val="pagenumber"/>
    <w:basedOn w:val="1"/>
    <w:qFormat/>
    <w:uiPriority w:val="0"/>
    <w:pPr>
      <w:widowControl/>
      <w:spacing w:before="100" w:beforeLines="0" w:beforeAutospacing="1" w:after="100" w:afterAutospacing="1" w:line="240" w:lineRule="auto"/>
      <w:ind w:firstLine="0" w:firstLineChars="0"/>
    </w:pPr>
    <w:rPr>
      <w:rFonts w:ascii="宋体" w:hAnsi="宋体"/>
    </w:rPr>
  </w:style>
  <w:style w:type="table" w:customStyle="1" w:styleId="3142">
    <w:name w:val="网格型65"/>
    <w:basedOn w:val="7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143">
    <w:name w:val="典雅型19"/>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3144">
    <w:name w:val="古典型 18"/>
    <w:basedOn w:val="76"/>
    <w:qFormat/>
    <w:uiPriority w:val="0"/>
    <w:pPr>
      <w:widowControl w:val="0"/>
      <w:jc w:val="both"/>
    </w:pPr>
    <w:tblPr>
      <w:tblBorders>
        <w:top w:val="single" w:color="000000" w:sz="12" w:space="0"/>
        <w:left w:val="single" w:color="000000" w:sz="2" w:space="0"/>
        <w:bottom w:val="single" w:color="000000" w:sz="12" w:space="0"/>
        <w:right w:val="single" w:color="000000" w:sz="2" w:space="0"/>
        <w:insideH w:val="single" w:color="000000" w:sz="2" w:space="0"/>
        <w:insideV w:val="single" w:color="000000" w:sz="2" w:space="0"/>
      </w:tblBorders>
    </w:tblPr>
    <w:tcPr>
      <w:shd w:val="clear" w:color="auto" w:fill="auto"/>
    </w:tcPr>
    <w:tblStylePr w:type="firstRow">
      <w:rPr>
        <w:i w:val="0"/>
        <w:iCs/>
      </w:rPr>
      <w:tcPr>
        <w:shd w:val="clear" w:color="auto" w:fill="B8CCE4"/>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3145">
    <w:name w:val="简明型 18"/>
    <w:basedOn w:val="76"/>
    <w:semiHidden/>
    <w:unhideWhenUsed/>
    <w:qFormat/>
    <w:uiPriority w:val="99"/>
    <w:pPr>
      <w:widowControl w:val="0"/>
      <w:spacing w:beforeLines="50" w:line="360" w:lineRule="auto"/>
      <w:ind w:firstLine="480" w:firstLineChars="20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3146">
    <w:name w:val="网格型 17"/>
    <w:basedOn w:val="76"/>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paragraph" w:customStyle="1" w:styleId="3147">
    <w:name w:val="z-窗体底端11"/>
    <w:basedOn w:val="1"/>
    <w:next w:val="1"/>
    <w:unhideWhenUsed/>
    <w:qFormat/>
    <w:uiPriority w:val="99"/>
    <w:pPr>
      <w:pBdr>
        <w:top w:val="single" w:color="auto" w:sz="6" w:space="1"/>
      </w:pBdr>
      <w:ind w:firstLine="480"/>
      <w:jc w:val="center"/>
    </w:pPr>
    <w:rPr>
      <w:rFonts w:ascii="Arial" w:hAnsi="Arial" w:cs="Times New Roman"/>
      <w:vanish/>
      <w:sz w:val="16"/>
      <w:szCs w:val="16"/>
      <w:lang w:val="zh-CN"/>
    </w:rPr>
  </w:style>
  <w:style w:type="paragraph" w:customStyle="1" w:styleId="3148">
    <w:name w:val="z-窗体顶端11"/>
    <w:basedOn w:val="1"/>
    <w:next w:val="1"/>
    <w:qFormat/>
    <w:uiPriority w:val="99"/>
    <w:pPr>
      <w:pBdr>
        <w:bottom w:val="single" w:color="auto" w:sz="6" w:space="1"/>
      </w:pBdr>
      <w:ind w:firstLine="480"/>
      <w:jc w:val="center"/>
    </w:pPr>
    <w:rPr>
      <w:rFonts w:ascii="Arial" w:hAnsi="Arial" w:cs="Times New Roman"/>
      <w:vanish/>
      <w:sz w:val="16"/>
      <w:szCs w:val="16"/>
      <w:lang w:val="zh-CN"/>
    </w:rPr>
  </w:style>
  <w:style w:type="table" w:customStyle="1" w:styleId="3149">
    <w:name w:val="典雅型110"/>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3150">
    <w:name w:val="典雅型29"/>
    <w:basedOn w:val="76"/>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3151">
    <w:name w:val="表格cm40"/>
    <w:basedOn w:val="81"/>
    <w:qFormat/>
    <w:uiPriority w:val="0"/>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3152">
    <w:name w:val="网格型41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3">
    <w:name w:val="网格型517"/>
    <w:basedOn w:val="76"/>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4">
    <w:name w:val="Table Grid18"/>
    <w:basedOn w:val="76"/>
    <w:qFormat/>
    <w:uiPriority w:val="59"/>
    <w:rPr>
      <w:sz w:val="24"/>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5">
    <w:name w:val="tangfu8"/>
    <w:basedOn w:val="76"/>
    <w:qFormat/>
    <w:uiPriority w:val="99"/>
    <w:tblPr>
      <w:jc w:val="center"/>
      <w:tblBorders>
        <w:top w:val="single" w:color="auto" w:sz="18" w:space="0"/>
        <w:left w:val="single" w:color="auto" w:sz="4" w:space="0"/>
        <w:bottom w:val="single" w:color="auto" w:sz="18" w:space="0"/>
        <w:right w:val="single" w:color="auto" w:sz="4" w:space="0"/>
        <w:insideH w:val="single" w:color="auto" w:sz="6" w:space="0"/>
        <w:insideV w:val="single" w:color="auto" w:sz="6" w:space="0"/>
      </w:tblBorders>
    </w:tblPr>
    <w:trPr>
      <w:jc w:val="center"/>
    </w:trPr>
  </w:style>
  <w:style w:type="table" w:customStyle="1" w:styleId="3156">
    <w:name w:val="vc27"/>
    <w:basedOn w:val="77"/>
    <w:qFormat/>
    <w:uiPriority w:val="0"/>
    <w:pPr>
      <w:widowControl w:val="0"/>
      <w:adjustRightInd w:val="0"/>
      <w:jc w:val="both"/>
    </w:pPr>
    <w:tblPr>
      <w:tblBorders>
        <w:top w:val="single" w:color="333399" w:sz="12" w:space="0"/>
        <w:left w:val="single" w:color="333399" w:sz="8" w:space="0"/>
        <w:bottom w:val="single" w:color="333399" w:sz="12" w:space="0"/>
        <w:right w:val="single" w:color="333399" w:sz="8" w:space="0"/>
        <w:insideH w:val="single" w:color="333399" w:sz="8" w:space="0"/>
        <w:insideV w:val="single" w:color="333399" w:sz="8" w:space="0"/>
      </w:tblBorders>
    </w:tblPr>
    <w:tcPr>
      <w:vAlign w:val="center"/>
    </w:tcPr>
    <w:tblStylePr w:type="firstRow">
      <w:tcPr>
        <w:tcBorders>
          <w:top w:val="thinThickSmallGap" w:color="333399" w:sz="12" w:space="0"/>
          <w:left w:val="single" w:color="333399" w:sz="12" w:space="0"/>
          <w:bottom w:val="single" w:color="333399" w:sz="12" w:space="0"/>
          <w:right w:val="single" w:color="333399" w:sz="12" w:space="0"/>
          <w:insideH w:val="nil"/>
          <w:insideV w:val="single" w:sz="4" w:space="0"/>
          <w:tl2br w:val="nil"/>
          <w:tr2bl w:val="nil"/>
        </w:tcBorders>
        <w:shd w:val="clear" w:color="auto" w:fill="E0E0E0"/>
      </w:tcPr>
    </w:tblStylePr>
    <w:tblStylePr w:type="lastRow">
      <w:tcPr>
        <w:tcBorders>
          <w:top w:val="single" w:color="333399" w:sz="12" w:space="0"/>
          <w:left w:val="single" w:color="333399" w:sz="12" w:space="0"/>
          <w:bottom w:val="thickThinSmallGap" w:color="333399" w:sz="12" w:space="0"/>
          <w:right w:val="single" w:color="333399" w:sz="12" w:space="0"/>
          <w:insideH w:val="nil"/>
          <w:insideV w:val="single" w:sz="4" w:space="0"/>
          <w:tl2br w:val="nil"/>
          <w:tr2bl w:val="nil"/>
        </w:tcBorders>
      </w:tcPr>
    </w:tblStylePr>
  </w:style>
  <w:style w:type="table" w:customStyle="1" w:styleId="3157">
    <w:name w:val="王鑫25"/>
    <w:basedOn w:val="7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8">
    <w:name w:val="表格cm120"/>
    <w:basedOn w:val="81"/>
    <w:qFormat/>
    <w:uiPriority w:val="0"/>
    <w:pPr>
      <w:adjustRightInd w:val="0"/>
      <w:snapToGrid w:val="0"/>
      <w:spacing w:beforeLines="0" w:line="240" w:lineRule="auto"/>
      <w:ind w:firstLine="0" w:firstLineChars="0"/>
      <w:jc w:val="center"/>
    </w:pPr>
    <w:rPr>
      <w:rFonts w:ascii="宋体"/>
      <w:snapToGrid w:val="0"/>
      <w:color w:val="000000"/>
      <w:kern w:val="21"/>
    </w:rPr>
    <w:tblPr>
      <w:jc w:val="center"/>
      <w:tblBorders>
        <w:top w:val="single" w:color="000000" w:sz="12" w:space="0"/>
        <w:bottom w:val="single" w:color="000000" w:sz="12" w:space="0"/>
      </w:tblBorders>
      <w:tblCellMar>
        <w:left w:w="28" w:type="dxa"/>
        <w:right w:w="28" w:type="dxa"/>
      </w:tblCellMar>
    </w:tblPr>
    <w:trPr>
      <w:jc w:val="center"/>
    </w:trPr>
    <w:tcPr>
      <w:shd w:val="clear" w:color="auto" w:fill="auto"/>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cPr>
        <w:tcBorders>
          <w:top w:val="single" w:color="000000" w:sz="12" w:space="0"/>
          <w:bottom w:val="single" w:color="000000" w:sz="6" w:space="0"/>
          <w:tl2br w:val="nil"/>
          <w:tr2bl w:val="nil"/>
        </w:tcBorders>
        <w:shd w:val="solid" w:color="C6D9F1" w:fill="C6D9F1"/>
      </w:tcPr>
    </w:tblStylePr>
    <w:tblStylePr w:type="lastRow">
      <w:tcPr>
        <w:tcBorders>
          <w:top w:val="single" w:color="000000" w:sz="6" w:space="0"/>
          <w:tl2br w:val="nil"/>
          <w:tr2bl w:val="nil"/>
        </w:tcBorders>
        <w:shd w:val="clear" w:color="auto" w:fill="auto"/>
      </w:tcPr>
    </w:tblStylePr>
  </w:style>
  <w:style w:type="paragraph" w:customStyle="1" w:styleId="3159">
    <w:name w:val="修订2"/>
    <w:hidden/>
    <w:unhideWhenUsed/>
    <w:qFormat/>
    <w:uiPriority w:val="99"/>
    <w:rPr>
      <w:rFonts w:ascii="Times New Roman" w:hAnsi="Times New Roman" w:eastAsia="宋体" w:cs="宋体"/>
      <w:sz w:val="24"/>
      <w:szCs w:val="24"/>
      <w:lang w:val="en-US" w:eastAsia="zh-CN" w:bidi="ar-SA"/>
    </w:rPr>
  </w:style>
  <w:style w:type="character" w:customStyle="1" w:styleId="3160">
    <w:name w:val="font61"/>
    <w:basedOn w:val="83"/>
    <w:qFormat/>
    <w:uiPriority w:val="0"/>
    <w:rPr>
      <w:rFonts w:hint="eastAsia" w:ascii="宋体" w:hAnsi="宋体" w:eastAsia="宋体" w:cs="宋体"/>
      <w:color w:val="000000"/>
      <w:sz w:val="18"/>
      <w:szCs w:val="18"/>
      <w:u w:val="none"/>
    </w:rPr>
  </w:style>
  <w:style w:type="paragraph" w:customStyle="1" w:styleId="3161">
    <w:name w:val="TOC 标题2"/>
    <w:basedOn w:val="2"/>
    <w:next w:val="1"/>
    <w:unhideWhenUsed/>
    <w:qFormat/>
    <w:uiPriority w:val="39"/>
    <w:pPr>
      <w:keepNext/>
      <w:keepLines/>
      <w:widowControl/>
      <w:spacing w:before="240" w:beforeLines="0" w:after="0" w:line="259" w:lineRule="auto"/>
      <w:ind w:firstLine="0" w:firstLineChars="0"/>
      <w:jc w:val="left"/>
      <w:outlineLvl w:val="9"/>
    </w:pPr>
    <w:rPr>
      <w:rFonts w:asciiTheme="majorHAnsi" w:hAnsiTheme="majorHAnsi" w:eastAsiaTheme="majorEastAsia" w:cstheme="majorBidi"/>
      <w:b w:val="0"/>
      <w:color w:val="2F5597" w:themeColor="accent1" w:themeShade="BF"/>
      <w:sz w:val="32"/>
      <w:szCs w:val="32"/>
      <w:lang w:val="en-US"/>
    </w:rPr>
  </w:style>
  <w:style w:type="character" w:customStyle="1" w:styleId="3162">
    <w:name w:val="未处理的提及1"/>
    <w:basedOn w:val="83"/>
    <w:semiHidden/>
    <w:unhideWhenUsed/>
    <w:qFormat/>
    <w:uiPriority w:val="99"/>
    <w:rPr>
      <w:color w:val="605E5C"/>
      <w:shd w:val="clear" w:color="auto" w:fill="E1DFDD"/>
    </w:rPr>
  </w:style>
  <w:style w:type="paragraph" w:customStyle="1" w:styleId="3163">
    <w:name w:val="修订3"/>
    <w:hidden/>
    <w:unhideWhenUsed/>
    <w:qFormat/>
    <w:uiPriority w:val="99"/>
    <w:rPr>
      <w:rFonts w:ascii="Times New Roman" w:hAnsi="Times New Roman" w:eastAsia="宋体" w:cs="宋体"/>
      <w:sz w:val="24"/>
      <w:szCs w:val="24"/>
      <w:lang w:val="en-US" w:eastAsia="zh-CN" w:bidi="ar-SA"/>
    </w:rPr>
  </w:style>
  <w:style w:type="character" w:customStyle="1" w:styleId="3164">
    <w:name w:val="002二级标题 Char"/>
    <w:link w:val="860"/>
    <w:qFormat/>
    <w:uiPriority w:val="0"/>
    <w:rPr>
      <w:rFonts w:eastAsia="黑体"/>
      <w:b/>
      <w:bCs/>
      <w:kern w:val="2"/>
      <w:sz w:val="28"/>
      <w:szCs w:val="28"/>
    </w:rPr>
  </w:style>
  <w:style w:type="paragraph" w:customStyle="1" w:styleId="3165">
    <w:name w:val="修订4"/>
    <w:hidden/>
    <w:unhideWhenUsed/>
    <w:qFormat/>
    <w:uiPriority w:val="99"/>
    <w:rPr>
      <w:rFonts w:ascii="Times New Roman" w:hAnsi="Times New Roman" w:eastAsia="宋体" w:cs="宋体"/>
      <w:sz w:val="24"/>
      <w:szCs w:val="24"/>
      <w:lang w:val="en-US" w:eastAsia="zh-CN" w:bidi="ar-SA"/>
    </w:rPr>
  </w:style>
  <w:style w:type="paragraph" w:customStyle="1" w:styleId="3166">
    <w:name w:val="修订5"/>
    <w:hidden/>
    <w:unhideWhenUsed/>
    <w:qFormat/>
    <w:uiPriority w:val="99"/>
    <w:rPr>
      <w:rFonts w:ascii="Times New Roman" w:hAnsi="Times New Roman" w:eastAsia="宋体" w:cs="宋体"/>
      <w:sz w:val="24"/>
      <w:szCs w:val="24"/>
      <w:lang w:val="en-US" w:eastAsia="zh-CN" w:bidi="ar-SA"/>
    </w:rPr>
  </w:style>
  <w:style w:type="paragraph" w:customStyle="1" w:styleId="3167">
    <w:name w:val="修订6"/>
    <w:hidden/>
    <w:unhideWhenUsed/>
    <w:qFormat/>
    <w:uiPriority w:val="99"/>
    <w:rPr>
      <w:rFonts w:ascii="Times New Roman" w:hAnsi="Times New Roman" w:eastAsia="宋体" w:cs="宋体"/>
      <w:sz w:val="24"/>
      <w:szCs w:val="24"/>
      <w:lang w:val="en-US" w:eastAsia="zh-CN" w:bidi="ar-SA"/>
    </w:rPr>
  </w:style>
  <w:style w:type="character" w:customStyle="1" w:styleId="3168">
    <w:name w:val="未处理的提及2"/>
    <w:basedOn w:val="83"/>
    <w:semiHidden/>
    <w:unhideWhenUsed/>
    <w:qFormat/>
    <w:uiPriority w:val="99"/>
    <w:rPr>
      <w:color w:val="605E5C"/>
      <w:shd w:val="clear" w:color="auto" w:fill="E1DFDD"/>
    </w:rPr>
  </w:style>
  <w:style w:type="paragraph" w:customStyle="1" w:styleId="3169">
    <w:name w:val="修订7"/>
    <w:hidden/>
    <w:unhideWhenUsed/>
    <w:qFormat/>
    <w:uiPriority w:val="99"/>
    <w:rPr>
      <w:rFonts w:ascii="Times New Roman" w:hAnsi="Times New Roman" w:eastAsia="宋体" w:cs="宋体"/>
      <w:sz w:val="24"/>
      <w:szCs w:val="24"/>
      <w:lang w:val="en-US" w:eastAsia="zh-CN" w:bidi="ar-SA"/>
    </w:rPr>
  </w:style>
  <w:style w:type="paragraph" w:customStyle="1" w:styleId="3170">
    <w:name w:val="修订8"/>
    <w:hidden/>
    <w:unhideWhenUsed/>
    <w:qFormat/>
    <w:uiPriority w:val="99"/>
    <w:rPr>
      <w:rFonts w:ascii="Times New Roman" w:hAnsi="Times New Roman" w:eastAsia="宋体" w:cs="宋体"/>
      <w:sz w:val="24"/>
      <w:szCs w:val="24"/>
      <w:lang w:val="en-US" w:eastAsia="zh-CN" w:bidi="ar-SA"/>
    </w:rPr>
  </w:style>
  <w:style w:type="paragraph" w:customStyle="1" w:styleId="3171">
    <w:name w:val="修订9"/>
    <w:hidden/>
    <w:unhideWhenUsed/>
    <w:qFormat/>
    <w:uiPriority w:val="99"/>
    <w:rPr>
      <w:rFonts w:ascii="Times New Roman" w:hAnsi="Times New Roman" w:eastAsia="宋体" w:cs="宋体"/>
      <w:sz w:val="24"/>
      <w:szCs w:val="24"/>
      <w:lang w:val="en-US" w:eastAsia="zh-CN" w:bidi="ar-SA"/>
    </w:rPr>
  </w:style>
  <w:style w:type="paragraph" w:customStyle="1" w:styleId="3172">
    <w:name w:val="修订10"/>
    <w:hidden/>
    <w:unhideWhenUsed/>
    <w:qFormat/>
    <w:uiPriority w:val="99"/>
    <w:rPr>
      <w:rFonts w:ascii="Times New Roman" w:hAnsi="Times New Roman" w:eastAsia="宋体" w:cs="宋体"/>
      <w:sz w:val="24"/>
      <w:szCs w:val="24"/>
      <w:lang w:val="en-US" w:eastAsia="zh-CN" w:bidi="ar-SA"/>
    </w:rPr>
  </w:style>
  <w:style w:type="character" w:customStyle="1" w:styleId="3173">
    <w:name w:val="font31"/>
    <w:basedOn w:val="83"/>
    <w:qFormat/>
    <w:uiPriority w:val="0"/>
    <w:rPr>
      <w:rFonts w:ascii="TimesNewRomanPSMT" w:hAnsi="TimesNewRomanPSMT" w:eastAsia="TimesNewRomanPSMT" w:cs="TimesNewRomanPSMT"/>
      <w:color w:val="000000"/>
      <w:sz w:val="22"/>
      <w:szCs w:val="22"/>
      <w:u w:val="none"/>
    </w:rPr>
  </w:style>
  <w:style w:type="paragraph" w:customStyle="1" w:styleId="3174">
    <w:name w:val="修订12"/>
    <w:hidden/>
    <w:unhideWhenUsed/>
    <w:qFormat/>
    <w:uiPriority w:val="99"/>
    <w:rPr>
      <w:rFonts w:ascii="Times New Roman" w:hAnsi="Times New Roman" w:eastAsia="宋体" w:cs="宋体"/>
      <w:sz w:val="24"/>
      <w:szCs w:val="24"/>
      <w:lang w:val="en-US" w:eastAsia="zh-CN" w:bidi="ar-SA"/>
    </w:rPr>
  </w:style>
  <w:style w:type="paragraph" w:customStyle="1" w:styleId="3175">
    <w:name w:val="修订13"/>
    <w:hidden/>
    <w:unhideWhenUsed/>
    <w:qFormat/>
    <w:uiPriority w:val="99"/>
    <w:rPr>
      <w:rFonts w:ascii="Times New Roman" w:hAnsi="Times New Roman" w:eastAsia="宋体" w:cs="宋体"/>
      <w:sz w:val="24"/>
      <w:szCs w:val="24"/>
      <w:lang w:val="en-US" w:eastAsia="zh-CN" w:bidi="ar-SA"/>
    </w:rPr>
  </w:style>
  <w:style w:type="paragraph" w:customStyle="1" w:styleId="3176">
    <w:name w:val="修订14"/>
    <w:hidden/>
    <w:unhideWhenUsed/>
    <w:qFormat/>
    <w:uiPriority w:val="99"/>
    <w:rPr>
      <w:rFonts w:ascii="Times New Roman" w:hAnsi="Times New Roman" w:eastAsia="宋体" w:cs="宋体"/>
      <w:sz w:val="24"/>
      <w:szCs w:val="24"/>
      <w:lang w:val="en-US" w:eastAsia="zh-CN" w:bidi="ar-SA"/>
    </w:rPr>
  </w:style>
  <w:style w:type="paragraph" w:customStyle="1" w:styleId="3177">
    <w:name w:val="修订15"/>
    <w:hidden/>
    <w:unhideWhenUsed/>
    <w:qFormat/>
    <w:uiPriority w:val="99"/>
    <w:rPr>
      <w:rFonts w:ascii="Times New Roman" w:hAnsi="Times New Roman" w:eastAsia="宋体" w:cs="宋体"/>
      <w:sz w:val="24"/>
      <w:szCs w:val="24"/>
      <w:lang w:val="en-US" w:eastAsia="zh-CN" w:bidi="ar-SA"/>
    </w:rPr>
  </w:style>
  <w:style w:type="paragraph" w:customStyle="1" w:styleId="3178">
    <w:name w:val="修订16"/>
    <w:hidden/>
    <w:unhideWhenUsed/>
    <w:qFormat/>
    <w:uiPriority w:val="99"/>
    <w:rPr>
      <w:rFonts w:ascii="Times New Roman" w:hAnsi="Times New Roman" w:eastAsia="宋体" w:cs="宋体"/>
      <w:sz w:val="24"/>
      <w:szCs w:val="24"/>
      <w:lang w:val="en-US" w:eastAsia="zh-CN" w:bidi="ar-SA"/>
    </w:rPr>
  </w:style>
  <w:style w:type="paragraph" w:customStyle="1" w:styleId="3179">
    <w:name w:val="修订17"/>
    <w:hidden/>
    <w:unhideWhenUsed/>
    <w:qFormat/>
    <w:uiPriority w:val="99"/>
    <w:rPr>
      <w:rFonts w:ascii="Times New Roman" w:hAnsi="Times New Roman" w:eastAsia="宋体" w:cs="宋体"/>
      <w:sz w:val="24"/>
      <w:szCs w:val="24"/>
      <w:lang w:val="en-US" w:eastAsia="zh-CN" w:bidi="ar-SA"/>
    </w:rPr>
  </w:style>
  <w:style w:type="paragraph" w:customStyle="1" w:styleId="3180">
    <w:name w:val="TOC 标题3"/>
    <w:basedOn w:val="2"/>
    <w:next w:val="1"/>
    <w:unhideWhenUsed/>
    <w:qFormat/>
    <w:uiPriority w:val="39"/>
    <w:pPr>
      <w:keepNext/>
      <w:keepLines/>
      <w:widowControl/>
      <w:spacing w:before="240" w:beforeLines="0" w:after="0" w:line="259" w:lineRule="auto"/>
      <w:ind w:firstLine="0" w:firstLineChars="0"/>
      <w:jc w:val="left"/>
      <w:outlineLvl w:val="9"/>
    </w:pPr>
    <w:rPr>
      <w:rFonts w:asciiTheme="majorHAnsi" w:hAnsiTheme="majorHAnsi" w:eastAsiaTheme="majorEastAsia" w:cstheme="majorBidi"/>
      <w:b w:val="0"/>
      <w:color w:val="2F5597" w:themeColor="accent1" w:themeShade="BF"/>
      <w:sz w:val="32"/>
      <w:szCs w:val="32"/>
      <w:lang w:val="en-US"/>
    </w:rPr>
  </w:style>
  <w:style w:type="character" w:customStyle="1" w:styleId="3181">
    <w:name w:val="未处理的提及3"/>
    <w:basedOn w:val="83"/>
    <w:semiHidden/>
    <w:unhideWhenUsed/>
    <w:qFormat/>
    <w:uiPriority w:val="99"/>
    <w:rPr>
      <w:color w:val="605E5C"/>
      <w:shd w:val="clear" w:color="auto" w:fill="E1DFDD"/>
    </w:rPr>
  </w:style>
  <w:style w:type="paragraph" w:customStyle="1" w:styleId="3182">
    <w:name w:val="修订18"/>
    <w:hidden/>
    <w:unhideWhenUsed/>
    <w:qFormat/>
    <w:uiPriority w:val="99"/>
    <w:rPr>
      <w:rFonts w:ascii="Times New Roman" w:hAnsi="Times New Roman" w:eastAsia="宋体" w:cs="宋体"/>
      <w:sz w:val="24"/>
      <w:szCs w:val="24"/>
      <w:lang w:val="en-US" w:eastAsia="zh-CN" w:bidi="ar-SA"/>
    </w:rPr>
  </w:style>
  <w:style w:type="paragraph" w:customStyle="1" w:styleId="3183">
    <w:name w:val="修订19"/>
    <w:hidden/>
    <w:unhideWhenUsed/>
    <w:qFormat/>
    <w:uiPriority w:val="99"/>
    <w:rPr>
      <w:rFonts w:ascii="Times New Roman" w:hAnsi="Times New Roman" w:eastAsia="宋体" w:cs="宋体"/>
      <w:sz w:val="24"/>
      <w:szCs w:val="24"/>
      <w:lang w:val="en-US" w:eastAsia="zh-CN" w:bidi="ar-SA"/>
    </w:rPr>
  </w:style>
  <w:style w:type="character" w:customStyle="1" w:styleId="3184">
    <w:name w:val="msoplaceholdertext"/>
    <w:basedOn w:val="83"/>
    <w:qFormat/>
    <w:uiPriority w:val="0"/>
    <w:rPr>
      <w:color w:val="808080"/>
    </w:rPr>
  </w:style>
  <w:style w:type="paragraph" w:customStyle="1" w:styleId="3185">
    <w:name w:val="修订20"/>
    <w:hidden/>
    <w:unhideWhenUsed/>
    <w:qFormat/>
    <w:uiPriority w:val="99"/>
    <w:rPr>
      <w:rFonts w:ascii="Times New Roman" w:hAnsi="Times New Roman" w:eastAsia="宋体" w:cs="宋体"/>
      <w:sz w:val="24"/>
      <w:szCs w:val="24"/>
      <w:lang w:val="en-US" w:eastAsia="zh-CN" w:bidi="ar-SA"/>
    </w:rPr>
  </w:style>
  <w:style w:type="paragraph" w:customStyle="1" w:styleId="3186">
    <w:name w:val="修订21"/>
    <w:hidden/>
    <w:unhideWhenUsed/>
    <w:qFormat/>
    <w:uiPriority w:val="99"/>
    <w:rPr>
      <w:rFonts w:ascii="Times New Roman" w:hAnsi="Times New Roman" w:eastAsia="宋体" w:cs="宋体"/>
      <w:sz w:val="24"/>
      <w:szCs w:val="24"/>
      <w:lang w:val="en-US" w:eastAsia="zh-CN" w:bidi="ar-SA"/>
    </w:rPr>
  </w:style>
  <w:style w:type="paragraph" w:customStyle="1" w:styleId="3187">
    <w:name w:val="修订22"/>
    <w:hidden/>
    <w:unhideWhenUsed/>
    <w:qFormat/>
    <w:uiPriority w:val="99"/>
    <w:rPr>
      <w:rFonts w:ascii="Times New Roman" w:hAnsi="Times New Roman" w:eastAsia="宋体" w:cs="宋体"/>
      <w:sz w:val="24"/>
      <w:szCs w:val="24"/>
      <w:lang w:val="en-US" w:eastAsia="zh-CN" w:bidi="ar-SA"/>
    </w:rPr>
  </w:style>
  <w:style w:type="character" w:customStyle="1" w:styleId="3188">
    <w:name w:val="font41"/>
    <w:basedOn w:val="83"/>
    <w:qFormat/>
    <w:uiPriority w:val="0"/>
    <w:rPr>
      <w:rFonts w:hint="eastAsia" w:ascii="宋体" w:hAnsi="宋体" w:eastAsia="宋体" w:cs="宋体"/>
      <w:b/>
      <w:bCs/>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numbering" Target="numbering.xml"/><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6251494A-779C-4AD3-99F5-93F4B01A3060}">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104</Pages>
  <Words>3058</Words>
  <Characters>3130</Characters>
  <Lines>511</Lines>
  <Paragraphs>144</Paragraphs>
  <TotalTime>5</TotalTime>
  <ScaleCrop>false</ScaleCrop>
  <LinksUpToDate>false</LinksUpToDate>
  <CharactersWithSpaces>3224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2024-12-01T06:31:00Z</dcterms:created>
  <dc:creator>Shawnxu</dc:creator>
  <cp:lastModifiedBy>张成浩</cp:lastModifiedBy>
  <cp:lastPrinted>2021-10-29T03:42:00Z</cp:lastPrinted>
  <dcterms:modified xsi:type="dcterms:W3CDTF">2025-06-23T07:21:16Z</dcterms:modified>
  <cp:revision>356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E30FDFD84D8441D99B9DCFB6EC2B460A_13</vt:lpwstr>
  </property>
  <property fmtid="{D5CDD505-2E9C-101B-9397-08002B2CF9AE}" pid="4" name="KSOTemplateDocerSaveRecord">
    <vt:lpwstr>eyJoZGlkIjoiNDBkMzZhYjg1MTA5NWQxZDBlZTkzNTdlNjQ1NThlNjAiLCJ1c2VySWQiOiIxOTk5NDQxOTYifQ==</vt:lpwstr>
  </property>
</Properties>
</file>