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B5067" w:rsidRPr="008B53A9" w:rsidRDefault="00000000">
      <w:pPr>
        <w:autoSpaceDE w:val="0"/>
        <w:autoSpaceDN w:val="0"/>
        <w:adjustRightInd w:val="0"/>
        <w:spacing w:line="360" w:lineRule="auto"/>
        <w:jc w:val="center"/>
        <w:rPr>
          <w:rFonts w:ascii="黑体" w:eastAsia="黑体" w:hAnsi="黑体" w:cs="Times New Roman" w:hint="eastAsia"/>
          <w:color w:val="000000"/>
          <w:sz w:val="32"/>
          <w:szCs w:val="32"/>
        </w:rPr>
      </w:pPr>
      <w:r w:rsidRPr="008B53A9">
        <w:rPr>
          <w:rFonts w:ascii="黑体" w:eastAsia="黑体" w:hAnsi="黑体" w:cs="Times New Roman" w:hint="eastAsia"/>
          <w:color w:val="000000"/>
          <w:sz w:val="32"/>
          <w:szCs w:val="32"/>
        </w:rPr>
        <w:t>广东天亿马信息产业股份有限公司董事会</w:t>
      </w:r>
    </w:p>
    <w:p w:rsidR="007B5067" w:rsidRPr="008B53A9" w:rsidRDefault="00000000">
      <w:pPr>
        <w:autoSpaceDE w:val="0"/>
        <w:autoSpaceDN w:val="0"/>
        <w:adjustRightInd w:val="0"/>
        <w:spacing w:line="360" w:lineRule="auto"/>
        <w:jc w:val="center"/>
        <w:rPr>
          <w:rFonts w:ascii="黑体" w:eastAsia="黑体" w:hAnsi="黑体" w:cs="Times New Roman" w:hint="eastAsia"/>
          <w:color w:val="000000"/>
          <w:sz w:val="32"/>
          <w:szCs w:val="32"/>
        </w:rPr>
      </w:pPr>
      <w:r w:rsidRPr="008B53A9">
        <w:rPr>
          <w:rFonts w:ascii="黑体" w:eastAsia="黑体" w:hAnsi="黑体" w:cs="Times New Roman" w:hint="eastAsia"/>
          <w:color w:val="000000"/>
          <w:sz w:val="32"/>
          <w:szCs w:val="32"/>
        </w:rPr>
        <w:t>关于本次交易符合《创业板上市公司持续监管办法（试行）》第十八条、第二十一条以及《深圳证券交易所上市公司重大资产重组审核规则》第八条规定的说明</w:t>
      </w:r>
    </w:p>
    <w:p w:rsidR="007B5067" w:rsidRDefault="007B5067">
      <w:pPr>
        <w:spacing w:line="360" w:lineRule="auto"/>
        <w:ind w:firstLineChars="200" w:firstLine="480"/>
        <w:rPr>
          <w:rFonts w:ascii="Times New Roman" w:hAnsi="Times New Roman" w:cs="Times New Roman"/>
          <w:sz w:val="24"/>
        </w:rPr>
      </w:pP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广东天亿马信息产业股份有限公司（以下简称“公司”“天亿马”或“上市公司”）拟通过以发行股份及支付现金方式购买广东星云开物科技股份有限公司（以下简称“标的公司”或“星云开物”）100.00%股权并募集配套资金（以下简称“本次交易”）。本次交易预计构成上市公司重大资产重组。</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公司董事会对本次交易是否符合《创业板上市公司持续监管办法（试行）》（以下简称“《持续监管办法》”）第十八条</w:t>
      </w:r>
      <w:bookmarkStart w:id="0" w:name="_Hlk192600399"/>
      <w:r>
        <w:rPr>
          <w:rFonts w:ascii="仿宋" w:eastAsia="仿宋" w:hAnsi="仿宋" w:cs="仿宋" w:hint="eastAsia"/>
          <w:sz w:val="24"/>
        </w:rPr>
        <w:t>、第二十一条</w:t>
      </w:r>
      <w:bookmarkEnd w:id="0"/>
      <w:r>
        <w:rPr>
          <w:rFonts w:ascii="仿宋" w:eastAsia="仿宋" w:hAnsi="仿宋" w:cs="仿宋" w:hint="eastAsia"/>
          <w:sz w:val="24"/>
        </w:rPr>
        <w:t>和《深圳证券交易所上市公司重大资产重组审核规则》（以下简称“《重组审核规则》”）第八条的相关规定进行了审慎分析，认为本次交易符合《持续监管办法》第十八条、第二十一条和《重组审核规则》第八条的相关规定，具体情况如下：</w:t>
      </w:r>
    </w:p>
    <w:p w:rsidR="007B5067" w:rsidRDefault="00000000">
      <w:pPr>
        <w:adjustRightInd w:val="0"/>
        <w:snapToGrid w:val="0"/>
        <w:spacing w:line="360" w:lineRule="auto"/>
        <w:ind w:firstLineChars="200" w:firstLine="482"/>
        <w:contextualSpacing/>
        <w:outlineLvl w:val="0"/>
        <w:rPr>
          <w:rFonts w:ascii="仿宋" w:eastAsia="仿宋" w:hAnsi="仿宋" w:cs="仿宋" w:hint="eastAsia"/>
          <w:b/>
          <w:bCs/>
          <w:sz w:val="24"/>
        </w:rPr>
      </w:pPr>
      <w:r>
        <w:rPr>
          <w:rFonts w:ascii="仿宋" w:eastAsia="仿宋" w:hAnsi="仿宋" w:cs="仿宋" w:hint="eastAsia"/>
          <w:b/>
          <w:bCs/>
          <w:sz w:val="24"/>
        </w:rPr>
        <w:t>一、本次交易符合《持续监管办法》第十八条和《重组审核规则》第八条的规定</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持续监管办法》第十八条规定，“上市公司实施重大资产重组或者发行股份购买资产的，标的资产所属行业应当符合创业板定位，或者与上市公司处于同行业或者上下游”。《重组审核规则》第八条规定，“创业板上市公司实施重大资产重组的，拟购买资产所属行业应当符合创业板定位，或者与上市公司处于同行业或者上下游”。</w:t>
      </w:r>
    </w:p>
    <w:p w:rsidR="007B5067" w:rsidRDefault="00000000">
      <w:pPr>
        <w:adjustRightInd w:val="0"/>
        <w:snapToGrid w:val="0"/>
        <w:spacing w:line="360" w:lineRule="auto"/>
        <w:ind w:firstLineChars="200" w:firstLine="482"/>
        <w:contextualSpacing/>
        <w:outlineLvl w:val="1"/>
        <w:rPr>
          <w:rFonts w:ascii="仿宋" w:eastAsia="仿宋" w:hAnsi="仿宋" w:cs="仿宋" w:hint="eastAsia"/>
          <w:b/>
          <w:bCs/>
          <w:sz w:val="24"/>
        </w:rPr>
      </w:pPr>
      <w:r>
        <w:rPr>
          <w:rFonts w:ascii="仿宋" w:eastAsia="仿宋" w:hAnsi="仿宋" w:cs="仿宋" w:hint="eastAsia"/>
          <w:b/>
          <w:bCs/>
          <w:sz w:val="24"/>
        </w:rPr>
        <w:t>（一）标的公司符合创业板定位及其依据</w:t>
      </w:r>
    </w:p>
    <w:p w:rsidR="007B5067" w:rsidRDefault="00000000">
      <w:pPr>
        <w:pStyle w:val="004"/>
        <w:spacing w:before="156" w:after="156"/>
        <w:ind w:firstLine="482"/>
        <w:rPr>
          <w:rFonts w:ascii="仿宋" w:eastAsia="仿宋" w:hAnsi="仿宋" w:cs="仿宋" w:hint="eastAsia"/>
        </w:rPr>
      </w:pPr>
      <w:r>
        <w:rPr>
          <w:rFonts w:ascii="仿宋" w:eastAsia="仿宋" w:hAnsi="仿宋" w:cs="仿宋" w:hint="eastAsia"/>
        </w:rPr>
        <w:t>1.标的公司符合创业</w:t>
      </w:r>
      <w:proofErr w:type="gramStart"/>
      <w:r>
        <w:rPr>
          <w:rFonts w:ascii="仿宋" w:eastAsia="仿宋" w:hAnsi="仿宋" w:cs="仿宋" w:hint="eastAsia"/>
        </w:rPr>
        <w:t>板行业</w:t>
      </w:r>
      <w:proofErr w:type="gramEnd"/>
      <w:r>
        <w:rPr>
          <w:rFonts w:ascii="仿宋" w:eastAsia="仿宋" w:hAnsi="仿宋" w:cs="仿宋" w:hint="eastAsia"/>
        </w:rPr>
        <w:t>领域及其依据</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根据《深圳证券交易所创业板企业发行上市申报及推荐暂行规定》（2024年修订）第五条的规定：属于上市公司行业分类相关规定中下列行业的企业，原则上不支持其申报在创业</w:t>
      </w:r>
      <w:proofErr w:type="gramStart"/>
      <w:r>
        <w:rPr>
          <w:rFonts w:ascii="仿宋" w:eastAsia="仿宋" w:hAnsi="仿宋" w:cs="仿宋" w:hint="eastAsia"/>
          <w:sz w:val="24"/>
        </w:rPr>
        <w:t>板发行</w:t>
      </w:r>
      <w:proofErr w:type="gramEnd"/>
      <w:r>
        <w:rPr>
          <w:rFonts w:ascii="仿宋" w:eastAsia="仿宋" w:hAnsi="仿宋" w:cs="仿宋" w:hint="eastAsia"/>
          <w:sz w:val="24"/>
        </w:rPr>
        <w:t>上市，但与互联网、大数据、云计算、自动化、人工智能、新能源等新技术、新产业、新业态、新模式深度融合的创新创业企业</w:t>
      </w:r>
      <w:r>
        <w:rPr>
          <w:rFonts w:ascii="仿宋" w:eastAsia="仿宋" w:hAnsi="仿宋" w:cs="仿宋" w:hint="eastAsia"/>
          <w:sz w:val="24"/>
        </w:rPr>
        <w:lastRenderedPageBreak/>
        <w:t>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p w:rsidR="007B5067" w:rsidRDefault="00553287">
      <w:pPr>
        <w:adjustRightInd w:val="0"/>
        <w:snapToGrid w:val="0"/>
        <w:spacing w:line="360" w:lineRule="auto"/>
        <w:ind w:firstLineChars="200" w:firstLine="480"/>
        <w:contextualSpacing/>
        <w:rPr>
          <w:rFonts w:ascii="仿宋" w:eastAsia="仿宋" w:hAnsi="仿宋" w:cs="仿宋" w:hint="eastAsia"/>
          <w:sz w:val="24"/>
        </w:rPr>
      </w:pPr>
      <w:r w:rsidRPr="00553287">
        <w:rPr>
          <w:rFonts w:ascii="仿宋" w:eastAsia="仿宋" w:hAnsi="仿宋" w:cs="仿宋" w:hint="eastAsia"/>
          <w:sz w:val="24"/>
        </w:rPr>
        <w:t>标的公司是一家智能自助设备数字化服务提供商，专注于提供“IoT智能硬件+SaaS云平台”一体化解决方案，致力于实现智能自助设备的物联通讯和数字化升级。自2015年成立以来，标的公司秉承“打造千万级智能设备平台”的</w:t>
      </w:r>
      <w:proofErr w:type="gramStart"/>
      <w:r w:rsidRPr="00553287">
        <w:rPr>
          <w:rFonts w:ascii="仿宋" w:eastAsia="仿宋" w:hAnsi="仿宋" w:cs="仿宋" w:hint="eastAsia"/>
          <w:sz w:val="24"/>
        </w:rPr>
        <w:t>长期愿景和</w:t>
      </w:r>
      <w:proofErr w:type="gramEnd"/>
      <w:r w:rsidRPr="00553287">
        <w:rPr>
          <w:rFonts w:ascii="仿宋" w:eastAsia="仿宋" w:hAnsi="仿宋" w:cs="仿宋" w:hint="eastAsia"/>
          <w:sz w:val="24"/>
        </w:rPr>
        <w:t>“让设备更智能，让生活更美好”的企业使命，已成为国内自助设备物联网硬软件的头部服务商。</w:t>
      </w:r>
      <w:r>
        <w:rPr>
          <w:rFonts w:ascii="仿宋" w:eastAsia="仿宋" w:hAnsi="仿宋" w:cs="仿宋" w:hint="eastAsia"/>
          <w:sz w:val="24"/>
        </w:rPr>
        <w:t>根据《国民经济行业分类》（GB/T4754-2017），标的公司所属行业为软件和信息技术服务业（I65）。</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综上所述，标的公司所处行业不属于《深圳证券交易所创业板企业发行上市申报及推荐暂行规定（2024年修订）》第五条规定的原则上不支持申报的行业类别，符合创业</w:t>
      </w:r>
      <w:proofErr w:type="gramStart"/>
      <w:r>
        <w:rPr>
          <w:rFonts w:ascii="仿宋" w:eastAsia="仿宋" w:hAnsi="仿宋" w:cs="仿宋" w:hint="eastAsia"/>
          <w:sz w:val="24"/>
        </w:rPr>
        <w:t>板行业</w:t>
      </w:r>
      <w:proofErr w:type="gramEnd"/>
      <w:r>
        <w:rPr>
          <w:rFonts w:ascii="仿宋" w:eastAsia="仿宋" w:hAnsi="仿宋" w:cs="仿宋" w:hint="eastAsia"/>
          <w:sz w:val="24"/>
        </w:rPr>
        <w:t>范围。</w:t>
      </w:r>
    </w:p>
    <w:p w:rsidR="007B5067" w:rsidRDefault="00956A5D">
      <w:pPr>
        <w:pStyle w:val="004"/>
        <w:spacing w:before="156" w:after="156"/>
        <w:ind w:firstLine="482"/>
        <w:rPr>
          <w:rFonts w:ascii="仿宋" w:eastAsia="仿宋" w:hAnsi="仿宋" w:cs="仿宋" w:hint="eastAsia"/>
        </w:rPr>
      </w:pPr>
      <w:r>
        <w:rPr>
          <w:rFonts w:ascii="仿宋" w:eastAsia="仿宋" w:hAnsi="仿宋" w:cs="仿宋" w:hint="eastAsia"/>
        </w:rPr>
        <w:t>2</w:t>
      </w:r>
      <w:r w:rsidR="00000000">
        <w:rPr>
          <w:rFonts w:ascii="仿宋" w:eastAsia="仿宋" w:hAnsi="仿宋" w:cs="仿宋" w:hint="eastAsia"/>
        </w:rPr>
        <w:t>.标的公司能够通过创新、创造、创意促进新质生产力发展</w:t>
      </w:r>
    </w:p>
    <w:p w:rsidR="007B5067" w:rsidRDefault="00553287">
      <w:pPr>
        <w:adjustRightInd w:val="0"/>
        <w:snapToGrid w:val="0"/>
        <w:spacing w:line="360" w:lineRule="auto"/>
        <w:ind w:firstLineChars="200" w:firstLine="480"/>
        <w:contextualSpacing/>
        <w:rPr>
          <w:rFonts w:ascii="仿宋" w:eastAsia="仿宋" w:hAnsi="仿宋" w:cs="仿宋" w:hint="eastAsia"/>
          <w:sz w:val="24"/>
        </w:rPr>
      </w:pPr>
      <w:r w:rsidRPr="00553287">
        <w:rPr>
          <w:rFonts w:ascii="仿宋" w:eastAsia="仿宋" w:hAnsi="仿宋" w:cs="仿宋" w:hint="eastAsia"/>
          <w:sz w:val="24"/>
        </w:rPr>
        <w:t>标的公司是一家积极响应国家制造强国发展战略、赋能制造业数字化转型的高新技术企业，是一家创新驱动的</w:t>
      </w:r>
      <w:proofErr w:type="gramStart"/>
      <w:r w:rsidRPr="00553287">
        <w:rPr>
          <w:rFonts w:ascii="仿宋" w:eastAsia="仿宋" w:hAnsi="仿宋" w:cs="仿宋" w:hint="eastAsia"/>
          <w:sz w:val="24"/>
        </w:rPr>
        <w:t>硬科技</w:t>
      </w:r>
      <w:proofErr w:type="gramEnd"/>
      <w:r w:rsidRPr="00553287">
        <w:rPr>
          <w:rFonts w:ascii="仿宋" w:eastAsia="仿宋" w:hAnsi="仿宋" w:cs="仿宋" w:hint="eastAsia"/>
          <w:sz w:val="24"/>
        </w:rPr>
        <w:t>和数字经济企业。截止2024年12月31日，标的公司累计获得157项专利，其中发明专利62项。标的公司2023年及2024年度分别被工业和信息化部评为“专精特新‘小巨人’企业”“国家级专精特新重点‘小巨人’企业”，主营业务属于国家战略新兴产业并符合新质生产力相关要求。标的公司先后荣获“广东自助设备产业链数字化应用工程技术研究中心”“中国国际物联网产业大奖（优秀平台奖）”“中国产学研合作创新示范企业”“2023年度世界物联网大会年度优秀企业奖”“2023中国物联网企业投资价值50强”“2024世界物联网500强·潜力榜百强”“2024新质生产力高企百强榜”等荣誉</w:t>
      </w:r>
      <w:r>
        <w:rPr>
          <w:rFonts w:ascii="仿宋" w:eastAsia="仿宋" w:hAnsi="仿宋" w:cs="仿宋" w:hint="eastAsia"/>
          <w:sz w:val="24"/>
        </w:rPr>
        <w:t>。</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标的公司依靠创新驱动业务发展，具备创新特征，属于成长型创新创业企业，符合《深圳证券交易所创业板企业发行上市申报及推荐暂行规定（2024年修订）》第二条规定；标的公司属于能够通过创新、创造、创意促进互联网、大数据、云计算、自动化、人工智能、新能源等新技术、新产业、新业态、新模式与传统产业深度融合，推动行业向高端化、智能化、绿色化发展的企业，符合</w:t>
      </w:r>
      <w:r>
        <w:rPr>
          <w:rFonts w:ascii="仿宋" w:eastAsia="仿宋" w:hAnsi="仿宋" w:cs="仿宋" w:hint="eastAsia"/>
          <w:sz w:val="24"/>
        </w:rPr>
        <w:lastRenderedPageBreak/>
        <w:t>《</w:t>
      </w:r>
      <w:bookmarkStart w:id="1" w:name="OLE_LINK1"/>
      <w:r>
        <w:rPr>
          <w:rFonts w:ascii="仿宋" w:eastAsia="仿宋" w:hAnsi="仿宋" w:cs="仿宋" w:hint="eastAsia"/>
          <w:sz w:val="24"/>
        </w:rPr>
        <w:t>深圳证券交易所创业板企业发行上市申报及推荐暂行规定</w:t>
      </w:r>
      <w:bookmarkEnd w:id="1"/>
      <w:r>
        <w:rPr>
          <w:rFonts w:ascii="仿宋" w:eastAsia="仿宋" w:hAnsi="仿宋" w:cs="仿宋" w:hint="eastAsia"/>
          <w:sz w:val="24"/>
        </w:rPr>
        <w:t>（2024年修订）》第三条规定。</w:t>
      </w:r>
    </w:p>
    <w:p w:rsidR="007B5067" w:rsidRDefault="00000000">
      <w:pPr>
        <w:adjustRightInd w:val="0"/>
        <w:snapToGrid w:val="0"/>
        <w:spacing w:line="360" w:lineRule="auto"/>
        <w:ind w:firstLineChars="200" w:firstLine="482"/>
        <w:contextualSpacing/>
        <w:outlineLvl w:val="1"/>
        <w:rPr>
          <w:rFonts w:ascii="仿宋" w:eastAsia="仿宋" w:hAnsi="仿宋" w:cs="仿宋" w:hint="eastAsia"/>
          <w:b/>
          <w:bCs/>
          <w:sz w:val="24"/>
        </w:rPr>
      </w:pPr>
      <w:r>
        <w:rPr>
          <w:rFonts w:ascii="仿宋" w:eastAsia="仿宋" w:hAnsi="仿宋" w:cs="仿宋" w:hint="eastAsia"/>
          <w:b/>
          <w:bCs/>
          <w:sz w:val="24"/>
        </w:rPr>
        <w:t>（二）标的公司与上市公司处于同行业的认定依据及其合理性</w:t>
      </w:r>
    </w:p>
    <w:p w:rsidR="007B5067" w:rsidRDefault="00000000">
      <w:pPr>
        <w:pStyle w:val="004"/>
        <w:spacing w:before="156" w:after="156"/>
        <w:ind w:firstLine="482"/>
        <w:rPr>
          <w:rFonts w:ascii="仿宋" w:eastAsia="仿宋" w:hAnsi="仿宋" w:cs="仿宋" w:hint="eastAsia"/>
        </w:rPr>
      </w:pPr>
      <w:r>
        <w:rPr>
          <w:rFonts w:ascii="仿宋" w:eastAsia="仿宋" w:hAnsi="仿宋" w:cs="仿宋" w:hint="eastAsia"/>
        </w:rPr>
        <w:t>1.标的公司与上市公司所处行业分类相同</w:t>
      </w:r>
    </w:p>
    <w:p w:rsidR="007B5067" w:rsidRDefault="00F66A3E">
      <w:pPr>
        <w:adjustRightInd w:val="0"/>
        <w:snapToGrid w:val="0"/>
        <w:spacing w:line="360" w:lineRule="auto"/>
        <w:ind w:firstLineChars="200" w:firstLine="480"/>
        <w:contextualSpacing/>
        <w:rPr>
          <w:rFonts w:ascii="仿宋" w:eastAsia="仿宋" w:hAnsi="仿宋" w:cs="仿宋" w:hint="eastAsia"/>
          <w:sz w:val="24"/>
        </w:rPr>
      </w:pPr>
      <w:r w:rsidRPr="00F66A3E">
        <w:rPr>
          <w:rFonts w:ascii="仿宋" w:eastAsia="仿宋" w:hAnsi="仿宋" w:cs="仿宋" w:hint="eastAsia"/>
          <w:sz w:val="24"/>
        </w:rPr>
        <w:t>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w:t>
      </w:r>
      <w:proofErr w:type="gramStart"/>
      <w:r w:rsidRPr="00F66A3E">
        <w:rPr>
          <w:rFonts w:ascii="仿宋" w:eastAsia="仿宋" w:hAnsi="仿宋" w:cs="仿宋" w:hint="eastAsia"/>
          <w:sz w:val="24"/>
        </w:rPr>
        <w:t>算力网络</w:t>
      </w:r>
      <w:proofErr w:type="gramEnd"/>
      <w:r w:rsidRPr="00F66A3E">
        <w:rPr>
          <w:rFonts w:ascii="仿宋" w:eastAsia="仿宋" w:hAnsi="仿宋" w:cs="仿宋" w:hint="eastAsia"/>
          <w:sz w:val="24"/>
        </w:rPr>
        <w:t>集群服务，加速数据要素商业化进程;公司掌握了数字孪生构建与应用、政务大模型技术与应用、政务大数据分析与挖掘、</w:t>
      </w:r>
      <w:proofErr w:type="gramStart"/>
      <w:r w:rsidRPr="00F66A3E">
        <w:rPr>
          <w:rFonts w:ascii="仿宋" w:eastAsia="仿宋" w:hAnsi="仿宋" w:cs="仿宋" w:hint="eastAsia"/>
          <w:sz w:val="24"/>
        </w:rPr>
        <w:t>图像超</w:t>
      </w:r>
      <w:proofErr w:type="gramEnd"/>
      <w:r w:rsidRPr="00F66A3E">
        <w:rPr>
          <w:rFonts w:ascii="仿宋" w:eastAsia="仿宋" w:hAnsi="仿宋" w:cs="仿宋" w:hint="eastAsia"/>
          <w:sz w:val="24"/>
        </w:rPr>
        <w:t>分与识别、跨平台高性能音视频通讯、统一数据集成、智能人机交互、智能报表、可视化工作流、低代码应用开发十大核心技术能力，持续创新并落地了基层社会治理网格化、市</w:t>
      </w:r>
      <w:proofErr w:type="gramStart"/>
      <w:r w:rsidRPr="00F66A3E">
        <w:rPr>
          <w:rFonts w:ascii="仿宋" w:eastAsia="仿宋" w:hAnsi="仿宋" w:cs="仿宋" w:hint="eastAsia"/>
          <w:sz w:val="24"/>
        </w:rPr>
        <w:t>域社会</w:t>
      </w:r>
      <w:proofErr w:type="gramEnd"/>
      <w:r w:rsidRPr="00F66A3E">
        <w:rPr>
          <w:rFonts w:ascii="仿宋" w:eastAsia="仿宋" w:hAnsi="仿宋" w:cs="仿宋" w:hint="eastAsia"/>
          <w:sz w:val="24"/>
        </w:rPr>
        <w:t>治理、数字乡村、智慧社区、政务服务全场景一体化、数据要素全链条一站式、轨道交通无人值守、轨道交通资产巡视八大核心解决方案。</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根据《国民经济行业分类》（GB/T4754-2017），上市公司所属行业为软件和信息技术服务业（I65）。结合前述标的公司行业分析，标的公司所属行业亦为信息传输、软件和信息技术服务业（I65），因此上市公司、目标公司所处行业分类相同。</w:t>
      </w:r>
    </w:p>
    <w:p w:rsidR="007B5067" w:rsidRDefault="00000000">
      <w:pPr>
        <w:pStyle w:val="004"/>
        <w:spacing w:before="156" w:after="156"/>
        <w:ind w:firstLine="482"/>
        <w:rPr>
          <w:rFonts w:ascii="仿宋" w:eastAsia="仿宋" w:hAnsi="仿宋" w:cs="仿宋" w:hint="eastAsia"/>
        </w:rPr>
      </w:pPr>
      <w:r>
        <w:rPr>
          <w:rFonts w:ascii="仿宋" w:eastAsia="仿宋" w:hAnsi="仿宋" w:cs="仿宋" w:hint="eastAsia"/>
        </w:rPr>
        <w:t>2.标的公司与上市公司业务同属于</w:t>
      </w:r>
      <w:r w:rsidR="00BB626B">
        <w:rPr>
          <w:rFonts w:ascii="仿宋" w:eastAsia="仿宋" w:hAnsi="仿宋" w:cs="仿宋" w:hint="eastAsia"/>
        </w:rPr>
        <w:t>数字经济</w:t>
      </w:r>
      <w:r>
        <w:rPr>
          <w:rFonts w:ascii="仿宋" w:eastAsia="仿宋" w:hAnsi="仿宋" w:cs="仿宋" w:hint="eastAsia"/>
        </w:rPr>
        <w:t>领域</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上市公司致力于融合物联网、大数据、云计算、人工智能等新一代信息技术，持续创新并成功落地了市</w:t>
      </w:r>
      <w:proofErr w:type="gramStart"/>
      <w:r>
        <w:rPr>
          <w:rFonts w:ascii="仿宋" w:eastAsia="仿宋" w:hAnsi="仿宋" w:cs="仿宋" w:hint="eastAsia"/>
          <w:sz w:val="24"/>
        </w:rPr>
        <w:t>域社会</w:t>
      </w:r>
      <w:proofErr w:type="gramEnd"/>
      <w:r>
        <w:rPr>
          <w:rFonts w:ascii="仿宋" w:eastAsia="仿宋" w:hAnsi="仿宋" w:cs="仿宋" w:hint="eastAsia"/>
          <w:sz w:val="24"/>
        </w:rPr>
        <w:t>治理、数字乡村、社会治安综合治理、智慧社区、智慧党建、行政便民服务、轨道交通无人值守等一系列应用产品和解决方案，广泛服务于各级党政部门、企事业单位。</w:t>
      </w:r>
      <w:r w:rsidR="00BB626B">
        <w:rPr>
          <w:rFonts w:ascii="仿宋" w:eastAsia="仿宋" w:hAnsi="仿宋" w:cs="仿宋" w:hint="eastAsia"/>
          <w:sz w:val="24"/>
        </w:rPr>
        <w:t>近年来，</w:t>
      </w:r>
      <w:r>
        <w:rPr>
          <w:rFonts w:ascii="仿宋" w:eastAsia="仿宋" w:hAnsi="仿宋" w:cs="仿宋" w:hint="eastAsia"/>
          <w:sz w:val="24"/>
        </w:rPr>
        <w:t>上市公司</w:t>
      </w:r>
      <w:r w:rsidR="00BB626B" w:rsidRPr="00BB626B">
        <w:rPr>
          <w:rFonts w:ascii="仿宋" w:eastAsia="仿宋" w:hAnsi="仿宋" w:cs="仿宋" w:hint="eastAsia"/>
          <w:sz w:val="24"/>
        </w:rPr>
        <w:t>紧抓“数字经济”发展机遇，在继续巩固政务、教育、医疗等领域优势的同时，进一步开拓了智慧轨道交通、智慧企业、智慧能源业务</w:t>
      </w:r>
      <w:r>
        <w:rPr>
          <w:rFonts w:ascii="仿宋" w:eastAsia="仿宋" w:hAnsi="仿宋" w:cs="仿宋" w:hint="eastAsia"/>
          <w:sz w:val="24"/>
        </w:rPr>
        <w:t>。</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国家发展改革委等关于深化智慧城市发展推进城市全域数字化转型的指导意见》（以下简称“《指导意见》”）中明确指出，要培育壮大城市数字经济，推动商贸、文旅、康养等生活性服务业数字化转型，提升“上云用数赋智”水平。而标的公司长期专注于提供“IoT物联网+SaaS云平台”一体化解决方案，致力</w:t>
      </w:r>
      <w:r>
        <w:rPr>
          <w:rFonts w:ascii="仿宋" w:eastAsia="仿宋" w:hAnsi="仿宋" w:cs="仿宋" w:hint="eastAsia"/>
          <w:sz w:val="24"/>
        </w:rPr>
        <w:lastRenderedPageBreak/>
        <w:t>于打造生活、零售、出行等生活性服务业数字化转型的技术底座，以技术创新和商业化实践助力城市数字经济发展，符合《指导意见》中关于</w:t>
      </w:r>
      <w:r w:rsidR="00BB626B">
        <w:rPr>
          <w:rFonts w:ascii="仿宋" w:eastAsia="仿宋" w:hAnsi="仿宋" w:cs="仿宋" w:hint="eastAsia"/>
          <w:sz w:val="24"/>
        </w:rPr>
        <w:t>“培育壮大城市数字经济”</w:t>
      </w:r>
      <w:r>
        <w:rPr>
          <w:rFonts w:ascii="仿宋" w:eastAsia="仿宋" w:hAnsi="仿宋" w:cs="仿宋" w:hint="eastAsia"/>
          <w:sz w:val="24"/>
        </w:rPr>
        <w:t>的相关要求。</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因此，标的公司与上市公司业务同属于</w:t>
      </w:r>
      <w:r w:rsidR="00BB626B">
        <w:rPr>
          <w:rFonts w:ascii="仿宋" w:eastAsia="仿宋" w:hAnsi="仿宋" w:cs="仿宋" w:hint="eastAsia"/>
          <w:sz w:val="24"/>
        </w:rPr>
        <w:t>数字经济</w:t>
      </w:r>
      <w:r>
        <w:rPr>
          <w:rFonts w:ascii="仿宋" w:eastAsia="仿宋" w:hAnsi="仿宋" w:cs="仿宋" w:hint="eastAsia"/>
          <w:sz w:val="24"/>
        </w:rPr>
        <w:t>领域。</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综上，标的公司与上市公司处于同行业，本次交易符合《持续监管办法》第十八条和《重组审核规则》第八条的规定。</w:t>
      </w:r>
    </w:p>
    <w:p w:rsidR="007B5067" w:rsidRDefault="00000000">
      <w:pPr>
        <w:adjustRightInd w:val="0"/>
        <w:snapToGrid w:val="0"/>
        <w:spacing w:line="360" w:lineRule="auto"/>
        <w:ind w:firstLineChars="200" w:firstLine="482"/>
        <w:contextualSpacing/>
        <w:outlineLvl w:val="0"/>
        <w:rPr>
          <w:rFonts w:ascii="仿宋" w:eastAsia="仿宋" w:hAnsi="仿宋" w:cs="仿宋" w:hint="eastAsia"/>
          <w:b/>
          <w:bCs/>
          <w:sz w:val="24"/>
        </w:rPr>
      </w:pPr>
      <w:r>
        <w:rPr>
          <w:rFonts w:ascii="仿宋" w:eastAsia="仿宋" w:hAnsi="仿宋" w:cs="仿宋" w:hint="eastAsia"/>
          <w:b/>
          <w:bCs/>
          <w:sz w:val="24"/>
        </w:rPr>
        <w:t>二、本次交易符合《持续监管办法》第二十一条的规定</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根据《持续监管办法》第二十一条的规定，上市公司发行股份购买资产的，发行股份的价格不得低于市场参考价的百分之八十。市场参考价为本次发行股份购买资产的董事会决议公告日前二十个交易日、六十个交易日或者一百二十个交易日的公司股票交易均价之一。</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本次发行股份购买资产定价基准日为上市公司第三届董事会第三十二次会议决议公告日，本次发行股份购买资产涉及的股票发行价格为26.76元/股，不低于定价基准日前120个交易日公司股票均价的80%，符合《持续监管办法》第二十一条的规定。</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综上，本次交易符合《持续监管办法》和《重组审核规则》的相关规定。</w:t>
      </w:r>
    </w:p>
    <w:p w:rsidR="007B5067" w:rsidRDefault="00000000">
      <w:pPr>
        <w:adjustRightInd w:val="0"/>
        <w:snapToGrid w:val="0"/>
        <w:spacing w:line="360" w:lineRule="auto"/>
        <w:ind w:firstLineChars="200" w:firstLine="480"/>
        <w:contextualSpacing/>
        <w:rPr>
          <w:rFonts w:ascii="仿宋" w:eastAsia="仿宋" w:hAnsi="仿宋" w:cs="仿宋" w:hint="eastAsia"/>
          <w:sz w:val="24"/>
        </w:rPr>
      </w:pPr>
      <w:r>
        <w:rPr>
          <w:rFonts w:ascii="仿宋" w:eastAsia="仿宋" w:hAnsi="仿宋" w:cs="仿宋" w:hint="eastAsia"/>
          <w:sz w:val="24"/>
        </w:rPr>
        <w:t>特此说明。</w:t>
      </w:r>
    </w:p>
    <w:p w:rsidR="007B5067" w:rsidRDefault="007B5067">
      <w:pPr>
        <w:spacing w:line="360" w:lineRule="auto"/>
        <w:ind w:firstLineChars="200" w:firstLine="480"/>
        <w:rPr>
          <w:rFonts w:ascii="仿宋" w:eastAsia="仿宋" w:hAnsi="仿宋" w:cs="仿宋" w:hint="eastAsia"/>
          <w:sz w:val="24"/>
        </w:rPr>
      </w:pPr>
    </w:p>
    <w:p w:rsidR="007B5067" w:rsidRDefault="00000000">
      <w:pPr>
        <w:adjustRightInd w:val="0"/>
        <w:snapToGrid w:val="0"/>
        <w:spacing w:line="360" w:lineRule="auto"/>
        <w:contextualSpacing/>
        <w:jc w:val="right"/>
        <w:rPr>
          <w:rFonts w:ascii="仿宋" w:eastAsia="仿宋" w:hAnsi="仿宋" w:cs="仿宋" w:hint="eastAsia"/>
          <w:sz w:val="24"/>
        </w:rPr>
      </w:pPr>
      <w:r>
        <w:rPr>
          <w:rFonts w:ascii="仿宋" w:eastAsia="仿宋" w:hAnsi="仿宋" w:cs="仿宋" w:hint="eastAsia"/>
          <w:sz w:val="24"/>
        </w:rPr>
        <w:t>广东天亿马信息产业股份有限公司董事会</w:t>
      </w:r>
    </w:p>
    <w:p w:rsidR="007B5067" w:rsidRDefault="00000000">
      <w:pPr>
        <w:adjustRightInd w:val="0"/>
        <w:snapToGrid w:val="0"/>
        <w:spacing w:line="360" w:lineRule="auto"/>
        <w:contextualSpacing/>
        <w:jc w:val="right"/>
        <w:rPr>
          <w:rFonts w:ascii="Times New Roman" w:hAnsi="Times New Roman" w:cs="Times New Roman"/>
          <w:sz w:val="24"/>
          <w:highlight w:val="yellow"/>
        </w:rPr>
      </w:pPr>
      <w:r>
        <w:rPr>
          <w:rFonts w:ascii="仿宋" w:eastAsia="仿宋" w:hAnsi="仿宋" w:cs="仿宋" w:hint="eastAsia"/>
          <w:sz w:val="24"/>
        </w:rPr>
        <w:t>2025年6月2</w:t>
      </w:r>
      <w:r>
        <w:rPr>
          <w:rFonts w:ascii="仿宋" w:eastAsia="仿宋" w:hAnsi="仿宋" w:cs="仿宋"/>
          <w:sz w:val="24"/>
        </w:rPr>
        <w:t>3</w:t>
      </w:r>
      <w:r>
        <w:rPr>
          <w:rFonts w:ascii="仿宋" w:eastAsia="仿宋" w:hAnsi="仿宋" w:cs="仿宋" w:hint="eastAsia"/>
          <w:sz w:val="24"/>
        </w:rPr>
        <w:t>日</w:t>
      </w:r>
    </w:p>
    <w:sectPr w:rsidR="007B50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53961" w:rsidRDefault="00353961">
      <w:pPr>
        <w:spacing w:line="240" w:lineRule="auto"/>
      </w:pPr>
      <w:r>
        <w:separator/>
      </w:r>
    </w:p>
  </w:endnote>
  <w:endnote w:type="continuationSeparator" w:id="0">
    <w:p w:rsidR="00353961" w:rsidRDefault="003539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53961" w:rsidRDefault="00353961">
      <w:pPr>
        <w:spacing w:after="0"/>
      </w:pPr>
      <w:r>
        <w:separator/>
      </w:r>
    </w:p>
  </w:footnote>
  <w:footnote w:type="continuationSeparator" w:id="0">
    <w:p w:rsidR="00353961" w:rsidRDefault="0035396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686E"/>
    <w:rsid w:val="000F3CFE"/>
    <w:rsid w:val="0010255E"/>
    <w:rsid w:val="00131D3C"/>
    <w:rsid w:val="00137E95"/>
    <w:rsid w:val="0014774F"/>
    <w:rsid w:val="001743A9"/>
    <w:rsid w:val="00175E4E"/>
    <w:rsid w:val="001E2363"/>
    <w:rsid w:val="00211100"/>
    <w:rsid w:val="0023423A"/>
    <w:rsid w:val="002A4654"/>
    <w:rsid w:val="002A4888"/>
    <w:rsid w:val="002B4161"/>
    <w:rsid w:val="002C154A"/>
    <w:rsid w:val="002C7141"/>
    <w:rsid w:val="002F55E9"/>
    <w:rsid w:val="003350F9"/>
    <w:rsid w:val="00344DEE"/>
    <w:rsid w:val="00353961"/>
    <w:rsid w:val="003C6AA5"/>
    <w:rsid w:val="003D0ABC"/>
    <w:rsid w:val="003E1AC0"/>
    <w:rsid w:val="003E489F"/>
    <w:rsid w:val="003E6478"/>
    <w:rsid w:val="0041107C"/>
    <w:rsid w:val="00424251"/>
    <w:rsid w:val="004757E0"/>
    <w:rsid w:val="004E4E3A"/>
    <w:rsid w:val="004E5DAE"/>
    <w:rsid w:val="00553287"/>
    <w:rsid w:val="005A2CFC"/>
    <w:rsid w:val="005A490A"/>
    <w:rsid w:val="005D39DC"/>
    <w:rsid w:val="005E2D75"/>
    <w:rsid w:val="005E3DCF"/>
    <w:rsid w:val="005F686E"/>
    <w:rsid w:val="00616A9E"/>
    <w:rsid w:val="00654A08"/>
    <w:rsid w:val="006572A7"/>
    <w:rsid w:val="00663DD8"/>
    <w:rsid w:val="006B645B"/>
    <w:rsid w:val="00703DC3"/>
    <w:rsid w:val="0073025B"/>
    <w:rsid w:val="00732726"/>
    <w:rsid w:val="00766E63"/>
    <w:rsid w:val="0078070F"/>
    <w:rsid w:val="007B5067"/>
    <w:rsid w:val="007F10ED"/>
    <w:rsid w:val="008065AE"/>
    <w:rsid w:val="00806BDA"/>
    <w:rsid w:val="00830225"/>
    <w:rsid w:val="008B53A9"/>
    <w:rsid w:val="008C4C0A"/>
    <w:rsid w:val="008E22DC"/>
    <w:rsid w:val="008F283B"/>
    <w:rsid w:val="00900A5C"/>
    <w:rsid w:val="009056A4"/>
    <w:rsid w:val="009311B3"/>
    <w:rsid w:val="00944E5B"/>
    <w:rsid w:val="0094561A"/>
    <w:rsid w:val="00945D98"/>
    <w:rsid w:val="00956A5D"/>
    <w:rsid w:val="009C1C71"/>
    <w:rsid w:val="009D430F"/>
    <w:rsid w:val="009D5625"/>
    <w:rsid w:val="00A37352"/>
    <w:rsid w:val="00AA4F3A"/>
    <w:rsid w:val="00B060EE"/>
    <w:rsid w:val="00B515C5"/>
    <w:rsid w:val="00BB626B"/>
    <w:rsid w:val="00BC0B40"/>
    <w:rsid w:val="00BF3510"/>
    <w:rsid w:val="00C22CF1"/>
    <w:rsid w:val="00C23330"/>
    <w:rsid w:val="00C24F8A"/>
    <w:rsid w:val="00C33668"/>
    <w:rsid w:val="00C474D6"/>
    <w:rsid w:val="00C5383E"/>
    <w:rsid w:val="00CC5755"/>
    <w:rsid w:val="00CF60D9"/>
    <w:rsid w:val="00D1573E"/>
    <w:rsid w:val="00D46F7C"/>
    <w:rsid w:val="00D76A7B"/>
    <w:rsid w:val="00D856B8"/>
    <w:rsid w:val="00DC58AE"/>
    <w:rsid w:val="00DD76EA"/>
    <w:rsid w:val="00DF28FE"/>
    <w:rsid w:val="00DF48AD"/>
    <w:rsid w:val="00E32924"/>
    <w:rsid w:val="00E338C7"/>
    <w:rsid w:val="00E6697A"/>
    <w:rsid w:val="00EF1A62"/>
    <w:rsid w:val="00EF350B"/>
    <w:rsid w:val="00EF5CA4"/>
    <w:rsid w:val="00F03891"/>
    <w:rsid w:val="00F3498C"/>
    <w:rsid w:val="00F41E13"/>
    <w:rsid w:val="00F43DCD"/>
    <w:rsid w:val="00F66A3E"/>
    <w:rsid w:val="00FA5911"/>
    <w:rsid w:val="00FC02BF"/>
    <w:rsid w:val="01D152A8"/>
    <w:rsid w:val="01D35842"/>
    <w:rsid w:val="03EB7DBF"/>
    <w:rsid w:val="04373A92"/>
    <w:rsid w:val="057D6652"/>
    <w:rsid w:val="06B01930"/>
    <w:rsid w:val="06FE39DC"/>
    <w:rsid w:val="09C301FF"/>
    <w:rsid w:val="0B077F8D"/>
    <w:rsid w:val="0C654F6B"/>
    <w:rsid w:val="0C847745"/>
    <w:rsid w:val="0E9509F5"/>
    <w:rsid w:val="12690FE0"/>
    <w:rsid w:val="12C30C0A"/>
    <w:rsid w:val="12C934F6"/>
    <w:rsid w:val="1383420E"/>
    <w:rsid w:val="14504F0D"/>
    <w:rsid w:val="18BC3A15"/>
    <w:rsid w:val="192F64DD"/>
    <w:rsid w:val="19363AA3"/>
    <w:rsid w:val="196F408D"/>
    <w:rsid w:val="19DC3498"/>
    <w:rsid w:val="1B465492"/>
    <w:rsid w:val="1C48014A"/>
    <w:rsid w:val="1E3E0286"/>
    <w:rsid w:val="22336794"/>
    <w:rsid w:val="225738A5"/>
    <w:rsid w:val="23952182"/>
    <w:rsid w:val="23AC747E"/>
    <w:rsid w:val="23B81C09"/>
    <w:rsid w:val="24107A5A"/>
    <w:rsid w:val="242F2F45"/>
    <w:rsid w:val="29D02E18"/>
    <w:rsid w:val="2E1335F5"/>
    <w:rsid w:val="316737CE"/>
    <w:rsid w:val="31B5748C"/>
    <w:rsid w:val="330E3F00"/>
    <w:rsid w:val="336D632F"/>
    <w:rsid w:val="376D68B8"/>
    <w:rsid w:val="39BE7E4A"/>
    <w:rsid w:val="3B5955D8"/>
    <w:rsid w:val="3B70356F"/>
    <w:rsid w:val="408066D9"/>
    <w:rsid w:val="424801FA"/>
    <w:rsid w:val="439300DC"/>
    <w:rsid w:val="46C07C87"/>
    <w:rsid w:val="4A6606F1"/>
    <w:rsid w:val="4A7742C2"/>
    <w:rsid w:val="4E41068C"/>
    <w:rsid w:val="53E75832"/>
    <w:rsid w:val="561849C7"/>
    <w:rsid w:val="5AD2487B"/>
    <w:rsid w:val="5AFA4E48"/>
    <w:rsid w:val="5BFB2A8E"/>
    <w:rsid w:val="5D2E16B2"/>
    <w:rsid w:val="5E152E9A"/>
    <w:rsid w:val="5F342578"/>
    <w:rsid w:val="6089593B"/>
    <w:rsid w:val="63123773"/>
    <w:rsid w:val="665F3888"/>
    <w:rsid w:val="672E0C71"/>
    <w:rsid w:val="6B877B0E"/>
    <w:rsid w:val="6ED076BE"/>
    <w:rsid w:val="70282B07"/>
    <w:rsid w:val="716E7E96"/>
    <w:rsid w:val="71A65C9F"/>
    <w:rsid w:val="71DD7A24"/>
    <w:rsid w:val="728A7C15"/>
    <w:rsid w:val="73555EBD"/>
    <w:rsid w:val="74E31B4F"/>
    <w:rsid w:val="75050285"/>
    <w:rsid w:val="75BF3BAC"/>
    <w:rsid w:val="79614F80"/>
    <w:rsid w:val="7F884846"/>
    <w:rsid w:val="7FEA6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D6F306"/>
  <w15:docId w15:val="{A6FD51D6-AAB3-4675-B5E7-BDF72BD8A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160" w:line="278" w:lineRule="auto"/>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table" w:styleId="a8">
    <w:name w:val="Table Grid"/>
    <w:basedOn w:val="a1"/>
    <w:uiPriority w:val="5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a5">
    <w:name w:val="页脚 字符"/>
    <w:basedOn w:val="a0"/>
    <w:link w:val="a4"/>
    <w:qFormat/>
    <w:rPr>
      <w:rFonts w:asciiTheme="minorHAnsi" w:eastAsiaTheme="minorEastAsia" w:hAnsiTheme="minorHAnsi" w:cstheme="minorBidi"/>
      <w:kern w:val="2"/>
      <w:sz w:val="18"/>
      <w:szCs w:val="18"/>
    </w:rPr>
  </w:style>
  <w:style w:type="paragraph" w:customStyle="1" w:styleId="1">
    <w:name w:val="修订1"/>
    <w:hidden/>
    <w:uiPriority w:val="99"/>
    <w:unhideWhenUsed/>
    <w:qFormat/>
    <w:pPr>
      <w:spacing w:after="160" w:line="278" w:lineRule="auto"/>
    </w:pPr>
    <w:rPr>
      <w:rFonts w:asciiTheme="minorHAnsi" w:eastAsiaTheme="minorEastAsia" w:hAnsiTheme="minorHAnsi" w:cstheme="minorBidi"/>
      <w:kern w:val="2"/>
      <w:sz w:val="21"/>
      <w:szCs w:val="24"/>
    </w:rPr>
  </w:style>
  <w:style w:type="paragraph" w:customStyle="1" w:styleId="2">
    <w:name w:val="修订2"/>
    <w:hidden/>
    <w:uiPriority w:val="99"/>
    <w:unhideWhenUsed/>
    <w:qFormat/>
    <w:pPr>
      <w:spacing w:after="160" w:line="278" w:lineRule="auto"/>
    </w:pPr>
    <w:rPr>
      <w:rFonts w:asciiTheme="minorHAnsi" w:eastAsiaTheme="minorEastAsia" w:hAnsiTheme="minorHAnsi" w:cstheme="minorBidi"/>
      <w:kern w:val="2"/>
      <w:sz w:val="21"/>
      <w:szCs w:val="24"/>
    </w:rPr>
  </w:style>
  <w:style w:type="paragraph" w:customStyle="1" w:styleId="3">
    <w:name w:val="修订3"/>
    <w:hidden/>
    <w:uiPriority w:val="99"/>
    <w:semiHidden/>
    <w:qFormat/>
    <w:pPr>
      <w:spacing w:after="160" w:line="278" w:lineRule="auto"/>
    </w:pPr>
    <w:rPr>
      <w:rFonts w:asciiTheme="minorHAnsi" w:eastAsiaTheme="minorEastAsia" w:hAnsiTheme="minorHAnsi" w:cstheme="minorBidi"/>
      <w:kern w:val="2"/>
      <w:sz w:val="21"/>
      <w:szCs w:val="24"/>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table" w:customStyle="1" w:styleId="10">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rPr>
      <w:rFonts w:asciiTheme="minorHAnsi" w:eastAsiaTheme="minorEastAsia" w:hAnsiTheme="minorHAnsi" w:cstheme="minorBidi"/>
      <w:kern w:val="2"/>
      <w:sz w:val="21"/>
      <w:szCs w:val="24"/>
    </w:rPr>
  </w:style>
  <w:style w:type="paragraph" w:styleId="a9">
    <w:name w:val="Revision"/>
    <w:hidden/>
    <w:uiPriority w:val="99"/>
    <w:unhideWhenUsed/>
    <w:rsid w:val="00553287"/>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461</Words>
  <Characters>2632</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宇 吴</cp:lastModifiedBy>
  <cp:revision>49</cp:revision>
  <dcterms:created xsi:type="dcterms:W3CDTF">2025-03-10T09:25:00Z</dcterms:created>
  <dcterms:modified xsi:type="dcterms:W3CDTF">2025-06-23T06:02:00Z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597A1C93201846329839E9309F9595B2_12</vt:lpwstr>
  </property>
</Properties>
</file>