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E11FF" w14:textId="41B13B41" w:rsidR="00CB1FDF" w:rsidRPr="003158B5" w:rsidRDefault="00000000">
      <w:pPr>
        <w:spacing w:line="360" w:lineRule="auto"/>
        <w:jc w:val="center"/>
        <w:rPr>
          <w:rFonts w:ascii="Times New Roman" w:eastAsia="黑体" w:hAnsi="Times New Roman"/>
          <w:bCs/>
          <w:sz w:val="32"/>
          <w:szCs w:val="32"/>
        </w:rPr>
      </w:pPr>
      <w:r w:rsidRPr="003158B5">
        <w:rPr>
          <w:rFonts w:ascii="Times New Roman" w:eastAsia="黑体" w:hAnsi="Times New Roman" w:hint="eastAsia"/>
          <w:bCs/>
          <w:sz w:val="32"/>
          <w:szCs w:val="32"/>
        </w:rPr>
        <w:t>广东天亿马信息产业股份有限公司</w:t>
      </w:r>
    </w:p>
    <w:p w14:paraId="6C97907A" w14:textId="77777777" w:rsidR="00CB1FDF" w:rsidRDefault="00000000">
      <w:pPr>
        <w:spacing w:line="360" w:lineRule="auto"/>
        <w:jc w:val="center"/>
        <w:rPr>
          <w:rFonts w:ascii="Times New Roman" w:eastAsia="黑体" w:hAnsi="Times New Roman"/>
          <w:bCs/>
          <w:sz w:val="32"/>
          <w:szCs w:val="32"/>
        </w:rPr>
      </w:pPr>
      <w:r w:rsidRPr="003158B5">
        <w:rPr>
          <w:rFonts w:ascii="Times New Roman" w:eastAsia="黑体" w:hAnsi="Times New Roman" w:hint="eastAsia"/>
          <w:bCs/>
          <w:sz w:val="32"/>
          <w:szCs w:val="32"/>
        </w:rPr>
        <w:t>董事会关于本次交易首次披露前上市公司</w:t>
      </w:r>
    </w:p>
    <w:p w14:paraId="40F1BD8A" w14:textId="77777777" w:rsidR="00CB1FDF" w:rsidRPr="003158B5" w:rsidRDefault="00000000">
      <w:pPr>
        <w:spacing w:line="360" w:lineRule="auto"/>
        <w:jc w:val="center"/>
        <w:rPr>
          <w:rFonts w:ascii="Times New Roman" w:eastAsia="黑体" w:hAnsi="Times New Roman"/>
          <w:bCs/>
          <w:sz w:val="32"/>
          <w:szCs w:val="32"/>
        </w:rPr>
      </w:pPr>
      <w:r w:rsidRPr="003158B5">
        <w:rPr>
          <w:rFonts w:ascii="Times New Roman" w:eastAsia="黑体" w:hAnsi="Times New Roman" w:hint="eastAsia"/>
          <w:bCs/>
          <w:sz w:val="32"/>
          <w:szCs w:val="32"/>
        </w:rPr>
        <w:t>股票价格波动情况的说明</w:t>
      </w:r>
    </w:p>
    <w:p w14:paraId="28C2153F" w14:textId="77777777" w:rsidR="00CB1FDF" w:rsidRDefault="00CB1FDF">
      <w:pPr>
        <w:spacing w:line="360" w:lineRule="auto"/>
        <w:jc w:val="center"/>
        <w:rPr>
          <w:rFonts w:ascii="Times New Roman" w:hAnsi="Times New Roman"/>
          <w:szCs w:val="22"/>
        </w:rPr>
      </w:pPr>
      <w:bookmarkStart w:id="0" w:name="OLE_LINK1"/>
    </w:p>
    <w:p w14:paraId="2681118A" w14:textId="77777777" w:rsidR="00CB1FD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w:t>
      </w:r>
      <w:bookmarkEnd w:id="0"/>
      <w:r>
        <w:rPr>
          <w:rFonts w:ascii="仿宋" w:eastAsia="仿宋" w:hAnsi="仿宋" w:cs="仿宋" w:hint="eastAsia"/>
        </w:rPr>
        <w:t>（以下简称“公司”）拟通过发行股份及支付现金方式购买广东星云开物科技股份有限公司100.00%股权并募集配套资金（以下简称“本次交易”）。</w:t>
      </w:r>
    </w:p>
    <w:p w14:paraId="75CF7621" w14:textId="77777777" w:rsidR="00CB1FDF" w:rsidRDefault="00000000">
      <w:pPr>
        <w:adjustRightInd w:val="0"/>
        <w:snapToGrid w:val="0"/>
        <w:spacing w:line="360" w:lineRule="auto"/>
        <w:ind w:firstLineChars="200" w:firstLine="480"/>
        <w:contextualSpacing/>
        <w:rPr>
          <w:rFonts w:ascii="仿宋" w:eastAsia="仿宋" w:hAnsi="仿宋" w:cs="仿宋" w:hint="eastAsia"/>
          <w:color w:val="000000"/>
        </w:rPr>
      </w:pPr>
      <w:r>
        <w:rPr>
          <w:rFonts w:ascii="仿宋" w:eastAsia="仿宋" w:hAnsi="仿宋" w:cs="仿宋" w:hint="eastAsia"/>
          <w:color w:val="000000"/>
        </w:rPr>
        <w:t>为了保证公平信息披露、维护投资者利益，避免对公司股价造成重大影响，根据《深圳证券交易所上市公司自律监管指引第6号——停复牌》等相关规定，经公司申请，公司股票（证券简称：</w:t>
      </w:r>
      <w:proofErr w:type="gramStart"/>
      <w:r>
        <w:rPr>
          <w:rFonts w:ascii="仿宋" w:eastAsia="仿宋" w:hAnsi="仿宋" w:cs="仿宋" w:hint="eastAsia"/>
          <w:color w:val="000000"/>
        </w:rPr>
        <w:t>天亿马</w:t>
      </w:r>
      <w:proofErr w:type="gramEnd"/>
      <w:r>
        <w:rPr>
          <w:rFonts w:ascii="仿宋" w:eastAsia="仿宋" w:hAnsi="仿宋" w:cs="仿宋" w:hint="eastAsia"/>
          <w:color w:val="000000"/>
        </w:rPr>
        <w:t>，证券代码：301178）自2025年6月10日（星期二）开市起开始停牌</w:t>
      </w:r>
      <w:r>
        <w:rPr>
          <w:rFonts w:ascii="仿宋" w:eastAsia="仿宋" w:hAnsi="仿宋" w:cs="仿宋" w:hint="eastAsia"/>
        </w:rPr>
        <w:t>。</w:t>
      </w:r>
      <w:r>
        <w:rPr>
          <w:rFonts w:ascii="仿宋" w:eastAsia="仿宋" w:hAnsi="仿宋" w:cs="仿宋" w:hint="eastAsia"/>
          <w:color w:val="000000"/>
        </w:rPr>
        <w:t>具体内容详见公司于2025年6月10日披露的《广东天亿马信息产业股份有限公司关于筹划发行股份及支付现金方式购买资产并募集配套资金事项的停牌公告》（公告编号：2025-046）。</w:t>
      </w:r>
    </w:p>
    <w:p w14:paraId="3D68D0EC" w14:textId="77777777" w:rsidR="00CB1FD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公司现就本次交易事项申请连续停牌前20个交易日的股票价格波动情况，该期间创业</w:t>
      </w:r>
      <w:proofErr w:type="gramStart"/>
      <w:r>
        <w:rPr>
          <w:rFonts w:ascii="仿宋" w:eastAsia="仿宋" w:hAnsi="仿宋" w:cs="仿宋" w:hint="eastAsia"/>
        </w:rPr>
        <w:t>板指数</w:t>
      </w:r>
      <w:proofErr w:type="gramEnd"/>
      <w:r>
        <w:rPr>
          <w:rFonts w:ascii="仿宋" w:eastAsia="仿宋" w:hAnsi="仿宋" w:cs="仿宋" w:hint="eastAsia"/>
        </w:rPr>
        <w:t>以及同行业板块波动情况进行比较，情况如下：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97"/>
        <w:gridCol w:w="2552"/>
        <w:gridCol w:w="2302"/>
        <w:gridCol w:w="1025"/>
      </w:tblGrid>
      <w:tr w:rsidR="00CB1FDF" w14:paraId="40D39F31" w14:textId="77777777">
        <w:trPr>
          <w:cantSplit/>
          <w:trHeight w:val="397"/>
          <w:tblHeader/>
          <w:jc w:val="center"/>
        </w:trPr>
        <w:tc>
          <w:tcPr>
            <w:tcW w:w="1448" w:type="pct"/>
            <w:shd w:val="clear" w:color="auto" w:fill="auto"/>
            <w:vAlign w:val="center"/>
          </w:tcPr>
          <w:p w14:paraId="58D16E18" w14:textId="77777777" w:rsidR="00CB1FDF" w:rsidRDefault="00000000">
            <w:pPr>
              <w:keepNext/>
              <w:jc w:val="center"/>
              <w:rPr>
                <w:rFonts w:ascii="仿宋" w:eastAsia="仿宋" w:hAnsi="仿宋" w:cs="仿宋" w:hint="eastAsia"/>
                <w:b/>
                <w:sz w:val="21"/>
              </w:rPr>
            </w:pPr>
            <w:r>
              <w:rPr>
                <w:rFonts w:ascii="仿宋" w:eastAsia="仿宋" w:hAnsi="仿宋" w:cs="仿宋" w:hint="eastAsia"/>
                <w:b/>
                <w:sz w:val="21"/>
              </w:rPr>
              <w:t>项目</w:t>
            </w:r>
          </w:p>
        </w:tc>
        <w:tc>
          <w:tcPr>
            <w:tcW w:w="1542" w:type="pct"/>
            <w:shd w:val="clear" w:color="auto" w:fill="auto"/>
            <w:vAlign w:val="center"/>
          </w:tcPr>
          <w:p w14:paraId="490E682D" w14:textId="77777777" w:rsidR="00CB1FDF" w:rsidRDefault="00000000">
            <w:pPr>
              <w:keepNext/>
              <w:jc w:val="center"/>
              <w:rPr>
                <w:rFonts w:ascii="仿宋" w:eastAsia="仿宋" w:hAnsi="仿宋" w:cs="仿宋" w:hint="eastAsia"/>
                <w:b/>
                <w:sz w:val="21"/>
              </w:rPr>
            </w:pPr>
            <w:r>
              <w:rPr>
                <w:rFonts w:ascii="仿宋" w:eastAsia="仿宋" w:hAnsi="仿宋" w:cs="仿宋" w:hint="eastAsia"/>
                <w:b/>
                <w:sz w:val="21"/>
              </w:rPr>
              <w:t>停牌前第21个交易日（2025年5月9日）</w:t>
            </w:r>
          </w:p>
        </w:tc>
        <w:tc>
          <w:tcPr>
            <w:tcW w:w="1391" w:type="pct"/>
            <w:shd w:val="clear" w:color="auto" w:fill="auto"/>
            <w:vAlign w:val="center"/>
          </w:tcPr>
          <w:p w14:paraId="2091E7A2" w14:textId="77777777" w:rsidR="00CB1FDF" w:rsidRDefault="00000000">
            <w:pPr>
              <w:keepNext/>
              <w:jc w:val="center"/>
              <w:rPr>
                <w:rFonts w:ascii="仿宋" w:eastAsia="仿宋" w:hAnsi="仿宋" w:cs="仿宋" w:hint="eastAsia"/>
                <w:b/>
                <w:sz w:val="21"/>
              </w:rPr>
            </w:pPr>
            <w:r>
              <w:rPr>
                <w:rFonts w:ascii="仿宋" w:eastAsia="仿宋" w:hAnsi="仿宋" w:cs="仿宋" w:hint="eastAsia"/>
                <w:b/>
                <w:sz w:val="21"/>
              </w:rPr>
              <w:t>停牌前第1个交易日（2025年6月9日）</w:t>
            </w:r>
          </w:p>
        </w:tc>
        <w:tc>
          <w:tcPr>
            <w:tcW w:w="619" w:type="pct"/>
            <w:shd w:val="clear" w:color="auto" w:fill="auto"/>
            <w:vAlign w:val="center"/>
          </w:tcPr>
          <w:p w14:paraId="69680552" w14:textId="77777777" w:rsidR="00CB1FDF" w:rsidRDefault="00000000">
            <w:pPr>
              <w:keepNext/>
              <w:jc w:val="center"/>
              <w:rPr>
                <w:rFonts w:ascii="仿宋" w:eastAsia="仿宋" w:hAnsi="仿宋" w:cs="仿宋" w:hint="eastAsia"/>
                <w:b/>
                <w:sz w:val="21"/>
              </w:rPr>
            </w:pPr>
            <w:r>
              <w:rPr>
                <w:rFonts w:ascii="仿宋" w:eastAsia="仿宋" w:hAnsi="仿宋" w:cs="仿宋" w:hint="eastAsia"/>
                <w:b/>
                <w:sz w:val="21"/>
              </w:rPr>
              <w:t>涨跌幅</w:t>
            </w:r>
          </w:p>
        </w:tc>
      </w:tr>
      <w:tr w:rsidR="00CB1FDF" w14:paraId="26A41DC3" w14:textId="77777777">
        <w:trPr>
          <w:cantSplit/>
          <w:trHeight w:val="397"/>
          <w:jc w:val="center"/>
        </w:trPr>
        <w:tc>
          <w:tcPr>
            <w:tcW w:w="1448" w:type="pct"/>
            <w:shd w:val="clear" w:color="auto" w:fill="auto"/>
            <w:vAlign w:val="center"/>
          </w:tcPr>
          <w:p w14:paraId="169330BD" w14:textId="77777777" w:rsidR="00CB1FDF" w:rsidRDefault="00000000">
            <w:pPr>
              <w:rPr>
                <w:rFonts w:ascii="仿宋" w:eastAsia="仿宋" w:hAnsi="仿宋" w:cs="仿宋" w:hint="eastAsia"/>
                <w:sz w:val="21"/>
                <w:szCs w:val="21"/>
              </w:rPr>
            </w:pPr>
            <w:r>
              <w:rPr>
                <w:rFonts w:ascii="仿宋" w:eastAsia="仿宋" w:hAnsi="仿宋" w:cs="仿宋" w:hint="eastAsia"/>
                <w:sz w:val="21"/>
                <w:szCs w:val="21"/>
              </w:rPr>
              <w:t>公司股票收盘价（元/股）</w:t>
            </w:r>
          </w:p>
        </w:tc>
        <w:tc>
          <w:tcPr>
            <w:tcW w:w="2552" w:type="dxa"/>
            <w:shd w:val="clear" w:color="auto" w:fill="auto"/>
            <w:vAlign w:val="center"/>
          </w:tcPr>
          <w:p w14:paraId="6BC64C44" w14:textId="77777777" w:rsidR="00CB1FDF" w:rsidRDefault="00000000">
            <w:pPr>
              <w:jc w:val="right"/>
              <w:rPr>
                <w:rFonts w:ascii="仿宋" w:eastAsia="仿宋" w:hAnsi="仿宋" w:cs="仿宋" w:hint="eastAsia"/>
                <w:color w:val="000000"/>
                <w:kern w:val="0"/>
                <w:sz w:val="21"/>
                <w:szCs w:val="21"/>
              </w:rPr>
            </w:pPr>
            <w:r>
              <w:rPr>
                <w:rFonts w:ascii="仿宋" w:eastAsia="仿宋" w:hAnsi="仿宋" w:cs="仿宋" w:hint="eastAsia"/>
                <w:color w:val="000000"/>
                <w:sz w:val="21"/>
                <w:szCs w:val="21"/>
              </w:rPr>
              <w:t>35.92</w:t>
            </w:r>
          </w:p>
        </w:tc>
        <w:tc>
          <w:tcPr>
            <w:tcW w:w="2302" w:type="dxa"/>
            <w:shd w:val="clear" w:color="auto" w:fill="auto"/>
            <w:vAlign w:val="center"/>
          </w:tcPr>
          <w:p w14:paraId="4AC569A4" w14:textId="77777777" w:rsidR="00CB1FDF" w:rsidRDefault="00000000">
            <w:pPr>
              <w:jc w:val="right"/>
              <w:rPr>
                <w:rFonts w:ascii="仿宋" w:eastAsia="仿宋" w:hAnsi="仿宋" w:cs="仿宋" w:hint="eastAsia"/>
                <w:sz w:val="21"/>
              </w:rPr>
            </w:pPr>
            <w:r>
              <w:rPr>
                <w:rFonts w:ascii="仿宋" w:eastAsia="仿宋" w:hAnsi="仿宋" w:cs="仿宋" w:hint="eastAsia"/>
                <w:color w:val="000000"/>
                <w:sz w:val="21"/>
                <w:szCs w:val="21"/>
              </w:rPr>
              <w:t>44.51</w:t>
            </w:r>
          </w:p>
        </w:tc>
        <w:tc>
          <w:tcPr>
            <w:tcW w:w="1025" w:type="dxa"/>
            <w:shd w:val="clear" w:color="auto" w:fill="auto"/>
            <w:vAlign w:val="center"/>
          </w:tcPr>
          <w:p w14:paraId="1852B0FC" w14:textId="77777777" w:rsidR="00CB1FDF" w:rsidRDefault="00000000">
            <w:pPr>
              <w:jc w:val="right"/>
              <w:rPr>
                <w:rFonts w:ascii="仿宋" w:eastAsia="仿宋" w:hAnsi="仿宋" w:cs="仿宋" w:hint="eastAsia"/>
                <w:sz w:val="21"/>
              </w:rPr>
            </w:pPr>
            <w:r>
              <w:rPr>
                <w:rFonts w:ascii="仿宋" w:eastAsia="仿宋" w:hAnsi="仿宋" w:cs="仿宋" w:hint="eastAsia"/>
                <w:color w:val="000000"/>
                <w:sz w:val="21"/>
                <w:szCs w:val="21"/>
              </w:rPr>
              <w:t>23.91%</w:t>
            </w:r>
          </w:p>
        </w:tc>
      </w:tr>
      <w:tr w:rsidR="00CB1FDF" w14:paraId="73A909B0" w14:textId="77777777">
        <w:trPr>
          <w:cantSplit/>
          <w:trHeight w:val="397"/>
          <w:jc w:val="center"/>
        </w:trPr>
        <w:tc>
          <w:tcPr>
            <w:tcW w:w="2397" w:type="dxa"/>
            <w:shd w:val="clear" w:color="auto" w:fill="auto"/>
            <w:vAlign w:val="center"/>
          </w:tcPr>
          <w:p w14:paraId="4A40D5DC" w14:textId="77777777" w:rsidR="00CB1FDF" w:rsidRDefault="00000000">
            <w:pPr>
              <w:rPr>
                <w:rFonts w:ascii="仿宋" w:eastAsia="仿宋" w:hAnsi="仿宋" w:cs="仿宋" w:hint="eastAsia"/>
                <w:sz w:val="21"/>
                <w:szCs w:val="21"/>
              </w:rPr>
            </w:pPr>
            <w:r>
              <w:rPr>
                <w:rFonts w:ascii="仿宋" w:eastAsia="仿宋" w:hAnsi="仿宋" w:cs="仿宋" w:hint="eastAsia"/>
                <w:sz w:val="21"/>
                <w:szCs w:val="21"/>
              </w:rPr>
              <w:t>创业板综合指数（399102.SZ）</w:t>
            </w:r>
          </w:p>
        </w:tc>
        <w:tc>
          <w:tcPr>
            <w:tcW w:w="2552" w:type="dxa"/>
            <w:shd w:val="clear" w:color="auto" w:fill="auto"/>
            <w:vAlign w:val="center"/>
          </w:tcPr>
          <w:p w14:paraId="76453CAA" w14:textId="77777777" w:rsidR="00CB1FDF" w:rsidRDefault="00000000">
            <w:pPr>
              <w:jc w:val="right"/>
              <w:rPr>
                <w:rFonts w:ascii="仿宋" w:eastAsia="仿宋" w:hAnsi="仿宋" w:cs="仿宋" w:hint="eastAsia"/>
                <w:color w:val="000000"/>
                <w:kern w:val="0"/>
                <w:sz w:val="21"/>
                <w:szCs w:val="21"/>
              </w:rPr>
            </w:pPr>
            <w:r>
              <w:rPr>
                <w:rFonts w:ascii="仿宋" w:eastAsia="仿宋" w:hAnsi="仿宋" w:cs="仿宋" w:hint="eastAsia"/>
                <w:color w:val="000000"/>
                <w:sz w:val="21"/>
                <w:szCs w:val="21"/>
              </w:rPr>
              <w:t>2,790.34</w:t>
            </w:r>
          </w:p>
        </w:tc>
        <w:tc>
          <w:tcPr>
            <w:tcW w:w="2302" w:type="dxa"/>
            <w:shd w:val="clear" w:color="auto" w:fill="auto"/>
            <w:vAlign w:val="center"/>
          </w:tcPr>
          <w:p w14:paraId="2733DD46" w14:textId="77777777" w:rsidR="00CB1FDF" w:rsidRDefault="00000000">
            <w:pPr>
              <w:jc w:val="right"/>
              <w:rPr>
                <w:rFonts w:ascii="仿宋" w:eastAsia="仿宋" w:hAnsi="仿宋" w:cs="仿宋" w:hint="eastAsia"/>
                <w:sz w:val="21"/>
                <w:szCs w:val="21"/>
              </w:rPr>
            </w:pPr>
            <w:r>
              <w:rPr>
                <w:rFonts w:ascii="仿宋" w:eastAsia="仿宋" w:hAnsi="仿宋" w:cs="仿宋" w:hint="eastAsia"/>
                <w:color w:val="000000"/>
                <w:sz w:val="21"/>
                <w:szCs w:val="21"/>
              </w:rPr>
              <w:t>2,907.29</w:t>
            </w:r>
          </w:p>
        </w:tc>
        <w:tc>
          <w:tcPr>
            <w:tcW w:w="1025" w:type="dxa"/>
            <w:shd w:val="clear" w:color="auto" w:fill="auto"/>
            <w:vAlign w:val="center"/>
          </w:tcPr>
          <w:p w14:paraId="6E418BFF" w14:textId="77777777" w:rsidR="00CB1FDF" w:rsidRDefault="00000000">
            <w:pPr>
              <w:jc w:val="right"/>
              <w:rPr>
                <w:rFonts w:ascii="仿宋" w:eastAsia="仿宋" w:hAnsi="仿宋" w:cs="仿宋" w:hint="eastAsia"/>
                <w:sz w:val="21"/>
                <w:szCs w:val="21"/>
              </w:rPr>
            </w:pPr>
            <w:r>
              <w:rPr>
                <w:rFonts w:ascii="仿宋" w:eastAsia="仿宋" w:hAnsi="仿宋" w:cs="仿宋" w:hint="eastAsia"/>
                <w:sz w:val="21"/>
                <w:szCs w:val="21"/>
              </w:rPr>
              <w:t>4.19%</w:t>
            </w:r>
          </w:p>
        </w:tc>
      </w:tr>
      <w:tr w:rsidR="00CB1FDF" w14:paraId="0E1CFD04" w14:textId="77777777">
        <w:trPr>
          <w:cantSplit/>
          <w:trHeight w:val="397"/>
          <w:jc w:val="center"/>
        </w:trPr>
        <w:tc>
          <w:tcPr>
            <w:tcW w:w="2397" w:type="dxa"/>
            <w:shd w:val="clear" w:color="auto" w:fill="auto"/>
            <w:vAlign w:val="center"/>
          </w:tcPr>
          <w:p w14:paraId="35D7A945" w14:textId="77777777" w:rsidR="00CB1FDF" w:rsidRDefault="00000000">
            <w:pPr>
              <w:rPr>
                <w:rFonts w:ascii="仿宋" w:eastAsia="仿宋" w:hAnsi="仿宋" w:cs="仿宋" w:hint="eastAsia"/>
                <w:sz w:val="21"/>
                <w:szCs w:val="21"/>
              </w:rPr>
            </w:pPr>
            <w:r>
              <w:rPr>
                <w:rFonts w:ascii="仿宋" w:eastAsia="仿宋" w:hAnsi="仿宋" w:cs="仿宋" w:hint="eastAsia"/>
                <w:sz w:val="21"/>
                <w:szCs w:val="21"/>
              </w:rPr>
              <w:t>长江证券系统集成指数（003281.CJ）</w:t>
            </w:r>
          </w:p>
        </w:tc>
        <w:tc>
          <w:tcPr>
            <w:tcW w:w="2552" w:type="dxa"/>
            <w:shd w:val="clear" w:color="auto" w:fill="auto"/>
            <w:vAlign w:val="center"/>
          </w:tcPr>
          <w:p w14:paraId="2A9246CC" w14:textId="77777777" w:rsidR="00CB1FDF" w:rsidRDefault="00000000">
            <w:pPr>
              <w:jc w:val="right"/>
              <w:rPr>
                <w:rFonts w:ascii="仿宋" w:eastAsia="仿宋" w:hAnsi="仿宋" w:cs="仿宋" w:hint="eastAsia"/>
                <w:color w:val="000000"/>
                <w:kern w:val="0"/>
                <w:sz w:val="21"/>
                <w:szCs w:val="21"/>
              </w:rPr>
            </w:pPr>
            <w:r>
              <w:rPr>
                <w:rFonts w:ascii="仿宋" w:eastAsia="仿宋" w:hAnsi="仿宋" w:cs="仿宋" w:hint="eastAsia"/>
                <w:color w:val="000000"/>
                <w:sz w:val="21"/>
                <w:szCs w:val="21"/>
              </w:rPr>
              <w:t>1,409.46</w:t>
            </w:r>
          </w:p>
        </w:tc>
        <w:tc>
          <w:tcPr>
            <w:tcW w:w="2302" w:type="dxa"/>
            <w:shd w:val="clear" w:color="auto" w:fill="auto"/>
            <w:vAlign w:val="center"/>
          </w:tcPr>
          <w:p w14:paraId="16323D90" w14:textId="77777777" w:rsidR="00CB1FDF" w:rsidRDefault="00000000">
            <w:pPr>
              <w:jc w:val="right"/>
              <w:rPr>
                <w:rFonts w:ascii="仿宋" w:eastAsia="仿宋" w:hAnsi="仿宋" w:cs="仿宋" w:hint="eastAsia"/>
                <w:sz w:val="21"/>
                <w:szCs w:val="21"/>
              </w:rPr>
            </w:pPr>
            <w:r>
              <w:rPr>
                <w:rFonts w:ascii="仿宋" w:eastAsia="仿宋" w:hAnsi="仿宋" w:cs="仿宋" w:hint="eastAsia"/>
                <w:sz w:val="21"/>
                <w:szCs w:val="21"/>
              </w:rPr>
              <w:t>1,533.34</w:t>
            </w:r>
          </w:p>
        </w:tc>
        <w:tc>
          <w:tcPr>
            <w:tcW w:w="1025" w:type="dxa"/>
            <w:shd w:val="clear" w:color="auto" w:fill="auto"/>
            <w:vAlign w:val="center"/>
          </w:tcPr>
          <w:p w14:paraId="25C397AA" w14:textId="77777777" w:rsidR="00CB1FDF" w:rsidRDefault="00000000">
            <w:pPr>
              <w:jc w:val="right"/>
              <w:rPr>
                <w:rFonts w:ascii="仿宋" w:eastAsia="仿宋" w:hAnsi="仿宋" w:cs="仿宋" w:hint="eastAsia"/>
                <w:sz w:val="21"/>
                <w:szCs w:val="21"/>
              </w:rPr>
            </w:pPr>
            <w:r>
              <w:rPr>
                <w:rFonts w:ascii="仿宋" w:eastAsia="仿宋" w:hAnsi="仿宋" w:cs="仿宋" w:hint="eastAsia"/>
                <w:sz w:val="21"/>
                <w:szCs w:val="21"/>
              </w:rPr>
              <w:t>8.79%</w:t>
            </w:r>
          </w:p>
        </w:tc>
      </w:tr>
      <w:tr w:rsidR="00CB1FDF" w14:paraId="66665D60" w14:textId="77777777">
        <w:trPr>
          <w:cantSplit/>
          <w:trHeight w:val="397"/>
          <w:jc w:val="center"/>
        </w:trPr>
        <w:tc>
          <w:tcPr>
            <w:tcW w:w="7251" w:type="dxa"/>
            <w:gridSpan w:val="3"/>
            <w:shd w:val="clear" w:color="auto" w:fill="auto"/>
            <w:vAlign w:val="center"/>
          </w:tcPr>
          <w:p w14:paraId="2CA34736" w14:textId="77777777" w:rsidR="00CB1FDF" w:rsidRDefault="00000000">
            <w:pPr>
              <w:rPr>
                <w:rFonts w:ascii="仿宋" w:eastAsia="仿宋" w:hAnsi="仿宋" w:cs="仿宋" w:hint="eastAsia"/>
                <w:sz w:val="21"/>
                <w:szCs w:val="21"/>
              </w:rPr>
            </w:pPr>
            <w:r>
              <w:rPr>
                <w:rFonts w:ascii="仿宋" w:eastAsia="仿宋" w:hAnsi="仿宋" w:cs="仿宋" w:hint="eastAsia"/>
                <w:sz w:val="21"/>
                <w:szCs w:val="21"/>
              </w:rPr>
              <w:t>剔除大盘因素影响后的涨跌幅</w:t>
            </w:r>
          </w:p>
        </w:tc>
        <w:tc>
          <w:tcPr>
            <w:tcW w:w="1025" w:type="dxa"/>
            <w:shd w:val="clear" w:color="auto" w:fill="auto"/>
            <w:vAlign w:val="center"/>
          </w:tcPr>
          <w:p w14:paraId="4C2E987C" w14:textId="77777777" w:rsidR="00CB1FDF" w:rsidRDefault="00000000">
            <w:pPr>
              <w:jc w:val="right"/>
              <w:rPr>
                <w:rFonts w:ascii="仿宋" w:eastAsia="仿宋" w:hAnsi="仿宋" w:cs="仿宋" w:hint="eastAsia"/>
                <w:sz w:val="21"/>
                <w:szCs w:val="21"/>
              </w:rPr>
            </w:pPr>
            <w:r>
              <w:rPr>
                <w:rFonts w:ascii="仿宋" w:eastAsia="仿宋" w:hAnsi="仿宋" w:cs="仿宋" w:hint="eastAsia"/>
                <w:sz w:val="21"/>
                <w:szCs w:val="21"/>
              </w:rPr>
              <w:t>19.72%</w:t>
            </w:r>
          </w:p>
        </w:tc>
      </w:tr>
      <w:tr w:rsidR="00CB1FDF" w14:paraId="4D7FBC24" w14:textId="77777777">
        <w:trPr>
          <w:cantSplit/>
          <w:trHeight w:val="397"/>
          <w:jc w:val="center"/>
        </w:trPr>
        <w:tc>
          <w:tcPr>
            <w:tcW w:w="7251" w:type="dxa"/>
            <w:gridSpan w:val="3"/>
            <w:shd w:val="clear" w:color="auto" w:fill="auto"/>
            <w:vAlign w:val="center"/>
          </w:tcPr>
          <w:p w14:paraId="20F849FA" w14:textId="77777777" w:rsidR="00CB1FDF" w:rsidRDefault="00000000">
            <w:pPr>
              <w:rPr>
                <w:rFonts w:ascii="仿宋" w:eastAsia="仿宋" w:hAnsi="仿宋" w:cs="仿宋" w:hint="eastAsia"/>
                <w:sz w:val="21"/>
                <w:szCs w:val="21"/>
              </w:rPr>
            </w:pPr>
            <w:r>
              <w:rPr>
                <w:rFonts w:ascii="仿宋" w:eastAsia="仿宋" w:hAnsi="仿宋" w:cs="仿宋" w:hint="eastAsia"/>
                <w:sz w:val="21"/>
                <w:szCs w:val="21"/>
              </w:rPr>
              <w:t>剔除同行业板块影响后的涨跌幅</w:t>
            </w:r>
          </w:p>
        </w:tc>
        <w:tc>
          <w:tcPr>
            <w:tcW w:w="1025" w:type="dxa"/>
            <w:shd w:val="clear" w:color="auto" w:fill="auto"/>
            <w:vAlign w:val="center"/>
          </w:tcPr>
          <w:p w14:paraId="7AE499D5" w14:textId="77777777" w:rsidR="00CB1FDF" w:rsidRDefault="00000000">
            <w:pPr>
              <w:jc w:val="right"/>
              <w:rPr>
                <w:rFonts w:ascii="仿宋" w:eastAsia="仿宋" w:hAnsi="仿宋" w:cs="仿宋" w:hint="eastAsia"/>
                <w:sz w:val="21"/>
                <w:szCs w:val="21"/>
              </w:rPr>
            </w:pPr>
            <w:r>
              <w:rPr>
                <w:rFonts w:ascii="仿宋" w:eastAsia="仿宋" w:hAnsi="仿宋" w:cs="仿宋" w:hint="eastAsia"/>
                <w:sz w:val="21"/>
                <w:szCs w:val="21"/>
              </w:rPr>
              <w:t>15.13%</w:t>
            </w:r>
          </w:p>
        </w:tc>
      </w:tr>
    </w:tbl>
    <w:p w14:paraId="5D91A049" w14:textId="77777777" w:rsidR="00CB1FDF"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综上，剔除大盘因素和同板块因素影响，公司股价在本次交易首次披露前20个交易日内累计</w:t>
      </w:r>
      <w:proofErr w:type="gramStart"/>
      <w:r>
        <w:rPr>
          <w:rFonts w:ascii="仿宋" w:eastAsia="仿宋" w:hAnsi="仿宋" w:cs="仿宋" w:hint="eastAsia"/>
          <w:szCs w:val="21"/>
        </w:rPr>
        <w:t>涨跌幅未超过</w:t>
      </w:r>
      <w:proofErr w:type="gramEnd"/>
      <w:r>
        <w:rPr>
          <w:rFonts w:ascii="仿宋" w:eastAsia="仿宋" w:hAnsi="仿宋" w:cs="仿宋" w:hint="eastAsia"/>
          <w:szCs w:val="21"/>
        </w:rPr>
        <w:t>20%，无异常波动情况。</w:t>
      </w:r>
    </w:p>
    <w:p w14:paraId="42923370" w14:textId="77777777" w:rsidR="00CB1FD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458D45FE" w14:textId="77777777" w:rsidR="00CB1FDF" w:rsidRDefault="00CB1FDF">
      <w:pPr>
        <w:adjustRightInd w:val="0"/>
        <w:snapToGrid w:val="0"/>
        <w:spacing w:line="360" w:lineRule="auto"/>
        <w:ind w:firstLineChars="200" w:firstLine="480"/>
        <w:contextualSpacing/>
        <w:rPr>
          <w:rFonts w:ascii="仿宋" w:eastAsia="仿宋" w:hAnsi="仿宋" w:cs="仿宋" w:hint="eastAsia"/>
        </w:rPr>
      </w:pPr>
    </w:p>
    <w:p w14:paraId="0542E8FC" w14:textId="77777777" w:rsidR="00CB1FDF" w:rsidRDefault="00000000">
      <w:pPr>
        <w:spacing w:line="360" w:lineRule="auto"/>
        <w:ind w:firstLineChars="200" w:firstLine="480"/>
        <w:jc w:val="right"/>
        <w:rPr>
          <w:rFonts w:ascii="仿宋" w:eastAsia="仿宋" w:hAnsi="仿宋" w:cs="仿宋" w:hint="eastAsia"/>
        </w:rPr>
      </w:pPr>
      <w:r>
        <w:rPr>
          <w:rFonts w:ascii="仿宋" w:eastAsia="仿宋" w:hAnsi="仿宋" w:cs="仿宋" w:hint="eastAsia"/>
        </w:rPr>
        <w:t>广东天亿马信息产业股份有限公司董事会</w:t>
      </w:r>
    </w:p>
    <w:p w14:paraId="543F0B99" w14:textId="77777777" w:rsidR="00CB1FDF" w:rsidRDefault="00000000">
      <w:pPr>
        <w:wordWrap w:val="0"/>
        <w:spacing w:line="360" w:lineRule="auto"/>
        <w:ind w:firstLineChars="200" w:firstLine="480"/>
        <w:jc w:val="right"/>
        <w:rPr>
          <w:rFonts w:ascii="仿宋" w:eastAsia="仿宋" w:hAnsi="仿宋" w:cs="仿宋" w:hint="eastAsia"/>
          <w:szCs w:val="22"/>
        </w:rPr>
      </w:pPr>
      <w:r>
        <w:rPr>
          <w:rFonts w:ascii="仿宋" w:eastAsia="仿宋" w:hAnsi="仿宋" w:cs="仿宋" w:hint="eastAsia"/>
        </w:rPr>
        <w:t>2025年6月2</w:t>
      </w:r>
      <w:r>
        <w:rPr>
          <w:rFonts w:ascii="仿宋" w:eastAsia="仿宋" w:hAnsi="仿宋" w:cs="仿宋"/>
        </w:rPr>
        <w:t>3</w:t>
      </w:r>
      <w:r>
        <w:rPr>
          <w:rFonts w:ascii="仿宋" w:eastAsia="仿宋" w:hAnsi="仿宋" w:cs="仿宋" w:hint="eastAsia"/>
        </w:rPr>
        <w:t>日</w:t>
      </w:r>
    </w:p>
    <w:sectPr w:rsidR="00CB1FDF">
      <w:footerReference w:type="even" r:id="rId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DF2E0" w14:textId="77777777" w:rsidR="009439F2" w:rsidRDefault="009439F2">
      <w:r>
        <w:separator/>
      </w:r>
    </w:p>
  </w:endnote>
  <w:endnote w:type="continuationSeparator" w:id="0">
    <w:p w14:paraId="613A0CA4" w14:textId="77777777" w:rsidR="009439F2" w:rsidRDefault="00943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6FA06" w14:textId="77777777" w:rsidR="00CB1FDF"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5E3E4982" w14:textId="77777777" w:rsidR="00CB1FDF" w:rsidRDefault="00CB1FDF">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F0FDE" w14:textId="77777777" w:rsidR="009439F2" w:rsidRDefault="009439F2">
      <w:r>
        <w:separator/>
      </w:r>
    </w:p>
  </w:footnote>
  <w:footnote w:type="continuationSeparator" w:id="0">
    <w:p w14:paraId="05EDFDE9" w14:textId="77777777" w:rsidR="009439F2" w:rsidRDefault="009439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39F0"/>
    <w:rsid w:val="00007465"/>
    <w:rsid w:val="000120E6"/>
    <w:rsid w:val="0001238C"/>
    <w:rsid w:val="0001782A"/>
    <w:rsid w:val="000237B5"/>
    <w:rsid w:val="00027892"/>
    <w:rsid w:val="000300D6"/>
    <w:rsid w:val="00033BD2"/>
    <w:rsid w:val="000345FF"/>
    <w:rsid w:val="000444D1"/>
    <w:rsid w:val="00045ED4"/>
    <w:rsid w:val="000526F0"/>
    <w:rsid w:val="000559D7"/>
    <w:rsid w:val="00057F4D"/>
    <w:rsid w:val="00062083"/>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0BC"/>
    <w:rsid w:val="000E13E1"/>
    <w:rsid w:val="000E2A1A"/>
    <w:rsid w:val="000E4723"/>
    <w:rsid w:val="000E529D"/>
    <w:rsid w:val="000E5D16"/>
    <w:rsid w:val="000E6B95"/>
    <w:rsid w:val="000F2E7E"/>
    <w:rsid w:val="000F424D"/>
    <w:rsid w:val="000F572D"/>
    <w:rsid w:val="00100BD1"/>
    <w:rsid w:val="001017CF"/>
    <w:rsid w:val="00102B0E"/>
    <w:rsid w:val="00102F2C"/>
    <w:rsid w:val="00103394"/>
    <w:rsid w:val="00106A48"/>
    <w:rsid w:val="001071D1"/>
    <w:rsid w:val="00107E72"/>
    <w:rsid w:val="0011239D"/>
    <w:rsid w:val="00114616"/>
    <w:rsid w:val="00115B9C"/>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0D19"/>
    <w:rsid w:val="00162779"/>
    <w:rsid w:val="00163F7D"/>
    <w:rsid w:val="00167F45"/>
    <w:rsid w:val="0017096B"/>
    <w:rsid w:val="00170B05"/>
    <w:rsid w:val="00172976"/>
    <w:rsid w:val="00174019"/>
    <w:rsid w:val="00174529"/>
    <w:rsid w:val="00181053"/>
    <w:rsid w:val="0018560D"/>
    <w:rsid w:val="00187330"/>
    <w:rsid w:val="00193A03"/>
    <w:rsid w:val="00193AC5"/>
    <w:rsid w:val="00197E67"/>
    <w:rsid w:val="00197FCE"/>
    <w:rsid w:val="001A275B"/>
    <w:rsid w:val="001A2B93"/>
    <w:rsid w:val="001A38AD"/>
    <w:rsid w:val="001B2DF5"/>
    <w:rsid w:val="001B31EB"/>
    <w:rsid w:val="001B62D1"/>
    <w:rsid w:val="001C065C"/>
    <w:rsid w:val="001C4EAE"/>
    <w:rsid w:val="001C51C9"/>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5AA"/>
    <w:rsid w:val="00211D89"/>
    <w:rsid w:val="00213BCE"/>
    <w:rsid w:val="002173FB"/>
    <w:rsid w:val="0022037B"/>
    <w:rsid w:val="002226EE"/>
    <w:rsid w:val="002228F4"/>
    <w:rsid w:val="00222D26"/>
    <w:rsid w:val="00226A20"/>
    <w:rsid w:val="002278A4"/>
    <w:rsid w:val="00230A90"/>
    <w:rsid w:val="00243087"/>
    <w:rsid w:val="002472E9"/>
    <w:rsid w:val="0025154D"/>
    <w:rsid w:val="00252529"/>
    <w:rsid w:val="002549CF"/>
    <w:rsid w:val="0025662C"/>
    <w:rsid w:val="0025706C"/>
    <w:rsid w:val="0026282A"/>
    <w:rsid w:val="002632A6"/>
    <w:rsid w:val="002672D2"/>
    <w:rsid w:val="00273EAC"/>
    <w:rsid w:val="002755F0"/>
    <w:rsid w:val="0027745A"/>
    <w:rsid w:val="002817D3"/>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158B5"/>
    <w:rsid w:val="00320121"/>
    <w:rsid w:val="00321174"/>
    <w:rsid w:val="00321520"/>
    <w:rsid w:val="0032212F"/>
    <w:rsid w:val="00324D90"/>
    <w:rsid w:val="00326A2C"/>
    <w:rsid w:val="00330D0C"/>
    <w:rsid w:val="0033163F"/>
    <w:rsid w:val="003342D6"/>
    <w:rsid w:val="003366C5"/>
    <w:rsid w:val="003407FA"/>
    <w:rsid w:val="003427F0"/>
    <w:rsid w:val="00343753"/>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5A5E"/>
    <w:rsid w:val="003A31E8"/>
    <w:rsid w:val="003B6DB6"/>
    <w:rsid w:val="003C1A6F"/>
    <w:rsid w:val="003C1F15"/>
    <w:rsid w:val="003C47D1"/>
    <w:rsid w:val="003C6706"/>
    <w:rsid w:val="003D5E42"/>
    <w:rsid w:val="003E2212"/>
    <w:rsid w:val="003E254C"/>
    <w:rsid w:val="003E2869"/>
    <w:rsid w:val="003E45EE"/>
    <w:rsid w:val="003E5BEA"/>
    <w:rsid w:val="003E69D5"/>
    <w:rsid w:val="003E73BF"/>
    <w:rsid w:val="003F045B"/>
    <w:rsid w:val="003F3EDC"/>
    <w:rsid w:val="003F4CA7"/>
    <w:rsid w:val="00402365"/>
    <w:rsid w:val="0040274D"/>
    <w:rsid w:val="00403518"/>
    <w:rsid w:val="00407284"/>
    <w:rsid w:val="00407B48"/>
    <w:rsid w:val="00414174"/>
    <w:rsid w:val="00414C7C"/>
    <w:rsid w:val="004152DE"/>
    <w:rsid w:val="004239BC"/>
    <w:rsid w:val="00424990"/>
    <w:rsid w:val="00430FD8"/>
    <w:rsid w:val="004332D4"/>
    <w:rsid w:val="00434073"/>
    <w:rsid w:val="00434F8F"/>
    <w:rsid w:val="00441952"/>
    <w:rsid w:val="004450F8"/>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1FC5"/>
    <w:rsid w:val="004D2829"/>
    <w:rsid w:val="004D33D9"/>
    <w:rsid w:val="004D5500"/>
    <w:rsid w:val="004D660E"/>
    <w:rsid w:val="004E0D01"/>
    <w:rsid w:val="004E2A4F"/>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58DD"/>
    <w:rsid w:val="00556DD6"/>
    <w:rsid w:val="005611B1"/>
    <w:rsid w:val="005716B8"/>
    <w:rsid w:val="0058293A"/>
    <w:rsid w:val="005836C2"/>
    <w:rsid w:val="005860A1"/>
    <w:rsid w:val="00586374"/>
    <w:rsid w:val="005865D8"/>
    <w:rsid w:val="00587011"/>
    <w:rsid w:val="005943A0"/>
    <w:rsid w:val="0059687B"/>
    <w:rsid w:val="005A1A3D"/>
    <w:rsid w:val="005A341B"/>
    <w:rsid w:val="005A3C8A"/>
    <w:rsid w:val="005A4D4B"/>
    <w:rsid w:val="005A5050"/>
    <w:rsid w:val="005A7D42"/>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5F5D72"/>
    <w:rsid w:val="00601981"/>
    <w:rsid w:val="006022B2"/>
    <w:rsid w:val="006024CB"/>
    <w:rsid w:val="00602579"/>
    <w:rsid w:val="00604E3C"/>
    <w:rsid w:val="006053F9"/>
    <w:rsid w:val="006068BD"/>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37357"/>
    <w:rsid w:val="006418EB"/>
    <w:rsid w:val="00647B3B"/>
    <w:rsid w:val="006521BF"/>
    <w:rsid w:val="0066026A"/>
    <w:rsid w:val="00660663"/>
    <w:rsid w:val="00662AC4"/>
    <w:rsid w:val="00663283"/>
    <w:rsid w:val="006644DC"/>
    <w:rsid w:val="006736E1"/>
    <w:rsid w:val="00673F69"/>
    <w:rsid w:val="00674659"/>
    <w:rsid w:val="00675800"/>
    <w:rsid w:val="00675FC1"/>
    <w:rsid w:val="00681D92"/>
    <w:rsid w:val="0068620A"/>
    <w:rsid w:val="00686D8C"/>
    <w:rsid w:val="00687AA7"/>
    <w:rsid w:val="0069122F"/>
    <w:rsid w:val="00691CF5"/>
    <w:rsid w:val="00693907"/>
    <w:rsid w:val="006949FC"/>
    <w:rsid w:val="00694F18"/>
    <w:rsid w:val="006952B3"/>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3CE7"/>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37407"/>
    <w:rsid w:val="007415F0"/>
    <w:rsid w:val="00741799"/>
    <w:rsid w:val="00741D78"/>
    <w:rsid w:val="00742E32"/>
    <w:rsid w:val="007438E0"/>
    <w:rsid w:val="00747D06"/>
    <w:rsid w:val="0075419C"/>
    <w:rsid w:val="007577BD"/>
    <w:rsid w:val="0076445F"/>
    <w:rsid w:val="007654A6"/>
    <w:rsid w:val="0076696F"/>
    <w:rsid w:val="007712CE"/>
    <w:rsid w:val="0077154C"/>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7E2"/>
    <w:rsid w:val="007C5995"/>
    <w:rsid w:val="007C7BBB"/>
    <w:rsid w:val="007D172C"/>
    <w:rsid w:val="007D3A46"/>
    <w:rsid w:val="007D7FFA"/>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18BB"/>
    <w:rsid w:val="00841B37"/>
    <w:rsid w:val="00851504"/>
    <w:rsid w:val="00854241"/>
    <w:rsid w:val="00855C7D"/>
    <w:rsid w:val="00864BED"/>
    <w:rsid w:val="0086623A"/>
    <w:rsid w:val="0087341C"/>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603B"/>
    <w:rsid w:val="008B6464"/>
    <w:rsid w:val="008D0539"/>
    <w:rsid w:val="008D0E1B"/>
    <w:rsid w:val="008D331D"/>
    <w:rsid w:val="008D509D"/>
    <w:rsid w:val="008D6B28"/>
    <w:rsid w:val="008E2BDA"/>
    <w:rsid w:val="008F0E79"/>
    <w:rsid w:val="008F2836"/>
    <w:rsid w:val="008F3E76"/>
    <w:rsid w:val="008F3EBA"/>
    <w:rsid w:val="009006AC"/>
    <w:rsid w:val="00901115"/>
    <w:rsid w:val="00904498"/>
    <w:rsid w:val="009066E1"/>
    <w:rsid w:val="0091068C"/>
    <w:rsid w:val="00913D79"/>
    <w:rsid w:val="00914AC0"/>
    <w:rsid w:val="00915728"/>
    <w:rsid w:val="00926BE5"/>
    <w:rsid w:val="009330A9"/>
    <w:rsid w:val="00935C29"/>
    <w:rsid w:val="00936697"/>
    <w:rsid w:val="009439F2"/>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1C71"/>
    <w:rsid w:val="009C3B26"/>
    <w:rsid w:val="009C5631"/>
    <w:rsid w:val="009D152C"/>
    <w:rsid w:val="009E62B8"/>
    <w:rsid w:val="009E6C23"/>
    <w:rsid w:val="009E7B1A"/>
    <w:rsid w:val="009F0F67"/>
    <w:rsid w:val="009F22E4"/>
    <w:rsid w:val="00A01022"/>
    <w:rsid w:val="00A143D3"/>
    <w:rsid w:val="00A14857"/>
    <w:rsid w:val="00A149BB"/>
    <w:rsid w:val="00A21CDA"/>
    <w:rsid w:val="00A22004"/>
    <w:rsid w:val="00A228DF"/>
    <w:rsid w:val="00A2295E"/>
    <w:rsid w:val="00A252CA"/>
    <w:rsid w:val="00A27C31"/>
    <w:rsid w:val="00A30124"/>
    <w:rsid w:val="00A314AA"/>
    <w:rsid w:val="00A31BE6"/>
    <w:rsid w:val="00A34570"/>
    <w:rsid w:val="00A436F6"/>
    <w:rsid w:val="00A448A6"/>
    <w:rsid w:val="00A516DA"/>
    <w:rsid w:val="00A54639"/>
    <w:rsid w:val="00A54E11"/>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A7C4C"/>
    <w:rsid w:val="00AB263B"/>
    <w:rsid w:val="00AB36B0"/>
    <w:rsid w:val="00AB52B4"/>
    <w:rsid w:val="00AB562A"/>
    <w:rsid w:val="00AB5A58"/>
    <w:rsid w:val="00AB5A9C"/>
    <w:rsid w:val="00AC0FBB"/>
    <w:rsid w:val="00AC5DE6"/>
    <w:rsid w:val="00AC645D"/>
    <w:rsid w:val="00AC74EE"/>
    <w:rsid w:val="00AD0343"/>
    <w:rsid w:val="00AD0A1B"/>
    <w:rsid w:val="00AD5C9C"/>
    <w:rsid w:val="00AE1A5D"/>
    <w:rsid w:val="00AE2174"/>
    <w:rsid w:val="00AE2C9C"/>
    <w:rsid w:val="00AE397D"/>
    <w:rsid w:val="00AE3D36"/>
    <w:rsid w:val="00AE432B"/>
    <w:rsid w:val="00AE4E99"/>
    <w:rsid w:val="00AF261B"/>
    <w:rsid w:val="00AF5A7A"/>
    <w:rsid w:val="00B00858"/>
    <w:rsid w:val="00B01220"/>
    <w:rsid w:val="00B0278F"/>
    <w:rsid w:val="00B035B6"/>
    <w:rsid w:val="00B0380B"/>
    <w:rsid w:val="00B05883"/>
    <w:rsid w:val="00B05D57"/>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120E"/>
    <w:rsid w:val="00BD21BB"/>
    <w:rsid w:val="00BD7F32"/>
    <w:rsid w:val="00BE05D7"/>
    <w:rsid w:val="00BE0A0E"/>
    <w:rsid w:val="00BE2EF6"/>
    <w:rsid w:val="00BE3731"/>
    <w:rsid w:val="00BE4435"/>
    <w:rsid w:val="00BE6B19"/>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5ECA"/>
    <w:rsid w:val="00C4716F"/>
    <w:rsid w:val="00C513AC"/>
    <w:rsid w:val="00C6095A"/>
    <w:rsid w:val="00C639A2"/>
    <w:rsid w:val="00C655C3"/>
    <w:rsid w:val="00C65657"/>
    <w:rsid w:val="00C662FC"/>
    <w:rsid w:val="00C739F1"/>
    <w:rsid w:val="00C7754F"/>
    <w:rsid w:val="00C8052E"/>
    <w:rsid w:val="00C828EA"/>
    <w:rsid w:val="00C859E5"/>
    <w:rsid w:val="00C9059D"/>
    <w:rsid w:val="00C93C0C"/>
    <w:rsid w:val="00C9760F"/>
    <w:rsid w:val="00CA230F"/>
    <w:rsid w:val="00CA271F"/>
    <w:rsid w:val="00CA3956"/>
    <w:rsid w:val="00CA3EA3"/>
    <w:rsid w:val="00CA5AD8"/>
    <w:rsid w:val="00CA760A"/>
    <w:rsid w:val="00CB02D7"/>
    <w:rsid w:val="00CB1FDF"/>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3619"/>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2C24"/>
    <w:rsid w:val="00D872D2"/>
    <w:rsid w:val="00D91141"/>
    <w:rsid w:val="00D9195E"/>
    <w:rsid w:val="00DA1C96"/>
    <w:rsid w:val="00DA347D"/>
    <w:rsid w:val="00DB25C3"/>
    <w:rsid w:val="00DB7E3E"/>
    <w:rsid w:val="00DC0633"/>
    <w:rsid w:val="00DC59C1"/>
    <w:rsid w:val="00DC7310"/>
    <w:rsid w:val="00DD6BEC"/>
    <w:rsid w:val="00DE063B"/>
    <w:rsid w:val="00DE2006"/>
    <w:rsid w:val="00DE65DC"/>
    <w:rsid w:val="00DE7D7F"/>
    <w:rsid w:val="00DF2A55"/>
    <w:rsid w:val="00DF3531"/>
    <w:rsid w:val="00E041E9"/>
    <w:rsid w:val="00E05C95"/>
    <w:rsid w:val="00E06117"/>
    <w:rsid w:val="00E103F6"/>
    <w:rsid w:val="00E11BB4"/>
    <w:rsid w:val="00E12D9A"/>
    <w:rsid w:val="00E15D36"/>
    <w:rsid w:val="00E1758D"/>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70CB1"/>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054"/>
    <w:rsid w:val="00F06B56"/>
    <w:rsid w:val="00F11C03"/>
    <w:rsid w:val="00F12E92"/>
    <w:rsid w:val="00F169B2"/>
    <w:rsid w:val="00F2256E"/>
    <w:rsid w:val="00F27A13"/>
    <w:rsid w:val="00F31439"/>
    <w:rsid w:val="00F35796"/>
    <w:rsid w:val="00F36774"/>
    <w:rsid w:val="00F40C21"/>
    <w:rsid w:val="00F41CBE"/>
    <w:rsid w:val="00F433EF"/>
    <w:rsid w:val="00F43A62"/>
    <w:rsid w:val="00F46777"/>
    <w:rsid w:val="00F51581"/>
    <w:rsid w:val="00F52B5E"/>
    <w:rsid w:val="00F55914"/>
    <w:rsid w:val="00F56F7A"/>
    <w:rsid w:val="00F61B9A"/>
    <w:rsid w:val="00F65A8E"/>
    <w:rsid w:val="00F65FAE"/>
    <w:rsid w:val="00F66241"/>
    <w:rsid w:val="00F6669F"/>
    <w:rsid w:val="00F667FB"/>
    <w:rsid w:val="00F67763"/>
    <w:rsid w:val="00F716DC"/>
    <w:rsid w:val="00F742F0"/>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E07D6"/>
    <w:rsid w:val="00FE087A"/>
    <w:rsid w:val="00FE34E9"/>
    <w:rsid w:val="00FE3FE0"/>
    <w:rsid w:val="00FE6B18"/>
    <w:rsid w:val="00FF0675"/>
    <w:rsid w:val="00FF1D9F"/>
    <w:rsid w:val="00FF3565"/>
    <w:rsid w:val="00FF363C"/>
    <w:rsid w:val="00FF42F5"/>
    <w:rsid w:val="00FF73E8"/>
    <w:rsid w:val="029F68E0"/>
    <w:rsid w:val="04614009"/>
    <w:rsid w:val="06DA454D"/>
    <w:rsid w:val="085A71E5"/>
    <w:rsid w:val="0A41328E"/>
    <w:rsid w:val="0D5010E1"/>
    <w:rsid w:val="0E421ECC"/>
    <w:rsid w:val="0F5D4006"/>
    <w:rsid w:val="10283540"/>
    <w:rsid w:val="104D6E1D"/>
    <w:rsid w:val="137E5328"/>
    <w:rsid w:val="14CB202B"/>
    <w:rsid w:val="16260573"/>
    <w:rsid w:val="19C01285"/>
    <w:rsid w:val="225E09FF"/>
    <w:rsid w:val="22B2160E"/>
    <w:rsid w:val="25890C08"/>
    <w:rsid w:val="25B32A98"/>
    <w:rsid w:val="26AA1688"/>
    <w:rsid w:val="26BB755F"/>
    <w:rsid w:val="2B7652C0"/>
    <w:rsid w:val="304A7533"/>
    <w:rsid w:val="30690331"/>
    <w:rsid w:val="310A33A2"/>
    <w:rsid w:val="341E784D"/>
    <w:rsid w:val="39CA598A"/>
    <w:rsid w:val="3A1E35A8"/>
    <w:rsid w:val="413B0E47"/>
    <w:rsid w:val="418F419D"/>
    <w:rsid w:val="495D19BE"/>
    <w:rsid w:val="4D8053A2"/>
    <w:rsid w:val="55296024"/>
    <w:rsid w:val="55C72A52"/>
    <w:rsid w:val="569321DC"/>
    <w:rsid w:val="56BE1D99"/>
    <w:rsid w:val="590D7AE9"/>
    <w:rsid w:val="596B1802"/>
    <w:rsid w:val="59AC3AD1"/>
    <w:rsid w:val="5BAD5024"/>
    <w:rsid w:val="5EAC1B52"/>
    <w:rsid w:val="669C6B05"/>
    <w:rsid w:val="6773320D"/>
    <w:rsid w:val="680A7386"/>
    <w:rsid w:val="69773EBB"/>
    <w:rsid w:val="69F33B09"/>
    <w:rsid w:val="6B3260DA"/>
    <w:rsid w:val="6EB8519B"/>
    <w:rsid w:val="6FBE4D21"/>
    <w:rsid w:val="70150C5E"/>
    <w:rsid w:val="70590718"/>
    <w:rsid w:val="70D601B4"/>
    <w:rsid w:val="711B6440"/>
    <w:rsid w:val="72605B51"/>
    <w:rsid w:val="75AD1147"/>
    <w:rsid w:val="75BB51C1"/>
    <w:rsid w:val="769E2319"/>
    <w:rsid w:val="76A428D2"/>
    <w:rsid w:val="78287EBC"/>
    <w:rsid w:val="7A0D74F1"/>
    <w:rsid w:val="7E0E55E6"/>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F07CA0-2B0D-4189-BBA3-A7CE8850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unhideWhenUsed/>
    <w:qFormat/>
    <w:rPr>
      <w:rFonts w:ascii="Arial" w:hAnsi="Arial"/>
      <w:kern w:val="2"/>
      <w:sz w:val="24"/>
      <w:szCs w:val="24"/>
    </w:rPr>
  </w:style>
  <w:style w:type="paragraph" w:customStyle="1" w:styleId="IBD">
    <w:name w:val="IBD正文"/>
    <w:link w:val="IBD0"/>
    <w:qFormat/>
    <w:pPr>
      <w:widowControl w:val="0"/>
      <w:spacing w:beforeLines="50" w:before="50" w:afterLines="50" w:after="50" w:line="360" w:lineRule="auto"/>
      <w:ind w:firstLineChars="200" w:firstLine="200"/>
      <w:jc w:val="both"/>
    </w:pPr>
    <w:rPr>
      <w:rFonts w:cstheme="minorBidi"/>
      <w:kern w:val="2"/>
      <w:sz w:val="24"/>
      <w:szCs w:val="24"/>
    </w:rPr>
  </w:style>
  <w:style w:type="character" w:customStyle="1" w:styleId="IBD0">
    <w:name w:val="IBD正文 字符"/>
    <w:basedOn w:val="a0"/>
    <w:link w:val="IBD"/>
    <w:qFormat/>
    <w:rPr>
      <w:rFonts w:cstheme="minorBidi"/>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f2">
    <w:name w:val="Revision"/>
    <w:hidden/>
    <w:uiPriority w:val="99"/>
    <w:unhideWhenUsed/>
    <w:rsid w:val="003158B5"/>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7F246-D7E1-4920-A683-270A37E8E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108</Words>
  <Characters>618</Characters>
  <Application>Microsoft Office Word</Application>
  <DocSecurity>0</DocSecurity>
  <Lines>5</Lines>
  <Paragraphs>1</Paragraphs>
  <ScaleCrop>false</ScaleCrop>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宇 吴</cp:lastModifiedBy>
  <cp:revision>7</cp:revision>
  <cp:lastPrinted>2024-06-17T02:35:00Z</cp:lastPrinted>
  <dcterms:created xsi:type="dcterms:W3CDTF">2025-03-10T09:29:00Z</dcterms:created>
  <dcterms:modified xsi:type="dcterms:W3CDTF">2025-06-23T03:42:00Z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