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A11AD">
      <w:pPr>
        <w:spacing w:line="360" w:lineRule="auto"/>
        <w:jc w:val="center"/>
        <w:rPr>
          <w:rFonts w:ascii="Times New Roman" w:hAnsi="Times New Roman" w:eastAsia="黑体" w:cs="Times New Roman"/>
          <w:bCs/>
          <w:sz w:val="36"/>
          <w:szCs w:val="36"/>
        </w:rPr>
      </w:pPr>
      <w:r>
        <w:rPr>
          <w:rFonts w:hint="eastAsia" w:ascii="Times New Roman" w:hAnsi="Times New Roman" w:eastAsia="黑体" w:cs="Times New Roman"/>
          <w:bCs/>
          <w:sz w:val="36"/>
          <w:szCs w:val="36"/>
        </w:rPr>
        <w:t>广东天亿马信息产业股份有限公司董事会</w:t>
      </w:r>
    </w:p>
    <w:p w14:paraId="2E920374">
      <w:pPr>
        <w:spacing w:line="360" w:lineRule="auto"/>
        <w:jc w:val="center"/>
        <w:rPr>
          <w:rFonts w:ascii="Times New Roman" w:hAnsi="Times New Roman" w:eastAsia="黑体" w:cs="Times New Roman"/>
          <w:bCs/>
          <w:sz w:val="36"/>
          <w:szCs w:val="36"/>
        </w:rPr>
      </w:pPr>
      <w:r>
        <w:rPr>
          <w:rFonts w:hint="eastAsia" w:ascii="Times New Roman" w:hAnsi="Times New Roman" w:eastAsia="黑体" w:cs="Times New Roman"/>
          <w:bCs/>
          <w:sz w:val="36"/>
          <w:szCs w:val="36"/>
        </w:rPr>
        <w:t>关于本次交易是否构成重大资产重组、关联交易及重组上市的说明</w:t>
      </w:r>
    </w:p>
    <w:p w14:paraId="6E146A04">
      <w:pPr>
        <w:adjustRightInd w:val="0"/>
        <w:snapToGrid w:val="0"/>
        <w:spacing w:line="360" w:lineRule="auto"/>
        <w:ind w:firstLine="480" w:firstLineChars="200"/>
        <w:contextualSpacing/>
        <w:rPr>
          <w:rFonts w:hint="eastAsia" w:ascii="仿宋" w:hAnsi="仿宋" w:eastAsia="仿宋" w:cs="仿宋"/>
          <w:sz w:val="24"/>
          <w:szCs w:val="24"/>
        </w:rPr>
      </w:pPr>
      <w:r>
        <w:rPr>
          <w:rFonts w:hint="eastAsia" w:ascii="仿宋" w:hAnsi="仿宋" w:eastAsia="仿宋" w:cs="仿宋"/>
          <w:sz w:val="24"/>
          <w:szCs w:val="24"/>
        </w:rPr>
        <w:t>广东天亿马信息产业股份有限公司（以下简称“公司”）拟通过发行股份及支付现金的方式购买广东星云开物科技股份有限公司（以下简称“星云开物”或“标的公司”）100%股份（以下简称“标的资产”）并募集配套资金（以下简称“本次交易”）。</w:t>
      </w:r>
    </w:p>
    <w:p w14:paraId="40912B48">
      <w:pPr>
        <w:adjustRightInd w:val="0"/>
        <w:snapToGrid w:val="0"/>
        <w:spacing w:line="360" w:lineRule="auto"/>
        <w:ind w:firstLine="482" w:firstLineChars="200"/>
        <w:contextualSpacing/>
        <w:rPr>
          <w:rFonts w:hint="eastAsia" w:ascii="仿宋" w:hAnsi="仿宋" w:eastAsia="仿宋" w:cs="仿宋"/>
          <w:b/>
          <w:bCs/>
          <w:sz w:val="24"/>
          <w:szCs w:val="24"/>
        </w:rPr>
      </w:pPr>
      <w:r>
        <w:rPr>
          <w:rFonts w:hint="eastAsia" w:ascii="仿宋" w:hAnsi="仿宋" w:eastAsia="仿宋" w:cs="仿宋"/>
          <w:b/>
          <w:bCs/>
          <w:sz w:val="24"/>
          <w:szCs w:val="24"/>
        </w:rPr>
        <w:t>一、本次交易预计构成重大资产重组</w:t>
      </w:r>
    </w:p>
    <w:p w14:paraId="34FC798A">
      <w:pPr>
        <w:adjustRightInd w:val="0"/>
        <w:snapToGrid w:val="0"/>
        <w:spacing w:line="360" w:lineRule="auto"/>
        <w:ind w:firstLine="480" w:firstLineChars="200"/>
        <w:contextualSpacing/>
        <w:rPr>
          <w:rFonts w:hint="eastAsia" w:ascii="仿宋" w:hAnsi="仿宋" w:eastAsia="仿宋" w:cs="仿宋"/>
          <w:sz w:val="24"/>
          <w:szCs w:val="24"/>
        </w:rPr>
      </w:pPr>
      <w:r>
        <w:rPr>
          <w:rFonts w:hint="eastAsia" w:ascii="仿宋" w:hAnsi="仿宋" w:eastAsia="仿宋" w:cs="仿宋"/>
          <w:sz w:val="24"/>
          <w:szCs w:val="24"/>
        </w:rPr>
        <w:t>截至本说明出具日，本次交易的相关审计、评估等工作尚未完成，标的资产的估值及定价尚未最终确定，根据标的公司未经审计的财务数据初步判断，预计本次交易将达到《上市公司重大资产重组管理办法》规定的重大资产重组标准，构成上市公司重大资产重组。对于本次交易是否构成重大资产重组的最终认定，公司将在重组报告书中予以详细分析和披露。</w:t>
      </w:r>
    </w:p>
    <w:p w14:paraId="6419EDFD">
      <w:pPr>
        <w:adjustRightInd w:val="0"/>
        <w:snapToGrid w:val="0"/>
        <w:spacing w:line="360" w:lineRule="auto"/>
        <w:ind w:firstLine="482" w:firstLineChars="200"/>
        <w:contextualSpacing/>
        <w:rPr>
          <w:rFonts w:hint="eastAsia" w:ascii="仿宋" w:hAnsi="仿宋" w:eastAsia="仿宋" w:cs="仿宋"/>
          <w:b/>
          <w:bCs/>
          <w:sz w:val="24"/>
          <w:szCs w:val="24"/>
        </w:rPr>
      </w:pPr>
      <w:r>
        <w:rPr>
          <w:rFonts w:hint="eastAsia" w:ascii="仿宋" w:hAnsi="仿宋" w:eastAsia="仿宋" w:cs="仿宋"/>
          <w:b/>
          <w:bCs/>
          <w:sz w:val="24"/>
          <w:szCs w:val="24"/>
        </w:rPr>
        <w:t>二、本次交易预计构成关联交易</w:t>
      </w:r>
    </w:p>
    <w:p w14:paraId="3038EA79">
      <w:pPr>
        <w:adjustRightInd w:val="0"/>
        <w:snapToGrid w:val="0"/>
        <w:spacing w:line="360" w:lineRule="auto"/>
        <w:ind w:firstLine="480" w:firstLineChars="200"/>
        <w:contextualSpacing/>
        <w:rPr>
          <w:rFonts w:hint="eastAsia" w:ascii="仿宋" w:hAnsi="仿宋" w:eastAsia="仿宋" w:cs="仿宋"/>
          <w:sz w:val="24"/>
          <w:szCs w:val="24"/>
        </w:rPr>
      </w:pPr>
      <w:r>
        <w:rPr>
          <w:rFonts w:hint="eastAsia" w:ascii="仿宋" w:hAnsi="仿宋" w:eastAsia="仿宋" w:cs="仿宋"/>
          <w:sz w:val="24"/>
          <w:szCs w:val="24"/>
        </w:rPr>
        <w:t>本次发行股份及支付现金购买资产前，交易对方与公司不存在关联关系；本次发行股份及支付现金购买资产完成后，交易对方陈耿豪、南通成为常青股权投资合伙企业（有限合伙）分别持有公司股份比例预计将超过5%。因此，根据《深圳证券交易所创业板股票上市规则》相关规定，本次交易预计将构成关联交易。</w:t>
      </w:r>
    </w:p>
    <w:p w14:paraId="4B549ACC">
      <w:pPr>
        <w:adjustRightInd w:val="0"/>
        <w:snapToGrid w:val="0"/>
        <w:spacing w:line="360" w:lineRule="auto"/>
        <w:ind w:firstLine="480" w:firstLineChars="200"/>
        <w:contextualSpacing/>
        <w:rPr>
          <w:rFonts w:hint="eastAsia" w:ascii="仿宋" w:hAnsi="仿宋" w:eastAsia="仿宋" w:cs="仿宋"/>
          <w:sz w:val="24"/>
          <w:szCs w:val="24"/>
        </w:rPr>
      </w:pPr>
      <w:r>
        <w:rPr>
          <w:rFonts w:hint="eastAsia" w:ascii="仿宋" w:hAnsi="仿宋" w:eastAsia="仿宋" w:cs="仿宋"/>
          <w:sz w:val="24"/>
          <w:szCs w:val="24"/>
        </w:rPr>
        <w:t>本次发行股份募集配套资金的发行对象马学沛先生为公司实际控制人，因此，根据《深圳证券交易所创业板股票上市规则》相关规定，本次募集配套资金构成关联交易。</w:t>
      </w:r>
    </w:p>
    <w:p w14:paraId="5CA03600">
      <w:pPr>
        <w:adjustRightInd w:val="0"/>
        <w:snapToGrid w:val="0"/>
        <w:spacing w:line="360" w:lineRule="auto"/>
        <w:ind w:firstLine="482" w:firstLineChars="200"/>
        <w:contextualSpacing/>
        <w:rPr>
          <w:rFonts w:hint="eastAsia" w:ascii="仿宋" w:hAnsi="仿宋" w:eastAsia="仿宋" w:cs="仿宋"/>
          <w:b/>
          <w:bCs/>
          <w:sz w:val="24"/>
          <w:szCs w:val="24"/>
        </w:rPr>
      </w:pPr>
      <w:r>
        <w:rPr>
          <w:rFonts w:hint="eastAsia" w:ascii="仿宋" w:hAnsi="仿宋" w:eastAsia="仿宋" w:cs="仿宋"/>
          <w:b/>
          <w:bCs/>
          <w:sz w:val="24"/>
          <w:szCs w:val="24"/>
        </w:rPr>
        <w:t>三、本次交易预计不构成重组上市</w:t>
      </w:r>
    </w:p>
    <w:p w14:paraId="14F23F3F">
      <w:pPr>
        <w:adjustRightInd w:val="0"/>
        <w:snapToGrid w:val="0"/>
        <w:spacing w:line="360" w:lineRule="auto"/>
        <w:ind w:firstLine="480" w:firstLineChars="200"/>
        <w:contextualSpacing/>
        <w:rPr>
          <w:rFonts w:hint="eastAsia" w:ascii="仿宋" w:hAnsi="仿宋" w:eastAsia="仿宋" w:cs="仿宋"/>
          <w:sz w:val="24"/>
          <w:szCs w:val="24"/>
        </w:rPr>
      </w:pPr>
      <w:r>
        <w:rPr>
          <w:rFonts w:hint="eastAsia" w:ascii="仿宋" w:hAnsi="仿宋" w:eastAsia="仿宋" w:cs="仿宋"/>
          <w:sz w:val="24"/>
          <w:szCs w:val="24"/>
        </w:rPr>
        <w:t>本次交易前后，公司的实际控制人均为林明玲女士及马学沛先生，本次交易不会导致公司控制权变更；且本次交易前36个月内，公司的实际控制权未发生变化。因此，本次交易不构成《上市公司重大资产重组管理办法》第十三条规定的重组上市。</w:t>
      </w:r>
    </w:p>
    <w:p w14:paraId="11D312C8">
      <w:pPr>
        <w:adjustRightInd w:val="0"/>
        <w:snapToGrid w:val="0"/>
        <w:spacing w:line="360" w:lineRule="auto"/>
        <w:ind w:firstLine="480" w:firstLineChars="200"/>
        <w:contextualSpacing/>
        <w:rPr>
          <w:rFonts w:hint="eastAsia" w:ascii="仿宋" w:hAnsi="仿宋" w:eastAsia="仿宋" w:cs="仿宋"/>
          <w:sz w:val="24"/>
          <w:szCs w:val="24"/>
        </w:rPr>
      </w:pPr>
      <w:r>
        <w:rPr>
          <w:rFonts w:hint="eastAsia" w:ascii="仿宋" w:hAnsi="仿宋" w:eastAsia="仿宋" w:cs="仿宋"/>
          <w:sz w:val="24"/>
          <w:szCs w:val="24"/>
        </w:rPr>
        <w:t>特此说明。</w:t>
      </w:r>
    </w:p>
    <w:p w14:paraId="2904A988">
      <w:pPr>
        <w:adjustRightInd w:val="0"/>
        <w:snapToGrid w:val="0"/>
        <w:spacing w:line="360" w:lineRule="auto"/>
        <w:contextualSpacing/>
        <w:jc w:val="right"/>
        <w:rPr>
          <w:rFonts w:hint="eastAsia" w:ascii="仿宋" w:hAnsi="仿宋" w:eastAsia="仿宋" w:cs="仿宋"/>
          <w:sz w:val="24"/>
          <w:szCs w:val="24"/>
        </w:rPr>
      </w:pPr>
      <w:bookmarkStart w:id="0" w:name="_GoBack"/>
      <w:bookmarkEnd w:id="0"/>
      <w:r>
        <w:rPr>
          <w:rFonts w:hint="eastAsia" w:ascii="仿宋" w:hAnsi="仿宋" w:eastAsia="仿宋" w:cs="仿宋"/>
          <w:sz w:val="24"/>
          <w:szCs w:val="24"/>
        </w:rPr>
        <w:t>广东天亿马信息产业股份有限公司董事会</w:t>
      </w:r>
    </w:p>
    <w:p w14:paraId="39469886">
      <w:pPr>
        <w:adjustRightInd w:val="0"/>
        <w:snapToGrid w:val="0"/>
        <w:spacing w:line="360" w:lineRule="auto"/>
        <w:ind w:firstLine="5760" w:firstLineChars="2400"/>
        <w:contextualSpacing/>
        <w:jc w:val="right"/>
        <w:rPr>
          <w:rFonts w:hint="eastAsia" w:ascii="仿宋" w:hAnsi="仿宋" w:eastAsia="仿宋" w:cs="仿宋"/>
          <w:sz w:val="24"/>
          <w:szCs w:val="24"/>
        </w:rPr>
      </w:pPr>
      <w:r>
        <w:rPr>
          <w:rFonts w:hint="eastAsia" w:ascii="仿宋" w:hAnsi="仿宋" w:eastAsia="仿宋" w:cs="仿宋"/>
          <w:sz w:val="24"/>
          <w:szCs w:val="24"/>
        </w:rPr>
        <w:t>2025年6月2</w:t>
      </w:r>
      <w:r>
        <w:rPr>
          <w:rFonts w:ascii="仿宋" w:hAnsi="仿宋" w:eastAsia="仿宋" w:cs="仿宋"/>
          <w:sz w:val="24"/>
          <w:szCs w:val="24"/>
        </w:rPr>
        <w:t>3</w:t>
      </w:r>
      <w:r>
        <w:rPr>
          <w:rFonts w:hint="eastAsia" w:ascii="仿宋" w:hAnsi="仿宋" w:eastAsia="仿宋" w:cs="仿宋"/>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9FA"/>
    <w:rsid w:val="00011261"/>
    <w:rsid w:val="00042501"/>
    <w:rsid w:val="00065F9F"/>
    <w:rsid w:val="00071A00"/>
    <w:rsid w:val="00081FB0"/>
    <w:rsid w:val="000831C3"/>
    <w:rsid w:val="000836AD"/>
    <w:rsid w:val="00090327"/>
    <w:rsid w:val="000A7170"/>
    <w:rsid w:val="000B1BFA"/>
    <w:rsid w:val="000C4332"/>
    <w:rsid w:val="000D1EC7"/>
    <w:rsid w:val="000F0AB1"/>
    <w:rsid w:val="000F4851"/>
    <w:rsid w:val="000F4A58"/>
    <w:rsid w:val="000F553F"/>
    <w:rsid w:val="0011663A"/>
    <w:rsid w:val="001235D9"/>
    <w:rsid w:val="001308D5"/>
    <w:rsid w:val="00171568"/>
    <w:rsid w:val="00172369"/>
    <w:rsid w:val="00183031"/>
    <w:rsid w:val="00183B07"/>
    <w:rsid w:val="00185094"/>
    <w:rsid w:val="001A4FE6"/>
    <w:rsid w:val="001A731F"/>
    <w:rsid w:val="001B324B"/>
    <w:rsid w:val="001B60F5"/>
    <w:rsid w:val="001C3FE8"/>
    <w:rsid w:val="001C5C2C"/>
    <w:rsid w:val="001D50CD"/>
    <w:rsid w:val="0020207F"/>
    <w:rsid w:val="002041A3"/>
    <w:rsid w:val="002156C2"/>
    <w:rsid w:val="00215854"/>
    <w:rsid w:val="0023170A"/>
    <w:rsid w:val="00235B60"/>
    <w:rsid w:val="00253629"/>
    <w:rsid w:val="002678BE"/>
    <w:rsid w:val="0029294A"/>
    <w:rsid w:val="002A33D0"/>
    <w:rsid w:val="002A4E0E"/>
    <w:rsid w:val="002B642D"/>
    <w:rsid w:val="002C15D4"/>
    <w:rsid w:val="002C7AC4"/>
    <w:rsid w:val="002D0E23"/>
    <w:rsid w:val="002D2EB5"/>
    <w:rsid w:val="002D3884"/>
    <w:rsid w:val="002D4211"/>
    <w:rsid w:val="002D7F55"/>
    <w:rsid w:val="002E29C3"/>
    <w:rsid w:val="002E7FF2"/>
    <w:rsid w:val="003002D0"/>
    <w:rsid w:val="00303FAA"/>
    <w:rsid w:val="003074C1"/>
    <w:rsid w:val="003418F3"/>
    <w:rsid w:val="00347422"/>
    <w:rsid w:val="003559CD"/>
    <w:rsid w:val="003578EB"/>
    <w:rsid w:val="00361D5C"/>
    <w:rsid w:val="0036413F"/>
    <w:rsid w:val="00364ECA"/>
    <w:rsid w:val="0036730E"/>
    <w:rsid w:val="003735EB"/>
    <w:rsid w:val="00374982"/>
    <w:rsid w:val="0037781E"/>
    <w:rsid w:val="00393DE6"/>
    <w:rsid w:val="003951B5"/>
    <w:rsid w:val="003F1314"/>
    <w:rsid w:val="003F63F9"/>
    <w:rsid w:val="004170E0"/>
    <w:rsid w:val="00417A3F"/>
    <w:rsid w:val="00423535"/>
    <w:rsid w:val="00435340"/>
    <w:rsid w:val="0043622B"/>
    <w:rsid w:val="00442A23"/>
    <w:rsid w:val="004506ED"/>
    <w:rsid w:val="00460C1C"/>
    <w:rsid w:val="00477540"/>
    <w:rsid w:val="004920AA"/>
    <w:rsid w:val="004943D5"/>
    <w:rsid w:val="004A33A2"/>
    <w:rsid w:val="004C1584"/>
    <w:rsid w:val="004C5250"/>
    <w:rsid w:val="004C55E0"/>
    <w:rsid w:val="004D113D"/>
    <w:rsid w:val="004D3B04"/>
    <w:rsid w:val="004E286C"/>
    <w:rsid w:val="0050675C"/>
    <w:rsid w:val="00522237"/>
    <w:rsid w:val="005456FA"/>
    <w:rsid w:val="00547A3C"/>
    <w:rsid w:val="0058312C"/>
    <w:rsid w:val="00592E78"/>
    <w:rsid w:val="005A0CB1"/>
    <w:rsid w:val="005A15D3"/>
    <w:rsid w:val="005B0AAE"/>
    <w:rsid w:val="005C1A75"/>
    <w:rsid w:val="005C2F04"/>
    <w:rsid w:val="005C58B5"/>
    <w:rsid w:val="005D0395"/>
    <w:rsid w:val="005E3A7D"/>
    <w:rsid w:val="005E514E"/>
    <w:rsid w:val="005F18DB"/>
    <w:rsid w:val="006133C8"/>
    <w:rsid w:val="00624B59"/>
    <w:rsid w:val="006332D1"/>
    <w:rsid w:val="0064342F"/>
    <w:rsid w:val="006478C0"/>
    <w:rsid w:val="00647E5A"/>
    <w:rsid w:val="00667FCF"/>
    <w:rsid w:val="00671535"/>
    <w:rsid w:val="00680F3B"/>
    <w:rsid w:val="00681D01"/>
    <w:rsid w:val="006864C5"/>
    <w:rsid w:val="006950B4"/>
    <w:rsid w:val="006A5806"/>
    <w:rsid w:val="006A651D"/>
    <w:rsid w:val="006C1AF0"/>
    <w:rsid w:val="006C7AFA"/>
    <w:rsid w:val="006D545B"/>
    <w:rsid w:val="006E2051"/>
    <w:rsid w:val="006F06DD"/>
    <w:rsid w:val="006F2BC0"/>
    <w:rsid w:val="0070413C"/>
    <w:rsid w:val="00705BCD"/>
    <w:rsid w:val="00706C23"/>
    <w:rsid w:val="00724115"/>
    <w:rsid w:val="00732726"/>
    <w:rsid w:val="00735AFF"/>
    <w:rsid w:val="00757A85"/>
    <w:rsid w:val="007604F8"/>
    <w:rsid w:val="007803B6"/>
    <w:rsid w:val="00795B91"/>
    <w:rsid w:val="007A0E12"/>
    <w:rsid w:val="007B10FF"/>
    <w:rsid w:val="007D0CB6"/>
    <w:rsid w:val="007D23B9"/>
    <w:rsid w:val="007E72EC"/>
    <w:rsid w:val="008018DB"/>
    <w:rsid w:val="00812C54"/>
    <w:rsid w:val="008434A0"/>
    <w:rsid w:val="00855833"/>
    <w:rsid w:val="00857E05"/>
    <w:rsid w:val="0086450C"/>
    <w:rsid w:val="00895A24"/>
    <w:rsid w:val="008A37E3"/>
    <w:rsid w:val="008C45B9"/>
    <w:rsid w:val="008C4CF5"/>
    <w:rsid w:val="008C5CE2"/>
    <w:rsid w:val="008C754D"/>
    <w:rsid w:val="008E4CDF"/>
    <w:rsid w:val="008E6489"/>
    <w:rsid w:val="008F7F6F"/>
    <w:rsid w:val="00904A26"/>
    <w:rsid w:val="00907989"/>
    <w:rsid w:val="009177AC"/>
    <w:rsid w:val="00921A57"/>
    <w:rsid w:val="00954277"/>
    <w:rsid w:val="00954464"/>
    <w:rsid w:val="009573D2"/>
    <w:rsid w:val="009623FE"/>
    <w:rsid w:val="00962909"/>
    <w:rsid w:val="00971583"/>
    <w:rsid w:val="009732F0"/>
    <w:rsid w:val="00976194"/>
    <w:rsid w:val="009767BB"/>
    <w:rsid w:val="0099628A"/>
    <w:rsid w:val="009A0A04"/>
    <w:rsid w:val="009A4253"/>
    <w:rsid w:val="009D40DC"/>
    <w:rsid w:val="009F7699"/>
    <w:rsid w:val="00A35168"/>
    <w:rsid w:val="00A43B9D"/>
    <w:rsid w:val="00A521D3"/>
    <w:rsid w:val="00A71A44"/>
    <w:rsid w:val="00A7794C"/>
    <w:rsid w:val="00AA0DE3"/>
    <w:rsid w:val="00AA236A"/>
    <w:rsid w:val="00AF2947"/>
    <w:rsid w:val="00B005F2"/>
    <w:rsid w:val="00B0113D"/>
    <w:rsid w:val="00B13E98"/>
    <w:rsid w:val="00B232F4"/>
    <w:rsid w:val="00B31455"/>
    <w:rsid w:val="00B322D3"/>
    <w:rsid w:val="00B904F2"/>
    <w:rsid w:val="00B9070E"/>
    <w:rsid w:val="00B95D3C"/>
    <w:rsid w:val="00B96FED"/>
    <w:rsid w:val="00BA00C5"/>
    <w:rsid w:val="00BB3F8E"/>
    <w:rsid w:val="00BB7918"/>
    <w:rsid w:val="00BD41C8"/>
    <w:rsid w:val="00BD431E"/>
    <w:rsid w:val="00BF0ADC"/>
    <w:rsid w:val="00BF6CAB"/>
    <w:rsid w:val="00BF6F0B"/>
    <w:rsid w:val="00C07050"/>
    <w:rsid w:val="00C10344"/>
    <w:rsid w:val="00C10716"/>
    <w:rsid w:val="00C35E4D"/>
    <w:rsid w:val="00C467AB"/>
    <w:rsid w:val="00C476EE"/>
    <w:rsid w:val="00C5016F"/>
    <w:rsid w:val="00C70B6E"/>
    <w:rsid w:val="00C84D43"/>
    <w:rsid w:val="00C96AE9"/>
    <w:rsid w:val="00CA569B"/>
    <w:rsid w:val="00CB4859"/>
    <w:rsid w:val="00CB58E0"/>
    <w:rsid w:val="00CD2F25"/>
    <w:rsid w:val="00CD4F3F"/>
    <w:rsid w:val="00CD5364"/>
    <w:rsid w:val="00CE0CE4"/>
    <w:rsid w:val="00D0057A"/>
    <w:rsid w:val="00D06D77"/>
    <w:rsid w:val="00D15D04"/>
    <w:rsid w:val="00D415A1"/>
    <w:rsid w:val="00D425CE"/>
    <w:rsid w:val="00D63020"/>
    <w:rsid w:val="00D84028"/>
    <w:rsid w:val="00DA0528"/>
    <w:rsid w:val="00DA29FA"/>
    <w:rsid w:val="00DB1A33"/>
    <w:rsid w:val="00DB557E"/>
    <w:rsid w:val="00DB581C"/>
    <w:rsid w:val="00DD0F04"/>
    <w:rsid w:val="00DD2D70"/>
    <w:rsid w:val="00DD3F77"/>
    <w:rsid w:val="00DE5D73"/>
    <w:rsid w:val="00DF5162"/>
    <w:rsid w:val="00DF79C6"/>
    <w:rsid w:val="00E00C97"/>
    <w:rsid w:val="00E060E2"/>
    <w:rsid w:val="00E06516"/>
    <w:rsid w:val="00E067DB"/>
    <w:rsid w:val="00E07CC9"/>
    <w:rsid w:val="00E336A4"/>
    <w:rsid w:val="00E33F6D"/>
    <w:rsid w:val="00E3487F"/>
    <w:rsid w:val="00E6600E"/>
    <w:rsid w:val="00E71F1F"/>
    <w:rsid w:val="00E74FB3"/>
    <w:rsid w:val="00E9283A"/>
    <w:rsid w:val="00E95BCE"/>
    <w:rsid w:val="00E9642D"/>
    <w:rsid w:val="00EC2695"/>
    <w:rsid w:val="00EC6265"/>
    <w:rsid w:val="00ED1162"/>
    <w:rsid w:val="00ED705D"/>
    <w:rsid w:val="00EE6677"/>
    <w:rsid w:val="00EE771D"/>
    <w:rsid w:val="00EF15B5"/>
    <w:rsid w:val="00EF4587"/>
    <w:rsid w:val="00F04086"/>
    <w:rsid w:val="00F11C96"/>
    <w:rsid w:val="00F12EA9"/>
    <w:rsid w:val="00F6203F"/>
    <w:rsid w:val="00F70577"/>
    <w:rsid w:val="00F800A8"/>
    <w:rsid w:val="00F85259"/>
    <w:rsid w:val="00F97173"/>
    <w:rsid w:val="00FB057F"/>
    <w:rsid w:val="00FB2DFA"/>
    <w:rsid w:val="00FB4284"/>
    <w:rsid w:val="00FE698F"/>
    <w:rsid w:val="00FF7090"/>
    <w:rsid w:val="00FF7796"/>
    <w:rsid w:val="01CB731F"/>
    <w:rsid w:val="02203E9A"/>
    <w:rsid w:val="042B1DAE"/>
    <w:rsid w:val="08EC4E47"/>
    <w:rsid w:val="0D8C4B49"/>
    <w:rsid w:val="14185D9B"/>
    <w:rsid w:val="19DB58B4"/>
    <w:rsid w:val="1C1B0F6D"/>
    <w:rsid w:val="21542A45"/>
    <w:rsid w:val="21D94BA3"/>
    <w:rsid w:val="256356AB"/>
    <w:rsid w:val="2FBF53EA"/>
    <w:rsid w:val="320329AC"/>
    <w:rsid w:val="34B04074"/>
    <w:rsid w:val="350F09AF"/>
    <w:rsid w:val="37E63077"/>
    <w:rsid w:val="38157E81"/>
    <w:rsid w:val="3A440E4C"/>
    <w:rsid w:val="3D1951DA"/>
    <w:rsid w:val="3E335F4A"/>
    <w:rsid w:val="40A06EE9"/>
    <w:rsid w:val="42BF5173"/>
    <w:rsid w:val="44912FB6"/>
    <w:rsid w:val="4DAF1984"/>
    <w:rsid w:val="4E544429"/>
    <w:rsid w:val="4F3914E2"/>
    <w:rsid w:val="555F6A99"/>
    <w:rsid w:val="5640210E"/>
    <w:rsid w:val="5C6430DF"/>
    <w:rsid w:val="5E2C27BF"/>
    <w:rsid w:val="62FB6C04"/>
    <w:rsid w:val="63AF3C04"/>
    <w:rsid w:val="67F52494"/>
    <w:rsid w:val="6EB702EE"/>
    <w:rsid w:val="71D707D4"/>
    <w:rsid w:val="732700DF"/>
    <w:rsid w:val="749B3DA3"/>
    <w:rsid w:val="74D148BB"/>
    <w:rsid w:val="74F71921"/>
    <w:rsid w:val="7BE349AD"/>
    <w:rsid w:val="7C74BF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25"/>
    <w:unhideWhenUsed/>
    <w:qFormat/>
    <w:uiPriority w:val="0"/>
    <w:pPr>
      <w:keepNext/>
      <w:keepLines/>
      <w:spacing w:before="260" w:after="260" w:line="415" w:lineRule="auto"/>
      <w:outlineLvl w:val="2"/>
    </w:pPr>
    <w:rPr>
      <w:rFonts w:ascii="宋体" w:hAnsi="宋体" w:eastAsia="宋体" w:cs="Times New Roman"/>
      <w:b/>
      <w:bCs/>
      <w:sz w:val="32"/>
      <w:szCs w:val="32"/>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0"/>
    <w:unhideWhenUsed/>
    <w:qFormat/>
    <w:uiPriority w:val="99"/>
    <w:pPr>
      <w:jc w:val="left"/>
    </w:p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1"/>
    <w:semiHidden/>
    <w:unhideWhenUsed/>
    <w:qFormat/>
    <w:uiPriority w:val="99"/>
    <w:rPr>
      <w:b/>
      <w:bCs/>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semiHidden/>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14">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5">
    <w:name w:val="页眉 字符"/>
    <w:basedOn w:val="10"/>
    <w:link w:val="6"/>
    <w:qFormat/>
    <w:uiPriority w:val="99"/>
    <w:rPr>
      <w:sz w:val="18"/>
      <w:szCs w:val="18"/>
    </w:rPr>
  </w:style>
  <w:style w:type="character" w:customStyle="1" w:styleId="16">
    <w:name w:val="页脚 字符"/>
    <w:basedOn w:val="10"/>
    <w:link w:val="5"/>
    <w:qFormat/>
    <w:uiPriority w:val="99"/>
    <w:rPr>
      <w:sz w:val="18"/>
      <w:szCs w:val="18"/>
    </w:rPr>
  </w:style>
  <w:style w:type="character" w:customStyle="1" w:styleId="17">
    <w:name w:val="fontstyle01"/>
    <w:basedOn w:val="10"/>
    <w:qFormat/>
    <w:uiPriority w:val="0"/>
    <w:rPr>
      <w:rFonts w:hint="eastAsia" w:ascii="宋体" w:hAnsi="宋体" w:eastAsia="宋体"/>
      <w:color w:val="000000"/>
      <w:sz w:val="24"/>
      <w:szCs w:val="24"/>
    </w:rPr>
  </w:style>
  <w:style w:type="paragraph" w:styleId="18">
    <w:name w:val="List Paragraph"/>
    <w:basedOn w:val="1"/>
    <w:qFormat/>
    <w:uiPriority w:val="34"/>
    <w:pPr>
      <w:ind w:firstLine="420" w:firstLineChars="200"/>
    </w:pPr>
  </w:style>
  <w:style w:type="character" w:customStyle="1" w:styleId="19">
    <w:name w:val="批注框文本 字符"/>
    <w:basedOn w:val="10"/>
    <w:link w:val="4"/>
    <w:semiHidden/>
    <w:qFormat/>
    <w:uiPriority w:val="99"/>
    <w:rPr>
      <w:sz w:val="18"/>
      <w:szCs w:val="18"/>
    </w:rPr>
  </w:style>
  <w:style w:type="character" w:customStyle="1" w:styleId="20">
    <w:name w:val="批注文字 字符"/>
    <w:basedOn w:val="10"/>
    <w:link w:val="3"/>
    <w:qFormat/>
    <w:uiPriority w:val="99"/>
  </w:style>
  <w:style w:type="character" w:customStyle="1" w:styleId="21">
    <w:name w:val="批注主题 字符"/>
    <w:basedOn w:val="20"/>
    <w:link w:val="7"/>
    <w:semiHidden/>
    <w:qFormat/>
    <w:uiPriority w:val="99"/>
    <w:rPr>
      <w:b/>
      <w:bCs/>
    </w:rPr>
  </w:style>
  <w:style w:type="character" w:customStyle="1" w:styleId="22">
    <w:name w:val="正文-A Char"/>
    <w:link w:val="23"/>
    <w:qFormat/>
    <w:uiPriority w:val="0"/>
    <w:rPr>
      <w:sz w:val="24"/>
      <w:szCs w:val="24"/>
    </w:rPr>
  </w:style>
  <w:style w:type="paragraph" w:customStyle="1" w:styleId="23">
    <w:name w:val="正文-A"/>
    <w:basedOn w:val="1"/>
    <w:link w:val="22"/>
    <w:qFormat/>
    <w:uiPriority w:val="0"/>
    <w:pPr>
      <w:adjustRightInd w:val="0"/>
      <w:snapToGrid w:val="0"/>
      <w:spacing w:beforeLines="50" w:afterLines="50" w:line="360" w:lineRule="auto"/>
      <w:ind w:firstLine="480" w:firstLineChars="200"/>
    </w:pPr>
    <w:rPr>
      <w:sz w:val="24"/>
      <w:szCs w:val="24"/>
    </w:rPr>
  </w:style>
  <w:style w:type="paragraph" w:customStyle="1" w:styleId="24">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5">
    <w:name w:val="标题 3 字符"/>
    <w:basedOn w:val="10"/>
    <w:link w:val="2"/>
    <w:qFormat/>
    <w:uiPriority w:val="0"/>
    <w:rPr>
      <w:rFonts w:ascii="宋体" w:hAnsi="宋体" w:eastAsia="宋体" w:cs="Times New Roman"/>
      <w:b/>
      <w:bCs/>
      <w:sz w:val="32"/>
      <w:szCs w:val="32"/>
    </w:rPr>
  </w:style>
  <w:style w:type="character" w:customStyle="1" w:styleId="26">
    <w:name w:val="highlight"/>
    <w:basedOn w:val="10"/>
    <w:qFormat/>
    <w:uiPriority w:val="0"/>
  </w:style>
  <w:style w:type="paragraph" w:customStyle="1" w:styleId="27">
    <w:name w:val="修订2"/>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8">
    <w:name w:val="修订3"/>
    <w:hidden/>
    <w:unhideWhenUsed/>
    <w:qFormat/>
    <w:uiPriority w:val="99"/>
    <w:rPr>
      <w:rFonts w:asciiTheme="minorHAnsi" w:hAnsiTheme="minorHAnsi" w:eastAsiaTheme="minorEastAsia" w:cstheme="minorBidi"/>
      <w:kern w:val="2"/>
      <w:sz w:val="21"/>
      <w:szCs w:val="22"/>
      <w:lang w:val="en-US" w:eastAsia="zh-CN" w:bidi="ar-SA"/>
    </w:rPr>
  </w:style>
  <w:style w:type="table" w:customStyle="1" w:styleId="29">
    <w:name w:val="Table Normal"/>
    <w:semiHidden/>
    <w:unhideWhenUsed/>
    <w:qFormat/>
    <w:uiPriority w:val="0"/>
    <w:tblPr>
      <w:tblCellMar>
        <w:top w:w="0" w:type="dxa"/>
        <w:left w:w="0" w:type="dxa"/>
        <w:bottom w:w="0" w:type="dxa"/>
        <w:right w:w="0" w:type="dxa"/>
      </w:tblCellMar>
    </w:tblPr>
  </w:style>
  <w:style w:type="paragraph" w:customStyle="1" w:styleId="30">
    <w:name w:val="Revision"/>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709</Words>
  <Characters>718</Characters>
  <Lines>5</Lines>
  <Paragraphs>1</Paragraphs>
  <TotalTime>11</TotalTime>
  <ScaleCrop>false</ScaleCrop>
  <LinksUpToDate>false</LinksUpToDate>
  <CharactersWithSpaces>718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2025-03-11T17:25:00Z</dcterms:created>
  <dc:creator>hs0942</dc:creator>
  <cp:lastModifiedBy>Lenovo</cp:lastModifiedBy>
  <dcterms:modified xsi:type="dcterms:W3CDTF">2025-06-23T07:11:40Z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eyJoZGlkIjoiMmJhZGNlNTc4ZWI4ZTE4MDM1MmFmNDMwZTk5NjJlN2QifQ==</vt:lpwstr>
  </property>
  <property fmtid="{D5CDD505-2E9C-101B-9397-08002B2CF9AE}" pid="3" name="KSOProductBuildVer">
    <vt:lpwstr>2052-12.1.0.21541</vt:lpwstr>
  </property>
  <property fmtid="{D5CDD505-2E9C-101B-9397-08002B2CF9AE}" pid="4" name="ICV">
    <vt:lpwstr>75EC1F8FAC6C4715BAE2940A93EA8717_12</vt:lpwstr>
  </property>
</Properties>
</file>