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2A50E0" w14:textId="77777777" w:rsidR="006F20AF" w:rsidRDefault="006F100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公告编号：2025-061</w:t>
      </w:r>
    </w:p>
    <w:p w14:paraId="3DE5BB32" w14:textId="77777777" w:rsidR="006F20AF" w:rsidRDefault="006F20AF"/>
    <w:p w14:paraId="444D9502" w14:textId="77777777" w:rsidR="006F20AF" w:rsidRDefault="006F1009">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0AB8CA3A" w14:textId="77777777" w:rsidR="006F20AF" w:rsidRDefault="006F1009">
      <w:pPr>
        <w:spacing w:afterLines="100" w:after="312" w:line="360" w:lineRule="auto"/>
        <w:jc w:val="center"/>
        <w:rPr>
          <w:rFonts w:ascii="黑体" w:eastAsia="黑体" w:hAnsi="黑体"/>
          <w:sz w:val="36"/>
          <w:szCs w:val="36"/>
        </w:rPr>
      </w:pPr>
      <w:r>
        <w:rPr>
          <w:rFonts w:ascii="黑体" w:eastAsia="黑体" w:hAnsi="黑体" w:hint="eastAsia"/>
          <w:sz w:val="36"/>
          <w:szCs w:val="36"/>
        </w:rPr>
        <w:t>关于特定股东减持股份计划实施完成的公告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F20AF" w14:paraId="25FEE2E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FEFA078" w14:textId="77777777" w:rsidR="006F20AF" w:rsidRDefault="006F100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公司特定股东南京乐遂信息咨询管理合伙企业(有限合伙)保证向本公司提供的信息内容真实、准确、完整，没有虚假记载、误导性陈述或者重大遗漏。</w:t>
            </w:r>
          </w:p>
          <w:p w14:paraId="1C03D454" w14:textId="77777777" w:rsidR="006F20AF" w:rsidRDefault="006F100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本公司及董事会全体成员保证公告内容与信息披露义务人提供的信息一致。</w:t>
            </w:r>
          </w:p>
        </w:tc>
      </w:tr>
    </w:tbl>
    <w:p w14:paraId="19A8E737" w14:textId="77777777" w:rsidR="006F20AF" w:rsidRDefault="006F20AF"/>
    <w:p w14:paraId="44877C4A" w14:textId="1F96E71B"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于2025年4月24日披露了《广东天亿马信息产业股份有限公司关于特定股东减持股份的预披露公告》（公告编号：2025-041，以下简称“预披露公告”），特定股东南京乐遂信息咨询管理合伙企业(有限合伙)（以下简称“南京乐遂”）计划自预披露公告披露之日起3个交易日后的3个月内（2025年4月30日至2025年7月29日）通过集中竞价、大宗交易等方式减持公司股份合计不超过983,186股，即公司最新总股本比例1.47%（占剔除公司最新披露回购专用账户股份的总股本比例为1.50</w:t>
      </w:r>
      <w:r w:rsidR="005F007C">
        <w:rPr>
          <w:rFonts w:ascii="仿宋" w:eastAsia="仿宋" w:hAnsi="仿宋" w:hint="eastAsia"/>
          <w:color w:val="000000"/>
          <w:sz w:val="28"/>
        </w:rPr>
        <w:t>%</w:t>
      </w:r>
      <w:r>
        <w:rPr>
          <w:rFonts w:ascii="仿宋" w:eastAsia="仿宋" w:hAnsi="仿宋" w:hint="eastAsia"/>
          <w:color w:val="000000"/>
          <w:sz w:val="28"/>
        </w:rPr>
        <w:t>）。其中，通过集中竞价方式减持的不超过658,847股，即不超过公司最新总股本0.99%（占剔除公司最新披露回购专用账户股份的总股本比例为1.00%）；通过大宗交易方式减持的不超过</w:t>
      </w:r>
      <w:r>
        <w:rPr>
          <w:rFonts w:ascii="仿宋" w:eastAsia="仿宋" w:hAnsi="仿宋"/>
          <w:color w:val="000000"/>
          <w:sz w:val="28"/>
        </w:rPr>
        <w:t>324,340</w:t>
      </w:r>
      <w:r>
        <w:rPr>
          <w:rFonts w:ascii="仿宋" w:eastAsia="仿宋" w:hAnsi="仿宋" w:hint="eastAsia"/>
          <w:color w:val="000000"/>
          <w:sz w:val="28"/>
        </w:rPr>
        <w:t>股，即不超过公司最新总股本比例0.49%（占剔除公司最新披露回购专用账户股份的总股本比例为0.49%）。</w:t>
      </w:r>
    </w:p>
    <w:p w14:paraId="63A49818" w14:textId="77777777"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公司于2025年7月29日收到南京乐遂出具的《减持计划进展告</w:t>
      </w:r>
      <w:r>
        <w:rPr>
          <w:rFonts w:ascii="仿宋" w:eastAsia="仿宋" w:hAnsi="仿宋" w:hint="eastAsia"/>
          <w:color w:val="000000"/>
          <w:sz w:val="28"/>
        </w:rPr>
        <w:lastRenderedPageBreak/>
        <w:t>知函》，本次减持计划已实施完成。现将具体情况公告如下：</w:t>
      </w:r>
    </w:p>
    <w:p w14:paraId="04FE393E"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一、股东减持情况</w:t>
      </w:r>
    </w:p>
    <w:p w14:paraId="5B5AAF63"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（一）股东减持股份情况</w:t>
      </w:r>
    </w:p>
    <w:tbl>
      <w:tblPr>
        <w:tblStyle w:val="a6"/>
        <w:tblpPr w:leftFromText="180" w:rightFromText="180" w:vertAnchor="text" w:horzAnchor="page" w:tblpX="1791" w:tblpY="2573"/>
        <w:tblOverlap w:val="never"/>
        <w:tblW w:w="5000" w:type="pct"/>
        <w:tblLayout w:type="fixed"/>
        <w:tblLook w:val="04A0" w:firstRow="1" w:lastRow="0" w:firstColumn="1" w:lastColumn="0" w:noHBand="0" w:noVBand="1"/>
      </w:tblPr>
      <w:tblGrid>
        <w:gridCol w:w="787"/>
        <w:gridCol w:w="1190"/>
        <w:gridCol w:w="1225"/>
        <w:gridCol w:w="978"/>
        <w:gridCol w:w="1115"/>
        <w:gridCol w:w="1287"/>
        <w:gridCol w:w="1940"/>
      </w:tblGrid>
      <w:tr w:rsidR="006F20AF" w14:paraId="63BF428F" w14:textId="77777777">
        <w:tc>
          <w:tcPr>
            <w:tcW w:w="462" w:type="pct"/>
            <w:vAlign w:val="center"/>
          </w:tcPr>
          <w:p w14:paraId="019EDB10" w14:textId="77777777" w:rsidR="006F20AF" w:rsidRDefault="006F1009">
            <w:pPr>
              <w:jc w:val="center"/>
              <w:rPr>
                <w:rFonts w:eastAsia="仿宋"/>
                <w:color w:val="000000"/>
                <w:sz w:val="24"/>
              </w:rPr>
            </w:pPr>
            <w:r>
              <w:rPr>
                <w:rFonts w:eastAsia="仿宋"/>
                <w:color w:val="000000"/>
                <w:sz w:val="24"/>
              </w:rPr>
              <w:t>股东名称</w:t>
            </w:r>
          </w:p>
        </w:tc>
        <w:tc>
          <w:tcPr>
            <w:tcW w:w="698" w:type="pct"/>
            <w:vAlign w:val="center"/>
          </w:tcPr>
          <w:p w14:paraId="74873097" w14:textId="77777777" w:rsidR="006F20AF" w:rsidRDefault="006F1009">
            <w:pPr>
              <w:jc w:val="center"/>
              <w:rPr>
                <w:rFonts w:eastAsia="仿宋"/>
                <w:color w:val="000000"/>
                <w:sz w:val="24"/>
              </w:rPr>
            </w:pPr>
            <w:r>
              <w:rPr>
                <w:rFonts w:eastAsia="仿宋"/>
                <w:color w:val="000000"/>
                <w:sz w:val="24"/>
              </w:rPr>
              <w:t>减持方式</w:t>
            </w:r>
          </w:p>
        </w:tc>
        <w:tc>
          <w:tcPr>
            <w:tcW w:w="719" w:type="pct"/>
            <w:vAlign w:val="center"/>
          </w:tcPr>
          <w:p w14:paraId="15BF50FB" w14:textId="77777777" w:rsidR="006F20AF" w:rsidRDefault="006F1009">
            <w:pPr>
              <w:jc w:val="center"/>
              <w:rPr>
                <w:rFonts w:eastAsia="仿宋"/>
                <w:color w:val="000000"/>
                <w:sz w:val="24"/>
              </w:rPr>
            </w:pPr>
            <w:r>
              <w:rPr>
                <w:rFonts w:eastAsia="仿宋"/>
                <w:color w:val="000000"/>
                <w:sz w:val="24"/>
              </w:rPr>
              <w:t>减持期间</w:t>
            </w:r>
          </w:p>
        </w:tc>
        <w:tc>
          <w:tcPr>
            <w:tcW w:w="574" w:type="pct"/>
            <w:vAlign w:val="center"/>
          </w:tcPr>
          <w:p w14:paraId="255C55ED" w14:textId="77777777" w:rsidR="006F20AF" w:rsidRDefault="006F1009">
            <w:pPr>
              <w:jc w:val="center"/>
              <w:rPr>
                <w:rFonts w:eastAsia="仿宋"/>
                <w:color w:val="000000"/>
                <w:sz w:val="24"/>
              </w:rPr>
            </w:pPr>
            <w:r>
              <w:rPr>
                <w:rFonts w:eastAsia="仿宋"/>
                <w:color w:val="000000"/>
                <w:sz w:val="24"/>
              </w:rPr>
              <w:t>减持均价（元</w:t>
            </w:r>
            <w:r>
              <w:rPr>
                <w:rFonts w:eastAsia="仿宋"/>
                <w:color w:val="000000"/>
                <w:sz w:val="24"/>
              </w:rPr>
              <w:t>/</w:t>
            </w:r>
            <w:r>
              <w:rPr>
                <w:rFonts w:eastAsia="仿宋"/>
                <w:color w:val="000000"/>
                <w:sz w:val="24"/>
              </w:rPr>
              <w:t>股）</w:t>
            </w:r>
          </w:p>
        </w:tc>
        <w:tc>
          <w:tcPr>
            <w:tcW w:w="654" w:type="pct"/>
            <w:vAlign w:val="center"/>
          </w:tcPr>
          <w:p w14:paraId="1EAA9C4C" w14:textId="77777777" w:rsidR="006F20AF" w:rsidRDefault="006F1009">
            <w:pPr>
              <w:jc w:val="center"/>
              <w:rPr>
                <w:rFonts w:eastAsia="仿宋"/>
                <w:color w:val="000000"/>
                <w:sz w:val="24"/>
              </w:rPr>
            </w:pPr>
            <w:r>
              <w:rPr>
                <w:rFonts w:eastAsia="仿宋"/>
                <w:color w:val="000000"/>
                <w:sz w:val="24"/>
              </w:rPr>
              <w:t>减持股数（股）</w:t>
            </w:r>
          </w:p>
        </w:tc>
        <w:tc>
          <w:tcPr>
            <w:tcW w:w="755" w:type="pct"/>
            <w:vAlign w:val="center"/>
          </w:tcPr>
          <w:p w14:paraId="73F0ECF8" w14:textId="77777777" w:rsidR="006F20AF" w:rsidRDefault="006F1009">
            <w:pPr>
              <w:jc w:val="center"/>
              <w:rPr>
                <w:rFonts w:eastAsia="仿宋"/>
                <w:color w:val="000000"/>
                <w:sz w:val="24"/>
              </w:rPr>
            </w:pPr>
            <w:r>
              <w:rPr>
                <w:rFonts w:eastAsia="仿宋"/>
                <w:color w:val="000000"/>
                <w:sz w:val="24"/>
              </w:rPr>
              <w:t>减持股份占公司总股本比例</w:t>
            </w:r>
          </w:p>
        </w:tc>
        <w:tc>
          <w:tcPr>
            <w:tcW w:w="1138" w:type="pct"/>
          </w:tcPr>
          <w:p w14:paraId="23983249" w14:textId="77777777" w:rsidR="006F20AF" w:rsidRDefault="006F1009">
            <w:pPr>
              <w:jc w:val="center"/>
              <w:rPr>
                <w:rFonts w:eastAsia="仿宋"/>
                <w:color w:val="000000"/>
                <w:sz w:val="24"/>
              </w:rPr>
            </w:pPr>
            <w:r>
              <w:rPr>
                <w:rFonts w:eastAsia="仿宋"/>
                <w:color w:val="000000"/>
                <w:sz w:val="24"/>
              </w:rPr>
              <w:t>减持股份占剔除公司最新披露的回购专用证券账户股份数的总股本比例</w:t>
            </w:r>
          </w:p>
        </w:tc>
      </w:tr>
      <w:tr w:rsidR="006F20AF" w14:paraId="79786F5C" w14:textId="77777777">
        <w:trPr>
          <w:trHeight w:val="647"/>
        </w:trPr>
        <w:tc>
          <w:tcPr>
            <w:tcW w:w="462" w:type="pct"/>
            <w:vMerge w:val="restart"/>
            <w:vAlign w:val="center"/>
          </w:tcPr>
          <w:p w14:paraId="58321CAD" w14:textId="77777777" w:rsidR="006F20AF" w:rsidRDefault="006F1009">
            <w:pPr>
              <w:spacing w:line="360" w:lineRule="auto"/>
              <w:jc w:val="center"/>
              <w:rPr>
                <w:rFonts w:eastAsia="仿宋"/>
                <w:color w:val="000000"/>
                <w:sz w:val="24"/>
              </w:rPr>
            </w:pPr>
            <w:r>
              <w:rPr>
                <w:rFonts w:eastAsia="仿宋"/>
                <w:color w:val="000000"/>
                <w:sz w:val="24"/>
              </w:rPr>
              <w:t>南京乐遂</w:t>
            </w:r>
          </w:p>
        </w:tc>
        <w:tc>
          <w:tcPr>
            <w:tcW w:w="698" w:type="pct"/>
            <w:vMerge w:val="restart"/>
            <w:vAlign w:val="center"/>
          </w:tcPr>
          <w:p w14:paraId="36CC7721" w14:textId="77777777" w:rsidR="006F20AF" w:rsidRDefault="006F1009">
            <w:pPr>
              <w:jc w:val="center"/>
              <w:rPr>
                <w:rFonts w:eastAsia="仿宋"/>
                <w:color w:val="000000"/>
                <w:sz w:val="22"/>
                <w:szCs w:val="22"/>
              </w:rPr>
            </w:pPr>
            <w:r>
              <w:rPr>
                <w:rFonts w:eastAsia="仿宋"/>
                <w:color w:val="000000"/>
                <w:sz w:val="22"/>
                <w:szCs w:val="22"/>
                <w:lang w:bidi="ar"/>
              </w:rPr>
              <w:t>大宗交易</w:t>
            </w:r>
          </w:p>
        </w:tc>
        <w:tc>
          <w:tcPr>
            <w:tcW w:w="719" w:type="pct"/>
            <w:vAlign w:val="center"/>
          </w:tcPr>
          <w:p w14:paraId="3A838C37" w14:textId="77777777" w:rsidR="006F20AF" w:rsidRDefault="006F1009">
            <w:pPr>
              <w:jc w:val="center"/>
              <w:rPr>
                <w:rFonts w:eastAsia="仿宋"/>
                <w:color w:val="000000"/>
                <w:sz w:val="22"/>
                <w:szCs w:val="22"/>
              </w:rPr>
            </w:pPr>
            <w:r>
              <w:rPr>
                <w:rFonts w:eastAsia="仿宋"/>
                <w:color w:val="000000"/>
                <w:sz w:val="22"/>
                <w:szCs w:val="22"/>
              </w:rPr>
              <w:t>2025-5-19</w:t>
            </w:r>
          </w:p>
        </w:tc>
        <w:tc>
          <w:tcPr>
            <w:tcW w:w="574" w:type="pct"/>
            <w:vAlign w:val="center"/>
          </w:tcPr>
          <w:p w14:paraId="40404B72" w14:textId="3D51D16F" w:rsidR="006F20AF" w:rsidRDefault="006F1009" w:rsidP="00CB32A4">
            <w:pPr>
              <w:jc w:val="center"/>
              <w:rPr>
                <w:rFonts w:eastAsia="仿宋"/>
                <w:color w:val="000000"/>
                <w:sz w:val="22"/>
                <w:szCs w:val="22"/>
              </w:rPr>
            </w:pPr>
            <w:r>
              <w:rPr>
                <w:rFonts w:eastAsia="仿宋"/>
                <w:color w:val="000000"/>
                <w:sz w:val="22"/>
                <w:szCs w:val="22"/>
              </w:rPr>
              <w:t>29.37</w:t>
            </w:r>
          </w:p>
        </w:tc>
        <w:tc>
          <w:tcPr>
            <w:tcW w:w="654" w:type="pct"/>
            <w:vAlign w:val="center"/>
          </w:tcPr>
          <w:p w14:paraId="54C0191A" w14:textId="77777777" w:rsidR="006F20AF" w:rsidRDefault="006F1009">
            <w:pPr>
              <w:jc w:val="right"/>
              <w:rPr>
                <w:rFonts w:eastAsia="仿宋"/>
                <w:color w:val="000000"/>
                <w:sz w:val="22"/>
                <w:szCs w:val="22"/>
              </w:rPr>
            </w:pPr>
            <w:r>
              <w:rPr>
                <w:rFonts w:eastAsia="仿宋"/>
                <w:color w:val="000000"/>
                <w:sz w:val="22"/>
                <w:szCs w:val="22"/>
              </w:rPr>
              <w:t>220,000</w:t>
            </w:r>
          </w:p>
        </w:tc>
        <w:tc>
          <w:tcPr>
            <w:tcW w:w="755" w:type="pct"/>
            <w:vAlign w:val="center"/>
          </w:tcPr>
          <w:p w14:paraId="1E5574C7" w14:textId="77777777" w:rsidR="006F20AF" w:rsidRDefault="006F1009" w:rsidP="00CB32A4">
            <w:pPr>
              <w:jc w:val="center"/>
              <w:rPr>
                <w:rFonts w:eastAsia="仿宋"/>
                <w:color w:val="000000"/>
                <w:sz w:val="22"/>
                <w:szCs w:val="22"/>
              </w:rPr>
            </w:pPr>
            <w:r>
              <w:rPr>
                <w:rFonts w:eastAsia="仿宋"/>
                <w:color w:val="000000"/>
                <w:sz w:val="22"/>
                <w:szCs w:val="22"/>
              </w:rPr>
              <w:t>0.33%</w:t>
            </w:r>
          </w:p>
        </w:tc>
        <w:tc>
          <w:tcPr>
            <w:tcW w:w="1138" w:type="pct"/>
            <w:vAlign w:val="center"/>
          </w:tcPr>
          <w:p w14:paraId="2780B1A1" w14:textId="77777777" w:rsidR="006F20AF" w:rsidRDefault="006F1009" w:rsidP="00CB32A4">
            <w:pPr>
              <w:jc w:val="center"/>
              <w:rPr>
                <w:rFonts w:eastAsia="仿宋"/>
                <w:color w:val="000000"/>
                <w:sz w:val="22"/>
                <w:szCs w:val="22"/>
              </w:rPr>
            </w:pPr>
            <w:r>
              <w:rPr>
                <w:rFonts w:eastAsia="仿宋"/>
                <w:color w:val="000000"/>
                <w:sz w:val="22"/>
                <w:szCs w:val="22"/>
              </w:rPr>
              <w:t>0.34%</w:t>
            </w:r>
          </w:p>
        </w:tc>
      </w:tr>
      <w:tr w:rsidR="006F20AF" w14:paraId="3B50AF9C" w14:textId="77777777">
        <w:tc>
          <w:tcPr>
            <w:tcW w:w="462" w:type="pct"/>
            <w:vMerge/>
            <w:vAlign w:val="center"/>
          </w:tcPr>
          <w:p w14:paraId="4B634423" w14:textId="77777777" w:rsidR="006F20AF" w:rsidRDefault="006F20AF">
            <w:pPr>
              <w:spacing w:line="360" w:lineRule="auto"/>
              <w:rPr>
                <w:rFonts w:eastAsia="仿宋"/>
                <w:color w:val="000000"/>
                <w:sz w:val="24"/>
              </w:rPr>
            </w:pPr>
          </w:p>
        </w:tc>
        <w:tc>
          <w:tcPr>
            <w:tcW w:w="698" w:type="pct"/>
            <w:vMerge/>
            <w:vAlign w:val="center"/>
          </w:tcPr>
          <w:p w14:paraId="31C9E62B" w14:textId="77777777" w:rsidR="006F20AF" w:rsidRDefault="006F20AF">
            <w:pPr>
              <w:jc w:val="center"/>
              <w:rPr>
                <w:rFonts w:eastAsia="仿宋"/>
                <w:color w:val="000000"/>
                <w:sz w:val="22"/>
                <w:szCs w:val="22"/>
                <w:lang w:bidi="ar"/>
              </w:rPr>
            </w:pPr>
          </w:p>
        </w:tc>
        <w:tc>
          <w:tcPr>
            <w:tcW w:w="719" w:type="pct"/>
            <w:vAlign w:val="center"/>
          </w:tcPr>
          <w:p w14:paraId="44DECD11" w14:textId="77777777" w:rsidR="006F20AF" w:rsidRDefault="006F1009">
            <w:pPr>
              <w:jc w:val="center"/>
              <w:rPr>
                <w:rFonts w:eastAsia="仿宋"/>
                <w:color w:val="000000"/>
                <w:sz w:val="22"/>
                <w:szCs w:val="22"/>
                <w:lang w:bidi="ar"/>
              </w:rPr>
            </w:pPr>
            <w:r>
              <w:rPr>
                <w:rFonts w:eastAsia="仿宋"/>
                <w:color w:val="000000"/>
                <w:sz w:val="22"/>
                <w:szCs w:val="22"/>
              </w:rPr>
              <w:t>2025-5-26</w:t>
            </w:r>
          </w:p>
        </w:tc>
        <w:tc>
          <w:tcPr>
            <w:tcW w:w="574" w:type="pct"/>
            <w:vAlign w:val="center"/>
          </w:tcPr>
          <w:p w14:paraId="18242BBD" w14:textId="06DC75FB" w:rsidR="006F20AF" w:rsidRDefault="006F1009" w:rsidP="00CB32A4">
            <w:pPr>
              <w:jc w:val="center"/>
              <w:rPr>
                <w:rFonts w:eastAsia="仿宋"/>
                <w:color w:val="000000"/>
                <w:sz w:val="22"/>
              </w:rPr>
            </w:pPr>
            <w:r>
              <w:rPr>
                <w:rFonts w:eastAsia="仿宋"/>
                <w:color w:val="000000"/>
                <w:sz w:val="22"/>
                <w:szCs w:val="22"/>
              </w:rPr>
              <w:t>31.46</w:t>
            </w:r>
          </w:p>
        </w:tc>
        <w:tc>
          <w:tcPr>
            <w:tcW w:w="654" w:type="pct"/>
            <w:vAlign w:val="center"/>
          </w:tcPr>
          <w:p w14:paraId="1BB35BB6" w14:textId="77777777" w:rsidR="006F20AF" w:rsidRDefault="006F1009">
            <w:pPr>
              <w:jc w:val="right"/>
              <w:rPr>
                <w:rFonts w:eastAsia="仿宋"/>
                <w:color w:val="000000"/>
                <w:sz w:val="22"/>
                <w:szCs w:val="22"/>
              </w:rPr>
            </w:pPr>
            <w:r>
              <w:rPr>
                <w:rFonts w:eastAsia="仿宋"/>
                <w:color w:val="000000"/>
                <w:sz w:val="22"/>
                <w:szCs w:val="22"/>
              </w:rPr>
              <w:t>104,340</w:t>
            </w:r>
          </w:p>
        </w:tc>
        <w:tc>
          <w:tcPr>
            <w:tcW w:w="755" w:type="pct"/>
            <w:vAlign w:val="center"/>
          </w:tcPr>
          <w:p w14:paraId="01BFFD76" w14:textId="77777777" w:rsidR="006F20AF" w:rsidRDefault="006F1009" w:rsidP="00CB32A4">
            <w:pPr>
              <w:jc w:val="center"/>
              <w:rPr>
                <w:rFonts w:eastAsia="仿宋"/>
                <w:color w:val="000000"/>
                <w:sz w:val="22"/>
                <w:szCs w:val="22"/>
              </w:rPr>
            </w:pPr>
            <w:r>
              <w:rPr>
                <w:rFonts w:eastAsia="仿宋"/>
                <w:color w:val="000000"/>
                <w:sz w:val="22"/>
                <w:szCs w:val="22"/>
              </w:rPr>
              <w:t>0.16%</w:t>
            </w:r>
          </w:p>
        </w:tc>
        <w:tc>
          <w:tcPr>
            <w:tcW w:w="1138" w:type="pct"/>
            <w:vAlign w:val="center"/>
          </w:tcPr>
          <w:p w14:paraId="51878E89" w14:textId="77777777" w:rsidR="006F20AF" w:rsidRDefault="006F1009" w:rsidP="00CB32A4">
            <w:pPr>
              <w:jc w:val="center"/>
              <w:rPr>
                <w:rFonts w:eastAsia="仿宋"/>
                <w:color w:val="000000"/>
                <w:sz w:val="22"/>
                <w:szCs w:val="22"/>
              </w:rPr>
            </w:pPr>
            <w:r>
              <w:rPr>
                <w:rFonts w:eastAsia="仿宋"/>
                <w:color w:val="000000"/>
                <w:sz w:val="22"/>
                <w:szCs w:val="22"/>
              </w:rPr>
              <w:t>0.16%</w:t>
            </w:r>
          </w:p>
        </w:tc>
      </w:tr>
      <w:tr w:rsidR="006F20AF" w14:paraId="3272282B" w14:textId="77777777">
        <w:tc>
          <w:tcPr>
            <w:tcW w:w="462" w:type="pct"/>
            <w:vMerge/>
            <w:vAlign w:val="center"/>
          </w:tcPr>
          <w:p w14:paraId="77A93E60" w14:textId="77777777" w:rsidR="006F20AF" w:rsidRDefault="006F20AF">
            <w:pPr>
              <w:spacing w:line="360" w:lineRule="auto"/>
              <w:rPr>
                <w:rFonts w:eastAsia="仿宋"/>
                <w:color w:val="000000"/>
                <w:sz w:val="24"/>
              </w:rPr>
            </w:pPr>
          </w:p>
        </w:tc>
        <w:tc>
          <w:tcPr>
            <w:tcW w:w="698" w:type="pct"/>
            <w:vAlign w:val="center"/>
          </w:tcPr>
          <w:p w14:paraId="05E04CB0" w14:textId="77777777" w:rsidR="006F20AF" w:rsidRDefault="006F1009">
            <w:pPr>
              <w:jc w:val="center"/>
              <w:rPr>
                <w:rFonts w:eastAsia="仿宋"/>
                <w:sz w:val="24"/>
                <w:szCs w:val="24"/>
              </w:rPr>
            </w:pPr>
            <w:r>
              <w:rPr>
                <w:rFonts w:eastAsia="仿宋"/>
                <w:sz w:val="24"/>
                <w:szCs w:val="24"/>
                <w:lang w:bidi="ar"/>
              </w:rPr>
              <w:t>合计</w:t>
            </w:r>
          </w:p>
        </w:tc>
        <w:tc>
          <w:tcPr>
            <w:tcW w:w="719" w:type="pct"/>
            <w:vAlign w:val="center"/>
          </w:tcPr>
          <w:p w14:paraId="05ACD126" w14:textId="77777777" w:rsidR="006F20AF" w:rsidRDefault="006F1009">
            <w:pPr>
              <w:jc w:val="center"/>
              <w:rPr>
                <w:rFonts w:eastAsia="仿宋"/>
                <w:sz w:val="24"/>
                <w:szCs w:val="24"/>
              </w:rPr>
            </w:pPr>
            <w:r>
              <w:rPr>
                <w:rFonts w:eastAsia="仿宋"/>
                <w:sz w:val="24"/>
                <w:szCs w:val="24"/>
              </w:rPr>
              <w:t>-</w:t>
            </w:r>
          </w:p>
        </w:tc>
        <w:tc>
          <w:tcPr>
            <w:tcW w:w="574" w:type="pct"/>
            <w:vAlign w:val="center"/>
          </w:tcPr>
          <w:p w14:paraId="73F47224" w14:textId="52A6CBD0" w:rsidR="006F20AF" w:rsidRDefault="006F1009" w:rsidP="00CB32A4">
            <w:pPr>
              <w:jc w:val="center"/>
              <w:rPr>
                <w:rFonts w:eastAsia="仿宋"/>
                <w:bCs/>
                <w:color w:val="000000"/>
                <w:sz w:val="22"/>
                <w:szCs w:val="22"/>
              </w:rPr>
            </w:pPr>
            <w:r>
              <w:rPr>
                <w:rFonts w:eastAsia="仿宋"/>
                <w:color w:val="000000"/>
                <w:sz w:val="22"/>
                <w:szCs w:val="22"/>
              </w:rPr>
              <w:t>30.04</w:t>
            </w:r>
          </w:p>
        </w:tc>
        <w:tc>
          <w:tcPr>
            <w:tcW w:w="654" w:type="pct"/>
            <w:vAlign w:val="center"/>
          </w:tcPr>
          <w:p w14:paraId="20C9F7F8" w14:textId="77777777" w:rsidR="006F20AF" w:rsidRDefault="006F1009">
            <w:pPr>
              <w:jc w:val="right"/>
              <w:rPr>
                <w:rFonts w:eastAsia="仿宋"/>
                <w:bCs/>
                <w:color w:val="000000"/>
                <w:sz w:val="22"/>
                <w:szCs w:val="22"/>
              </w:rPr>
            </w:pPr>
            <w:r>
              <w:rPr>
                <w:rFonts w:eastAsia="仿宋"/>
                <w:color w:val="000000"/>
                <w:sz w:val="22"/>
                <w:szCs w:val="22"/>
              </w:rPr>
              <w:t>324,340</w:t>
            </w:r>
          </w:p>
        </w:tc>
        <w:tc>
          <w:tcPr>
            <w:tcW w:w="755" w:type="pct"/>
            <w:vAlign w:val="center"/>
          </w:tcPr>
          <w:p w14:paraId="314BF36C" w14:textId="77777777" w:rsidR="006F20AF" w:rsidRDefault="006F1009" w:rsidP="00CB32A4">
            <w:pPr>
              <w:jc w:val="center"/>
              <w:rPr>
                <w:rFonts w:eastAsia="仿宋"/>
                <w:color w:val="000000"/>
                <w:sz w:val="22"/>
                <w:szCs w:val="22"/>
              </w:rPr>
            </w:pPr>
            <w:r>
              <w:rPr>
                <w:rFonts w:eastAsia="仿宋"/>
                <w:color w:val="000000"/>
                <w:sz w:val="22"/>
                <w:szCs w:val="22"/>
              </w:rPr>
              <w:t>0.49%</w:t>
            </w:r>
          </w:p>
        </w:tc>
        <w:tc>
          <w:tcPr>
            <w:tcW w:w="1138" w:type="pct"/>
            <w:vAlign w:val="center"/>
          </w:tcPr>
          <w:p w14:paraId="2C3493EC" w14:textId="77777777" w:rsidR="006F20AF" w:rsidRDefault="006F1009" w:rsidP="00CB32A4">
            <w:pPr>
              <w:jc w:val="center"/>
              <w:rPr>
                <w:rFonts w:eastAsia="仿宋"/>
                <w:color w:val="000000"/>
                <w:sz w:val="22"/>
                <w:szCs w:val="22"/>
              </w:rPr>
            </w:pPr>
            <w:r>
              <w:rPr>
                <w:rFonts w:eastAsia="仿宋"/>
                <w:color w:val="000000"/>
                <w:sz w:val="22"/>
                <w:szCs w:val="22"/>
              </w:rPr>
              <w:t>0.49%</w:t>
            </w:r>
          </w:p>
        </w:tc>
      </w:tr>
    </w:tbl>
    <w:p w14:paraId="29504E2D" w14:textId="77777777"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截至2025年7月29日，南京乐遂累计通过大宗交易方式减持公司股份</w:t>
      </w:r>
      <w:r>
        <w:rPr>
          <w:rFonts w:ascii="仿宋" w:eastAsia="仿宋" w:hAnsi="仿宋"/>
          <w:color w:val="000000"/>
          <w:sz w:val="28"/>
        </w:rPr>
        <w:t>324,340</w:t>
      </w:r>
      <w:r>
        <w:rPr>
          <w:rFonts w:ascii="仿宋" w:eastAsia="仿宋" w:hAnsi="仿宋" w:hint="eastAsia"/>
          <w:color w:val="000000"/>
          <w:sz w:val="28"/>
        </w:rPr>
        <w:t>股，占公司最新总股本</w:t>
      </w:r>
      <w:r>
        <w:rPr>
          <w:rFonts w:ascii="仿宋" w:eastAsia="仿宋" w:hAnsi="仿宋"/>
          <w:color w:val="000000"/>
          <w:sz w:val="28"/>
        </w:rPr>
        <w:t>0.49%</w:t>
      </w:r>
      <w:r>
        <w:rPr>
          <w:rFonts w:ascii="仿宋" w:eastAsia="仿宋" w:hAnsi="仿宋" w:hint="eastAsia"/>
          <w:color w:val="000000"/>
          <w:sz w:val="28"/>
        </w:rPr>
        <w:t>（</w:t>
      </w:r>
      <w:r>
        <w:rPr>
          <w:rFonts w:ascii="仿宋" w:eastAsia="仿宋" w:hAnsi="仿宋"/>
          <w:color w:val="000000"/>
          <w:sz w:val="28"/>
        </w:rPr>
        <w:t>占</w:t>
      </w:r>
      <w:r>
        <w:rPr>
          <w:rFonts w:ascii="仿宋" w:eastAsia="仿宋" w:hAnsi="仿宋" w:hint="eastAsia"/>
          <w:color w:val="000000"/>
          <w:sz w:val="28"/>
        </w:rPr>
        <w:t>剔除公司最新披露回购专用证券账户股份数的总股本</w:t>
      </w:r>
      <w:r>
        <w:rPr>
          <w:rFonts w:ascii="仿宋" w:eastAsia="仿宋" w:hAnsi="仿宋"/>
          <w:color w:val="000000"/>
          <w:sz w:val="28"/>
        </w:rPr>
        <w:t>0.49%</w:t>
      </w:r>
      <w:r>
        <w:rPr>
          <w:rFonts w:ascii="仿宋" w:eastAsia="仿宋" w:hAnsi="仿宋" w:hint="eastAsia"/>
          <w:color w:val="000000"/>
          <w:sz w:val="28"/>
        </w:rPr>
        <w:t>），本次减持计划已实施完成。具体如下：</w:t>
      </w:r>
    </w:p>
    <w:p w14:paraId="46DCB811"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t>注1：上述股东减持的股份来源为公司首次公开发行前持有的股份及公司资本公积金转增股份。</w:t>
      </w:r>
    </w:p>
    <w:p w14:paraId="1DA54258"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t>注2：上述表格若出现总数与分项数值之和不符的情况，均为四舍五</w:t>
      </w:r>
      <w:bookmarkStart w:id="0" w:name="_GoBack"/>
      <w:bookmarkEnd w:id="0"/>
      <w:r>
        <w:rPr>
          <w:rFonts w:ascii="仿宋" w:eastAsia="仿宋" w:hAnsi="仿宋" w:hint="eastAsia"/>
          <w:color w:val="000000"/>
          <w:sz w:val="24"/>
        </w:rPr>
        <w:t>入原因导致。</w:t>
      </w:r>
    </w:p>
    <w:p w14:paraId="1F3B227D"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（二）股东减持前后持股情况</w:t>
      </w:r>
    </w:p>
    <w:tbl>
      <w:tblPr>
        <w:tblStyle w:val="a6"/>
        <w:tblW w:w="5989" w:type="pct"/>
        <w:tblInd w:w="-743" w:type="dxa"/>
        <w:tblLook w:val="04A0" w:firstRow="1" w:lastRow="0" w:firstColumn="1" w:lastColumn="0" w:noHBand="0" w:noVBand="1"/>
      </w:tblPr>
      <w:tblGrid>
        <w:gridCol w:w="851"/>
        <w:gridCol w:w="1560"/>
        <w:gridCol w:w="1133"/>
        <w:gridCol w:w="992"/>
        <w:gridCol w:w="1703"/>
        <w:gridCol w:w="1135"/>
        <w:gridCol w:w="990"/>
        <w:gridCol w:w="1844"/>
      </w:tblGrid>
      <w:tr w:rsidR="006F1009" w14:paraId="1CCAE147" w14:textId="77777777" w:rsidTr="006F1009">
        <w:trPr>
          <w:trHeight w:val="548"/>
        </w:trPr>
        <w:tc>
          <w:tcPr>
            <w:tcW w:w="417" w:type="pct"/>
            <w:vMerge w:val="restart"/>
            <w:vAlign w:val="center"/>
          </w:tcPr>
          <w:p w14:paraId="5065CB59" w14:textId="77777777" w:rsidR="006F20AF" w:rsidRDefault="006F1009">
            <w:pPr>
              <w:jc w:val="center"/>
              <w:outlineLvl w:val="0"/>
              <w:rPr>
                <w:rFonts w:ascii="仿宋" w:eastAsia="仿宋" w:hAnsi="仿宋"/>
                <w:color w:val="000000"/>
                <w:sz w:val="24"/>
                <w:szCs w:val="24"/>
              </w:rPr>
            </w:pPr>
            <w:r>
              <w:rPr>
                <w:rFonts w:ascii="仿宋" w:eastAsia="仿宋" w:hAnsi="仿宋"/>
                <w:color w:val="000000"/>
                <w:sz w:val="24"/>
                <w:szCs w:val="24"/>
              </w:rPr>
              <w:t>股东名称</w:t>
            </w:r>
          </w:p>
        </w:tc>
        <w:tc>
          <w:tcPr>
            <w:tcW w:w="764" w:type="pct"/>
            <w:vMerge w:val="restart"/>
            <w:vAlign w:val="center"/>
          </w:tcPr>
          <w:p w14:paraId="6744E668"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股份性质</w:t>
            </w:r>
          </w:p>
        </w:tc>
        <w:tc>
          <w:tcPr>
            <w:tcW w:w="1875" w:type="pct"/>
            <w:gridSpan w:val="3"/>
            <w:vAlign w:val="center"/>
          </w:tcPr>
          <w:p w14:paraId="798EB036"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本次减持前持有股份</w:t>
            </w:r>
          </w:p>
        </w:tc>
        <w:tc>
          <w:tcPr>
            <w:tcW w:w="1944" w:type="pct"/>
            <w:gridSpan w:val="3"/>
            <w:shd w:val="clear" w:color="auto" w:fill="auto"/>
            <w:vAlign w:val="center"/>
          </w:tcPr>
          <w:p w14:paraId="6719C52C"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本次减持后持有股份</w:t>
            </w:r>
          </w:p>
        </w:tc>
      </w:tr>
      <w:tr w:rsidR="006F1009" w14:paraId="500E93CF" w14:textId="77777777" w:rsidTr="006F1009">
        <w:trPr>
          <w:trHeight w:val="567"/>
        </w:trPr>
        <w:tc>
          <w:tcPr>
            <w:tcW w:w="417" w:type="pct"/>
            <w:vMerge/>
            <w:vAlign w:val="center"/>
          </w:tcPr>
          <w:p w14:paraId="20E36C5C" w14:textId="77777777" w:rsidR="006F20AF" w:rsidRDefault="006F20AF">
            <w:pPr>
              <w:jc w:val="center"/>
              <w:outlineLvl w:val="0"/>
              <w:rPr>
                <w:rFonts w:ascii="仿宋" w:eastAsia="仿宋" w:hAnsi="仿宋"/>
                <w:color w:val="000000"/>
                <w:sz w:val="24"/>
                <w:szCs w:val="24"/>
              </w:rPr>
            </w:pPr>
          </w:p>
        </w:tc>
        <w:tc>
          <w:tcPr>
            <w:tcW w:w="764" w:type="pct"/>
            <w:vMerge/>
            <w:vAlign w:val="center"/>
          </w:tcPr>
          <w:p w14:paraId="0D4DCAA2" w14:textId="77777777" w:rsidR="006F20AF" w:rsidRDefault="006F20AF">
            <w:pPr>
              <w:jc w:val="center"/>
              <w:outlineLvl w:val="0"/>
              <w:rPr>
                <w:rFonts w:ascii="仿宋" w:eastAsia="仿宋" w:hAnsi="仿宋"/>
                <w:color w:val="000000"/>
                <w:sz w:val="24"/>
                <w:szCs w:val="24"/>
              </w:rPr>
            </w:pPr>
          </w:p>
        </w:tc>
        <w:tc>
          <w:tcPr>
            <w:tcW w:w="555" w:type="pct"/>
            <w:vAlign w:val="center"/>
          </w:tcPr>
          <w:p w14:paraId="616D6F77"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持股数量（股）</w:t>
            </w:r>
          </w:p>
        </w:tc>
        <w:tc>
          <w:tcPr>
            <w:tcW w:w="486" w:type="pct"/>
            <w:vAlign w:val="center"/>
          </w:tcPr>
          <w:p w14:paraId="02E975FF"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占公司总股本比例</w:t>
            </w:r>
          </w:p>
        </w:tc>
        <w:tc>
          <w:tcPr>
            <w:tcW w:w="834" w:type="pct"/>
            <w:vAlign w:val="center"/>
          </w:tcPr>
          <w:p w14:paraId="411DB6D8" w14:textId="77777777" w:rsidR="006F20AF" w:rsidRDefault="006F1009">
            <w:pPr>
              <w:jc w:val="center"/>
              <w:outlineLvl w:val="0"/>
              <w:rPr>
                <w:rFonts w:ascii="仿宋" w:eastAsia="仿宋" w:hAnsi="仿宋"/>
                <w:color w:val="000000"/>
                <w:sz w:val="24"/>
                <w:szCs w:val="24"/>
              </w:rPr>
            </w:pPr>
            <w:r>
              <w:rPr>
                <w:rFonts w:ascii="仿宋" w:eastAsia="仿宋" w:hAnsi="仿宋"/>
                <w:color w:val="000000"/>
                <w:sz w:val="24"/>
              </w:rPr>
              <w:t>占</w:t>
            </w:r>
            <w:r>
              <w:rPr>
                <w:rFonts w:ascii="仿宋" w:eastAsia="仿宋" w:hAnsi="仿宋" w:hint="eastAsia"/>
                <w:color w:val="000000"/>
                <w:sz w:val="24"/>
              </w:rPr>
              <w:t>剔除公司最新披露的回购专用证券账户股份数的总股本</w:t>
            </w:r>
            <w:r>
              <w:rPr>
                <w:rFonts w:ascii="仿宋" w:eastAsia="仿宋" w:hAnsi="仿宋"/>
                <w:color w:val="000000"/>
                <w:sz w:val="24"/>
              </w:rPr>
              <w:t>比例</w:t>
            </w:r>
          </w:p>
        </w:tc>
        <w:tc>
          <w:tcPr>
            <w:tcW w:w="556" w:type="pct"/>
            <w:shd w:val="clear" w:color="auto" w:fill="auto"/>
            <w:vAlign w:val="center"/>
          </w:tcPr>
          <w:p w14:paraId="695832D2"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持股数量（股）</w:t>
            </w:r>
          </w:p>
        </w:tc>
        <w:tc>
          <w:tcPr>
            <w:tcW w:w="485" w:type="pct"/>
            <w:shd w:val="clear" w:color="auto" w:fill="auto"/>
            <w:vAlign w:val="center"/>
          </w:tcPr>
          <w:p w14:paraId="5DCFA5EE"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占公司总股本比例</w:t>
            </w:r>
          </w:p>
        </w:tc>
        <w:tc>
          <w:tcPr>
            <w:tcW w:w="903" w:type="pct"/>
            <w:vAlign w:val="center"/>
          </w:tcPr>
          <w:p w14:paraId="64187865" w14:textId="77777777" w:rsidR="006F20AF" w:rsidRDefault="006F1009">
            <w:pPr>
              <w:jc w:val="center"/>
              <w:outlineLvl w:val="0"/>
              <w:rPr>
                <w:rFonts w:ascii="仿宋" w:eastAsia="仿宋" w:hAnsi="仿宋"/>
                <w:color w:val="000000"/>
                <w:sz w:val="24"/>
                <w:szCs w:val="24"/>
              </w:rPr>
            </w:pPr>
            <w:r>
              <w:rPr>
                <w:rFonts w:ascii="仿宋" w:eastAsia="仿宋" w:hAnsi="仿宋"/>
                <w:color w:val="000000"/>
                <w:sz w:val="24"/>
              </w:rPr>
              <w:t>占</w:t>
            </w:r>
            <w:r>
              <w:rPr>
                <w:rFonts w:ascii="仿宋" w:eastAsia="仿宋" w:hAnsi="仿宋" w:hint="eastAsia"/>
                <w:color w:val="000000"/>
                <w:sz w:val="24"/>
              </w:rPr>
              <w:t>剔除公司最新披露的回购专用证券账户股份数的总股本</w:t>
            </w:r>
            <w:r>
              <w:rPr>
                <w:rFonts w:ascii="仿宋" w:eastAsia="仿宋" w:hAnsi="仿宋"/>
                <w:color w:val="000000"/>
                <w:sz w:val="24"/>
              </w:rPr>
              <w:t>比例</w:t>
            </w:r>
          </w:p>
        </w:tc>
      </w:tr>
      <w:tr w:rsidR="006F1009" w14:paraId="7A921653" w14:textId="77777777" w:rsidTr="006F1009">
        <w:tc>
          <w:tcPr>
            <w:tcW w:w="417" w:type="pct"/>
            <w:vMerge w:val="restart"/>
            <w:vAlign w:val="center"/>
          </w:tcPr>
          <w:p w14:paraId="18E20054" w14:textId="77777777" w:rsidR="006F20AF" w:rsidRDefault="006F1009">
            <w:pPr>
              <w:spacing w:line="360" w:lineRule="auto"/>
              <w:jc w:val="center"/>
              <w:outlineLvl w:val="0"/>
              <w:rPr>
                <w:rFonts w:ascii="仿宋" w:eastAsia="仿宋" w:hAnsi="仿宋"/>
                <w:color w:val="000000"/>
                <w:sz w:val="24"/>
                <w:szCs w:val="24"/>
              </w:rPr>
            </w:pPr>
            <w:r>
              <w:rPr>
                <w:rFonts w:ascii="仿宋" w:eastAsia="仿宋" w:hAnsi="仿宋"/>
                <w:color w:val="000000"/>
                <w:sz w:val="24"/>
                <w:szCs w:val="24"/>
              </w:rPr>
              <w:t>南京乐遂</w:t>
            </w:r>
          </w:p>
        </w:tc>
        <w:tc>
          <w:tcPr>
            <w:tcW w:w="764" w:type="pct"/>
            <w:vAlign w:val="center"/>
          </w:tcPr>
          <w:p w14:paraId="65F1BADA" w14:textId="77777777" w:rsidR="006F20AF" w:rsidRDefault="006F1009">
            <w:pPr>
              <w:spacing w:line="360" w:lineRule="auto"/>
              <w:jc w:val="center"/>
              <w:outlineLvl w:val="0"/>
              <w:rPr>
                <w:rFonts w:ascii="仿宋" w:eastAsia="仿宋" w:hAnsi="仿宋"/>
                <w:color w:val="000000"/>
                <w:sz w:val="24"/>
                <w:szCs w:val="24"/>
              </w:rPr>
            </w:pPr>
            <w:r>
              <w:rPr>
                <w:rFonts w:ascii="仿宋" w:eastAsia="仿宋" w:hAnsi="仿宋" w:hint="eastAsia"/>
                <w:color w:val="000000"/>
                <w:sz w:val="24"/>
                <w:szCs w:val="24"/>
              </w:rPr>
              <w:t>合计持有股份</w:t>
            </w:r>
          </w:p>
        </w:tc>
        <w:tc>
          <w:tcPr>
            <w:tcW w:w="555" w:type="pct"/>
            <w:vAlign w:val="center"/>
          </w:tcPr>
          <w:p w14:paraId="543C1574" w14:textId="77777777" w:rsidR="006F20AF" w:rsidRDefault="006F1009">
            <w:pPr>
              <w:jc w:val="right"/>
              <w:rPr>
                <w:color w:val="000000"/>
                <w:sz w:val="24"/>
                <w:szCs w:val="24"/>
              </w:rPr>
            </w:pPr>
            <w:r>
              <w:rPr>
                <w:color w:val="000000"/>
                <w:szCs w:val="21"/>
              </w:rPr>
              <w:t>983,186</w:t>
            </w:r>
          </w:p>
        </w:tc>
        <w:tc>
          <w:tcPr>
            <w:tcW w:w="486" w:type="pct"/>
            <w:vAlign w:val="center"/>
          </w:tcPr>
          <w:p w14:paraId="6C7C6327" w14:textId="77777777" w:rsidR="006F20AF" w:rsidRDefault="006F1009" w:rsidP="00CB32A4">
            <w:pPr>
              <w:jc w:val="center"/>
              <w:rPr>
                <w:color w:val="000000"/>
                <w:sz w:val="24"/>
                <w:szCs w:val="24"/>
              </w:rPr>
            </w:pPr>
            <w:r>
              <w:rPr>
                <w:color w:val="000000"/>
                <w:szCs w:val="21"/>
              </w:rPr>
              <w:t>1.47%</w:t>
            </w:r>
          </w:p>
        </w:tc>
        <w:tc>
          <w:tcPr>
            <w:tcW w:w="834" w:type="pct"/>
            <w:vAlign w:val="center"/>
          </w:tcPr>
          <w:p w14:paraId="4C857347" w14:textId="77777777" w:rsidR="006F20AF" w:rsidRDefault="006F1009" w:rsidP="00CB32A4">
            <w:pPr>
              <w:jc w:val="center"/>
              <w:rPr>
                <w:color w:val="000000"/>
                <w:sz w:val="24"/>
                <w:szCs w:val="24"/>
              </w:rPr>
            </w:pPr>
            <w:r>
              <w:rPr>
                <w:color w:val="000000"/>
                <w:szCs w:val="21"/>
              </w:rPr>
              <w:t>1.50%</w:t>
            </w:r>
          </w:p>
        </w:tc>
        <w:tc>
          <w:tcPr>
            <w:tcW w:w="556" w:type="pct"/>
            <w:vAlign w:val="center"/>
          </w:tcPr>
          <w:p w14:paraId="3B0E32BC" w14:textId="77777777" w:rsidR="006F20AF" w:rsidRDefault="006F1009">
            <w:pPr>
              <w:jc w:val="right"/>
              <w:rPr>
                <w:color w:val="000000"/>
                <w:sz w:val="24"/>
                <w:szCs w:val="24"/>
              </w:rPr>
            </w:pPr>
            <w:r>
              <w:rPr>
                <w:color w:val="000000"/>
                <w:szCs w:val="21"/>
              </w:rPr>
              <w:t>658,846</w:t>
            </w:r>
          </w:p>
        </w:tc>
        <w:tc>
          <w:tcPr>
            <w:tcW w:w="485" w:type="pct"/>
            <w:vAlign w:val="center"/>
          </w:tcPr>
          <w:p w14:paraId="04887033" w14:textId="77777777" w:rsidR="006F20AF" w:rsidRDefault="006F1009">
            <w:pPr>
              <w:jc w:val="right"/>
              <w:rPr>
                <w:color w:val="000000"/>
                <w:sz w:val="24"/>
                <w:szCs w:val="24"/>
              </w:rPr>
            </w:pPr>
            <w:r>
              <w:rPr>
                <w:color w:val="000000"/>
                <w:szCs w:val="21"/>
              </w:rPr>
              <w:t>0.99%</w:t>
            </w:r>
          </w:p>
        </w:tc>
        <w:tc>
          <w:tcPr>
            <w:tcW w:w="903" w:type="pct"/>
            <w:vAlign w:val="center"/>
          </w:tcPr>
          <w:p w14:paraId="14A42724" w14:textId="77777777" w:rsidR="006F20AF" w:rsidRDefault="006F1009" w:rsidP="00CB32A4">
            <w:pPr>
              <w:jc w:val="center"/>
              <w:rPr>
                <w:color w:val="000000"/>
                <w:sz w:val="24"/>
                <w:szCs w:val="24"/>
              </w:rPr>
            </w:pPr>
            <w:r>
              <w:rPr>
                <w:color w:val="000000"/>
                <w:szCs w:val="21"/>
              </w:rPr>
              <w:t>1.00%</w:t>
            </w:r>
          </w:p>
        </w:tc>
      </w:tr>
      <w:tr w:rsidR="006F1009" w14:paraId="3F6BA2F7" w14:textId="77777777" w:rsidTr="006F1009">
        <w:tc>
          <w:tcPr>
            <w:tcW w:w="417" w:type="pct"/>
            <w:vMerge/>
            <w:vAlign w:val="center"/>
          </w:tcPr>
          <w:p w14:paraId="5C135A2E" w14:textId="77777777" w:rsidR="006F20AF" w:rsidRDefault="006F20AF">
            <w:pPr>
              <w:spacing w:line="360" w:lineRule="auto"/>
              <w:outlineLvl w:val="0"/>
              <w:rPr>
                <w:rFonts w:ascii="仿宋" w:eastAsia="仿宋" w:hAnsi="仿宋"/>
                <w:color w:val="000000"/>
                <w:sz w:val="24"/>
                <w:szCs w:val="24"/>
              </w:rPr>
            </w:pPr>
          </w:p>
        </w:tc>
        <w:tc>
          <w:tcPr>
            <w:tcW w:w="764" w:type="pct"/>
            <w:vAlign w:val="center"/>
          </w:tcPr>
          <w:p w14:paraId="7D8AAB9D" w14:textId="77777777" w:rsidR="006F20AF" w:rsidRDefault="006F1009">
            <w:pPr>
              <w:spacing w:line="360" w:lineRule="auto"/>
              <w:jc w:val="center"/>
              <w:outlineLvl w:val="0"/>
              <w:rPr>
                <w:rFonts w:ascii="仿宋" w:eastAsia="仿宋" w:hAnsi="仿宋"/>
                <w:color w:val="000000"/>
                <w:sz w:val="24"/>
                <w:szCs w:val="24"/>
              </w:rPr>
            </w:pPr>
            <w:r>
              <w:rPr>
                <w:rFonts w:ascii="仿宋" w:eastAsia="仿宋" w:hAnsi="仿宋" w:hint="eastAsia"/>
                <w:color w:val="000000"/>
                <w:sz w:val="24"/>
                <w:szCs w:val="24"/>
              </w:rPr>
              <w:t>其中：无限售条件股份</w:t>
            </w:r>
          </w:p>
        </w:tc>
        <w:tc>
          <w:tcPr>
            <w:tcW w:w="555" w:type="pct"/>
            <w:vAlign w:val="center"/>
          </w:tcPr>
          <w:p w14:paraId="79469249" w14:textId="77777777" w:rsidR="006F20AF" w:rsidRDefault="006F1009">
            <w:pPr>
              <w:jc w:val="right"/>
              <w:rPr>
                <w:color w:val="000000"/>
                <w:sz w:val="24"/>
                <w:szCs w:val="24"/>
              </w:rPr>
            </w:pPr>
            <w:r>
              <w:rPr>
                <w:color w:val="000000"/>
                <w:szCs w:val="21"/>
              </w:rPr>
              <w:t>983,186</w:t>
            </w:r>
          </w:p>
        </w:tc>
        <w:tc>
          <w:tcPr>
            <w:tcW w:w="486" w:type="pct"/>
            <w:vAlign w:val="center"/>
          </w:tcPr>
          <w:p w14:paraId="58F6A7FD" w14:textId="77777777" w:rsidR="006F20AF" w:rsidRDefault="006F1009" w:rsidP="00CB32A4">
            <w:pPr>
              <w:jc w:val="center"/>
              <w:rPr>
                <w:color w:val="000000"/>
                <w:sz w:val="24"/>
                <w:szCs w:val="24"/>
              </w:rPr>
            </w:pPr>
            <w:r>
              <w:rPr>
                <w:color w:val="000000"/>
                <w:szCs w:val="21"/>
              </w:rPr>
              <w:t>1.47%</w:t>
            </w:r>
          </w:p>
        </w:tc>
        <w:tc>
          <w:tcPr>
            <w:tcW w:w="834" w:type="pct"/>
            <w:vAlign w:val="center"/>
          </w:tcPr>
          <w:p w14:paraId="445A1FDC" w14:textId="77777777" w:rsidR="006F20AF" w:rsidRDefault="006F1009" w:rsidP="00CB32A4">
            <w:pPr>
              <w:jc w:val="center"/>
              <w:rPr>
                <w:color w:val="000000"/>
                <w:sz w:val="24"/>
                <w:szCs w:val="24"/>
              </w:rPr>
            </w:pPr>
            <w:r>
              <w:rPr>
                <w:color w:val="000000"/>
                <w:szCs w:val="21"/>
              </w:rPr>
              <w:t>1.50%</w:t>
            </w:r>
          </w:p>
        </w:tc>
        <w:tc>
          <w:tcPr>
            <w:tcW w:w="556" w:type="pct"/>
            <w:vAlign w:val="center"/>
          </w:tcPr>
          <w:p w14:paraId="1FB78A6D" w14:textId="77777777" w:rsidR="006F20AF" w:rsidRDefault="006F1009">
            <w:pPr>
              <w:jc w:val="right"/>
              <w:rPr>
                <w:color w:val="000000"/>
                <w:sz w:val="24"/>
                <w:szCs w:val="24"/>
              </w:rPr>
            </w:pPr>
            <w:r>
              <w:rPr>
                <w:color w:val="000000"/>
                <w:szCs w:val="21"/>
              </w:rPr>
              <w:t>658,846</w:t>
            </w:r>
          </w:p>
        </w:tc>
        <w:tc>
          <w:tcPr>
            <w:tcW w:w="485" w:type="pct"/>
            <w:vAlign w:val="center"/>
          </w:tcPr>
          <w:p w14:paraId="7FD1F519" w14:textId="77777777" w:rsidR="006F20AF" w:rsidRDefault="006F1009">
            <w:pPr>
              <w:jc w:val="right"/>
              <w:rPr>
                <w:color w:val="000000"/>
                <w:sz w:val="24"/>
                <w:szCs w:val="24"/>
              </w:rPr>
            </w:pPr>
            <w:r>
              <w:rPr>
                <w:color w:val="000000"/>
                <w:szCs w:val="21"/>
              </w:rPr>
              <w:t>0.99%</w:t>
            </w:r>
          </w:p>
        </w:tc>
        <w:tc>
          <w:tcPr>
            <w:tcW w:w="903" w:type="pct"/>
            <w:vAlign w:val="center"/>
          </w:tcPr>
          <w:p w14:paraId="4AC35A3C" w14:textId="77777777" w:rsidR="006F20AF" w:rsidRDefault="006F1009" w:rsidP="00CB32A4">
            <w:pPr>
              <w:jc w:val="center"/>
              <w:rPr>
                <w:color w:val="000000"/>
                <w:sz w:val="24"/>
                <w:szCs w:val="24"/>
              </w:rPr>
            </w:pPr>
            <w:r>
              <w:rPr>
                <w:color w:val="000000"/>
                <w:szCs w:val="21"/>
              </w:rPr>
              <w:t>1.00%</w:t>
            </w:r>
          </w:p>
        </w:tc>
      </w:tr>
      <w:tr w:rsidR="006F1009" w14:paraId="4CEA447B" w14:textId="77777777" w:rsidTr="006F1009">
        <w:tc>
          <w:tcPr>
            <w:tcW w:w="417" w:type="pct"/>
            <w:vMerge/>
            <w:vAlign w:val="center"/>
          </w:tcPr>
          <w:p w14:paraId="6FA41A18" w14:textId="77777777" w:rsidR="006F20AF" w:rsidRDefault="006F20AF">
            <w:pPr>
              <w:spacing w:line="360" w:lineRule="auto"/>
              <w:outlineLvl w:val="0"/>
              <w:rPr>
                <w:rFonts w:ascii="仿宋" w:eastAsia="仿宋" w:hAnsi="仿宋"/>
                <w:color w:val="000000"/>
                <w:sz w:val="24"/>
                <w:szCs w:val="24"/>
              </w:rPr>
            </w:pPr>
          </w:p>
        </w:tc>
        <w:tc>
          <w:tcPr>
            <w:tcW w:w="764" w:type="pct"/>
            <w:vAlign w:val="center"/>
          </w:tcPr>
          <w:p w14:paraId="11BC0E77" w14:textId="77777777" w:rsidR="006F20AF" w:rsidRDefault="006F1009">
            <w:pPr>
              <w:spacing w:line="360" w:lineRule="auto"/>
              <w:jc w:val="center"/>
              <w:outlineLvl w:val="0"/>
              <w:rPr>
                <w:rFonts w:ascii="仿宋" w:eastAsia="仿宋" w:hAnsi="仿宋"/>
                <w:color w:val="000000"/>
                <w:sz w:val="24"/>
                <w:szCs w:val="24"/>
              </w:rPr>
            </w:pPr>
            <w:r>
              <w:rPr>
                <w:rFonts w:ascii="仿宋" w:eastAsia="仿宋" w:hAnsi="仿宋" w:hint="eastAsia"/>
                <w:color w:val="000000"/>
                <w:sz w:val="24"/>
                <w:szCs w:val="24"/>
              </w:rPr>
              <w:t>有限售条件股份</w:t>
            </w:r>
          </w:p>
        </w:tc>
        <w:tc>
          <w:tcPr>
            <w:tcW w:w="555" w:type="pct"/>
            <w:vAlign w:val="center"/>
          </w:tcPr>
          <w:p w14:paraId="2814A20D" w14:textId="77777777" w:rsidR="006F20AF" w:rsidRDefault="006F1009">
            <w:pPr>
              <w:jc w:val="right"/>
              <w:rPr>
                <w:color w:val="000000"/>
                <w:sz w:val="24"/>
                <w:szCs w:val="24"/>
              </w:rPr>
            </w:pPr>
            <w:r>
              <w:rPr>
                <w:color w:val="000000"/>
              </w:rPr>
              <w:t>0</w:t>
            </w:r>
          </w:p>
        </w:tc>
        <w:tc>
          <w:tcPr>
            <w:tcW w:w="486" w:type="pct"/>
            <w:vAlign w:val="center"/>
          </w:tcPr>
          <w:p w14:paraId="21EB89F2" w14:textId="77777777" w:rsidR="006F20AF" w:rsidRDefault="006F1009">
            <w:pPr>
              <w:jc w:val="right"/>
              <w:rPr>
                <w:color w:val="000000"/>
                <w:sz w:val="24"/>
                <w:szCs w:val="24"/>
              </w:rPr>
            </w:pPr>
            <w:r>
              <w:rPr>
                <w:rFonts w:hint="eastAsia"/>
                <w:color w:val="000000"/>
              </w:rPr>
              <w:t>0.00%</w:t>
            </w:r>
          </w:p>
        </w:tc>
        <w:tc>
          <w:tcPr>
            <w:tcW w:w="834" w:type="pct"/>
            <w:vAlign w:val="center"/>
          </w:tcPr>
          <w:p w14:paraId="5EF900DE" w14:textId="77777777" w:rsidR="006F20AF" w:rsidRDefault="006F1009">
            <w:pPr>
              <w:jc w:val="right"/>
              <w:rPr>
                <w:color w:val="000000"/>
                <w:sz w:val="24"/>
                <w:szCs w:val="24"/>
              </w:rPr>
            </w:pPr>
            <w:r>
              <w:rPr>
                <w:rFonts w:hint="eastAsia"/>
                <w:color w:val="000000"/>
              </w:rPr>
              <w:t>0.00%</w:t>
            </w:r>
          </w:p>
        </w:tc>
        <w:tc>
          <w:tcPr>
            <w:tcW w:w="556" w:type="pct"/>
            <w:vAlign w:val="center"/>
          </w:tcPr>
          <w:p w14:paraId="6E5F16A8" w14:textId="77777777" w:rsidR="006F20AF" w:rsidRDefault="006F1009">
            <w:pPr>
              <w:jc w:val="right"/>
              <w:rPr>
                <w:color w:val="000000"/>
                <w:sz w:val="24"/>
                <w:szCs w:val="24"/>
              </w:rPr>
            </w:pPr>
            <w:r>
              <w:rPr>
                <w:color w:val="000000"/>
              </w:rPr>
              <w:t>0</w:t>
            </w:r>
          </w:p>
        </w:tc>
        <w:tc>
          <w:tcPr>
            <w:tcW w:w="485" w:type="pct"/>
            <w:vAlign w:val="center"/>
          </w:tcPr>
          <w:p w14:paraId="187893EE" w14:textId="77777777" w:rsidR="006F20AF" w:rsidRDefault="006F1009">
            <w:pPr>
              <w:jc w:val="right"/>
              <w:rPr>
                <w:color w:val="000000"/>
                <w:sz w:val="24"/>
                <w:szCs w:val="24"/>
              </w:rPr>
            </w:pPr>
            <w:r>
              <w:rPr>
                <w:rFonts w:hint="eastAsia"/>
                <w:color w:val="000000"/>
              </w:rPr>
              <w:t>0.00%</w:t>
            </w:r>
          </w:p>
        </w:tc>
        <w:tc>
          <w:tcPr>
            <w:tcW w:w="903" w:type="pct"/>
            <w:vAlign w:val="center"/>
          </w:tcPr>
          <w:p w14:paraId="1BA8FB15" w14:textId="77777777" w:rsidR="006F20AF" w:rsidRDefault="006F1009">
            <w:pPr>
              <w:jc w:val="right"/>
              <w:rPr>
                <w:color w:val="000000"/>
                <w:sz w:val="24"/>
                <w:szCs w:val="24"/>
              </w:rPr>
            </w:pPr>
            <w:r>
              <w:rPr>
                <w:rFonts w:hint="eastAsia"/>
                <w:color w:val="000000"/>
              </w:rPr>
              <w:t>0.00%</w:t>
            </w:r>
          </w:p>
        </w:tc>
      </w:tr>
    </w:tbl>
    <w:p w14:paraId="4A042050"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t>注1：上述表格若出现总数与分项数值之和不符的情况，均为四舍五入原因导致。</w:t>
      </w:r>
    </w:p>
    <w:p w14:paraId="13663A35"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二、其他说明</w:t>
      </w:r>
    </w:p>
    <w:p w14:paraId="1CE65CE8"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一）股东南京乐遂本次减持实施符合《中华人民共和国证券法》《深圳证券交易所创业板股票上市规则》《深圳证券交易所上市公司自律监管指引第2号——创业板上市公司规范运作（2025年修订）》《深圳证券交易所上市公司自律监管指引第18号——股东及董事、高级管理人员减持股份（2025年修订）》等有关法律、行政法规及规范性文件的规定。</w:t>
      </w:r>
    </w:p>
    <w:p w14:paraId="256B3578"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（二）股东南京乐遂本次减持已按照相关规定进行了预披露，实施情况与此前已披露的减持计划一致。</w:t>
      </w:r>
    </w:p>
    <w:p w14:paraId="2650C160"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（三）股东南京乐遂严格遵守了在公司《首次公开发行股票招股说明书》及《首次公开发行股票上市公告书》中作出的承诺。</w:t>
      </w:r>
    </w:p>
    <w:p w14:paraId="116B8340"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（四）截至本公告日，南京乐遂本次减持计划已实施完毕。</w:t>
      </w:r>
    </w:p>
    <w:p w14:paraId="4B6E2B9F"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三、备查文件</w:t>
      </w:r>
    </w:p>
    <w:p w14:paraId="66EC1EC6" w14:textId="77777777"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（一）南京乐遂出具的《减持计划实施进展告知函》。</w:t>
      </w:r>
    </w:p>
    <w:p w14:paraId="70E39C1B" w14:textId="77777777"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7A6084C3" w14:textId="77777777" w:rsidR="006F20AF" w:rsidRDefault="006F100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65848C6B" w14:textId="77777777" w:rsidR="006F20AF" w:rsidRDefault="006F100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57705D5" w14:textId="77777777" w:rsidR="006F20AF" w:rsidRDefault="006F1009">
      <w:pPr>
        <w:wordWrap w:val="0"/>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2025年7月29日</w:t>
      </w:r>
    </w:p>
    <w:sectPr w:rsidR="006F20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3211"/>
    <w:rsid w:val="00016C94"/>
    <w:rsid w:val="00016DAB"/>
    <w:rsid w:val="00022EE3"/>
    <w:rsid w:val="000241C3"/>
    <w:rsid w:val="000249B7"/>
    <w:rsid w:val="00033991"/>
    <w:rsid w:val="000355CF"/>
    <w:rsid w:val="00036965"/>
    <w:rsid w:val="00047123"/>
    <w:rsid w:val="00052A8F"/>
    <w:rsid w:val="00061411"/>
    <w:rsid w:val="000637A2"/>
    <w:rsid w:val="000648AD"/>
    <w:rsid w:val="00064CE2"/>
    <w:rsid w:val="00065027"/>
    <w:rsid w:val="00065688"/>
    <w:rsid w:val="00076DD8"/>
    <w:rsid w:val="00081C3D"/>
    <w:rsid w:val="00084890"/>
    <w:rsid w:val="00087161"/>
    <w:rsid w:val="000A208A"/>
    <w:rsid w:val="000A26BC"/>
    <w:rsid w:val="000A330F"/>
    <w:rsid w:val="000A7303"/>
    <w:rsid w:val="000B12BA"/>
    <w:rsid w:val="000B2A6B"/>
    <w:rsid w:val="000B4EDC"/>
    <w:rsid w:val="000B5727"/>
    <w:rsid w:val="000B70BA"/>
    <w:rsid w:val="000C118A"/>
    <w:rsid w:val="000C7083"/>
    <w:rsid w:val="000D13E8"/>
    <w:rsid w:val="000D64B1"/>
    <w:rsid w:val="000E0840"/>
    <w:rsid w:val="000E186F"/>
    <w:rsid w:val="000E524F"/>
    <w:rsid w:val="000E52AB"/>
    <w:rsid w:val="000F305F"/>
    <w:rsid w:val="000F4DAD"/>
    <w:rsid w:val="000F6B9C"/>
    <w:rsid w:val="0010273A"/>
    <w:rsid w:val="001035A1"/>
    <w:rsid w:val="00106D6D"/>
    <w:rsid w:val="001112CE"/>
    <w:rsid w:val="0011282A"/>
    <w:rsid w:val="00114F78"/>
    <w:rsid w:val="001170A5"/>
    <w:rsid w:val="001306CA"/>
    <w:rsid w:val="00132FCD"/>
    <w:rsid w:val="00141BF6"/>
    <w:rsid w:val="00144D02"/>
    <w:rsid w:val="0014501B"/>
    <w:rsid w:val="00145191"/>
    <w:rsid w:val="001456E4"/>
    <w:rsid w:val="00147439"/>
    <w:rsid w:val="001474D9"/>
    <w:rsid w:val="0015451E"/>
    <w:rsid w:val="00155039"/>
    <w:rsid w:val="001567BD"/>
    <w:rsid w:val="00173BE5"/>
    <w:rsid w:val="0017726B"/>
    <w:rsid w:val="0018736E"/>
    <w:rsid w:val="00187E79"/>
    <w:rsid w:val="00192371"/>
    <w:rsid w:val="001A3C8F"/>
    <w:rsid w:val="001A48A7"/>
    <w:rsid w:val="001A5674"/>
    <w:rsid w:val="001A5B56"/>
    <w:rsid w:val="001C28C7"/>
    <w:rsid w:val="001C2B8B"/>
    <w:rsid w:val="001C6591"/>
    <w:rsid w:val="001D244D"/>
    <w:rsid w:val="001D2962"/>
    <w:rsid w:val="001D6DE2"/>
    <w:rsid w:val="001E02B1"/>
    <w:rsid w:val="001E06DB"/>
    <w:rsid w:val="001E106F"/>
    <w:rsid w:val="001E1735"/>
    <w:rsid w:val="001E20EA"/>
    <w:rsid w:val="001E28D6"/>
    <w:rsid w:val="001E6CDE"/>
    <w:rsid w:val="001F1F9F"/>
    <w:rsid w:val="001F4A9B"/>
    <w:rsid w:val="001F5B46"/>
    <w:rsid w:val="001F5FAD"/>
    <w:rsid w:val="00202B6B"/>
    <w:rsid w:val="00203AFE"/>
    <w:rsid w:val="0020476C"/>
    <w:rsid w:val="00205333"/>
    <w:rsid w:val="00213C21"/>
    <w:rsid w:val="00214392"/>
    <w:rsid w:val="002143DF"/>
    <w:rsid w:val="00220CB2"/>
    <w:rsid w:val="00224BD6"/>
    <w:rsid w:val="002252CB"/>
    <w:rsid w:val="00226147"/>
    <w:rsid w:val="0022748F"/>
    <w:rsid w:val="00232E86"/>
    <w:rsid w:val="00235346"/>
    <w:rsid w:val="00246F9D"/>
    <w:rsid w:val="00255C86"/>
    <w:rsid w:val="002573EF"/>
    <w:rsid w:val="00262A64"/>
    <w:rsid w:val="00267179"/>
    <w:rsid w:val="00272EFE"/>
    <w:rsid w:val="00275892"/>
    <w:rsid w:val="00275E40"/>
    <w:rsid w:val="002839F1"/>
    <w:rsid w:val="002865A5"/>
    <w:rsid w:val="002866D3"/>
    <w:rsid w:val="00286AAC"/>
    <w:rsid w:val="00286D5B"/>
    <w:rsid w:val="002A1A75"/>
    <w:rsid w:val="002B12B7"/>
    <w:rsid w:val="002C1B58"/>
    <w:rsid w:val="002C694C"/>
    <w:rsid w:val="002E0642"/>
    <w:rsid w:val="002E2B05"/>
    <w:rsid w:val="002E4E4D"/>
    <w:rsid w:val="002E5A91"/>
    <w:rsid w:val="002E7634"/>
    <w:rsid w:val="002F41F1"/>
    <w:rsid w:val="002F6391"/>
    <w:rsid w:val="002F7782"/>
    <w:rsid w:val="00301DF8"/>
    <w:rsid w:val="0031618C"/>
    <w:rsid w:val="00316F53"/>
    <w:rsid w:val="003234D9"/>
    <w:rsid w:val="0032439A"/>
    <w:rsid w:val="0032529C"/>
    <w:rsid w:val="00326C42"/>
    <w:rsid w:val="00330F82"/>
    <w:rsid w:val="00333C14"/>
    <w:rsid w:val="0034342B"/>
    <w:rsid w:val="0034648D"/>
    <w:rsid w:val="00347396"/>
    <w:rsid w:val="00350B27"/>
    <w:rsid w:val="003533B3"/>
    <w:rsid w:val="003568D5"/>
    <w:rsid w:val="0036248D"/>
    <w:rsid w:val="00374A59"/>
    <w:rsid w:val="00374EE7"/>
    <w:rsid w:val="00375593"/>
    <w:rsid w:val="00375DDE"/>
    <w:rsid w:val="00381091"/>
    <w:rsid w:val="00381988"/>
    <w:rsid w:val="00382B3C"/>
    <w:rsid w:val="00397031"/>
    <w:rsid w:val="00397DFF"/>
    <w:rsid w:val="003A300C"/>
    <w:rsid w:val="003A49C3"/>
    <w:rsid w:val="003A6256"/>
    <w:rsid w:val="003B001B"/>
    <w:rsid w:val="003B4403"/>
    <w:rsid w:val="003B49E1"/>
    <w:rsid w:val="003B54CF"/>
    <w:rsid w:val="003B54E0"/>
    <w:rsid w:val="003C29F2"/>
    <w:rsid w:val="003C6F10"/>
    <w:rsid w:val="003D1C9C"/>
    <w:rsid w:val="003D33B3"/>
    <w:rsid w:val="003D3DC5"/>
    <w:rsid w:val="003D450D"/>
    <w:rsid w:val="003D69BD"/>
    <w:rsid w:val="003E5913"/>
    <w:rsid w:val="0040625D"/>
    <w:rsid w:val="00410061"/>
    <w:rsid w:val="004106F7"/>
    <w:rsid w:val="004112AB"/>
    <w:rsid w:val="00414EBC"/>
    <w:rsid w:val="00415F62"/>
    <w:rsid w:val="00417E68"/>
    <w:rsid w:val="00432B89"/>
    <w:rsid w:val="00434202"/>
    <w:rsid w:val="00435D3B"/>
    <w:rsid w:val="004440AD"/>
    <w:rsid w:val="00444959"/>
    <w:rsid w:val="00446D95"/>
    <w:rsid w:val="004471F2"/>
    <w:rsid w:val="004477B5"/>
    <w:rsid w:val="00451898"/>
    <w:rsid w:val="00454D8B"/>
    <w:rsid w:val="00456077"/>
    <w:rsid w:val="00457909"/>
    <w:rsid w:val="00460D28"/>
    <w:rsid w:val="0046127A"/>
    <w:rsid w:val="00464800"/>
    <w:rsid w:val="00465C4F"/>
    <w:rsid w:val="004673A8"/>
    <w:rsid w:val="00483B6F"/>
    <w:rsid w:val="004862EC"/>
    <w:rsid w:val="0049397F"/>
    <w:rsid w:val="004974C6"/>
    <w:rsid w:val="004A01DD"/>
    <w:rsid w:val="004A0FDC"/>
    <w:rsid w:val="004A3458"/>
    <w:rsid w:val="004A5050"/>
    <w:rsid w:val="004A71FD"/>
    <w:rsid w:val="004B0266"/>
    <w:rsid w:val="004B0A33"/>
    <w:rsid w:val="004B7E62"/>
    <w:rsid w:val="004C1CB6"/>
    <w:rsid w:val="004C632D"/>
    <w:rsid w:val="004E64E4"/>
    <w:rsid w:val="004E6668"/>
    <w:rsid w:val="004F101A"/>
    <w:rsid w:val="004F35D5"/>
    <w:rsid w:val="004F5B94"/>
    <w:rsid w:val="004F766D"/>
    <w:rsid w:val="00504467"/>
    <w:rsid w:val="00507F1B"/>
    <w:rsid w:val="00510EDF"/>
    <w:rsid w:val="00510FD3"/>
    <w:rsid w:val="00511DDA"/>
    <w:rsid w:val="00513078"/>
    <w:rsid w:val="00522F6B"/>
    <w:rsid w:val="0052789D"/>
    <w:rsid w:val="00527D0E"/>
    <w:rsid w:val="005317FA"/>
    <w:rsid w:val="00531AC2"/>
    <w:rsid w:val="005325F9"/>
    <w:rsid w:val="00532FCB"/>
    <w:rsid w:val="00546F87"/>
    <w:rsid w:val="00547609"/>
    <w:rsid w:val="00547F3B"/>
    <w:rsid w:val="005503E0"/>
    <w:rsid w:val="0055105C"/>
    <w:rsid w:val="00551B25"/>
    <w:rsid w:val="0055266A"/>
    <w:rsid w:val="00553076"/>
    <w:rsid w:val="00561060"/>
    <w:rsid w:val="00562C18"/>
    <w:rsid w:val="005704DC"/>
    <w:rsid w:val="00575050"/>
    <w:rsid w:val="0058127C"/>
    <w:rsid w:val="00581863"/>
    <w:rsid w:val="005860CC"/>
    <w:rsid w:val="00586522"/>
    <w:rsid w:val="0059060A"/>
    <w:rsid w:val="00593136"/>
    <w:rsid w:val="005970F7"/>
    <w:rsid w:val="005977F2"/>
    <w:rsid w:val="005A04A2"/>
    <w:rsid w:val="005A0765"/>
    <w:rsid w:val="005A106D"/>
    <w:rsid w:val="005A11EA"/>
    <w:rsid w:val="005A49FF"/>
    <w:rsid w:val="005B1EBB"/>
    <w:rsid w:val="005D4719"/>
    <w:rsid w:val="005D7329"/>
    <w:rsid w:val="005E0C93"/>
    <w:rsid w:val="005E227C"/>
    <w:rsid w:val="005E2742"/>
    <w:rsid w:val="005E32CA"/>
    <w:rsid w:val="005F007C"/>
    <w:rsid w:val="005F2D0F"/>
    <w:rsid w:val="005F5A03"/>
    <w:rsid w:val="005F65C9"/>
    <w:rsid w:val="005F66B8"/>
    <w:rsid w:val="006024D1"/>
    <w:rsid w:val="00610AB1"/>
    <w:rsid w:val="00611644"/>
    <w:rsid w:val="0061180A"/>
    <w:rsid w:val="00613CE2"/>
    <w:rsid w:val="006170FE"/>
    <w:rsid w:val="0063213D"/>
    <w:rsid w:val="0063790D"/>
    <w:rsid w:val="006411A6"/>
    <w:rsid w:val="00644929"/>
    <w:rsid w:val="00646765"/>
    <w:rsid w:val="00647CDE"/>
    <w:rsid w:val="00651926"/>
    <w:rsid w:val="00653A97"/>
    <w:rsid w:val="00655644"/>
    <w:rsid w:val="00660F85"/>
    <w:rsid w:val="006610B0"/>
    <w:rsid w:val="00662911"/>
    <w:rsid w:val="00665534"/>
    <w:rsid w:val="006665AC"/>
    <w:rsid w:val="00680127"/>
    <w:rsid w:val="00683180"/>
    <w:rsid w:val="00683216"/>
    <w:rsid w:val="00683ABC"/>
    <w:rsid w:val="00684DD6"/>
    <w:rsid w:val="00685C17"/>
    <w:rsid w:val="006864CF"/>
    <w:rsid w:val="00686EC6"/>
    <w:rsid w:val="00696FA4"/>
    <w:rsid w:val="006970E5"/>
    <w:rsid w:val="006A32B3"/>
    <w:rsid w:val="006A4141"/>
    <w:rsid w:val="006B1567"/>
    <w:rsid w:val="006B1A64"/>
    <w:rsid w:val="006B3551"/>
    <w:rsid w:val="006B51D6"/>
    <w:rsid w:val="006B5229"/>
    <w:rsid w:val="006B6899"/>
    <w:rsid w:val="006C413C"/>
    <w:rsid w:val="006C492C"/>
    <w:rsid w:val="006E30D7"/>
    <w:rsid w:val="006F1009"/>
    <w:rsid w:val="006F20AF"/>
    <w:rsid w:val="006F252E"/>
    <w:rsid w:val="006F28C6"/>
    <w:rsid w:val="007019EB"/>
    <w:rsid w:val="00714491"/>
    <w:rsid w:val="00715147"/>
    <w:rsid w:val="00715B5B"/>
    <w:rsid w:val="00717F5B"/>
    <w:rsid w:val="007203AE"/>
    <w:rsid w:val="0072060A"/>
    <w:rsid w:val="007212DB"/>
    <w:rsid w:val="00724C6A"/>
    <w:rsid w:val="00725702"/>
    <w:rsid w:val="00726F29"/>
    <w:rsid w:val="007270A8"/>
    <w:rsid w:val="007306B7"/>
    <w:rsid w:val="0073437E"/>
    <w:rsid w:val="00735A4A"/>
    <w:rsid w:val="00735D6A"/>
    <w:rsid w:val="00743D63"/>
    <w:rsid w:val="007443B7"/>
    <w:rsid w:val="007446F8"/>
    <w:rsid w:val="007462B3"/>
    <w:rsid w:val="00750618"/>
    <w:rsid w:val="007571B1"/>
    <w:rsid w:val="00760C78"/>
    <w:rsid w:val="007644D7"/>
    <w:rsid w:val="007647E0"/>
    <w:rsid w:val="00771FEB"/>
    <w:rsid w:val="00774F5E"/>
    <w:rsid w:val="007755DF"/>
    <w:rsid w:val="00780F19"/>
    <w:rsid w:val="00784773"/>
    <w:rsid w:val="00784FF3"/>
    <w:rsid w:val="00785F0C"/>
    <w:rsid w:val="007870B4"/>
    <w:rsid w:val="0079625C"/>
    <w:rsid w:val="007A0089"/>
    <w:rsid w:val="007A1E4C"/>
    <w:rsid w:val="007A5F6E"/>
    <w:rsid w:val="007A5FBC"/>
    <w:rsid w:val="007B3B0D"/>
    <w:rsid w:val="007B51F2"/>
    <w:rsid w:val="007C302B"/>
    <w:rsid w:val="007C769C"/>
    <w:rsid w:val="007D003E"/>
    <w:rsid w:val="007D5D64"/>
    <w:rsid w:val="007D642B"/>
    <w:rsid w:val="007E3498"/>
    <w:rsid w:val="007F5EB7"/>
    <w:rsid w:val="007F6763"/>
    <w:rsid w:val="0080096E"/>
    <w:rsid w:val="00804C31"/>
    <w:rsid w:val="00807576"/>
    <w:rsid w:val="0080763F"/>
    <w:rsid w:val="00811AA9"/>
    <w:rsid w:val="0081295A"/>
    <w:rsid w:val="0081775E"/>
    <w:rsid w:val="00822741"/>
    <w:rsid w:val="00824610"/>
    <w:rsid w:val="00824AED"/>
    <w:rsid w:val="008321B1"/>
    <w:rsid w:val="008336AD"/>
    <w:rsid w:val="00834866"/>
    <w:rsid w:val="00834C6C"/>
    <w:rsid w:val="008362B9"/>
    <w:rsid w:val="00841C0B"/>
    <w:rsid w:val="008432AC"/>
    <w:rsid w:val="008441D1"/>
    <w:rsid w:val="008510C6"/>
    <w:rsid w:val="008540A4"/>
    <w:rsid w:val="00866459"/>
    <w:rsid w:val="008674BE"/>
    <w:rsid w:val="00870002"/>
    <w:rsid w:val="0087045E"/>
    <w:rsid w:val="00871245"/>
    <w:rsid w:val="00874122"/>
    <w:rsid w:val="008859CB"/>
    <w:rsid w:val="00885B11"/>
    <w:rsid w:val="008931F3"/>
    <w:rsid w:val="008A18ED"/>
    <w:rsid w:val="008A2D1B"/>
    <w:rsid w:val="008A4D79"/>
    <w:rsid w:val="008A4EBF"/>
    <w:rsid w:val="008A542B"/>
    <w:rsid w:val="008B3852"/>
    <w:rsid w:val="008B6150"/>
    <w:rsid w:val="008B6FE9"/>
    <w:rsid w:val="008C5EF8"/>
    <w:rsid w:val="008D2D66"/>
    <w:rsid w:val="008D4143"/>
    <w:rsid w:val="008E0E09"/>
    <w:rsid w:val="008E1E06"/>
    <w:rsid w:val="008E4021"/>
    <w:rsid w:val="008E44DC"/>
    <w:rsid w:val="008E51CC"/>
    <w:rsid w:val="008F160E"/>
    <w:rsid w:val="008F26CC"/>
    <w:rsid w:val="008F28C3"/>
    <w:rsid w:val="008F3F95"/>
    <w:rsid w:val="008F4849"/>
    <w:rsid w:val="008F5435"/>
    <w:rsid w:val="008F6791"/>
    <w:rsid w:val="00912C4C"/>
    <w:rsid w:val="0091693E"/>
    <w:rsid w:val="00923887"/>
    <w:rsid w:val="00931A5D"/>
    <w:rsid w:val="009327B3"/>
    <w:rsid w:val="0093404A"/>
    <w:rsid w:val="00934EB4"/>
    <w:rsid w:val="00960929"/>
    <w:rsid w:val="00963B43"/>
    <w:rsid w:val="009651E2"/>
    <w:rsid w:val="00965F5A"/>
    <w:rsid w:val="00965FC3"/>
    <w:rsid w:val="0096685C"/>
    <w:rsid w:val="00970571"/>
    <w:rsid w:val="009723E3"/>
    <w:rsid w:val="00973B9E"/>
    <w:rsid w:val="00976EB1"/>
    <w:rsid w:val="00984D4C"/>
    <w:rsid w:val="00985334"/>
    <w:rsid w:val="00994710"/>
    <w:rsid w:val="00995EA2"/>
    <w:rsid w:val="009A3D54"/>
    <w:rsid w:val="009A40CB"/>
    <w:rsid w:val="009A6C3E"/>
    <w:rsid w:val="009B1090"/>
    <w:rsid w:val="009B3C20"/>
    <w:rsid w:val="009B42DF"/>
    <w:rsid w:val="009C21F1"/>
    <w:rsid w:val="009E52F4"/>
    <w:rsid w:val="009E5F3D"/>
    <w:rsid w:val="009E6E6F"/>
    <w:rsid w:val="009E7431"/>
    <w:rsid w:val="009F0561"/>
    <w:rsid w:val="009F0E07"/>
    <w:rsid w:val="009F3CD1"/>
    <w:rsid w:val="009F446F"/>
    <w:rsid w:val="009F72E7"/>
    <w:rsid w:val="00A0675F"/>
    <w:rsid w:val="00A14D95"/>
    <w:rsid w:val="00A15A22"/>
    <w:rsid w:val="00A172F2"/>
    <w:rsid w:val="00A22675"/>
    <w:rsid w:val="00A23045"/>
    <w:rsid w:val="00A24B52"/>
    <w:rsid w:val="00A24D85"/>
    <w:rsid w:val="00A31E5D"/>
    <w:rsid w:val="00A320F7"/>
    <w:rsid w:val="00A36E41"/>
    <w:rsid w:val="00A46F7C"/>
    <w:rsid w:val="00A471C2"/>
    <w:rsid w:val="00A54047"/>
    <w:rsid w:val="00A568A3"/>
    <w:rsid w:val="00A630A6"/>
    <w:rsid w:val="00A63D1F"/>
    <w:rsid w:val="00A721A9"/>
    <w:rsid w:val="00A74A16"/>
    <w:rsid w:val="00A96C57"/>
    <w:rsid w:val="00AA61C2"/>
    <w:rsid w:val="00AB03ED"/>
    <w:rsid w:val="00AB70FF"/>
    <w:rsid w:val="00AC248D"/>
    <w:rsid w:val="00AC252A"/>
    <w:rsid w:val="00AC4B70"/>
    <w:rsid w:val="00AC4CF0"/>
    <w:rsid w:val="00AD2081"/>
    <w:rsid w:val="00AD2CB1"/>
    <w:rsid w:val="00AD7403"/>
    <w:rsid w:val="00AE5FA4"/>
    <w:rsid w:val="00AE7045"/>
    <w:rsid w:val="00AF07CC"/>
    <w:rsid w:val="00AF204F"/>
    <w:rsid w:val="00AF3475"/>
    <w:rsid w:val="00AF442D"/>
    <w:rsid w:val="00AF448C"/>
    <w:rsid w:val="00AF5185"/>
    <w:rsid w:val="00AF7BEC"/>
    <w:rsid w:val="00B01ACD"/>
    <w:rsid w:val="00B02014"/>
    <w:rsid w:val="00B10E38"/>
    <w:rsid w:val="00B11017"/>
    <w:rsid w:val="00B13699"/>
    <w:rsid w:val="00B157DB"/>
    <w:rsid w:val="00B17C58"/>
    <w:rsid w:val="00B23AA1"/>
    <w:rsid w:val="00B24CE1"/>
    <w:rsid w:val="00B25E34"/>
    <w:rsid w:val="00B2781F"/>
    <w:rsid w:val="00B403FD"/>
    <w:rsid w:val="00B46A42"/>
    <w:rsid w:val="00B51863"/>
    <w:rsid w:val="00B51F1A"/>
    <w:rsid w:val="00B55F7C"/>
    <w:rsid w:val="00B57BD6"/>
    <w:rsid w:val="00B608B5"/>
    <w:rsid w:val="00B62FFE"/>
    <w:rsid w:val="00B648A2"/>
    <w:rsid w:val="00B7595B"/>
    <w:rsid w:val="00B82479"/>
    <w:rsid w:val="00B90299"/>
    <w:rsid w:val="00B956BA"/>
    <w:rsid w:val="00BA011F"/>
    <w:rsid w:val="00BB16AA"/>
    <w:rsid w:val="00BB20FE"/>
    <w:rsid w:val="00BB4E58"/>
    <w:rsid w:val="00BB668C"/>
    <w:rsid w:val="00BB7AEE"/>
    <w:rsid w:val="00BC0398"/>
    <w:rsid w:val="00BC3398"/>
    <w:rsid w:val="00BC3ADA"/>
    <w:rsid w:val="00BC3C27"/>
    <w:rsid w:val="00BC6C53"/>
    <w:rsid w:val="00BE744C"/>
    <w:rsid w:val="00BF25F8"/>
    <w:rsid w:val="00BF2F88"/>
    <w:rsid w:val="00BF7A24"/>
    <w:rsid w:val="00C0583D"/>
    <w:rsid w:val="00C10405"/>
    <w:rsid w:val="00C12218"/>
    <w:rsid w:val="00C12C2E"/>
    <w:rsid w:val="00C14A90"/>
    <w:rsid w:val="00C14ECB"/>
    <w:rsid w:val="00C22055"/>
    <w:rsid w:val="00C234CF"/>
    <w:rsid w:val="00C430E9"/>
    <w:rsid w:val="00C4317F"/>
    <w:rsid w:val="00C438F3"/>
    <w:rsid w:val="00C45F23"/>
    <w:rsid w:val="00C5013D"/>
    <w:rsid w:val="00C5268D"/>
    <w:rsid w:val="00C528AE"/>
    <w:rsid w:val="00C530F1"/>
    <w:rsid w:val="00C53CEC"/>
    <w:rsid w:val="00C54544"/>
    <w:rsid w:val="00C54A23"/>
    <w:rsid w:val="00C57E75"/>
    <w:rsid w:val="00C616D5"/>
    <w:rsid w:val="00C71B4E"/>
    <w:rsid w:val="00C74CE6"/>
    <w:rsid w:val="00C77AA1"/>
    <w:rsid w:val="00C80121"/>
    <w:rsid w:val="00C90518"/>
    <w:rsid w:val="00C905D6"/>
    <w:rsid w:val="00C9349D"/>
    <w:rsid w:val="00C93E35"/>
    <w:rsid w:val="00C9435A"/>
    <w:rsid w:val="00C97F50"/>
    <w:rsid w:val="00CA2D42"/>
    <w:rsid w:val="00CA5B51"/>
    <w:rsid w:val="00CB1ADC"/>
    <w:rsid w:val="00CB32A4"/>
    <w:rsid w:val="00CB6B8B"/>
    <w:rsid w:val="00CB7193"/>
    <w:rsid w:val="00CB742D"/>
    <w:rsid w:val="00CB747A"/>
    <w:rsid w:val="00CC1421"/>
    <w:rsid w:val="00CC2CA1"/>
    <w:rsid w:val="00CC379E"/>
    <w:rsid w:val="00CC3F03"/>
    <w:rsid w:val="00CC724F"/>
    <w:rsid w:val="00CD36BC"/>
    <w:rsid w:val="00CE0946"/>
    <w:rsid w:val="00CE1B19"/>
    <w:rsid w:val="00CE4D03"/>
    <w:rsid w:val="00CE7A16"/>
    <w:rsid w:val="00CF0498"/>
    <w:rsid w:val="00CF6023"/>
    <w:rsid w:val="00D02124"/>
    <w:rsid w:val="00D02D40"/>
    <w:rsid w:val="00D03778"/>
    <w:rsid w:val="00D10A91"/>
    <w:rsid w:val="00D13C32"/>
    <w:rsid w:val="00D14AF8"/>
    <w:rsid w:val="00D1655C"/>
    <w:rsid w:val="00D23349"/>
    <w:rsid w:val="00D25216"/>
    <w:rsid w:val="00D26834"/>
    <w:rsid w:val="00D35BA5"/>
    <w:rsid w:val="00D403F5"/>
    <w:rsid w:val="00D40BB2"/>
    <w:rsid w:val="00D417AF"/>
    <w:rsid w:val="00D532E6"/>
    <w:rsid w:val="00D539A8"/>
    <w:rsid w:val="00D55A8C"/>
    <w:rsid w:val="00D62951"/>
    <w:rsid w:val="00D642D3"/>
    <w:rsid w:val="00D74574"/>
    <w:rsid w:val="00D779CB"/>
    <w:rsid w:val="00D80B1D"/>
    <w:rsid w:val="00D82D0F"/>
    <w:rsid w:val="00D833BE"/>
    <w:rsid w:val="00D837D4"/>
    <w:rsid w:val="00D83918"/>
    <w:rsid w:val="00D86720"/>
    <w:rsid w:val="00D87337"/>
    <w:rsid w:val="00D92361"/>
    <w:rsid w:val="00DA1E03"/>
    <w:rsid w:val="00DA1E5F"/>
    <w:rsid w:val="00DA266C"/>
    <w:rsid w:val="00DA4DFD"/>
    <w:rsid w:val="00DA5472"/>
    <w:rsid w:val="00DA54BE"/>
    <w:rsid w:val="00DB00C8"/>
    <w:rsid w:val="00DB34E4"/>
    <w:rsid w:val="00DC0A6A"/>
    <w:rsid w:val="00DD6B83"/>
    <w:rsid w:val="00DE07C3"/>
    <w:rsid w:val="00DE0D66"/>
    <w:rsid w:val="00DE5481"/>
    <w:rsid w:val="00DE6042"/>
    <w:rsid w:val="00DF127B"/>
    <w:rsid w:val="00DF1AEC"/>
    <w:rsid w:val="00DF2372"/>
    <w:rsid w:val="00DF4295"/>
    <w:rsid w:val="00E05992"/>
    <w:rsid w:val="00E07635"/>
    <w:rsid w:val="00E12EC0"/>
    <w:rsid w:val="00E165FB"/>
    <w:rsid w:val="00E2099D"/>
    <w:rsid w:val="00E307D6"/>
    <w:rsid w:val="00E312D8"/>
    <w:rsid w:val="00E3190E"/>
    <w:rsid w:val="00E31A70"/>
    <w:rsid w:val="00E323E9"/>
    <w:rsid w:val="00E34AD9"/>
    <w:rsid w:val="00E35558"/>
    <w:rsid w:val="00E40A95"/>
    <w:rsid w:val="00E413EF"/>
    <w:rsid w:val="00E430B3"/>
    <w:rsid w:val="00E4600E"/>
    <w:rsid w:val="00E52527"/>
    <w:rsid w:val="00E53123"/>
    <w:rsid w:val="00E53FD5"/>
    <w:rsid w:val="00E5415E"/>
    <w:rsid w:val="00E54215"/>
    <w:rsid w:val="00E56437"/>
    <w:rsid w:val="00E62A25"/>
    <w:rsid w:val="00E62DE5"/>
    <w:rsid w:val="00E638EC"/>
    <w:rsid w:val="00E66489"/>
    <w:rsid w:val="00E66D3A"/>
    <w:rsid w:val="00E6711D"/>
    <w:rsid w:val="00E70D1A"/>
    <w:rsid w:val="00E73F6A"/>
    <w:rsid w:val="00E80C2E"/>
    <w:rsid w:val="00E80F89"/>
    <w:rsid w:val="00E851A1"/>
    <w:rsid w:val="00E91743"/>
    <w:rsid w:val="00E92AAE"/>
    <w:rsid w:val="00E92BD4"/>
    <w:rsid w:val="00E94696"/>
    <w:rsid w:val="00E96C24"/>
    <w:rsid w:val="00EB4E36"/>
    <w:rsid w:val="00ED059C"/>
    <w:rsid w:val="00ED2D23"/>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93A"/>
    <w:rsid w:val="00F34F95"/>
    <w:rsid w:val="00F42B61"/>
    <w:rsid w:val="00F50C01"/>
    <w:rsid w:val="00F52498"/>
    <w:rsid w:val="00F5500B"/>
    <w:rsid w:val="00F62B65"/>
    <w:rsid w:val="00F65BC7"/>
    <w:rsid w:val="00F7427F"/>
    <w:rsid w:val="00F76DFC"/>
    <w:rsid w:val="00F77428"/>
    <w:rsid w:val="00F85860"/>
    <w:rsid w:val="00FA5DE8"/>
    <w:rsid w:val="00FB1CC4"/>
    <w:rsid w:val="00FB56A1"/>
    <w:rsid w:val="00FC27EE"/>
    <w:rsid w:val="00FC578C"/>
    <w:rsid w:val="00FC6589"/>
    <w:rsid w:val="00FD1256"/>
    <w:rsid w:val="00FD29CB"/>
    <w:rsid w:val="00FD434D"/>
    <w:rsid w:val="00FD4E57"/>
    <w:rsid w:val="00FD5C57"/>
    <w:rsid w:val="00FE0EDC"/>
    <w:rsid w:val="00FE4073"/>
    <w:rsid w:val="00FE6297"/>
    <w:rsid w:val="00FF0AF1"/>
    <w:rsid w:val="00FF57B3"/>
    <w:rsid w:val="00FF6FE6"/>
    <w:rsid w:val="00FF7ADD"/>
    <w:rsid w:val="026D38CA"/>
    <w:rsid w:val="0D08708B"/>
    <w:rsid w:val="0E906D1B"/>
    <w:rsid w:val="0EF40828"/>
    <w:rsid w:val="13545D39"/>
    <w:rsid w:val="1D0D687E"/>
    <w:rsid w:val="1F106B6E"/>
    <w:rsid w:val="25675557"/>
    <w:rsid w:val="2ADC0696"/>
    <w:rsid w:val="38140D47"/>
    <w:rsid w:val="3D3E2AEA"/>
    <w:rsid w:val="3DCE3E6E"/>
    <w:rsid w:val="47CF29E9"/>
    <w:rsid w:val="54D04F79"/>
    <w:rsid w:val="59050C34"/>
    <w:rsid w:val="5A8B29E8"/>
    <w:rsid w:val="5B8878FB"/>
    <w:rsid w:val="60C26384"/>
    <w:rsid w:val="632F1337"/>
    <w:rsid w:val="68B8461C"/>
    <w:rsid w:val="6A590DE0"/>
    <w:rsid w:val="72646574"/>
    <w:rsid w:val="73A527A7"/>
    <w:rsid w:val="742B4C2C"/>
    <w:rsid w:val="7DFE191D"/>
    <w:rsid w:val="7FFD2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CCECD87F-7EE1-4F0D-851E-6B03F9051D4C}">
  <ds:schemaRefs>
    <ds:schemaRef ds:uri="http://www.yonyou.com/relation"/>
  </ds:schemaRefs>
</ds:datastoreItem>
</file>

<file path=customXml/itemProps2.xml><?xml version="1.0" encoding="utf-8"?>
<ds:datastoreItem xmlns:ds="http://schemas.openxmlformats.org/officeDocument/2006/customXml" ds:itemID="{C384259A-C211-4711-B287-C57657450144}">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260</Words>
  <Characters>1483</Characters>
  <Application>Microsoft Office Word</Application>
  <DocSecurity>0</DocSecurity>
  <Lines>12</Lines>
  <Paragraphs>3</Paragraphs>
  <ScaleCrop>false</ScaleCrop>
  <Company>Microsoft</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139</cp:revision>
  <cp:lastPrinted>2025-06-30T09:05:00Z</cp:lastPrinted>
  <dcterms:created xsi:type="dcterms:W3CDTF">2023-08-21T08:51:00Z</dcterms:created>
  <dcterms:modified xsi:type="dcterms:W3CDTF">2025-07-29T07:19:00Z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2052-12.1.0.21915</vt:lpwstr>
  </property>
  <property fmtid="{D5CDD505-2E9C-101B-9397-08002B2CF9AE}" pid="4" name="ICV">
    <vt:lpwstr>296863248BEA4DED98B4E26E5DD6FCA1_12</vt:lpwstr>
  </property>
</Properties>
</file>