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61A92E">
      <w:pPr>
        <w:spacing w:before="156" w:beforeLines="50" w:line="360" w:lineRule="auto"/>
        <w:jc w:val="center"/>
        <w:rPr>
          <w:rFonts w:ascii="黑体" w:hAnsi="黑体" w:eastAsia="黑体" w:cs="Arial Unicode MS"/>
          <w:b/>
          <w:spacing w:val="10"/>
          <w:sz w:val="36"/>
          <w:szCs w:val="36"/>
          <w:lang w:eastAsia="zh-CN"/>
        </w:rPr>
      </w:pPr>
      <w:r>
        <w:rPr>
          <w:rFonts w:hint="eastAsia" w:ascii="黑体" w:hAnsi="黑体" w:eastAsia="黑体" w:cs="Arial Unicode MS"/>
          <w:b/>
          <w:spacing w:val="10"/>
          <w:sz w:val="36"/>
          <w:szCs w:val="36"/>
          <w:lang w:eastAsia="zh-CN"/>
        </w:rPr>
        <w:t>广东天亿马信息产业股份有限公司</w:t>
      </w:r>
    </w:p>
    <w:p w14:paraId="6BF7109D">
      <w:pPr>
        <w:spacing w:before="156" w:beforeLines="50" w:line="360" w:lineRule="auto"/>
        <w:jc w:val="center"/>
        <w:rPr>
          <w:rFonts w:ascii="黑体" w:hAnsi="黑体" w:eastAsia="黑体" w:cs="Arial Unicode MS"/>
          <w:b/>
          <w:spacing w:val="10"/>
          <w:sz w:val="36"/>
          <w:szCs w:val="36"/>
          <w:lang w:eastAsia="zh-CN"/>
        </w:rPr>
      </w:pPr>
      <w:r>
        <w:rPr>
          <w:rFonts w:ascii="黑体" w:hAnsi="黑体" w:eastAsia="黑体" w:cs="Arial Unicode MS"/>
          <w:b/>
          <w:spacing w:val="10"/>
          <w:sz w:val="36"/>
          <w:szCs w:val="36"/>
          <w:lang w:eastAsia="zh-CN"/>
        </w:rPr>
        <w:t>简式权益变动报告书</w:t>
      </w:r>
    </w:p>
    <w:p w14:paraId="4E6469C6">
      <w:pPr>
        <w:jc w:val="center"/>
        <w:rPr>
          <w:lang w:eastAsia="zh-CN"/>
        </w:rPr>
      </w:pPr>
    </w:p>
    <w:p w14:paraId="1684A97C">
      <w:pPr>
        <w:spacing w:line="360" w:lineRule="auto"/>
        <w:rPr>
          <w:rFonts w:ascii="仿宋" w:hAnsi="仿宋" w:eastAsia="仿宋"/>
          <w:b/>
          <w:sz w:val="28"/>
          <w:szCs w:val="28"/>
          <w:lang w:eastAsia="zh-CN"/>
        </w:rPr>
      </w:pPr>
    </w:p>
    <w:p w14:paraId="668F859C">
      <w:pPr>
        <w:spacing w:line="360" w:lineRule="auto"/>
        <w:rPr>
          <w:rFonts w:ascii="仿宋" w:hAnsi="仿宋" w:eastAsia="仿宋"/>
          <w:sz w:val="28"/>
          <w:szCs w:val="28"/>
          <w:lang w:eastAsia="zh-CN"/>
        </w:rPr>
      </w:pPr>
      <w:r>
        <w:rPr>
          <w:rFonts w:hint="eastAsia" w:ascii="仿宋" w:hAnsi="仿宋" w:eastAsia="仿宋"/>
          <w:b/>
          <w:sz w:val="28"/>
          <w:szCs w:val="28"/>
          <w:lang w:eastAsia="zh-CN"/>
        </w:rPr>
        <w:t>上市公司名称：</w:t>
      </w:r>
      <w:r>
        <w:rPr>
          <w:rFonts w:hint="eastAsia" w:ascii="仿宋" w:hAnsi="仿宋" w:eastAsia="仿宋"/>
          <w:sz w:val="28"/>
          <w:szCs w:val="28"/>
          <w:lang w:eastAsia="zh-CN"/>
        </w:rPr>
        <w:t>广东天亿马信息产业股份有限公司</w:t>
      </w:r>
    </w:p>
    <w:p w14:paraId="116AB5B5">
      <w:pPr>
        <w:spacing w:line="360" w:lineRule="auto"/>
        <w:rPr>
          <w:rFonts w:ascii="仿宋" w:hAnsi="仿宋" w:eastAsia="仿宋"/>
          <w:sz w:val="28"/>
          <w:szCs w:val="28"/>
          <w:lang w:eastAsia="zh-CN"/>
        </w:rPr>
      </w:pPr>
      <w:r>
        <w:rPr>
          <w:rFonts w:hint="eastAsia" w:ascii="仿宋" w:hAnsi="仿宋" w:eastAsia="仿宋"/>
          <w:b/>
          <w:sz w:val="28"/>
          <w:szCs w:val="28"/>
          <w:lang w:eastAsia="zh-CN"/>
        </w:rPr>
        <w:t>股票上市地点：</w:t>
      </w:r>
      <w:r>
        <w:rPr>
          <w:rFonts w:hint="eastAsia" w:ascii="仿宋" w:hAnsi="仿宋" w:eastAsia="仿宋"/>
          <w:sz w:val="28"/>
          <w:szCs w:val="28"/>
          <w:lang w:eastAsia="zh-CN"/>
        </w:rPr>
        <w:t>深圳证券交易所</w:t>
      </w:r>
    </w:p>
    <w:p w14:paraId="64C06DFB">
      <w:pPr>
        <w:spacing w:line="360" w:lineRule="auto"/>
        <w:rPr>
          <w:rFonts w:ascii="仿宋" w:hAnsi="仿宋" w:eastAsia="仿宋"/>
          <w:sz w:val="28"/>
          <w:szCs w:val="28"/>
          <w:lang w:eastAsia="zh-CN"/>
        </w:rPr>
      </w:pPr>
      <w:r>
        <w:rPr>
          <w:rFonts w:hint="eastAsia" w:ascii="仿宋" w:hAnsi="仿宋" w:eastAsia="仿宋"/>
          <w:b/>
          <w:sz w:val="28"/>
          <w:szCs w:val="28"/>
          <w:lang w:eastAsia="zh-CN"/>
        </w:rPr>
        <w:t>股票简称：</w:t>
      </w:r>
      <w:r>
        <w:rPr>
          <w:rFonts w:hint="eastAsia" w:ascii="仿宋" w:hAnsi="仿宋" w:eastAsia="仿宋"/>
          <w:sz w:val="28"/>
          <w:szCs w:val="28"/>
          <w:lang w:eastAsia="zh-CN"/>
        </w:rPr>
        <w:t>天亿马</w:t>
      </w:r>
    </w:p>
    <w:p w14:paraId="65E6A9C7">
      <w:pPr>
        <w:spacing w:line="360" w:lineRule="auto"/>
        <w:rPr>
          <w:rFonts w:ascii="仿宋" w:hAnsi="仿宋" w:eastAsia="仿宋"/>
          <w:sz w:val="28"/>
          <w:szCs w:val="28"/>
          <w:lang w:eastAsia="zh-CN"/>
        </w:rPr>
      </w:pPr>
      <w:r>
        <w:rPr>
          <w:rFonts w:hint="eastAsia" w:ascii="仿宋" w:hAnsi="仿宋" w:eastAsia="仿宋"/>
          <w:b/>
          <w:sz w:val="28"/>
          <w:szCs w:val="28"/>
          <w:lang w:eastAsia="zh-CN"/>
        </w:rPr>
        <w:t>股票代码：</w:t>
      </w:r>
      <w:r>
        <w:rPr>
          <w:rFonts w:hint="eastAsia" w:ascii="仿宋" w:hAnsi="仿宋" w:eastAsia="仿宋"/>
          <w:sz w:val="28"/>
          <w:szCs w:val="28"/>
          <w:lang w:eastAsia="zh-CN"/>
        </w:rPr>
        <w:t>301178</w:t>
      </w:r>
    </w:p>
    <w:p w14:paraId="2DC853F7">
      <w:pPr>
        <w:spacing w:line="360" w:lineRule="auto"/>
        <w:rPr>
          <w:rFonts w:ascii="仿宋" w:hAnsi="仿宋" w:eastAsia="仿宋"/>
          <w:sz w:val="28"/>
          <w:szCs w:val="28"/>
          <w:lang w:eastAsia="zh-CN"/>
        </w:rPr>
      </w:pPr>
    </w:p>
    <w:p w14:paraId="551C8AD2">
      <w:pPr>
        <w:spacing w:line="360" w:lineRule="auto"/>
        <w:rPr>
          <w:rFonts w:ascii="仿宋" w:hAnsi="仿宋" w:eastAsia="仿宋"/>
          <w:b/>
          <w:sz w:val="28"/>
          <w:szCs w:val="28"/>
          <w:lang w:eastAsia="zh-CN"/>
        </w:rPr>
      </w:pPr>
    </w:p>
    <w:p w14:paraId="62384044">
      <w:pPr>
        <w:spacing w:line="360" w:lineRule="auto"/>
        <w:rPr>
          <w:rFonts w:ascii="仿宋" w:hAnsi="仿宋" w:eastAsia="仿宋"/>
          <w:b/>
          <w:sz w:val="28"/>
          <w:szCs w:val="28"/>
          <w:lang w:eastAsia="zh-CN"/>
        </w:rPr>
      </w:pPr>
      <w:r>
        <w:rPr>
          <w:rFonts w:hint="eastAsia" w:ascii="仿宋" w:hAnsi="仿宋" w:eastAsia="仿宋"/>
          <w:b/>
          <w:sz w:val="28"/>
          <w:szCs w:val="28"/>
          <w:lang w:eastAsia="zh-CN"/>
        </w:rPr>
        <w:t>信息披露义务人一：</w:t>
      </w:r>
      <w:r>
        <w:rPr>
          <w:rFonts w:ascii="仿宋" w:hAnsi="仿宋" w:eastAsia="仿宋"/>
          <w:b/>
          <w:sz w:val="28"/>
          <w:szCs w:val="28"/>
          <w:lang w:eastAsia="zh-CN"/>
        </w:rPr>
        <w:t xml:space="preserve"> 林明玲</w:t>
      </w:r>
    </w:p>
    <w:p w14:paraId="55F3318A">
      <w:pPr>
        <w:spacing w:line="360" w:lineRule="auto"/>
        <w:rPr>
          <w:rFonts w:ascii="仿宋" w:hAnsi="仿宋" w:eastAsia="仿宋"/>
          <w:sz w:val="28"/>
          <w:szCs w:val="28"/>
          <w:lang w:eastAsia="zh-CN"/>
        </w:rPr>
      </w:pPr>
      <w:r>
        <w:rPr>
          <w:rFonts w:hint="eastAsia" w:ascii="仿宋" w:hAnsi="仿宋" w:eastAsia="仿宋"/>
          <w:b/>
          <w:sz w:val="28"/>
          <w:szCs w:val="28"/>
          <w:lang w:eastAsia="zh-CN"/>
        </w:rPr>
        <w:t>信息披露义务人之住所：广东省汕头市</w:t>
      </w:r>
    </w:p>
    <w:p w14:paraId="18A99DE6">
      <w:pPr>
        <w:spacing w:line="360" w:lineRule="auto"/>
        <w:rPr>
          <w:rFonts w:ascii="仿宋" w:hAnsi="仿宋" w:eastAsia="仿宋"/>
          <w:b/>
          <w:sz w:val="28"/>
          <w:szCs w:val="28"/>
          <w:lang w:eastAsia="zh-CN"/>
        </w:rPr>
      </w:pPr>
      <w:r>
        <w:rPr>
          <w:rFonts w:hint="eastAsia" w:ascii="仿宋" w:hAnsi="仿宋" w:eastAsia="仿宋"/>
          <w:b/>
          <w:sz w:val="28"/>
          <w:szCs w:val="28"/>
          <w:lang w:eastAsia="zh-CN"/>
        </w:rPr>
        <w:t>信息披露义务人之通讯地址：广东省汕头市金平区海滨路5</w:t>
      </w:r>
      <w:r>
        <w:rPr>
          <w:rFonts w:ascii="仿宋" w:hAnsi="仿宋" w:eastAsia="仿宋"/>
          <w:b/>
          <w:sz w:val="28"/>
          <w:szCs w:val="28"/>
          <w:lang w:eastAsia="zh-CN"/>
        </w:rPr>
        <w:t>5号</w:t>
      </w:r>
    </w:p>
    <w:p w14:paraId="4FEB99B9">
      <w:pPr>
        <w:spacing w:line="360" w:lineRule="auto"/>
        <w:rPr>
          <w:rFonts w:ascii="仿宋" w:hAnsi="仿宋" w:eastAsia="仿宋"/>
          <w:b/>
          <w:sz w:val="28"/>
          <w:szCs w:val="28"/>
          <w:lang w:eastAsia="zh-CN"/>
        </w:rPr>
      </w:pPr>
    </w:p>
    <w:p w14:paraId="6EEB400B">
      <w:pPr>
        <w:spacing w:line="360" w:lineRule="auto"/>
        <w:rPr>
          <w:rFonts w:ascii="仿宋" w:hAnsi="仿宋" w:eastAsia="仿宋"/>
          <w:b/>
          <w:sz w:val="28"/>
          <w:szCs w:val="28"/>
          <w:lang w:eastAsia="zh-CN"/>
        </w:rPr>
      </w:pPr>
      <w:r>
        <w:rPr>
          <w:rFonts w:hint="eastAsia" w:ascii="仿宋" w:hAnsi="仿宋" w:eastAsia="仿宋"/>
          <w:b/>
          <w:sz w:val="28"/>
          <w:szCs w:val="28"/>
          <w:lang w:eastAsia="zh-CN"/>
        </w:rPr>
        <w:t>信息披露义务人二：</w:t>
      </w:r>
      <w:r>
        <w:rPr>
          <w:rFonts w:ascii="仿宋" w:hAnsi="仿宋" w:eastAsia="仿宋"/>
          <w:b/>
          <w:sz w:val="28"/>
          <w:szCs w:val="28"/>
          <w:lang w:eastAsia="zh-CN"/>
        </w:rPr>
        <w:t xml:space="preserve"> 马学沛</w:t>
      </w:r>
    </w:p>
    <w:p w14:paraId="6EB2A527">
      <w:pPr>
        <w:spacing w:line="360" w:lineRule="auto"/>
        <w:rPr>
          <w:rFonts w:ascii="仿宋" w:hAnsi="仿宋" w:eastAsia="仿宋"/>
          <w:sz w:val="28"/>
          <w:szCs w:val="28"/>
          <w:lang w:eastAsia="zh-CN"/>
        </w:rPr>
      </w:pPr>
      <w:r>
        <w:rPr>
          <w:rFonts w:hint="eastAsia" w:ascii="仿宋" w:hAnsi="仿宋" w:eastAsia="仿宋"/>
          <w:b/>
          <w:sz w:val="28"/>
          <w:szCs w:val="28"/>
          <w:lang w:eastAsia="zh-CN"/>
        </w:rPr>
        <w:t>信息披露义务人之住所：广东省汕头市</w:t>
      </w:r>
    </w:p>
    <w:p w14:paraId="4736F1C4">
      <w:pPr>
        <w:spacing w:line="360" w:lineRule="auto"/>
        <w:rPr>
          <w:rFonts w:ascii="仿宋" w:hAnsi="仿宋" w:eastAsia="仿宋"/>
          <w:b/>
          <w:sz w:val="28"/>
          <w:szCs w:val="28"/>
          <w:lang w:eastAsia="zh-CN"/>
        </w:rPr>
      </w:pPr>
      <w:r>
        <w:rPr>
          <w:rFonts w:hint="eastAsia" w:ascii="仿宋" w:hAnsi="仿宋" w:eastAsia="仿宋"/>
          <w:b/>
          <w:sz w:val="28"/>
          <w:szCs w:val="28"/>
          <w:lang w:eastAsia="zh-CN"/>
        </w:rPr>
        <w:t>信息披露义务人之通讯地址：广东省汕头市金平区海滨路5</w:t>
      </w:r>
      <w:r>
        <w:rPr>
          <w:rFonts w:ascii="仿宋" w:hAnsi="仿宋" w:eastAsia="仿宋"/>
          <w:b/>
          <w:sz w:val="28"/>
          <w:szCs w:val="28"/>
          <w:lang w:eastAsia="zh-CN"/>
        </w:rPr>
        <w:t>5号</w:t>
      </w:r>
    </w:p>
    <w:p w14:paraId="4360D678">
      <w:pPr>
        <w:spacing w:line="360" w:lineRule="auto"/>
        <w:rPr>
          <w:rFonts w:ascii="仿宋" w:hAnsi="仿宋" w:eastAsia="仿宋"/>
          <w:sz w:val="28"/>
          <w:szCs w:val="28"/>
          <w:lang w:eastAsia="zh-CN"/>
        </w:rPr>
      </w:pPr>
      <w:r>
        <w:rPr>
          <w:rFonts w:ascii="仿宋" w:hAnsi="仿宋" w:eastAsia="仿宋"/>
          <w:sz w:val="28"/>
          <w:szCs w:val="28"/>
          <w:lang w:eastAsia="zh-CN"/>
        </w:rPr>
        <w:t xml:space="preserve"> </w:t>
      </w:r>
    </w:p>
    <w:p w14:paraId="06A54DEF">
      <w:pPr>
        <w:spacing w:line="360" w:lineRule="auto"/>
        <w:rPr>
          <w:rFonts w:ascii="仿宋" w:hAnsi="仿宋" w:eastAsia="仿宋"/>
          <w:sz w:val="28"/>
          <w:szCs w:val="28"/>
          <w:lang w:eastAsia="zh-CN"/>
        </w:rPr>
      </w:pPr>
      <w:r>
        <w:rPr>
          <w:rFonts w:hint="eastAsia" w:ascii="仿宋" w:hAnsi="仿宋" w:eastAsia="仿宋"/>
          <w:b/>
          <w:sz w:val="28"/>
          <w:szCs w:val="28"/>
          <w:lang w:eastAsia="zh-CN"/>
        </w:rPr>
        <w:t>权益变动性质：因限制性股票回购注销导致股份减少</w:t>
      </w:r>
    </w:p>
    <w:p w14:paraId="3E2C93AA">
      <w:pPr>
        <w:spacing w:line="360" w:lineRule="auto"/>
        <w:rPr>
          <w:rFonts w:ascii="仿宋" w:hAnsi="仿宋" w:eastAsia="仿宋"/>
          <w:sz w:val="28"/>
          <w:szCs w:val="28"/>
          <w:lang w:eastAsia="zh-CN"/>
        </w:rPr>
      </w:pPr>
    </w:p>
    <w:p w14:paraId="0B5C9079">
      <w:pPr>
        <w:tabs>
          <w:tab w:val="center" w:pos="4153"/>
          <w:tab w:val="left" w:pos="6912"/>
        </w:tabs>
        <w:spacing w:line="360" w:lineRule="auto"/>
        <w:rPr>
          <w:rFonts w:ascii="仿宋" w:hAnsi="仿宋" w:eastAsia="仿宋"/>
          <w:b/>
          <w:sz w:val="28"/>
          <w:szCs w:val="28"/>
          <w:lang w:eastAsia="zh-CN"/>
        </w:rPr>
      </w:pPr>
      <w:r>
        <w:rPr>
          <w:rFonts w:ascii="仿宋" w:hAnsi="仿宋" w:eastAsia="仿宋"/>
          <w:b/>
          <w:sz w:val="28"/>
          <w:szCs w:val="28"/>
          <w:lang w:eastAsia="zh-CN"/>
        </w:rPr>
        <w:tab/>
      </w:r>
      <w:r>
        <w:rPr>
          <w:rFonts w:hint="eastAsia" w:ascii="仿宋" w:hAnsi="仿宋" w:eastAsia="仿宋"/>
          <w:b/>
          <w:sz w:val="28"/>
          <w:szCs w:val="28"/>
          <w:lang w:eastAsia="zh-CN"/>
        </w:rPr>
        <w:t>签署日期：</w:t>
      </w:r>
      <w:r>
        <w:rPr>
          <w:rFonts w:hint="eastAsia" w:ascii="仿宋" w:hAnsi="仿宋" w:eastAsia="仿宋"/>
          <w:sz w:val="28"/>
          <w:szCs w:val="28"/>
          <w:lang w:eastAsia="zh-CN"/>
        </w:rPr>
        <w:t>二〇二五年七月二十九日</w:t>
      </w:r>
      <w:r>
        <w:rPr>
          <w:rFonts w:ascii="仿宋" w:hAnsi="仿宋" w:eastAsia="仿宋"/>
          <w:b/>
          <w:sz w:val="28"/>
          <w:szCs w:val="28"/>
          <w:lang w:eastAsia="zh-CN"/>
        </w:rPr>
        <w:tab/>
      </w:r>
    </w:p>
    <w:p w14:paraId="733B795C">
      <w:pPr>
        <w:widowControl/>
        <w:rPr>
          <w:rFonts w:ascii="仿宋" w:hAnsi="仿宋" w:eastAsia="仿宋"/>
          <w:b/>
          <w:sz w:val="28"/>
          <w:szCs w:val="28"/>
          <w:lang w:eastAsia="zh-CN"/>
        </w:rPr>
      </w:pPr>
      <w:r>
        <w:rPr>
          <w:rFonts w:ascii="仿宋" w:hAnsi="仿宋" w:eastAsia="仿宋"/>
          <w:b/>
          <w:sz w:val="28"/>
          <w:szCs w:val="28"/>
          <w:lang w:eastAsia="zh-CN"/>
        </w:rPr>
        <w:br w:type="page"/>
      </w:r>
    </w:p>
    <w:p w14:paraId="0E8DAAB8">
      <w:pPr>
        <w:spacing w:line="360" w:lineRule="auto"/>
        <w:jc w:val="center"/>
        <w:outlineLvl w:val="0"/>
        <w:rPr>
          <w:rFonts w:ascii="黑体" w:hAnsi="黑体" w:eastAsia="黑体"/>
          <w:b/>
          <w:sz w:val="32"/>
          <w:szCs w:val="28"/>
          <w:lang w:eastAsia="zh-CN"/>
        </w:rPr>
      </w:pPr>
      <w:bookmarkStart w:id="0" w:name="_Toc2180"/>
      <w:r>
        <w:rPr>
          <w:rFonts w:hint="eastAsia" w:ascii="黑体" w:hAnsi="黑体" w:eastAsia="黑体"/>
          <w:b/>
          <w:sz w:val="32"/>
          <w:szCs w:val="28"/>
          <w:lang w:eastAsia="zh-CN"/>
        </w:rPr>
        <w:t>信息披露义务人声明</w:t>
      </w:r>
      <w:bookmarkEnd w:id="0"/>
    </w:p>
    <w:p w14:paraId="33D54F33">
      <w:pPr>
        <w:spacing w:line="360" w:lineRule="auto"/>
        <w:ind w:firstLine="560" w:firstLineChars="200"/>
        <w:jc w:val="both"/>
        <w:rPr>
          <w:rFonts w:ascii="仿宋" w:hAnsi="仿宋" w:eastAsia="仿宋"/>
          <w:sz w:val="28"/>
          <w:szCs w:val="28"/>
          <w:lang w:eastAsia="zh-CN"/>
        </w:rPr>
      </w:pPr>
      <w:r>
        <w:rPr>
          <w:rFonts w:hint="eastAsia" w:ascii="仿宋" w:hAnsi="仿宋" w:eastAsia="仿宋"/>
          <w:sz w:val="28"/>
          <w:szCs w:val="28"/>
          <w:lang w:eastAsia="zh-CN"/>
        </w:rPr>
        <w:t>一、信息披露义务人依据《中华人民共和国公司法》《中华人民共和国证券法》《上市公司收购管理办法》《公开发行证券的公司信息披露内容与格式准则第15号——权益变动报告书》及相关法律、法规和规范性文件编制本报告书。</w:t>
      </w:r>
    </w:p>
    <w:p w14:paraId="406E189B">
      <w:pPr>
        <w:spacing w:line="360" w:lineRule="auto"/>
        <w:ind w:firstLine="560" w:firstLineChars="200"/>
        <w:jc w:val="both"/>
        <w:rPr>
          <w:rFonts w:ascii="仿宋" w:hAnsi="仿宋" w:eastAsia="仿宋"/>
          <w:sz w:val="28"/>
          <w:szCs w:val="28"/>
          <w:lang w:eastAsia="zh-CN"/>
        </w:rPr>
      </w:pPr>
      <w:r>
        <w:rPr>
          <w:rFonts w:hint="eastAsia" w:ascii="仿宋" w:hAnsi="仿宋" w:eastAsia="仿宋"/>
          <w:sz w:val="28"/>
          <w:szCs w:val="28"/>
          <w:lang w:eastAsia="zh-CN"/>
        </w:rPr>
        <w:t>二、信息披露义务人签署本报告书已获得必要的授权和批准，其履行亦不违反信息披露义务人内部规则中的任何条款,或与之相冲突。</w:t>
      </w:r>
    </w:p>
    <w:p w14:paraId="0B8CE35E">
      <w:pPr>
        <w:spacing w:line="360" w:lineRule="auto"/>
        <w:ind w:firstLine="560" w:firstLineChars="200"/>
        <w:jc w:val="both"/>
        <w:rPr>
          <w:rFonts w:ascii="仿宋" w:hAnsi="仿宋" w:eastAsia="仿宋"/>
          <w:sz w:val="28"/>
          <w:szCs w:val="28"/>
          <w:lang w:eastAsia="zh-CN"/>
        </w:rPr>
      </w:pPr>
      <w:r>
        <w:rPr>
          <w:rFonts w:hint="eastAsia" w:ascii="仿宋" w:hAnsi="仿宋" w:eastAsia="仿宋"/>
          <w:sz w:val="28"/>
          <w:szCs w:val="28"/>
          <w:lang w:eastAsia="zh-CN"/>
        </w:rPr>
        <w:t>三、依据《中华人民共和国证券法》《上市公司收购管理办法》等的规定，本报告书已全面披露了信息披露义务人在广东天亿马信息产业股份有限公司（以下简称“天亿马”或“上市公司”）中拥有权益的股份变动情况。</w:t>
      </w:r>
    </w:p>
    <w:p w14:paraId="053A0974">
      <w:pPr>
        <w:spacing w:line="360" w:lineRule="auto"/>
        <w:ind w:firstLine="560" w:firstLineChars="200"/>
        <w:jc w:val="both"/>
        <w:rPr>
          <w:rFonts w:ascii="仿宋" w:hAnsi="仿宋" w:eastAsia="仿宋"/>
          <w:sz w:val="28"/>
          <w:szCs w:val="28"/>
          <w:lang w:eastAsia="zh-CN"/>
        </w:rPr>
      </w:pPr>
      <w:r>
        <w:rPr>
          <w:rFonts w:hint="eastAsia" w:ascii="仿宋" w:hAnsi="仿宋" w:eastAsia="仿宋"/>
          <w:sz w:val="28"/>
          <w:szCs w:val="28"/>
          <w:lang w:eastAsia="zh-CN"/>
        </w:rPr>
        <w:t>四、截至本报告书签署之日，除本报告书披露的信息外，上述信息披露义务人没有通过任何其他方式增加或减少其在天亿马中拥有权益的股份。</w:t>
      </w:r>
    </w:p>
    <w:p w14:paraId="5760A5C3">
      <w:pPr>
        <w:spacing w:line="360" w:lineRule="auto"/>
        <w:ind w:firstLine="560" w:firstLineChars="200"/>
        <w:jc w:val="both"/>
        <w:rPr>
          <w:rFonts w:ascii="仿宋" w:hAnsi="仿宋" w:eastAsia="仿宋"/>
          <w:sz w:val="28"/>
          <w:szCs w:val="28"/>
          <w:lang w:eastAsia="zh-CN"/>
        </w:rPr>
      </w:pPr>
      <w:r>
        <w:rPr>
          <w:rFonts w:hint="eastAsia" w:ascii="仿宋" w:hAnsi="仿宋" w:eastAsia="仿宋"/>
          <w:sz w:val="28"/>
          <w:szCs w:val="28"/>
          <w:lang w:eastAsia="zh-CN"/>
        </w:rPr>
        <w:t>五、本次权益变动是根据本报告书所载明的资料进行的。除本报告书披露的信息外，信息披露义务人没有委托或者授权其他任何人提供未在本报告书列载的信息和对本报告书做出任何解释或者说明。</w:t>
      </w:r>
    </w:p>
    <w:p w14:paraId="7C6B257C">
      <w:pPr>
        <w:spacing w:line="360" w:lineRule="auto"/>
        <w:ind w:firstLine="560" w:firstLineChars="200"/>
        <w:jc w:val="both"/>
        <w:rPr>
          <w:rFonts w:ascii="仿宋" w:hAnsi="仿宋" w:eastAsia="仿宋"/>
          <w:sz w:val="28"/>
          <w:szCs w:val="28"/>
          <w:lang w:eastAsia="zh-CN"/>
        </w:rPr>
      </w:pPr>
      <w:r>
        <w:rPr>
          <w:rFonts w:hint="eastAsia" w:ascii="仿宋" w:hAnsi="仿宋" w:eastAsia="仿宋"/>
          <w:sz w:val="28"/>
          <w:szCs w:val="28"/>
          <w:lang w:eastAsia="zh-CN"/>
        </w:rPr>
        <w:t>六、信息披露义务人承诺本报告书不存在虚假记载、误导性陈述或重大遗漏，并对其内容的真实性、准确性和完整性承担个别和连带的法律责任。</w:t>
      </w:r>
    </w:p>
    <w:p w14:paraId="5AC29195">
      <w:pPr>
        <w:widowControl/>
        <w:rPr>
          <w:rFonts w:ascii="仿宋" w:hAnsi="仿宋" w:eastAsia="仿宋"/>
          <w:sz w:val="28"/>
          <w:szCs w:val="28"/>
          <w:lang w:eastAsia="zh-CN"/>
        </w:rPr>
      </w:pPr>
      <w:r>
        <w:rPr>
          <w:rFonts w:ascii="仿宋" w:hAnsi="仿宋" w:eastAsia="仿宋"/>
          <w:sz w:val="28"/>
          <w:szCs w:val="28"/>
          <w:lang w:eastAsia="zh-CN"/>
        </w:rPr>
        <w:br w:type="page"/>
      </w:r>
    </w:p>
    <w:sdt>
      <w:sdtPr>
        <w:rPr>
          <w:rFonts w:hint="eastAsia" w:ascii="黑体" w:hAnsi="黑体" w:eastAsia="黑体"/>
          <w:b/>
          <w:sz w:val="32"/>
          <w:szCs w:val="28"/>
        </w:rPr>
        <w:id w:val="147452824"/>
        <w:docPartObj>
          <w:docPartGallery w:val="Table of Contents"/>
          <w:docPartUnique/>
        </w:docPartObj>
      </w:sdtPr>
      <w:sdtEndPr>
        <w:rPr>
          <w:rFonts w:hint="eastAsia" w:ascii="宋体" w:hAnsi="宋体" w:eastAsia="宋体"/>
          <w:b/>
          <w:sz w:val="21"/>
          <w:szCs w:val="22"/>
        </w:rPr>
      </w:sdtEndPr>
      <w:sdtContent>
        <w:p w14:paraId="2230E440">
          <w:pPr>
            <w:spacing w:line="360" w:lineRule="auto"/>
            <w:jc w:val="center"/>
            <w:outlineLvl w:val="0"/>
            <w:rPr>
              <w:rFonts w:ascii="黑体" w:hAnsi="黑体" w:eastAsia="黑体"/>
              <w:b/>
              <w:sz w:val="32"/>
              <w:szCs w:val="28"/>
              <w:lang w:eastAsia="zh-CN"/>
            </w:rPr>
          </w:pPr>
          <w:r>
            <w:rPr>
              <w:rFonts w:hint="eastAsia" w:ascii="黑体" w:hAnsi="黑体" w:eastAsia="黑体"/>
              <w:b/>
              <w:sz w:val="32"/>
              <w:szCs w:val="28"/>
              <w:lang w:eastAsia="zh-CN"/>
            </w:rPr>
            <w:t>目录</w:t>
          </w:r>
        </w:p>
        <w:p w14:paraId="215F4623">
          <w:pPr>
            <w:pStyle w:val="7"/>
            <w:tabs>
              <w:tab w:val="right" w:leader="dot" w:pos="8306"/>
            </w:tabs>
          </w:pPr>
          <w:r>
            <w:fldChar w:fldCharType="begin"/>
          </w:r>
          <w:r>
            <w:instrText xml:space="preserve">TOC \o "1-1" \h \u </w:instrText>
          </w:r>
          <w:r>
            <w:fldChar w:fldCharType="separate"/>
          </w:r>
          <w:r>
            <w:fldChar w:fldCharType="begin"/>
          </w:r>
          <w:r>
            <w:instrText xml:space="preserve"> HYPERLINK \l "_Toc2180" </w:instrText>
          </w:r>
          <w:r>
            <w:fldChar w:fldCharType="separate"/>
          </w:r>
          <w:r>
            <w:rPr>
              <w:rFonts w:hint="eastAsia" w:ascii="黑体" w:hAnsi="黑体" w:eastAsia="黑体"/>
              <w:szCs w:val="28"/>
              <w:lang w:eastAsia="zh-CN"/>
            </w:rPr>
            <w:t>信息披露义务人声明</w:t>
          </w:r>
          <w:r>
            <w:tab/>
          </w:r>
          <w:r>
            <w:fldChar w:fldCharType="begin"/>
          </w:r>
          <w:r>
            <w:instrText xml:space="preserve"> PAGEREF _Toc2180 \h </w:instrText>
          </w:r>
          <w:r>
            <w:fldChar w:fldCharType="separate"/>
          </w:r>
          <w:r>
            <w:t>2</w:t>
          </w:r>
          <w:r>
            <w:fldChar w:fldCharType="end"/>
          </w:r>
          <w:r>
            <w:fldChar w:fldCharType="end"/>
          </w:r>
        </w:p>
        <w:p w14:paraId="17CBECA1">
          <w:pPr>
            <w:pStyle w:val="7"/>
            <w:tabs>
              <w:tab w:val="right" w:leader="dot" w:pos="8306"/>
            </w:tabs>
          </w:pPr>
          <w:r>
            <w:fldChar w:fldCharType="begin"/>
          </w:r>
          <w:r>
            <w:instrText xml:space="preserve"> HYPERLINK \l "_Toc5399" </w:instrText>
          </w:r>
          <w:r>
            <w:fldChar w:fldCharType="separate"/>
          </w:r>
          <w:r>
            <w:rPr>
              <w:rFonts w:hint="eastAsia" w:ascii="黑体" w:hAnsi="黑体" w:eastAsia="黑体"/>
              <w:szCs w:val="28"/>
              <w:lang w:eastAsia="zh-CN"/>
            </w:rPr>
            <w:t>第一节 释义</w:t>
          </w:r>
          <w:r>
            <w:tab/>
          </w:r>
          <w:r>
            <w:fldChar w:fldCharType="begin"/>
          </w:r>
          <w:r>
            <w:instrText xml:space="preserve"> PAGEREF _Toc5399 \h </w:instrText>
          </w:r>
          <w:r>
            <w:fldChar w:fldCharType="separate"/>
          </w:r>
          <w:r>
            <w:t>4</w:t>
          </w:r>
          <w:r>
            <w:fldChar w:fldCharType="end"/>
          </w:r>
          <w:r>
            <w:fldChar w:fldCharType="end"/>
          </w:r>
        </w:p>
        <w:p w14:paraId="4DA8CB00">
          <w:pPr>
            <w:pStyle w:val="7"/>
            <w:tabs>
              <w:tab w:val="right" w:leader="dot" w:pos="8306"/>
            </w:tabs>
          </w:pPr>
          <w:r>
            <w:fldChar w:fldCharType="begin"/>
          </w:r>
          <w:r>
            <w:instrText xml:space="preserve"> HYPERLINK \l "_Toc9388" </w:instrText>
          </w:r>
          <w:r>
            <w:fldChar w:fldCharType="separate"/>
          </w:r>
          <w:r>
            <w:rPr>
              <w:rFonts w:hint="eastAsia" w:ascii="黑体" w:hAnsi="黑体" w:eastAsia="黑体"/>
              <w:szCs w:val="28"/>
              <w:lang w:eastAsia="zh-CN"/>
            </w:rPr>
            <w:t>第二节 信息披露义务人介绍</w:t>
          </w:r>
          <w:r>
            <w:tab/>
          </w:r>
          <w:r>
            <w:fldChar w:fldCharType="begin"/>
          </w:r>
          <w:r>
            <w:instrText xml:space="preserve"> PAGEREF _Toc9388 \h </w:instrText>
          </w:r>
          <w:r>
            <w:fldChar w:fldCharType="separate"/>
          </w:r>
          <w:r>
            <w:t>5</w:t>
          </w:r>
          <w:r>
            <w:fldChar w:fldCharType="end"/>
          </w:r>
          <w:r>
            <w:fldChar w:fldCharType="end"/>
          </w:r>
        </w:p>
        <w:p w14:paraId="23298D44">
          <w:pPr>
            <w:pStyle w:val="7"/>
            <w:tabs>
              <w:tab w:val="right" w:leader="dot" w:pos="8306"/>
            </w:tabs>
          </w:pPr>
          <w:r>
            <w:fldChar w:fldCharType="begin"/>
          </w:r>
          <w:r>
            <w:instrText xml:space="preserve"> HYPERLINK \l "_Toc15605" </w:instrText>
          </w:r>
          <w:r>
            <w:fldChar w:fldCharType="separate"/>
          </w:r>
          <w:r>
            <w:rPr>
              <w:rFonts w:hint="eastAsia" w:ascii="黑体" w:hAnsi="黑体" w:eastAsia="黑体"/>
              <w:szCs w:val="28"/>
              <w:lang w:eastAsia="zh-CN"/>
            </w:rPr>
            <w:t>第三节 权益变动目的</w:t>
          </w:r>
          <w:r>
            <w:tab/>
          </w:r>
          <w:r>
            <w:fldChar w:fldCharType="begin"/>
          </w:r>
          <w:r>
            <w:instrText xml:space="preserve"> PAGEREF _Toc15605 \h </w:instrText>
          </w:r>
          <w:r>
            <w:fldChar w:fldCharType="separate"/>
          </w:r>
          <w:r>
            <w:t>7</w:t>
          </w:r>
          <w:r>
            <w:fldChar w:fldCharType="end"/>
          </w:r>
          <w:r>
            <w:fldChar w:fldCharType="end"/>
          </w:r>
        </w:p>
        <w:p w14:paraId="04C7D89E">
          <w:pPr>
            <w:pStyle w:val="7"/>
            <w:tabs>
              <w:tab w:val="right" w:leader="dot" w:pos="8306"/>
            </w:tabs>
          </w:pPr>
          <w:r>
            <w:fldChar w:fldCharType="begin"/>
          </w:r>
          <w:r>
            <w:instrText xml:space="preserve"> HYPERLINK \l "_Toc10798" </w:instrText>
          </w:r>
          <w:r>
            <w:fldChar w:fldCharType="separate"/>
          </w:r>
          <w:r>
            <w:rPr>
              <w:rFonts w:hint="eastAsia" w:ascii="黑体" w:hAnsi="黑体" w:eastAsia="黑体"/>
              <w:szCs w:val="28"/>
              <w:lang w:eastAsia="zh-CN"/>
            </w:rPr>
            <w:t>第四节 权益变动方式</w:t>
          </w:r>
          <w:r>
            <w:tab/>
          </w:r>
          <w:r>
            <w:fldChar w:fldCharType="begin"/>
          </w:r>
          <w:r>
            <w:instrText xml:space="preserve"> PAGEREF _Toc10798 \h </w:instrText>
          </w:r>
          <w:r>
            <w:fldChar w:fldCharType="separate"/>
          </w:r>
          <w:r>
            <w:t>8</w:t>
          </w:r>
          <w:r>
            <w:fldChar w:fldCharType="end"/>
          </w:r>
          <w:r>
            <w:fldChar w:fldCharType="end"/>
          </w:r>
        </w:p>
        <w:p w14:paraId="1E6E53C1">
          <w:pPr>
            <w:pStyle w:val="7"/>
            <w:tabs>
              <w:tab w:val="right" w:leader="dot" w:pos="8306"/>
            </w:tabs>
          </w:pPr>
          <w:r>
            <w:fldChar w:fldCharType="begin"/>
          </w:r>
          <w:r>
            <w:instrText xml:space="preserve"> HYPERLINK \l "_Toc24245" </w:instrText>
          </w:r>
          <w:r>
            <w:fldChar w:fldCharType="separate"/>
          </w:r>
          <w:r>
            <w:rPr>
              <w:rFonts w:hint="eastAsia" w:ascii="黑体" w:hAnsi="黑体" w:eastAsia="黑体"/>
              <w:szCs w:val="28"/>
              <w:lang w:eastAsia="zh-CN"/>
            </w:rPr>
            <w:t>第五节  前6个月内买卖上市公司股份的情况</w:t>
          </w:r>
          <w:r>
            <w:tab/>
          </w:r>
          <w:r>
            <w:fldChar w:fldCharType="begin"/>
          </w:r>
          <w:r>
            <w:instrText xml:space="preserve"> PAGEREF _Toc24245 \h </w:instrText>
          </w:r>
          <w:r>
            <w:fldChar w:fldCharType="separate"/>
          </w:r>
          <w:r>
            <w:t>12</w:t>
          </w:r>
          <w:r>
            <w:fldChar w:fldCharType="end"/>
          </w:r>
          <w:r>
            <w:fldChar w:fldCharType="end"/>
          </w:r>
        </w:p>
        <w:p w14:paraId="765BE249">
          <w:pPr>
            <w:pStyle w:val="7"/>
            <w:tabs>
              <w:tab w:val="right" w:leader="dot" w:pos="8306"/>
            </w:tabs>
          </w:pPr>
          <w:r>
            <w:fldChar w:fldCharType="begin"/>
          </w:r>
          <w:r>
            <w:instrText xml:space="preserve"> HYPERLINK \l "_Toc12603" </w:instrText>
          </w:r>
          <w:r>
            <w:fldChar w:fldCharType="separate"/>
          </w:r>
          <w:r>
            <w:rPr>
              <w:rFonts w:hint="eastAsia" w:ascii="黑体" w:hAnsi="黑体" w:eastAsia="黑体"/>
              <w:szCs w:val="28"/>
              <w:lang w:eastAsia="zh-CN"/>
            </w:rPr>
            <w:t>第六节  其他重大事项</w:t>
          </w:r>
          <w:r>
            <w:tab/>
          </w:r>
          <w:r>
            <w:fldChar w:fldCharType="begin"/>
          </w:r>
          <w:r>
            <w:instrText xml:space="preserve"> PAGEREF _Toc12603 \h </w:instrText>
          </w:r>
          <w:r>
            <w:fldChar w:fldCharType="separate"/>
          </w:r>
          <w:r>
            <w:t>13</w:t>
          </w:r>
          <w:r>
            <w:fldChar w:fldCharType="end"/>
          </w:r>
          <w:r>
            <w:fldChar w:fldCharType="end"/>
          </w:r>
        </w:p>
        <w:p w14:paraId="26EDD444">
          <w:pPr>
            <w:pStyle w:val="7"/>
            <w:tabs>
              <w:tab w:val="right" w:leader="dot" w:pos="8306"/>
            </w:tabs>
          </w:pPr>
          <w:r>
            <w:fldChar w:fldCharType="begin"/>
          </w:r>
          <w:r>
            <w:instrText xml:space="preserve"> HYPERLINK \l "_Toc31560" </w:instrText>
          </w:r>
          <w:r>
            <w:fldChar w:fldCharType="separate"/>
          </w:r>
          <w:r>
            <w:rPr>
              <w:rFonts w:hint="eastAsia" w:ascii="黑体" w:hAnsi="黑体" w:eastAsia="黑体"/>
              <w:szCs w:val="28"/>
              <w:lang w:eastAsia="zh-CN"/>
            </w:rPr>
            <w:t>第七节  备查文件</w:t>
          </w:r>
          <w:r>
            <w:tab/>
          </w:r>
          <w:r>
            <w:fldChar w:fldCharType="begin"/>
          </w:r>
          <w:r>
            <w:instrText xml:space="preserve"> PAGEREF _Toc31560 \h </w:instrText>
          </w:r>
          <w:r>
            <w:fldChar w:fldCharType="separate"/>
          </w:r>
          <w:r>
            <w:t>14</w:t>
          </w:r>
          <w:r>
            <w:fldChar w:fldCharType="end"/>
          </w:r>
          <w:r>
            <w:fldChar w:fldCharType="end"/>
          </w:r>
        </w:p>
        <w:p w14:paraId="757FCE7E">
          <w:pPr>
            <w:pStyle w:val="7"/>
            <w:tabs>
              <w:tab w:val="right" w:leader="dot" w:pos="8306"/>
            </w:tabs>
          </w:pPr>
          <w:r>
            <w:fldChar w:fldCharType="begin"/>
          </w:r>
          <w:r>
            <w:instrText xml:space="preserve"> HYPERLINK \l "_Toc25210" </w:instrText>
          </w:r>
          <w:r>
            <w:fldChar w:fldCharType="separate"/>
          </w:r>
          <w:r>
            <w:rPr>
              <w:rFonts w:hint="eastAsia" w:ascii="黑体" w:hAnsi="黑体" w:eastAsia="黑体"/>
              <w:szCs w:val="28"/>
              <w:lang w:eastAsia="zh-CN"/>
            </w:rPr>
            <w:t>第八节  信息披露义务人声明</w:t>
          </w:r>
          <w:r>
            <w:tab/>
          </w:r>
          <w:r>
            <w:fldChar w:fldCharType="begin"/>
          </w:r>
          <w:r>
            <w:instrText xml:space="preserve"> PAGEREF _Toc25210 \h </w:instrText>
          </w:r>
          <w:r>
            <w:fldChar w:fldCharType="separate"/>
          </w:r>
          <w:r>
            <w:t>15</w:t>
          </w:r>
          <w:r>
            <w:fldChar w:fldCharType="end"/>
          </w:r>
          <w:r>
            <w:fldChar w:fldCharType="end"/>
          </w:r>
        </w:p>
        <w:p w14:paraId="2B310771">
          <w:pPr>
            <w:pStyle w:val="7"/>
            <w:tabs>
              <w:tab w:val="right" w:leader="dot" w:pos="8306"/>
            </w:tabs>
          </w:pPr>
          <w:r>
            <w:fldChar w:fldCharType="begin"/>
          </w:r>
          <w:r>
            <w:instrText xml:space="preserve"> HYPERLINK \l "_Toc32325" </w:instrText>
          </w:r>
          <w:r>
            <w:fldChar w:fldCharType="separate"/>
          </w:r>
          <w:r>
            <w:rPr>
              <w:rFonts w:hint="eastAsia" w:ascii="黑体" w:hAnsi="黑体" w:eastAsia="黑体"/>
              <w:szCs w:val="24"/>
              <w:lang w:eastAsia="zh-CN"/>
            </w:rPr>
            <w:t>附表</w:t>
          </w:r>
          <w:r>
            <w:tab/>
          </w:r>
          <w:r>
            <w:fldChar w:fldCharType="begin"/>
          </w:r>
          <w:r>
            <w:instrText xml:space="preserve"> PAGEREF _Toc32325 \h </w:instrText>
          </w:r>
          <w:r>
            <w:fldChar w:fldCharType="separate"/>
          </w:r>
          <w:r>
            <w:t>17</w:t>
          </w:r>
          <w:r>
            <w:fldChar w:fldCharType="end"/>
          </w:r>
          <w:r>
            <w:fldChar w:fldCharType="end"/>
          </w:r>
        </w:p>
        <w:p w14:paraId="4162F202">
          <w:r>
            <w:fldChar w:fldCharType="end"/>
          </w:r>
        </w:p>
      </w:sdtContent>
    </w:sdt>
    <w:p w14:paraId="0ED89D37"/>
    <w:p w14:paraId="45C92338">
      <w:pPr>
        <w:widowControl/>
        <w:rPr>
          <w:rFonts w:ascii="仿宋" w:hAnsi="仿宋" w:eastAsia="仿宋"/>
          <w:sz w:val="28"/>
          <w:szCs w:val="28"/>
          <w:lang w:eastAsia="zh-CN"/>
        </w:rPr>
      </w:pPr>
      <w:r>
        <w:rPr>
          <w:rFonts w:ascii="仿宋" w:hAnsi="仿宋" w:eastAsia="仿宋"/>
          <w:sz w:val="28"/>
          <w:szCs w:val="28"/>
          <w:lang w:eastAsia="zh-CN"/>
        </w:rPr>
        <w:br w:type="page"/>
      </w:r>
    </w:p>
    <w:p w14:paraId="227ADA6A">
      <w:pPr>
        <w:spacing w:line="360" w:lineRule="auto"/>
        <w:jc w:val="center"/>
        <w:outlineLvl w:val="0"/>
        <w:rPr>
          <w:rFonts w:ascii="黑体" w:hAnsi="黑体" w:eastAsia="黑体"/>
          <w:b/>
          <w:sz w:val="32"/>
          <w:szCs w:val="28"/>
          <w:lang w:eastAsia="zh-CN"/>
        </w:rPr>
      </w:pPr>
      <w:bookmarkStart w:id="1" w:name="_Toc5399"/>
      <w:r>
        <w:rPr>
          <w:rFonts w:hint="eastAsia" w:ascii="黑体" w:hAnsi="黑体" w:eastAsia="黑体"/>
          <w:b/>
          <w:sz w:val="32"/>
          <w:szCs w:val="28"/>
          <w:lang w:eastAsia="zh-CN"/>
        </w:rPr>
        <w:t>第一节 释义</w:t>
      </w:r>
      <w:bookmarkEnd w:id="1"/>
    </w:p>
    <w:p w14:paraId="5E584AA2">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本权益变动报告书中，除非另有所指，下列词语具有如下特定含义：</w:t>
      </w:r>
    </w:p>
    <w:tbl>
      <w:tblPr>
        <w:tblStyle w:val="11"/>
        <w:tblpPr w:leftFromText="180" w:rightFromText="180" w:vertAnchor="text" w:horzAnchor="margin" w:tblpY="146"/>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9"/>
        <w:gridCol w:w="1299"/>
        <w:gridCol w:w="4904"/>
      </w:tblGrid>
      <w:tr w14:paraId="14A4A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61" w:type="pct"/>
          </w:tcPr>
          <w:p w14:paraId="31A3DC9E">
            <w:pPr>
              <w:jc w:val="center"/>
              <w:rPr>
                <w:rFonts w:ascii="仿宋" w:hAnsi="仿宋" w:eastAsia="仿宋"/>
                <w:sz w:val="28"/>
                <w:szCs w:val="28"/>
                <w:lang w:eastAsia="zh-CN"/>
              </w:rPr>
            </w:pPr>
            <w:r>
              <w:rPr>
                <w:rFonts w:hint="eastAsia" w:ascii="仿宋" w:hAnsi="仿宋" w:eastAsia="仿宋"/>
                <w:sz w:val="28"/>
                <w:szCs w:val="28"/>
                <w:lang w:eastAsia="zh-CN"/>
              </w:rPr>
              <w:t>报告书/本报告书</w:t>
            </w:r>
          </w:p>
        </w:tc>
        <w:tc>
          <w:tcPr>
            <w:tcW w:w="762" w:type="pct"/>
          </w:tcPr>
          <w:p w14:paraId="76537555">
            <w:pPr>
              <w:jc w:val="center"/>
              <w:rPr>
                <w:rFonts w:ascii="仿宋" w:hAnsi="仿宋" w:eastAsia="仿宋"/>
                <w:sz w:val="28"/>
                <w:szCs w:val="28"/>
                <w:lang w:eastAsia="zh-CN"/>
              </w:rPr>
            </w:pPr>
            <w:r>
              <w:rPr>
                <w:rFonts w:hint="eastAsia" w:ascii="仿宋" w:hAnsi="仿宋" w:eastAsia="仿宋"/>
                <w:sz w:val="28"/>
                <w:szCs w:val="28"/>
                <w:lang w:eastAsia="zh-CN"/>
              </w:rPr>
              <w:t>指</w:t>
            </w:r>
          </w:p>
        </w:tc>
        <w:tc>
          <w:tcPr>
            <w:tcW w:w="2877" w:type="pct"/>
            <w:vAlign w:val="center"/>
          </w:tcPr>
          <w:p w14:paraId="7AC93935">
            <w:pPr>
              <w:jc w:val="both"/>
              <w:rPr>
                <w:rFonts w:ascii="仿宋" w:hAnsi="仿宋" w:eastAsia="仿宋"/>
                <w:sz w:val="28"/>
                <w:szCs w:val="28"/>
                <w:lang w:eastAsia="zh-CN"/>
              </w:rPr>
            </w:pPr>
            <w:r>
              <w:rPr>
                <w:rFonts w:hint="eastAsia" w:ascii="仿宋" w:hAnsi="仿宋" w:eastAsia="仿宋"/>
                <w:sz w:val="28"/>
                <w:szCs w:val="28"/>
                <w:lang w:eastAsia="zh-CN"/>
              </w:rPr>
              <w:t>广东天亿马信息产业股份有限公司简式权益变动报告书</w:t>
            </w:r>
          </w:p>
        </w:tc>
      </w:tr>
      <w:tr w14:paraId="7BDD2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61" w:type="pct"/>
          </w:tcPr>
          <w:p w14:paraId="0B75E98C">
            <w:pPr>
              <w:jc w:val="center"/>
              <w:rPr>
                <w:rFonts w:ascii="仿宋" w:hAnsi="仿宋" w:eastAsia="仿宋"/>
                <w:sz w:val="28"/>
                <w:szCs w:val="28"/>
                <w:lang w:eastAsia="zh-CN"/>
              </w:rPr>
            </w:pPr>
            <w:r>
              <w:rPr>
                <w:rFonts w:hint="eastAsia" w:ascii="仿宋" w:hAnsi="仿宋" w:eastAsia="仿宋"/>
                <w:sz w:val="28"/>
                <w:szCs w:val="28"/>
                <w:lang w:eastAsia="zh-CN"/>
              </w:rPr>
              <w:t>公司/上市公司/天亿马</w:t>
            </w:r>
          </w:p>
        </w:tc>
        <w:tc>
          <w:tcPr>
            <w:tcW w:w="762" w:type="pct"/>
          </w:tcPr>
          <w:p w14:paraId="458D5CB3">
            <w:pPr>
              <w:jc w:val="center"/>
              <w:rPr>
                <w:rFonts w:ascii="仿宋" w:hAnsi="仿宋" w:eastAsia="仿宋"/>
                <w:sz w:val="28"/>
                <w:szCs w:val="28"/>
                <w:lang w:eastAsia="zh-CN"/>
              </w:rPr>
            </w:pPr>
            <w:r>
              <w:rPr>
                <w:rFonts w:hint="eastAsia" w:ascii="仿宋" w:hAnsi="仿宋" w:eastAsia="仿宋"/>
                <w:sz w:val="28"/>
                <w:szCs w:val="28"/>
                <w:lang w:eastAsia="zh-CN"/>
              </w:rPr>
              <w:t>指</w:t>
            </w:r>
          </w:p>
        </w:tc>
        <w:tc>
          <w:tcPr>
            <w:tcW w:w="2877" w:type="pct"/>
            <w:vAlign w:val="center"/>
          </w:tcPr>
          <w:p w14:paraId="5B2A2BBF">
            <w:pPr>
              <w:jc w:val="both"/>
              <w:rPr>
                <w:rFonts w:ascii="仿宋" w:hAnsi="仿宋" w:eastAsia="仿宋"/>
                <w:sz w:val="28"/>
                <w:szCs w:val="28"/>
                <w:lang w:eastAsia="zh-CN"/>
              </w:rPr>
            </w:pPr>
            <w:r>
              <w:rPr>
                <w:rFonts w:hint="eastAsia" w:ascii="仿宋" w:hAnsi="仿宋" w:eastAsia="仿宋"/>
                <w:sz w:val="28"/>
                <w:szCs w:val="28"/>
                <w:lang w:eastAsia="zh-CN"/>
              </w:rPr>
              <w:t>广东天亿马信息产业股份有限公司</w:t>
            </w:r>
          </w:p>
        </w:tc>
      </w:tr>
      <w:tr w14:paraId="256F2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61" w:type="pct"/>
          </w:tcPr>
          <w:p w14:paraId="6F3035A0">
            <w:pPr>
              <w:jc w:val="center"/>
              <w:rPr>
                <w:rFonts w:ascii="仿宋" w:hAnsi="仿宋" w:eastAsia="仿宋"/>
                <w:sz w:val="28"/>
                <w:szCs w:val="28"/>
                <w:lang w:eastAsia="zh-CN"/>
              </w:rPr>
            </w:pPr>
            <w:r>
              <w:rPr>
                <w:rFonts w:hint="eastAsia" w:ascii="仿宋" w:hAnsi="仿宋" w:eastAsia="仿宋"/>
                <w:sz w:val="28"/>
                <w:szCs w:val="28"/>
                <w:lang w:eastAsia="zh-CN"/>
              </w:rPr>
              <w:t>信息披露义务人</w:t>
            </w:r>
          </w:p>
        </w:tc>
        <w:tc>
          <w:tcPr>
            <w:tcW w:w="762" w:type="pct"/>
          </w:tcPr>
          <w:p w14:paraId="27861B1C">
            <w:pPr>
              <w:jc w:val="center"/>
              <w:rPr>
                <w:rFonts w:ascii="仿宋" w:hAnsi="仿宋" w:eastAsia="仿宋"/>
                <w:sz w:val="28"/>
                <w:szCs w:val="28"/>
                <w:lang w:eastAsia="zh-CN"/>
              </w:rPr>
            </w:pPr>
            <w:r>
              <w:rPr>
                <w:rFonts w:hint="eastAsia" w:ascii="仿宋" w:hAnsi="仿宋" w:eastAsia="仿宋"/>
                <w:sz w:val="28"/>
                <w:szCs w:val="28"/>
                <w:lang w:eastAsia="zh-CN"/>
              </w:rPr>
              <w:t>指</w:t>
            </w:r>
          </w:p>
        </w:tc>
        <w:tc>
          <w:tcPr>
            <w:tcW w:w="2877" w:type="pct"/>
            <w:vAlign w:val="center"/>
          </w:tcPr>
          <w:p w14:paraId="5ECACEDF">
            <w:pPr>
              <w:jc w:val="both"/>
              <w:rPr>
                <w:rFonts w:ascii="仿宋" w:hAnsi="仿宋" w:eastAsia="仿宋"/>
                <w:sz w:val="28"/>
                <w:szCs w:val="28"/>
                <w:lang w:eastAsia="zh-CN"/>
              </w:rPr>
            </w:pPr>
            <w:r>
              <w:rPr>
                <w:rFonts w:hint="eastAsia" w:ascii="仿宋" w:hAnsi="仿宋" w:eastAsia="仿宋"/>
                <w:sz w:val="28"/>
                <w:szCs w:val="28"/>
                <w:lang w:eastAsia="zh-CN"/>
              </w:rPr>
              <w:t>林明玲、马学沛</w:t>
            </w:r>
          </w:p>
        </w:tc>
      </w:tr>
      <w:tr w14:paraId="66529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61" w:type="pct"/>
          </w:tcPr>
          <w:p w14:paraId="3479B6F1">
            <w:pPr>
              <w:jc w:val="center"/>
              <w:rPr>
                <w:rFonts w:ascii="仿宋" w:hAnsi="仿宋" w:eastAsia="仿宋"/>
                <w:sz w:val="28"/>
                <w:szCs w:val="28"/>
                <w:lang w:eastAsia="zh-CN"/>
              </w:rPr>
            </w:pPr>
            <w:r>
              <w:rPr>
                <w:rFonts w:hint="eastAsia" w:ascii="仿宋" w:hAnsi="仿宋" w:eastAsia="仿宋"/>
                <w:sz w:val="28"/>
                <w:szCs w:val="28"/>
                <w:lang w:eastAsia="zh-CN"/>
              </w:rPr>
              <w:t>本次权益变动、本次交易</w:t>
            </w:r>
          </w:p>
        </w:tc>
        <w:tc>
          <w:tcPr>
            <w:tcW w:w="762" w:type="pct"/>
          </w:tcPr>
          <w:p w14:paraId="3C6C19D0">
            <w:pPr>
              <w:jc w:val="center"/>
              <w:rPr>
                <w:rFonts w:ascii="仿宋" w:hAnsi="仿宋" w:eastAsia="仿宋"/>
                <w:sz w:val="28"/>
                <w:szCs w:val="28"/>
                <w:lang w:eastAsia="zh-CN"/>
              </w:rPr>
            </w:pPr>
            <w:r>
              <w:rPr>
                <w:rFonts w:hint="eastAsia" w:ascii="仿宋" w:hAnsi="仿宋" w:eastAsia="仿宋"/>
                <w:sz w:val="28"/>
                <w:szCs w:val="28"/>
                <w:lang w:eastAsia="zh-CN"/>
              </w:rPr>
              <w:t>指</w:t>
            </w:r>
          </w:p>
        </w:tc>
        <w:tc>
          <w:tcPr>
            <w:tcW w:w="2877" w:type="pct"/>
            <w:vAlign w:val="center"/>
          </w:tcPr>
          <w:p w14:paraId="1A27075F">
            <w:pPr>
              <w:jc w:val="both"/>
              <w:rPr>
                <w:rFonts w:ascii="仿宋" w:hAnsi="仿宋" w:eastAsia="仿宋"/>
                <w:sz w:val="28"/>
                <w:szCs w:val="28"/>
                <w:lang w:eastAsia="zh-CN"/>
              </w:rPr>
            </w:pPr>
            <w:r>
              <w:rPr>
                <w:rFonts w:hint="eastAsia" w:ascii="仿宋" w:hAnsi="仿宋" w:eastAsia="仿宋"/>
                <w:color w:val="000000"/>
                <w:sz w:val="28"/>
                <w:szCs w:val="28"/>
              </w:rPr>
              <w:t>因2023年度、2024年度</w:t>
            </w:r>
            <w:r>
              <w:rPr>
                <w:rFonts w:hint="eastAsia" w:ascii="仿宋" w:hAnsi="仿宋" w:eastAsia="仿宋"/>
                <w:color w:val="000000"/>
                <w:sz w:val="28"/>
                <w:szCs w:val="28"/>
                <w:lang w:eastAsia="zh-CN"/>
              </w:rPr>
              <w:t>上市</w:t>
            </w:r>
            <w:r>
              <w:rPr>
                <w:rFonts w:hint="eastAsia" w:ascii="仿宋" w:hAnsi="仿宋" w:eastAsia="仿宋"/>
                <w:color w:val="000000"/>
                <w:sz w:val="28"/>
                <w:szCs w:val="28"/>
              </w:rPr>
              <w:t>公司层面业绩指标未达成，</w:t>
            </w:r>
            <w:r>
              <w:rPr>
                <w:rFonts w:hint="eastAsia" w:ascii="仿宋" w:hAnsi="仿宋" w:eastAsia="仿宋"/>
                <w:color w:val="000000"/>
                <w:sz w:val="28"/>
                <w:szCs w:val="28"/>
                <w:lang w:eastAsia="zh-CN"/>
              </w:rPr>
              <w:t>上市</w:t>
            </w:r>
            <w:r>
              <w:rPr>
                <w:rFonts w:hint="eastAsia" w:ascii="仿宋" w:hAnsi="仿宋" w:eastAsia="仿宋"/>
                <w:color w:val="000000"/>
                <w:sz w:val="28"/>
                <w:szCs w:val="28"/>
              </w:rPr>
              <w:t>公司</w:t>
            </w:r>
            <w:r>
              <w:rPr>
                <w:rFonts w:hint="eastAsia" w:ascii="仿宋" w:hAnsi="仿宋" w:eastAsia="仿宋"/>
                <w:color w:val="000000"/>
                <w:sz w:val="28"/>
                <w:szCs w:val="28"/>
                <w:lang w:eastAsia="zh-CN"/>
              </w:rPr>
              <w:t>根据2023年限制性股票激励计划管理办法</w:t>
            </w:r>
            <w:r>
              <w:rPr>
                <w:rFonts w:hint="eastAsia" w:ascii="仿宋" w:hAnsi="仿宋" w:eastAsia="仿宋"/>
                <w:color w:val="000000"/>
                <w:sz w:val="28"/>
                <w:szCs w:val="28"/>
              </w:rPr>
              <w:t>回购</w:t>
            </w:r>
            <w:r>
              <w:rPr>
                <w:rFonts w:hint="eastAsia" w:ascii="仿宋" w:hAnsi="仿宋" w:eastAsia="仿宋"/>
                <w:color w:val="000000"/>
                <w:sz w:val="28"/>
                <w:szCs w:val="28"/>
                <w:lang w:eastAsia="zh-CN"/>
              </w:rPr>
              <w:t>林明玲、马学沛</w:t>
            </w:r>
            <w:r>
              <w:rPr>
                <w:rFonts w:hint="eastAsia" w:ascii="仿宋" w:hAnsi="仿宋" w:eastAsia="仿宋"/>
                <w:color w:val="000000"/>
                <w:sz w:val="28"/>
                <w:szCs w:val="28"/>
              </w:rPr>
              <w:t>所持</w:t>
            </w:r>
            <w:r>
              <w:rPr>
                <w:rFonts w:hint="eastAsia" w:ascii="仿宋" w:hAnsi="仿宋" w:eastAsia="仿宋"/>
                <w:color w:val="000000"/>
                <w:sz w:val="28"/>
                <w:szCs w:val="28"/>
                <w:lang w:eastAsia="zh-CN"/>
              </w:rPr>
              <w:t>部分</w:t>
            </w:r>
            <w:r>
              <w:rPr>
                <w:rFonts w:hint="eastAsia" w:ascii="仿宋" w:hAnsi="仿宋" w:eastAsia="仿宋"/>
                <w:color w:val="000000"/>
                <w:sz w:val="28"/>
                <w:szCs w:val="28"/>
              </w:rPr>
              <w:t>限制性股票并予以注销，导致</w:t>
            </w:r>
            <w:r>
              <w:rPr>
                <w:rFonts w:hint="eastAsia" w:ascii="仿宋" w:hAnsi="仿宋" w:eastAsia="仿宋"/>
                <w:color w:val="000000"/>
                <w:sz w:val="28"/>
                <w:szCs w:val="28"/>
                <w:lang w:eastAsia="zh-CN"/>
              </w:rPr>
              <w:t>其持股发生变动</w:t>
            </w:r>
          </w:p>
        </w:tc>
      </w:tr>
      <w:tr w14:paraId="0E7EA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61" w:type="pct"/>
          </w:tcPr>
          <w:p w14:paraId="09024285">
            <w:pPr>
              <w:jc w:val="center"/>
              <w:rPr>
                <w:rFonts w:ascii="仿宋" w:hAnsi="仿宋" w:eastAsia="仿宋"/>
                <w:sz w:val="28"/>
                <w:szCs w:val="28"/>
                <w:lang w:eastAsia="zh-CN"/>
              </w:rPr>
            </w:pPr>
            <w:r>
              <w:rPr>
                <w:rFonts w:hint="eastAsia" w:ascii="仿宋" w:hAnsi="仿宋" w:eastAsia="仿宋"/>
                <w:sz w:val="28"/>
                <w:szCs w:val="28"/>
                <w:lang w:eastAsia="zh-CN"/>
              </w:rPr>
              <w:t>中国证监会</w:t>
            </w:r>
          </w:p>
        </w:tc>
        <w:tc>
          <w:tcPr>
            <w:tcW w:w="762" w:type="pct"/>
          </w:tcPr>
          <w:p w14:paraId="36BEA41C">
            <w:pPr>
              <w:jc w:val="center"/>
              <w:rPr>
                <w:rFonts w:ascii="仿宋" w:hAnsi="仿宋" w:eastAsia="仿宋"/>
                <w:sz w:val="28"/>
                <w:szCs w:val="28"/>
                <w:lang w:eastAsia="zh-CN"/>
              </w:rPr>
            </w:pPr>
            <w:r>
              <w:rPr>
                <w:rFonts w:hint="eastAsia" w:ascii="仿宋" w:hAnsi="仿宋" w:eastAsia="仿宋"/>
                <w:sz w:val="28"/>
                <w:szCs w:val="28"/>
                <w:lang w:eastAsia="zh-CN"/>
              </w:rPr>
              <w:t>指</w:t>
            </w:r>
          </w:p>
        </w:tc>
        <w:tc>
          <w:tcPr>
            <w:tcW w:w="2877" w:type="pct"/>
            <w:vAlign w:val="center"/>
          </w:tcPr>
          <w:p w14:paraId="4AAA9E10">
            <w:pPr>
              <w:jc w:val="both"/>
              <w:rPr>
                <w:rFonts w:ascii="仿宋" w:hAnsi="仿宋" w:eastAsia="仿宋"/>
                <w:sz w:val="28"/>
                <w:szCs w:val="28"/>
                <w:lang w:eastAsia="zh-CN"/>
              </w:rPr>
            </w:pPr>
            <w:r>
              <w:rPr>
                <w:rFonts w:hint="eastAsia" w:ascii="仿宋" w:hAnsi="仿宋" w:eastAsia="仿宋"/>
                <w:sz w:val="28"/>
                <w:szCs w:val="28"/>
                <w:lang w:eastAsia="zh-CN"/>
              </w:rPr>
              <w:t>中国证券监督管理委员会</w:t>
            </w:r>
          </w:p>
        </w:tc>
      </w:tr>
      <w:tr w14:paraId="757B8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61" w:type="pct"/>
          </w:tcPr>
          <w:p w14:paraId="2C04A513">
            <w:pPr>
              <w:jc w:val="center"/>
              <w:rPr>
                <w:rFonts w:ascii="仿宋" w:hAnsi="仿宋" w:eastAsia="仿宋"/>
                <w:sz w:val="28"/>
                <w:szCs w:val="28"/>
                <w:lang w:eastAsia="zh-CN"/>
              </w:rPr>
            </w:pPr>
            <w:r>
              <w:rPr>
                <w:rFonts w:hint="eastAsia" w:ascii="仿宋" w:hAnsi="仿宋" w:eastAsia="仿宋"/>
                <w:sz w:val="28"/>
                <w:szCs w:val="28"/>
                <w:lang w:eastAsia="zh-CN"/>
              </w:rPr>
              <w:t>深交所</w:t>
            </w:r>
          </w:p>
        </w:tc>
        <w:tc>
          <w:tcPr>
            <w:tcW w:w="762" w:type="pct"/>
          </w:tcPr>
          <w:p w14:paraId="493D8E63">
            <w:pPr>
              <w:jc w:val="center"/>
              <w:rPr>
                <w:rFonts w:ascii="仿宋" w:hAnsi="仿宋" w:eastAsia="仿宋"/>
                <w:sz w:val="28"/>
                <w:szCs w:val="28"/>
                <w:lang w:eastAsia="zh-CN"/>
              </w:rPr>
            </w:pPr>
            <w:r>
              <w:rPr>
                <w:rFonts w:hint="eastAsia" w:ascii="仿宋" w:hAnsi="仿宋" w:eastAsia="仿宋"/>
                <w:sz w:val="28"/>
                <w:szCs w:val="28"/>
                <w:lang w:eastAsia="zh-CN"/>
              </w:rPr>
              <w:t>指</w:t>
            </w:r>
          </w:p>
        </w:tc>
        <w:tc>
          <w:tcPr>
            <w:tcW w:w="2877" w:type="pct"/>
            <w:vAlign w:val="center"/>
          </w:tcPr>
          <w:p w14:paraId="598C468D">
            <w:pPr>
              <w:jc w:val="both"/>
              <w:rPr>
                <w:rFonts w:ascii="仿宋" w:hAnsi="仿宋" w:eastAsia="仿宋"/>
                <w:sz w:val="28"/>
                <w:szCs w:val="28"/>
                <w:lang w:eastAsia="zh-CN"/>
              </w:rPr>
            </w:pPr>
            <w:r>
              <w:rPr>
                <w:rFonts w:hint="eastAsia" w:ascii="仿宋" w:hAnsi="仿宋" w:eastAsia="仿宋"/>
                <w:sz w:val="28"/>
                <w:szCs w:val="28"/>
                <w:lang w:eastAsia="zh-CN"/>
              </w:rPr>
              <w:t>深圳证券交易所</w:t>
            </w:r>
          </w:p>
        </w:tc>
      </w:tr>
      <w:tr w14:paraId="49C4E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61" w:type="pct"/>
          </w:tcPr>
          <w:p w14:paraId="1DF29486">
            <w:pPr>
              <w:jc w:val="center"/>
              <w:rPr>
                <w:rFonts w:ascii="仿宋" w:hAnsi="仿宋" w:eastAsia="仿宋"/>
                <w:sz w:val="28"/>
                <w:szCs w:val="28"/>
                <w:lang w:eastAsia="zh-CN"/>
              </w:rPr>
            </w:pPr>
            <w:r>
              <w:rPr>
                <w:rFonts w:hint="eastAsia" w:ascii="仿宋" w:hAnsi="仿宋" w:eastAsia="仿宋"/>
                <w:sz w:val="28"/>
                <w:szCs w:val="28"/>
                <w:lang w:eastAsia="zh-CN"/>
              </w:rPr>
              <w:t>《公司法》</w:t>
            </w:r>
          </w:p>
        </w:tc>
        <w:tc>
          <w:tcPr>
            <w:tcW w:w="762" w:type="pct"/>
          </w:tcPr>
          <w:p w14:paraId="7E38AAB9">
            <w:pPr>
              <w:jc w:val="center"/>
              <w:rPr>
                <w:rFonts w:ascii="仿宋" w:hAnsi="仿宋" w:eastAsia="仿宋"/>
                <w:sz w:val="28"/>
                <w:szCs w:val="28"/>
                <w:lang w:eastAsia="zh-CN"/>
              </w:rPr>
            </w:pPr>
            <w:r>
              <w:rPr>
                <w:rFonts w:hint="eastAsia" w:ascii="仿宋" w:hAnsi="仿宋" w:eastAsia="仿宋"/>
                <w:sz w:val="28"/>
                <w:szCs w:val="28"/>
                <w:lang w:eastAsia="zh-CN"/>
              </w:rPr>
              <w:t>指</w:t>
            </w:r>
          </w:p>
        </w:tc>
        <w:tc>
          <w:tcPr>
            <w:tcW w:w="2877" w:type="pct"/>
            <w:vAlign w:val="center"/>
          </w:tcPr>
          <w:p w14:paraId="5EFA7770">
            <w:pPr>
              <w:jc w:val="both"/>
              <w:rPr>
                <w:rFonts w:ascii="仿宋" w:hAnsi="仿宋" w:eastAsia="仿宋"/>
                <w:sz w:val="28"/>
                <w:szCs w:val="28"/>
                <w:lang w:eastAsia="zh-CN"/>
              </w:rPr>
            </w:pPr>
            <w:r>
              <w:rPr>
                <w:rFonts w:hint="eastAsia" w:ascii="仿宋" w:hAnsi="仿宋" w:eastAsia="仿宋"/>
                <w:sz w:val="28"/>
                <w:szCs w:val="28"/>
                <w:lang w:eastAsia="zh-CN"/>
              </w:rPr>
              <w:t>《中华人民共和国公司法》</w:t>
            </w:r>
          </w:p>
        </w:tc>
      </w:tr>
      <w:tr w14:paraId="4B137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61" w:type="pct"/>
          </w:tcPr>
          <w:p w14:paraId="215F0B1D">
            <w:pPr>
              <w:jc w:val="center"/>
              <w:rPr>
                <w:rFonts w:ascii="仿宋" w:hAnsi="仿宋" w:eastAsia="仿宋"/>
                <w:sz w:val="28"/>
                <w:szCs w:val="28"/>
                <w:lang w:eastAsia="zh-CN"/>
              </w:rPr>
            </w:pPr>
            <w:r>
              <w:rPr>
                <w:rFonts w:hint="eastAsia" w:ascii="仿宋" w:hAnsi="仿宋" w:eastAsia="仿宋"/>
                <w:sz w:val="28"/>
                <w:szCs w:val="28"/>
                <w:lang w:eastAsia="zh-CN"/>
              </w:rPr>
              <w:t>《证券法》</w:t>
            </w:r>
          </w:p>
        </w:tc>
        <w:tc>
          <w:tcPr>
            <w:tcW w:w="762" w:type="pct"/>
          </w:tcPr>
          <w:p w14:paraId="563A11E7">
            <w:pPr>
              <w:jc w:val="center"/>
              <w:rPr>
                <w:rFonts w:ascii="仿宋" w:hAnsi="仿宋" w:eastAsia="仿宋"/>
                <w:sz w:val="28"/>
                <w:szCs w:val="28"/>
                <w:lang w:eastAsia="zh-CN"/>
              </w:rPr>
            </w:pPr>
            <w:r>
              <w:rPr>
                <w:rFonts w:hint="eastAsia" w:ascii="仿宋" w:hAnsi="仿宋" w:eastAsia="仿宋"/>
                <w:sz w:val="28"/>
                <w:szCs w:val="28"/>
                <w:lang w:eastAsia="zh-CN"/>
              </w:rPr>
              <w:t>指</w:t>
            </w:r>
          </w:p>
        </w:tc>
        <w:tc>
          <w:tcPr>
            <w:tcW w:w="2877" w:type="pct"/>
            <w:vAlign w:val="center"/>
          </w:tcPr>
          <w:p w14:paraId="0CCDB7DE">
            <w:pPr>
              <w:jc w:val="both"/>
              <w:rPr>
                <w:rFonts w:ascii="仿宋" w:hAnsi="仿宋" w:eastAsia="仿宋"/>
                <w:sz w:val="28"/>
                <w:szCs w:val="28"/>
                <w:lang w:eastAsia="zh-CN"/>
              </w:rPr>
            </w:pPr>
            <w:r>
              <w:rPr>
                <w:rFonts w:hint="eastAsia" w:ascii="仿宋" w:hAnsi="仿宋" w:eastAsia="仿宋"/>
                <w:sz w:val="28"/>
                <w:szCs w:val="28"/>
                <w:lang w:eastAsia="zh-CN"/>
              </w:rPr>
              <w:t>《中华人民共和国证券法》</w:t>
            </w:r>
          </w:p>
        </w:tc>
      </w:tr>
      <w:tr w14:paraId="18749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61" w:type="pct"/>
          </w:tcPr>
          <w:p w14:paraId="44CF9D50">
            <w:pPr>
              <w:jc w:val="center"/>
              <w:rPr>
                <w:rFonts w:ascii="仿宋" w:hAnsi="仿宋" w:eastAsia="仿宋"/>
                <w:sz w:val="28"/>
                <w:szCs w:val="28"/>
                <w:lang w:eastAsia="zh-CN"/>
              </w:rPr>
            </w:pPr>
            <w:r>
              <w:rPr>
                <w:rFonts w:hint="eastAsia" w:ascii="仿宋" w:hAnsi="仿宋" w:eastAsia="仿宋"/>
                <w:sz w:val="28"/>
                <w:szCs w:val="28"/>
                <w:lang w:eastAsia="zh-CN"/>
              </w:rPr>
              <w:t>《收购管理办法》</w:t>
            </w:r>
          </w:p>
        </w:tc>
        <w:tc>
          <w:tcPr>
            <w:tcW w:w="762" w:type="pct"/>
          </w:tcPr>
          <w:p w14:paraId="6BD2E718">
            <w:pPr>
              <w:jc w:val="center"/>
              <w:rPr>
                <w:rFonts w:ascii="仿宋" w:hAnsi="仿宋" w:eastAsia="仿宋"/>
                <w:sz w:val="28"/>
                <w:szCs w:val="28"/>
                <w:lang w:eastAsia="zh-CN"/>
              </w:rPr>
            </w:pPr>
            <w:r>
              <w:rPr>
                <w:rFonts w:hint="eastAsia" w:ascii="仿宋" w:hAnsi="仿宋" w:eastAsia="仿宋"/>
                <w:sz w:val="28"/>
                <w:szCs w:val="28"/>
                <w:lang w:eastAsia="zh-CN"/>
              </w:rPr>
              <w:t>指</w:t>
            </w:r>
          </w:p>
        </w:tc>
        <w:tc>
          <w:tcPr>
            <w:tcW w:w="2877" w:type="pct"/>
            <w:vAlign w:val="center"/>
          </w:tcPr>
          <w:p w14:paraId="14F8662D">
            <w:pPr>
              <w:jc w:val="both"/>
              <w:rPr>
                <w:rFonts w:ascii="仿宋" w:hAnsi="仿宋" w:eastAsia="仿宋"/>
                <w:sz w:val="28"/>
                <w:szCs w:val="28"/>
                <w:lang w:eastAsia="zh-CN"/>
              </w:rPr>
            </w:pPr>
            <w:r>
              <w:rPr>
                <w:rFonts w:hint="eastAsia" w:ascii="仿宋" w:hAnsi="仿宋" w:eastAsia="仿宋"/>
                <w:sz w:val="28"/>
                <w:szCs w:val="28"/>
                <w:lang w:eastAsia="zh-CN"/>
              </w:rPr>
              <w:t>《上市公司收购管理办法》</w:t>
            </w:r>
          </w:p>
        </w:tc>
      </w:tr>
      <w:tr w14:paraId="1821A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61" w:type="pct"/>
          </w:tcPr>
          <w:p w14:paraId="4C3B2694">
            <w:pPr>
              <w:jc w:val="center"/>
              <w:rPr>
                <w:rFonts w:ascii="仿宋" w:hAnsi="仿宋" w:eastAsia="仿宋"/>
                <w:sz w:val="28"/>
                <w:szCs w:val="28"/>
                <w:lang w:eastAsia="zh-CN"/>
              </w:rPr>
            </w:pPr>
            <w:r>
              <w:rPr>
                <w:rFonts w:hint="eastAsia" w:ascii="仿宋" w:hAnsi="仿宋" w:eastAsia="仿宋"/>
                <w:sz w:val="28"/>
                <w:szCs w:val="28"/>
                <w:lang w:eastAsia="zh-CN"/>
              </w:rPr>
              <w:t>元、万元、亿元</w:t>
            </w:r>
          </w:p>
        </w:tc>
        <w:tc>
          <w:tcPr>
            <w:tcW w:w="762" w:type="pct"/>
          </w:tcPr>
          <w:p w14:paraId="1443CEB7">
            <w:pPr>
              <w:jc w:val="center"/>
              <w:rPr>
                <w:rFonts w:ascii="仿宋" w:hAnsi="仿宋" w:eastAsia="仿宋"/>
                <w:sz w:val="28"/>
                <w:szCs w:val="28"/>
                <w:lang w:eastAsia="zh-CN"/>
              </w:rPr>
            </w:pPr>
            <w:r>
              <w:rPr>
                <w:rFonts w:hint="eastAsia" w:ascii="仿宋" w:hAnsi="仿宋" w:eastAsia="仿宋"/>
                <w:sz w:val="28"/>
                <w:szCs w:val="28"/>
                <w:lang w:eastAsia="zh-CN"/>
              </w:rPr>
              <w:t>指</w:t>
            </w:r>
          </w:p>
        </w:tc>
        <w:tc>
          <w:tcPr>
            <w:tcW w:w="2877" w:type="pct"/>
            <w:vAlign w:val="center"/>
          </w:tcPr>
          <w:p w14:paraId="085DF8E2">
            <w:pPr>
              <w:jc w:val="both"/>
              <w:rPr>
                <w:rFonts w:ascii="仿宋" w:hAnsi="仿宋" w:eastAsia="仿宋"/>
                <w:sz w:val="28"/>
                <w:szCs w:val="28"/>
                <w:lang w:eastAsia="zh-CN"/>
              </w:rPr>
            </w:pPr>
            <w:r>
              <w:rPr>
                <w:rFonts w:hint="eastAsia" w:ascii="仿宋" w:hAnsi="仿宋" w:eastAsia="仿宋"/>
                <w:sz w:val="28"/>
                <w:szCs w:val="28"/>
                <w:lang w:eastAsia="zh-CN"/>
              </w:rPr>
              <w:t>人民币元、万元、亿元</w:t>
            </w:r>
          </w:p>
        </w:tc>
      </w:tr>
    </w:tbl>
    <w:p w14:paraId="68DCA485">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本报告书中合计数与各分项数之和在尾数上若存在差异，均为四舍五入原因造成。</w:t>
      </w:r>
      <w:r>
        <w:rPr>
          <w:rFonts w:ascii="仿宋" w:hAnsi="仿宋" w:eastAsia="仿宋"/>
          <w:sz w:val="28"/>
          <w:szCs w:val="28"/>
          <w:lang w:eastAsia="zh-CN"/>
        </w:rPr>
        <w:br w:type="page"/>
      </w:r>
    </w:p>
    <w:p w14:paraId="22061617">
      <w:pPr>
        <w:spacing w:line="360" w:lineRule="auto"/>
        <w:jc w:val="center"/>
        <w:outlineLvl w:val="0"/>
        <w:rPr>
          <w:rFonts w:ascii="黑体" w:hAnsi="黑体" w:eastAsia="黑体"/>
          <w:b/>
          <w:sz w:val="32"/>
          <w:szCs w:val="28"/>
          <w:lang w:eastAsia="zh-CN"/>
        </w:rPr>
      </w:pPr>
      <w:bookmarkStart w:id="2" w:name="_Toc9388"/>
      <w:r>
        <w:rPr>
          <w:rFonts w:hint="eastAsia" w:ascii="黑体" w:hAnsi="黑体" w:eastAsia="黑体"/>
          <w:b/>
          <w:sz w:val="32"/>
          <w:szCs w:val="28"/>
          <w:lang w:eastAsia="zh-CN"/>
        </w:rPr>
        <w:t>第二节 信息披露义务人介绍</w:t>
      </w:r>
      <w:bookmarkEnd w:id="2"/>
    </w:p>
    <w:p w14:paraId="7E538A29">
      <w:pPr>
        <w:spacing w:line="360" w:lineRule="auto"/>
        <w:ind w:firstLine="640" w:firstLineChars="200"/>
        <w:jc w:val="center"/>
        <w:rPr>
          <w:rFonts w:ascii="黑体" w:hAnsi="黑体" w:eastAsia="黑体"/>
          <w:sz w:val="32"/>
          <w:szCs w:val="32"/>
          <w:lang w:eastAsia="zh-CN"/>
        </w:rPr>
      </w:pPr>
    </w:p>
    <w:p w14:paraId="64981118">
      <w:pPr>
        <w:spacing w:line="360" w:lineRule="auto"/>
        <w:ind w:firstLine="562" w:firstLineChars="200"/>
        <w:outlineLvl w:val="1"/>
        <w:rPr>
          <w:rFonts w:ascii="仿宋" w:hAnsi="仿宋" w:eastAsia="仿宋"/>
          <w:b/>
          <w:sz w:val="28"/>
          <w:szCs w:val="28"/>
          <w:lang w:eastAsia="zh-CN"/>
        </w:rPr>
      </w:pPr>
      <w:r>
        <w:rPr>
          <w:rFonts w:hint="eastAsia" w:ascii="仿宋" w:hAnsi="仿宋" w:eastAsia="仿宋"/>
          <w:b/>
          <w:sz w:val="28"/>
          <w:szCs w:val="28"/>
          <w:lang w:eastAsia="zh-CN"/>
        </w:rPr>
        <w:t>一、信息披露义务人基本情况</w:t>
      </w:r>
    </w:p>
    <w:p w14:paraId="59667238">
      <w:pPr>
        <w:spacing w:line="360" w:lineRule="auto"/>
        <w:ind w:firstLine="562" w:firstLineChars="200"/>
        <w:outlineLvl w:val="1"/>
        <w:rPr>
          <w:rFonts w:ascii="仿宋" w:hAnsi="仿宋" w:eastAsia="仿宋"/>
          <w:b/>
          <w:sz w:val="28"/>
          <w:szCs w:val="28"/>
          <w:lang w:eastAsia="zh-CN"/>
        </w:rPr>
      </w:pPr>
      <w:r>
        <w:rPr>
          <w:rFonts w:ascii="仿宋" w:hAnsi="仿宋" w:eastAsia="仿宋"/>
          <w:b/>
          <w:sz w:val="28"/>
          <w:szCs w:val="28"/>
          <w:lang w:eastAsia="zh-CN"/>
        </w:rPr>
        <w:t>（一）林明玲</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6004"/>
      </w:tblGrid>
      <w:tr w14:paraId="752E8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518" w:type="dxa"/>
          </w:tcPr>
          <w:p w14:paraId="24AB6DFA">
            <w:pPr>
              <w:spacing w:line="288" w:lineRule="auto"/>
              <w:rPr>
                <w:rFonts w:ascii="仿宋" w:hAnsi="仿宋" w:eastAsia="仿宋"/>
                <w:b/>
                <w:sz w:val="28"/>
                <w:szCs w:val="28"/>
                <w:lang w:eastAsia="zh-CN"/>
              </w:rPr>
            </w:pPr>
            <w:r>
              <w:rPr>
                <w:rFonts w:hint="eastAsia" w:ascii="仿宋" w:hAnsi="仿宋" w:eastAsia="仿宋"/>
                <w:b/>
                <w:sz w:val="28"/>
                <w:szCs w:val="28"/>
                <w:lang w:eastAsia="zh-CN"/>
              </w:rPr>
              <w:t>姓名</w:t>
            </w:r>
          </w:p>
        </w:tc>
        <w:tc>
          <w:tcPr>
            <w:tcW w:w="6004" w:type="dxa"/>
          </w:tcPr>
          <w:p w14:paraId="7B8BBCB9">
            <w:pPr>
              <w:spacing w:line="288" w:lineRule="auto"/>
              <w:rPr>
                <w:rFonts w:ascii="仿宋" w:hAnsi="仿宋" w:eastAsia="仿宋"/>
                <w:sz w:val="28"/>
                <w:szCs w:val="28"/>
                <w:lang w:eastAsia="zh-CN"/>
              </w:rPr>
            </w:pPr>
            <w:r>
              <w:rPr>
                <w:rFonts w:hint="eastAsia" w:ascii="仿宋" w:hAnsi="仿宋" w:eastAsia="仿宋"/>
                <w:sz w:val="28"/>
                <w:szCs w:val="28"/>
                <w:lang w:eastAsia="zh-CN"/>
              </w:rPr>
              <w:t>林明玲</w:t>
            </w:r>
          </w:p>
        </w:tc>
      </w:tr>
      <w:tr w14:paraId="69714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518" w:type="dxa"/>
          </w:tcPr>
          <w:p w14:paraId="6316AB9A">
            <w:pPr>
              <w:spacing w:line="288" w:lineRule="auto"/>
              <w:rPr>
                <w:rFonts w:ascii="仿宋" w:hAnsi="仿宋" w:eastAsia="仿宋"/>
                <w:b/>
                <w:sz w:val="28"/>
                <w:szCs w:val="28"/>
                <w:lang w:eastAsia="zh-CN"/>
              </w:rPr>
            </w:pPr>
            <w:r>
              <w:rPr>
                <w:rFonts w:hint="eastAsia" w:ascii="仿宋" w:hAnsi="仿宋" w:eastAsia="仿宋"/>
                <w:b/>
                <w:sz w:val="28"/>
                <w:szCs w:val="28"/>
                <w:lang w:eastAsia="zh-CN"/>
              </w:rPr>
              <w:t>性别</w:t>
            </w:r>
          </w:p>
        </w:tc>
        <w:tc>
          <w:tcPr>
            <w:tcW w:w="6004" w:type="dxa"/>
          </w:tcPr>
          <w:p w14:paraId="02C63F8B">
            <w:pPr>
              <w:spacing w:line="288" w:lineRule="auto"/>
              <w:rPr>
                <w:rFonts w:ascii="仿宋" w:hAnsi="仿宋" w:eastAsia="仿宋"/>
                <w:sz w:val="28"/>
                <w:szCs w:val="28"/>
                <w:lang w:eastAsia="zh-CN"/>
              </w:rPr>
            </w:pPr>
            <w:r>
              <w:rPr>
                <w:rFonts w:ascii="仿宋" w:hAnsi="仿宋" w:eastAsia="仿宋"/>
                <w:sz w:val="28"/>
                <w:szCs w:val="28"/>
                <w:lang w:eastAsia="zh-CN"/>
              </w:rPr>
              <w:t>女</w:t>
            </w:r>
          </w:p>
        </w:tc>
      </w:tr>
      <w:tr w14:paraId="0FF12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518" w:type="dxa"/>
          </w:tcPr>
          <w:p w14:paraId="2F174087">
            <w:pPr>
              <w:spacing w:line="288" w:lineRule="auto"/>
              <w:rPr>
                <w:rFonts w:ascii="仿宋" w:hAnsi="仿宋" w:eastAsia="仿宋"/>
                <w:b/>
                <w:sz w:val="28"/>
                <w:szCs w:val="28"/>
                <w:lang w:eastAsia="zh-CN"/>
              </w:rPr>
            </w:pPr>
            <w:r>
              <w:rPr>
                <w:rFonts w:hint="eastAsia" w:ascii="仿宋" w:hAnsi="仿宋" w:eastAsia="仿宋"/>
                <w:b/>
                <w:sz w:val="28"/>
                <w:szCs w:val="28"/>
                <w:lang w:eastAsia="zh-CN"/>
              </w:rPr>
              <w:t>国籍</w:t>
            </w:r>
          </w:p>
        </w:tc>
        <w:tc>
          <w:tcPr>
            <w:tcW w:w="6004" w:type="dxa"/>
          </w:tcPr>
          <w:p w14:paraId="5EBE7A48">
            <w:pPr>
              <w:spacing w:line="288" w:lineRule="auto"/>
              <w:rPr>
                <w:rFonts w:ascii="仿宋" w:hAnsi="仿宋" w:eastAsia="仿宋"/>
                <w:sz w:val="28"/>
                <w:szCs w:val="28"/>
                <w:lang w:eastAsia="zh-CN"/>
              </w:rPr>
            </w:pPr>
            <w:r>
              <w:rPr>
                <w:rFonts w:ascii="仿宋" w:hAnsi="仿宋" w:eastAsia="仿宋"/>
                <w:sz w:val="28"/>
                <w:szCs w:val="28"/>
                <w:lang w:eastAsia="zh-CN"/>
              </w:rPr>
              <w:t>中国</w:t>
            </w:r>
          </w:p>
        </w:tc>
      </w:tr>
      <w:tr w14:paraId="53FB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518" w:type="dxa"/>
          </w:tcPr>
          <w:p w14:paraId="69F61B19">
            <w:pPr>
              <w:spacing w:line="288" w:lineRule="auto"/>
              <w:rPr>
                <w:rFonts w:ascii="仿宋" w:hAnsi="仿宋" w:eastAsia="仿宋"/>
                <w:b/>
                <w:sz w:val="28"/>
                <w:szCs w:val="28"/>
                <w:lang w:eastAsia="zh-CN"/>
              </w:rPr>
            </w:pPr>
            <w:r>
              <w:rPr>
                <w:rFonts w:hint="eastAsia" w:ascii="仿宋" w:hAnsi="仿宋" w:eastAsia="仿宋"/>
                <w:b/>
                <w:sz w:val="28"/>
                <w:szCs w:val="28"/>
                <w:lang w:eastAsia="zh-CN"/>
              </w:rPr>
              <w:t>身份证号码</w:t>
            </w:r>
          </w:p>
        </w:tc>
        <w:tc>
          <w:tcPr>
            <w:tcW w:w="6004" w:type="dxa"/>
          </w:tcPr>
          <w:p w14:paraId="4647EC95">
            <w:pPr>
              <w:spacing w:line="288" w:lineRule="auto"/>
              <w:rPr>
                <w:rFonts w:ascii="仿宋" w:hAnsi="仿宋" w:eastAsia="仿宋"/>
                <w:sz w:val="28"/>
                <w:szCs w:val="28"/>
                <w:lang w:eastAsia="zh-CN"/>
              </w:rPr>
            </w:pPr>
            <w:r>
              <w:rPr>
                <w:rFonts w:ascii="仿宋" w:hAnsi="仿宋" w:eastAsia="仿宋"/>
                <w:sz w:val="28"/>
                <w:szCs w:val="28"/>
                <w:lang w:eastAsia="zh-CN"/>
              </w:rPr>
              <w:t>440524************</w:t>
            </w:r>
          </w:p>
        </w:tc>
      </w:tr>
      <w:tr w14:paraId="505A8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518" w:type="dxa"/>
          </w:tcPr>
          <w:p w14:paraId="7759C683">
            <w:pPr>
              <w:spacing w:line="288" w:lineRule="auto"/>
              <w:rPr>
                <w:rFonts w:ascii="仿宋" w:hAnsi="仿宋" w:eastAsia="仿宋"/>
                <w:b/>
                <w:sz w:val="28"/>
                <w:szCs w:val="28"/>
                <w:lang w:eastAsia="zh-CN"/>
              </w:rPr>
            </w:pPr>
            <w:r>
              <w:rPr>
                <w:rFonts w:hint="eastAsia" w:ascii="仿宋" w:hAnsi="仿宋" w:eastAsia="仿宋"/>
                <w:b/>
                <w:sz w:val="28"/>
                <w:szCs w:val="28"/>
                <w:lang w:eastAsia="zh-CN"/>
              </w:rPr>
              <w:t>住所</w:t>
            </w:r>
          </w:p>
        </w:tc>
        <w:tc>
          <w:tcPr>
            <w:tcW w:w="6004" w:type="dxa"/>
          </w:tcPr>
          <w:p w14:paraId="6CDC1CF4">
            <w:pPr>
              <w:spacing w:line="288" w:lineRule="auto"/>
              <w:rPr>
                <w:rFonts w:ascii="仿宋" w:hAnsi="仿宋" w:eastAsia="仿宋"/>
                <w:sz w:val="28"/>
                <w:szCs w:val="28"/>
                <w:lang w:eastAsia="zh-CN"/>
              </w:rPr>
            </w:pPr>
            <w:r>
              <w:rPr>
                <w:rFonts w:hint="eastAsia" w:ascii="仿宋" w:hAnsi="仿宋" w:eastAsia="仿宋"/>
                <w:sz w:val="28"/>
                <w:szCs w:val="28"/>
                <w:lang w:eastAsia="zh-CN"/>
              </w:rPr>
              <w:t>广东省汕头市</w:t>
            </w:r>
          </w:p>
        </w:tc>
      </w:tr>
      <w:tr w14:paraId="38A41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518" w:type="dxa"/>
          </w:tcPr>
          <w:p w14:paraId="05BA848B">
            <w:pPr>
              <w:spacing w:line="288" w:lineRule="auto"/>
              <w:rPr>
                <w:rFonts w:ascii="仿宋" w:hAnsi="仿宋" w:eastAsia="仿宋"/>
                <w:b/>
                <w:sz w:val="28"/>
                <w:szCs w:val="28"/>
                <w:lang w:eastAsia="zh-CN"/>
              </w:rPr>
            </w:pPr>
            <w:r>
              <w:rPr>
                <w:rFonts w:hint="eastAsia" w:ascii="仿宋" w:hAnsi="仿宋" w:eastAsia="仿宋"/>
                <w:b/>
                <w:sz w:val="28"/>
                <w:szCs w:val="28"/>
                <w:lang w:eastAsia="zh-CN"/>
              </w:rPr>
              <w:t>通讯地址</w:t>
            </w:r>
          </w:p>
        </w:tc>
        <w:tc>
          <w:tcPr>
            <w:tcW w:w="6004" w:type="dxa"/>
          </w:tcPr>
          <w:p w14:paraId="49E878F8">
            <w:pPr>
              <w:spacing w:line="288" w:lineRule="auto"/>
              <w:rPr>
                <w:rFonts w:ascii="仿宋" w:hAnsi="仿宋" w:eastAsia="仿宋"/>
                <w:sz w:val="28"/>
                <w:szCs w:val="28"/>
                <w:lang w:eastAsia="zh-CN"/>
              </w:rPr>
            </w:pPr>
            <w:r>
              <w:rPr>
                <w:rFonts w:hint="eastAsia" w:ascii="仿宋" w:hAnsi="仿宋" w:eastAsia="仿宋"/>
                <w:sz w:val="28"/>
                <w:szCs w:val="28"/>
                <w:lang w:eastAsia="zh-CN"/>
              </w:rPr>
              <w:t>广东省汕头市金平区海滨路55号</w:t>
            </w:r>
          </w:p>
        </w:tc>
      </w:tr>
      <w:tr w14:paraId="71CF5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518" w:type="dxa"/>
          </w:tcPr>
          <w:p w14:paraId="3F4BCC26">
            <w:pPr>
              <w:spacing w:line="288" w:lineRule="auto"/>
              <w:rPr>
                <w:rFonts w:ascii="仿宋" w:hAnsi="仿宋" w:eastAsia="仿宋"/>
                <w:b/>
                <w:sz w:val="28"/>
                <w:szCs w:val="28"/>
                <w:lang w:eastAsia="zh-CN"/>
              </w:rPr>
            </w:pPr>
            <w:r>
              <w:rPr>
                <w:rFonts w:hint="eastAsia" w:ascii="仿宋" w:hAnsi="仿宋" w:eastAsia="仿宋"/>
                <w:b/>
                <w:sz w:val="28"/>
                <w:szCs w:val="28"/>
                <w:lang w:eastAsia="zh-CN"/>
              </w:rPr>
              <w:t>是否取得其他国家和地区的居留权</w:t>
            </w:r>
          </w:p>
        </w:tc>
        <w:tc>
          <w:tcPr>
            <w:tcW w:w="6004" w:type="dxa"/>
            <w:vAlign w:val="center"/>
          </w:tcPr>
          <w:p w14:paraId="46D14107">
            <w:pPr>
              <w:spacing w:line="288" w:lineRule="auto"/>
              <w:jc w:val="both"/>
              <w:rPr>
                <w:rFonts w:ascii="仿宋" w:hAnsi="仿宋" w:eastAsia="仿宋"/>
                <w:sz w:val="28"/>
                <w:szCs w:val="28"/>
                <w:lang w:eastAsia="zh-CN"/>
              </w:rPr>
            </w:pPr>
            <w:r>
              <w:rPr>
                <w:rFonts w:ascii="仿宋" w:hAnsi="仿宋" w:eastAsia="仿宋"/>
                <w:sz w:val="28"/>
                <w:szCs w:val="28"/>
                <w:lang w:eastAsia="zh-CN"/>
              </w:rPr>
              <w:t>否</w:t>
            </w:r>
          </w:p>
        </w:tc>
      </w:tr>
      <w:tr w14:paraId="44B74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518" w:type="dxa"/>
          </w:tcPr>
          <w:p w14:paraId="427B3268">
            <w:pPr>
              <w:spacing w:line="288" w:lineRule="auto"/>
              <w:rPr>
                <w:rFonts w:ascii="仿宋" w:hAnsi="仿宋" w:eastAsia="仿宋"/>
                <w:b/>
                <w:sz w:val="28"/>
                <w:szCs w:val="28"/>
                <w:lang w:eastAsia="zh-CN"/>
              </w:rPr>
            </w:pPr>
            <w:r>
              <w:rPr>
                <w:rFonts w:hint="eastAsia" w:ascii="仿宋" w:hAnsi="仿宋" w:eastAsia="仿宋"/>
                <w:b/>
                <w:sz w:val="28"/>
                <w:szCs w:val="28"/>
                <w:lang w:eastAsia="zh-CN"/>
              </w:rPr>
              <w:t>在公司任职</w:t>
            </w:r>
          </w:p>
        </w:tc>
        <w:tc>
          <w:tcPr>
            <w:tcW w:w="6004" w:type="dxa"/>
          </w:tcPr>
          <w:p w14:paraId="4DB3C07C">
            <w:pPr>
              <w:spacing w:line="288" w:lineRule="auto"/>
              <w:rPr>
                <w:rFonts w:ascii="仿宋" w:hAnsi="仿宋" w:eastAsia="仿宋"/>
                <w:sz w:val="28"/>
                <w:szCs w:val="28"/>
                <w:lang w:eastAsia="zh-CN"/>
              </w:rPr>
            </w:pPr>
            <w:r>
              <w:rPr>
                <w:rFonts w:ascii="仿宋" w:hAnsi="仿宋" w:eastAsia="仿宋"/>
                <w:sz w:val="28"/>
                <w:szCs w:val="28"/>
                <w:lang w:eastAsia="zh-CN"/>
              </w:rPr>
              <w:t>董事长</w:t>
            </w:r>
          </w:p>
        </w:tc>
      </w:tr>
    </w:tbl>
    <w:p w14:paraId="13716915">
      <w:pPr>
        <w:spacing w:line="360" w:lineRule="auto"/>
        <w:ind w:firstLine="562" w:firstLineChars="200"/>
        <w:outlineLvl w:val="1"/>
        <w:rPr>
          <w:rFonts w:ascii="仿宋" w:hAnsi="仿宋" w:eastAsia="仿宋"/>
          <w:b/>
          <w:sz w:val="28"/>
          <w:szCs w:val="28"/>
          <w:lang w:eastAsia="zh-CN"/>
        </w:rPr>
      </w:pPr>
      <w:r>
        <w:rPr>
          <w:rFonts w:ascii="仿宋" w:hAnsi="仿宋" w:eastAsia="仿宋"/>
          <w:b/>
          <w:sz w:val="28"/>
          <w:szCs w:val="28"/>
          <w:lang w:eastAsia="zh-CN"/>
        </w:rPr>
        <w:t>（二）马学沛</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6004"/>
      </w:tblGrid>
      <w:tr w14:paraId="73753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8" w:type="dxa"/>
          </w:tcPr>
          <w:p w14:paraId="1AC197B0">
            <w:pPr>
              <w:spacing w:line="288" w:lineRule="auto"/>
              <w:rPr>
                <w:rFonts w:ascii="仿宋" w:hAnsi="仿宋" w:eastAsia="仿宋"/>
                <w:b/>
                <w:sz w:val="28"/>
                <w:szCs w:val="28"/>
                <w:lang w:eastAsia="zh-CN"/>
              </w:rPr>
            </w:pPr>
            <w:r>
              <w:rPr>
                <w:rFonts w:hint="eastAsia" w:ascii="仿宋" w:hAnsi="仿宋" w:eastAsia="仿宋"/>
                <w:b/>
                <w:sz w:val="28"/>
                <w:szCs w:val="28"/>
                <w:lang w:eastAsia="zh-CN"/>
              </w:rPr>
              <w:t>姓名</w:t>
            </w:r>
          </w:p>
        </w:tc>
        <w:tc>
          <w:tcPr>
            <w:tcW w:w="6004" w:type="dxa"/>
          </w:tcPr>
          <w:p w14:paraId="5A6EF820">
            <w:pPr>
              <w:spacing w:line="288" w:lineRule="auto"/>
              <w:rPr>
                <w:rFonts w:ascii="仿宋" w:hAnsi="仿宋" w:eastAsia="仿宋"/>
                <w:sz w:val="28"/>
                <w:szCs w:val="28"/>
                <w:lang w:eastAsia="zh-CN"/>
              </w:rPr>
            </w:pPr>
            <w:r>
              <w:rPr>
                <w:rFonts w:hint="eastAsia" w:ascii="仿宋" w:hAnsi="仿宋" w:eastAsia="仿宋"/>
                <w:sz w:val="28"/>
                <w:szCs w:val="28"/>
                <w:lang w:eastAsia="zh-CN"/>
              </w:rPr>
              <w:t>马学沛</w:t>
            </w:r>
          </w:p>
        </w:tc>
      </w:tr>
      <w:tr w14:paraId="519A8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8" w:type="dxa"/>
          </w:tcPr>
          <w:p w14:paraId="531D9A8D">
            <w:pPr>
              <w:spacing w:line="288" w:lineRule="auto"/>
              <w:rPr>
                <w:rFonts w:ascii="仿宋" w:hAnsi="仿宋" w:eastAsia="仿宋"/>
                <w:b/>
                <w:sz w:val="28"/>
                <w:szCs w:val="28"/>
                <w:lang w:eastAsia="zh-CN"/>
              </w:rPr>
            </w:pPr>
            <w:r>
              <w:rPr>
                <w:rFonts w:hint="eastAsia" w:ascii="仿宋" w:hAnsi="仿宋" w:eastAsia="仿宋"/>
                <w:b/>
                <w:sz w:val="28"/>
                <w:szCs w:val="28"/>
                <w:lang w:eastAsia="zh-CN"/>
              </w:rPr>
              <w:t>性别</w:t>
            </w:r>
          </w:p>
        </w:tc>
        <w:tc>
          <w:tcPr>
            <w:tcW w:w="6004" w:type="dxa"/>
          </w:tcPr>
          <w:p w14:paraId="2A626F0A">
            <w:pPr>
              <w:spacing w:line="288" w:lineRule="auto"/>
              <w:rPr>
                <w:rFonts w:ascii="仿宋" w:hAnsi="仿宋" w:eastAsia="仿宋"/>
                <w:sz w:val="28"/>
                <w:szCs w:val="28"/>
                <w:lang w:eastAsia="zh-CN"/>
              </w:rPr>
            </w:pPr>
            <w:r>
              <w:rPr>
                <w:rFonts w:ascii="仿宋" w:hAnsi="仿宋" w:eastAsia="仿宋"/>
                <w:sz w:val="28"/>
                <w:szCs w:val="28"/>
                <w:lang w:eastAsia="zh-CN"/>
              </w:rPr>
              <w:t>男</w:t>
            </w:r>
          </w:p>
        </w:tc>
      </w:tr>
      <w:tr w14:paraId="69229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8" w:type="dxa"/>
          </w:tcPr>
          <w:p w14:paraId="254992BA">
            <w:pPr>
              <w:spacing w:line="288" w:lineRule="auto"/>
              <w:rPr>
                <w:rFonts w:ascii="仿宋" w:hAnsi="仿宋" w:eastAsia="仿宋"/>
                <w:b/>
                <w:sz w:val="28"/>
                <w:szCs w:val="28"/>
                <w:lang w:eastAsia="zh-CN"/>
              </w:rPr>
            </w:pPr>
            <w:r>
              <w:rPr>
                <w:rFonts w:hint="eastAsia" w:ascii="仿宋" w:hAnsi="仿宋" w:eastAsia="仿宋"/>
                <w:b/>
                <w:sz w:val="28"/>
                <w:szCs w:val="28"/>
                <w:lang w:eastAsia="zh-CN"/>
              </w:rPr>
              <w:t>国籍</w:t>
            </w:r>
          </w:p>
        </w:tc>
        <w:tc>
          <w:tcPr>
            <w:tcW w:w="6004" w:type="dxa"/>
          </w:tcPr>
          <w:p w14:paraId="5AC601F8">
            <w:pPr>
              <w:spacing w:line="288" w:lineRule="auto"/>
              <w:rPr>
                <w:rFonts w:ascii="仿宋" w:hAnsi="仿宋" w:eastAsia="仿宋"/>
                <w:sz w:val="28"/>
                <w:szCs w:val="28"/>
                <w:lang w:eastAsia="zh-CN"/>
              </w:rPr>
            </w:pPr>
            <w:r>
              <w:rPr>
                <w:rFonts w:ascii="仿宋" w:hAnsi="仿宋" w:eastAsia="仿宋"/>
                <w:sz w:val="28"/>
                <w:szCs w:val="28"/>
                <w:lang w:eastAsia="zh-CN"/>
              </w:rPr>
              <w:t>中国</w:t>
            </w:r>
          </w:p>
        </w:tc>
      </w:tr>
      <w:tr w14:paraId="22EBE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8" w:type="dxa"/>
          </w:tcPr>
          <w:p w14:paraId="1660EB2A">
            <w:pPr>
              <w:spacing w:line="288" w:lineRule="auto"/>
              <w:rPr>
                <w:rFonts w:ascii="仿宋" w:hAnsi="仿宋" w:eastAsia="仿宋"/>
                <w:b/>
                <w:sz w:val="28"/>
                <w:szCs w:val="28"/>
                <w:lang w:eastAsia="zh-CN"/>
              </w:rPr>
            </w:pPr>
            <w:r>
              <w:rPr>
                <w:rFonts w:hint="eastAsia" w:ascii="仿宋" w:hAnsi="仿宋" w:eastAsia="仿宋"/>
                <w:b/>
                <w:sz w:val="28"/>
                <w:szCs w:val="28"/>
                <w:lang w:eastAsia="zh-CN"/>
              </w:rPr>
              <w:t>身份证号码</w:t>
            </w:r>
          </w:p>
        </w:tc>
        <w:tc>
          <w:tcPr>
            <w:tcW w:w="6004" w:type="dxa"/>
          </w:tcPr>
          <w:p w14:paraId="29712D77">
            <w:pPr>
              <w:spacing w:line="288" w:lineRule="auto"/>
              <w:rPr>
                <w:rFonts w:ascii="仿宋" w:hAnsi="仿宋" w:eastAsia="仿宋"/>
                <w:sz w:val="28"/>
                <w:szCs w:val="28"/>
                <w:lang w:eastAsia="zh-CN"/>
              </w:rPr>
            </w:pPr>
            <w:r>
              <w:rPr>
                <w:rFonts w:ascii="仿宋" w:hAnsi="仿宋" w:eastAsia="仿宋"/>
                <w:sz w:val="28"/>
                <w:szCs w:val="28"/>
                <w:lang w:eastAsia="zh-CN"/>
              </w:rPr>
              <w:t>440524************</w:t>
            </w:r>
          </w:p>
        </w:tc>
      </w:tr>
      <w:tr w14:paraId="6145A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8" w:type="dxa"/>
          </w:tcPr>
          <w:p w14:paraId="5D950BFA">
            <w:pPr>
              <w:spacing w:line="288" w:lineRule="auto"/>
              <w:rPr>
                <w:rFonts w:ascii="仿宋" w:hAnsi="仿宋" w:eastAsia="仿宋"/>
                <w:b/>
                <w:sz w:val="28"/>
                <w:szCs w:val="28"/>
                <w:lang w:eastAsia="zh-CN"/>
              </w:rPr>
            </w:pPr>
            <w:r>
              <w:rPr>
                <w:rFonts w:hint="eastAsia" w:ascii="仿宋" w:hAnsi="仿宋" w:eastAsia="仿宋"/>
                <w:b/>
                <w:sz w:val="28"/>
                <w:szCs w:val="28"/>
                <w:lang w:eastAsia="zh-CN"/>
              </w:rPr>
              <w:t>住所</w:t>
            </w:r>
          </w:p>
        </w:tc>
        <w:tc>
          <w:tcPr>
            <w:tcW w:w="6004" w:type="dxa"/>
          </w:tcPr>
          <w:p w14:paraId="2E2ED60C">
            <w:pPr>
              <w:spacing w:line="288" w:lineRule="auto"/>
              <w:rPr>
                <w:rFonts w:ascii="仿宋" w:hAnsi="仿宋" w:eastAsia="仿宋"/>
                <w:sz w:val="28"/>
                <w:szCs w:val="28"/>
                <w:lang w:eastAsia="zh-CN"/>
              </w:rPr>
            </w:pPr>
            <w:r>
              <w:rPr>
                <w:rFonts w:hint="eastAsia" w:ascii="仿宋" w:hAnsi="仿宋" w:eastAsia="仿宋"/>
                <w:sz w:val="28"/>
                <w:szCs w:val="28"/>
                <w:lang w:eastAsia="zh-CN"/>
              </w:rPr>
              <w:t>广东省汕头市</w:t>
            </w:r>
          </w:p>
        </w:tc>
      </w:tr>
      <w:tr w14:paraId="215B2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8" w:type="dxa"/>
          </w:tcPr>
          <w:p w14:paraId="0A04792B">
            <w:pPr>
              <w:spacing w:line="288" w:lineRule="auto"/>
              <w:rPr>
                <w:rFonts w:ascii="仿宋" w:hAnsi="仿宋" w:eastAsia="仿宋"/>
                <w:b/>
                <w:sz w:val="28"/>
                <w:szCs w:val="28"/>
                <w:lang w:eastAsia="zh-CN"/>
              </w:rPr>
            </w:pPr>
            <w:r>
              <w:rPr>
                <w:rFonts w:hint="eastAsia" w:ascii="仿宋" w:hAnsi="仿宋" w:eastAsia="仿宋"/>
                <w:b/>
                <w:sz w:val="28"/>
                <w:szCs w:val="28"/>
                <w:lang w:eastAsia="zh-CN"/>
              </w:rPr>
              <w:t>通讯地址</w:t>
            </w:r>
          </w:p>
        </w:tc>
        <w:tc>
          <w:tcPr>
            <w:tcW w:w="6004" w:type="dxa"/>
          </w:tcPr>
          <w:p w14:paraId="03630BDC">
            <w:pPr>
              <w:spacing w:line="288" w:lineRule="auto"/>
              <w:rPr>
                <w:rFonts w:ascii="仿宋" w:hAnsi="仿宋" w:eastAsia="仿宋"/>
                <w:sz w:val="28"/>
                <w:szCs w:val="28"/>
                <w:lang w:eastAsia="zh-CN"/>
              </w:rPr>
            </w:pPr>
            <w:r>
              <w:rPr>
                <w:rFonts w:hint="eastAsia" w:ascii="仿宋" w:hAnsi="仿宋" w:eastAsia="仿宋"/>
                <w:sz w:val="28"/>
                <w:szCs w:val="28"/>
                <w:lang w:eastAsia="zh-CN"/>
              </w:rPr>
              <w:t>广东省汕头市金平区海滨路55号</w:t>
            </w:r>
          </w:p>
        </w:tc>
      </w:tr>
      <w:tr w14:paraId="64D0F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8" w:type="dxa"/>
          </w:tcPr>
          <w:p w14:paraId="7690091D">
            <w:pPr>
              <w:spacing w:line="288" w:lineRule="auto"/>
              <w:rPr>
                <w:rFonts w:ascii="仿宋" w:hAnsi="仿宋" w:eastAsia="仿宋"/>
                <w:b/>
                <w:sz w:val="28"/>
                <w:szCs w:val="28"/>
                <w:lang w:eastAsia="zh-CN"/>
              </w:rPr>
            </w:pPr>
            <w:r>
              <w:rPr>
                <w:rFonts w:hint="eastAsia" w:ascii="仿宋" w:hAnsi="仿宋" w:eastAsia="仿宋"/>
                <w:b/>
                <w:sz w:val="28"/>
                <w:szCs w:val="28"/>
                <w:lang w:eastAsia="zh-CN"/>
              </w:rPr>
              <w:t>是否取得其他国家和地区的居留权</w:t>
            </w:r>
          </w:p>
        </w:tc>
        <w:tc>
          <w:tcPr>
            <w:tcW w:w="6004" w:type="dxa"/>
          </w:tcPr>
          <w:p w14:paraId="3FAFC66A">
            <w:pPr>
              <w:spacing w:line="288" w:lineRule="auto"/>
              <w:rPr>
                <w:rFonts w:ascii="仿宋" w:hAnsi="仿宋" w:eastAsia="仿宋"/>
                <w:sz w:val="28"/>
                <w:szCs w:val="28"/>
                <w:lang w:eastAsia="zh-CN"/>
              </w:rPr>
            </w:pPr>
            <w:r>
              <w:rPr>
                <w:rFonts w:ascii="仿宋" w:hAnsi="仿宋" w:eastAsia="仿宋"/>
                <w:sz w:val="28"/>
                <w:szCs w:val="28"/>
                <w:lang w:eastAsia="zh-CN"/>
              </w:rPr>
              <w:t>否</w:t>
            </w:r>
          </w:p>
        </w:tc>
      </w:tr>
      <w:tr w14:paraId="405DB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8" w:type="dxa"/>
          </w:tcPr>
          <w:p w14:paraId="48D8D7E6">
            <w:pPr>
              <w:spacing w:line="288" w:lineRule="auto"/>
              <w:rPr>
                <w:rFonts w:ascii="仿宋" w:hAnsi="仿宋" w:eastAsia="仿宋"/>
                <w:b/>
                <w:sz w:val="28"/>
                <w:szCs w:val="28"/>
                <w:lang w:eastAsia="zh-CN"/>
              </w:rPr>
            </w:pPr>
            <w:r>
              <w:rPr>
                <w:rFonts w:hint="eastAsia" w:ascii="仿宋" w:hAnsi="仿宋" w:eastAsia="仿宋"/>
                <w:b/>
                <w:sz w:val="28"/>
                <w:szCs w:val="28"/>
                <w:lang w:eastAsia="zh-CN"/>
              </w:rPr>
              <w:t>在公司任职</w:t>
            </w:r>
          </w:p>
        </w:tc>
        <w:tc>
          <w:tcPr>
            <w:tcW w:w="6004" w:type="dxa"/>
          </w:tcPr>
          <w:p w14:paraId="14B25B33">
            <w:pPr>
              <w:spacing w:line="288" w:lineRule="auto"/>
              <w:rPr>
                <w:rFonts w:ascii="仿宋" w:hAnsi="仿宋" w:eastAsia="仿宋"/>
                <w:sz w:val="28"/>
                <w:szCs w:val="28"/>
                <w:lang w:eastAsia="zh-CN"/>
              </w:rPr>
            </w:pPr>
            <w:r>
              <w:rPr>
                <w:rFonts w:ascii="仿宋" w:hAnsi="仿宋" w:eastAsia="仿宋"/>
                <w:sz w:val="28"/>
                <w:szCs w:val="28"/>
                <w:lang w:eastAsia="zh-CN"/>
              </w:rPr>
              <w:t>副董事长、总经理</w:t>
            </w:r>
          </w:p>
        </w:tc>
      </w:tr>
    </w:tbl>
    <w:p w14:paraId="3CF4C6A5">
      <w:pPr>
        <w:spacing w:line="360" w:lineRule="auto"/>
        <w:ind w:firstLine="562" w:firstLineChars="200"/>
        <w:outlineLvl w:val="1"/>
        <w:rPr>
          <w:rFonts w:ascii="仿宋" w:hAnsi="仿宋" w:eastAsia="仿宋"/>
          <w:b/>
          <w:sz w:val="28"/>
          <w:szCs w:val="28"/>
          <w:lang w:eastAsia="zh-CN"/>
        </w:rPr>
      </w:pPr>
      <w:r>
        <w:rPr>
          <w:rFonts w:hint="eastAsia" w:ascii="仿宋" w:hAnsi="仿宋" w:eastAsia="仿宋"/>
          <w:b/>
          <w:sz w:val="28"/>
          <w:szCs w:val="28"/>
          <w:lang w:eastAsia="zh-CN"/>
        </w:rPr>
        <w:t>二、信息披露义务人在境内、境外其他上市公司中拥有权益的股份达到或超过该公司已发行股份</w:t>
      </w:r>
      <w:r>
        <w:rPr>
          <w:rFonts w:ascii="仿宋" w:hAnsi="仿宋" w:eastAsia="仿宋"/>
          <w:b/>
          <w:sz w:val="28"/>
          <w:szCs w:val="28"/>
          <w:lang w:eastAsia="zh-CN"/>
        </w:rPr>
        <w:t>5%的情况</w:t>
      </w:r>
    </w:p>
    <w:p w14:paraId="056AFE86">
      <w:pPr>
        <w:spacing w:line="360" w:lineRule="auto"/>
        <w:ind w:firstLine="560" w:firstLineChars="200"/>
        <w:rPr>
          <w:rFonts w:ascii="仿宋" w:hAnsi="仿宋" w:eastAsia="仿宋"/>
          <w:b/>
          <w:sz w:val="28"/>
          <w:szCs w:val="28"/>
          <w:lang w:eastAsia="zh-CN"/>
        </w:rPr>
      </w:pPr>
      <w:r>
        <w:rPr>
          <w:rFonts w:hint="eastAsia" w:ascii="仿宋" w:hAnsi="仿宋" w:eastAsia="仿宋"/>
          <w:sz w:val="28"/>
          <w:szCs w:val="28"/>
          <w:lang w:eastAsia="zh-CN"/>
        </w:rPr>
        <w:t>截至本报告书签署日，信息披露义务人均不存在在境内、境外其他上市公司中拥有权益的股份达到或超过该公司已发行股份5%情况。</w:t>
      </w:r>
    </w:p>
    <w:p w14:paraId="4FB4EB92">
      <w:pPr>
        <w:widowControl/>
        <w:rPr>
          <w:rFonts w:ascii="仿宋" w:hAnsi="仿宋" w:eastAsia="仿宋"/>
          <w:b/>
          <w:sz w:val="28"/>
          <w:szCs w:val="28"/>
          <w:lang w:eastAsia="zh-CN"/>
        </w:rPr>
      </w:pPr>
      <w:r>
        <w:rPr>
          <w:rFonts w:ascii="仿宋" w:hAnsi="仿宋" w:eastAsia="仿宋"/>
          <w:b/>
          <w:sz w:val="28"/>
          <w:szCs w:val="28"/>
          <w:lang w:eastAsia="zh-CN"/>
        </w:rPr>
        <w:br w:type="page"/>
      </w:r>
    </w:p>
    <w:p w14:paraId="6E7F3190">
      <w:pPr>
        <w:spacing w:line="360" w:lineRule="auto"/>
        <w:jc w:val="center"/>
        <w:outlineLvl w:val="0"/>
        <w:rPr>
          <w:rFonts w:ascii="黑体" w:hAnsi="黑体" w:eastAsia="黑体"/>
          <w:b/>
          <w:sz w:val="32"/>
          <w:szCs w:val="28"/>
          <w:lang w:eastAsia="zh-CN"/>
        </w:rPr>
      </w:pPr>
      <w:bookmarkStart w:id="3" w:name="_Toc15605"/>
      <w:r>
        <w:rPr>
          <w:rFonts w:hint="eastAsia" w:ascii="黑体" w:hAnsi="黑体" w:eastAsia="黑体"/>
          <w:b/>
          <w:sz w:val="32"/>
          <w:szCs w:val="28"/>
          <w:lang w:eastAsia="zh-CN"/>
        </w:rPr>
        <w:t>第三节 权益变动目的</w:t>
      </w:r>
      <w:bookmarkEnd w:id="3"/>
    </w:p>
    <w:p w14:paraId="1E5FB116">
      <w:pPr>
        <w:spacing w:line="360" w:lineRule="auto"/>
        <w:ind w:firstLine="562" w:firstLineChars="200"/>
        <w:outlineLvl w:val="1"/>
        <w:rPr>
          <w:rFonts w:ascii="仿宋" w:hAnsi="仿宋" w:eastAsia="仿宋"/>
          <w:b/>
          <w:sz w:val="28"/>
          <w:szCs w:val="28"/>
          <w:lang w:eastAsia="zh-CN"/>
        </w:rPr>
      </w:pPr>
      <w:r>
        <w:rPr>
          <w:rFonts w:hint="eastAsia" w:ascii="仿宋" w:hAnsi="仿宋" w:eastAsia="仿宋"/>
          <w:b/>
          <w:sz w:val="28"/>
          <w:szCs w:val="28"/>
          <w:lang w:eastAsia="zh-CN"/>
        </w:rPr>
        <w:t>一、本次权益变动目的</w:t>
      </w:r>
    </w:p>
    <w:p w14:paraId="259652B9">
      <w:pPr>
        <w:ind w:firstLine="560" w:firstLineChars="200"/>
        <w:jc w:val="both"/>
      </w:pPr>
      <w:r>
        <w:rPr>
          <w:rFonts w:ascii="仿宋" w:hAnsi="仿宋" w:eastAsia="仿宋"/>
          <w:sz w:val="28"/>
          <w:szCs w:val="28"/>
          <w:lang w:eastAsia="zh-CN"/>
        </w:rPr>
        <w:t>因</w:t>
      </w:r>
      <w:r>
        <w:rPr>
          <w:rFonts w:hint="eastAsia" w:ascii="仿宋" w:hAnsi="仿宋" w:eastAsia="仿宋"/>
          <w:sz w:val="28"/>
          <w:szCs w:val="28"/>
          <w:lang w:eastAsia="zh-CN"/>
        </w:rPr>
        <w:t>2023年度、2024年度公司层面业绩指标未达，公司根据《广东天亿马信息产业股份有限公司2023年限制性股票激励计划》和《2023年限制性股票激励计划实施考核管理办法(修订稿)》的相关规定，公司分别于2024年11月27日、2025年7月28日向实际控制人林明玲女士、马学沛先生</w:t>
      </w:r>
      <w:r>
        <w:rPr>
          <w:rFonts w:hint="eastAsia" w:ascii="仿宋" w:hAnsi="仿宋" w:eastAsia="仿宋"/>
          <w:color w:val="000000"/>
          <w:sz w:val="28"/>
          <w:szCs w:val="28"/>
        </w:rPr>
        <w:t>合计回购并注销股份384,000股，公司总股本减少至66,852,800股。</w:t>
      </w:r>
    </w:p>
    <w:p w14:paraId="04351FC0">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本次权益变动发生后，公司实际控制人林明玲女士、马学沛先生合计持股比例从35.16%下降至34.78%。</w:t>
      </w:r>
    </w:p>
    <w:p w14:paraId="75C8D6C8">
      <w:pPr>
        <w:spacing w:line="360" w:lineRule="auto"/>
        <w:ind w:firstLine="562" w:firstLineChars="200"/>
        <w:outlineLvl w:val="1"/>
        <w:rPr>
          <w:rFonts w:ascii="仿宋" w:hAnsi="仿宋" w:eastAsia="仿宋"/>
          <w:b/>
          <w:sz w:val="28"/>
          <w:szCs w:val="28"/>
          <w:lang w:eastAsia="zh-CN"/>
        </w:rPr>
      </w:pPr>
      <w:r>
        <w:rPr>
          <w:rFonts w:hint="eastAsia" w:ascii="仿宋" w:hAnsi="仿宋" w:eastAsia="仿宋"/>
          <w:b/>
          <w:sz w:val="28"/>
          <w:szCs w:val="28"/>
          <w:lang w:eastAsia="zh-CN"/>
        </w:rPr>
        <w:t>二、信息披露义务人在未来12个月的持股计划</w:t>
      </w:r>
    </w:p>
    <w:p w14:paraId="56625987">
      <w:pPr>
        <w:spacing w:line="360" w:lineRule="auto"/>
        <w:ind w:firstLine="560" w:firstLineChars="200"/>
        <w:jc w:val="both"/>
        <w:rPr>
          <w:rFonts w:ascii="仿宋" w:hAnsi="仿宋" w:eastAsia="仿宋"/>
          <w:sz w:val="28"/>
          <w:szCs w:val="28"/>
          <w:lang w:eastAsia="zh-CN"/>
        </w:rPr>
      </w:pPr>
      <w:r>
        <w:rPr>
          <w:rFonts w:hint="eastAsia" w:ascii="仿宋" w:hAnsi="仿宋" w:eastAsia="仿宋"/>
          <w:sz w:val="28"/>
          <w:szCs w:val="28"/>
          <w:lang w:eastAsia="zh-CN"/>
        </w:rPr>
        <w:t>上市公司正在筹划以发行股份及支付现金的方式购买广东星云开物科技股份有限公司100%股权，并计划向实际控制人马学沛先生发行股份以募集配套资金。本次交易尚需公司董事会再次审议及公司股东会审议通过，并经深圳证券交易所审核同意及中国证监会注册后方可正式实施。本次交易最终批准或注册时间存在不确定性。</w:t>
      </w:r>
    </w:p>
    <w:p w14:paraId="633599A5">
      <w:pPr>
        <w:spacing w:line="360" w:lineRule="auto"/>
        <w:ind w:firstLine="560" w:firstLineChars="200"/>
        <w:jc w:val="both"/>
        <w:rPr>
          <w:rFonts w:ascii="仿宋" w:hAnsi="仿宋" w:eastAsia="仿宋"/>
          <w:sz w:val="28"/>
          <w:szCs w:val="28"/>
          <w:lang w:eastAsia="zh-CN"/>
        </w:rPr>
      </w:pPr>
      <w:r>
        <w:rPr>
          <w:rFonts w:hint="eastAsia" w:ascii="仿宋" w:hAnsi="仿宋" w:eastAsia="仿宋"/>
          <w:sz w:val="28"/>
          <w:szCs w:val="28"/>
          <w:lang w:eastAsia="zh-CN"/>
        </w:rPr>
        <w:t>截至本报告书签署日，除上述事项外，信息披露义务人亦不排除在未来12个月内在符合遵守现行有效的法律、行政法规及规范性文件的基础上增加或减少上市公司股份之可能性。若发生相关权益变动事项，信息披露义务人将严格按照相关法律法规及相关规定履行信息披露及其他相关义务。</w:t>
      </w:r>
    </w:p>
    <w:p w14:paraId="447E1D8D">
      <w:pPr>
        <w:widowControl/>
        <w:rPr>
          <w:rFonts w:ascii="仿宋" w:hAnsi="仿宋" w:eastAsia="仿宋"/>
          <w:sz w:val="28"/>
          <w:szCs w:val="28"/>
          <w:lang w:eastAsia="zh-CN"/>
        </w:rPr>
      </w:pPr>
      <w:r>
        <w:rPr>
          <w:rFonts w:ascii="仿宋" w:hAnsi="仿宋" w:eastAsia="仿宋"/>
          <w:sz w:val="28"/>
          <w:szCs w:val="28"/>
          <w:lang w:eastAsia="zh-CN"/>
        </w:rPr>
        <w:br w:type="page"/>
      </w:r>
    </w:p>
    <w:p w14:paraId="4432C06A">
      <w:pPr>
        <w:spacing w:line="360" w:lineRule="auto"/>
        <w:jc w:val="center"/>
        <w:outlineLvl w:val="0"/>
        <w:rPr>
          <w:rFonts w:ascii="黑体" w:hAnsi="黑体" w:eastAsia="黑体"/>
          <w:b/>
          <w:sz w:val="32"/>
          <w:szCs w:val="28"/>
          <w:lang w:eastAsia="zh-CN"/>
        </w:rPr>
      </w:pPr>
      <w:bookmarkStart w:id="4" w:name="_Toc10798"/>
      <w:r>
        <w:rPr>
          <w:rFonts w:hint="eastAsia" w:ascii="黑体" w:hAnsi="黑体" w:eastAsia="黑体"/>
          <w:b/>
          <w:sz w:val="32"/>
          <w:szCs w:val="28"/>
          <w:lang w:eastAsia="zh-CN"/>
        </w:rPr>
        <w:t>第四节 权益变动方式</w:t>
      </w:r>
      <w:bookmarkEnd w:id="4"/>
    </w:p>
    <w:p w14:paraId="40E95E24">
      <w:pPr>
        <w:spacing w:line="360" w:lineRule="auto"/>
        <w:ind w:firstLine="562" w:firstLineChars="200"/>
        <w:outlineLvl w:val="1"/>
        <w:rPr>
          <w:rFonts w:ascii="仿宋" w:hAnsi="仿宋" w:eastAsia="仿宋"/>
          <w:b/>
          <w:sz w:val="28"/>
          <w:szCs w:val="28"/>
          <w:lang w:eastAsia="zh-CN"/>
        </w:rPr>
      </w:pPr>
      <w:r>
        <w:rPr>
          <w:rFonts w:hint="eastAsia" w:ascii="仿宋" w:hAnsi="仿宋" w:eastAsia="仿宋"/>
          <w:b/>
          <w:sz w:val="28"/>
          <w:szCs w:val="28"/>
          <w:lang w:eastAsia="zh-CN"/>
        </w:rPr>
        <w:t>一、本次权益变动情况</w:t>
      </w:r>
    </w:p>
    <w:p w14:paraId="1831DA52">
      <w:pPr>
        <w:spacing w:line="360" w:lineRule="auto"/>
        <w:ind w:firstLine="560" w:firstLineChars="200"/>
        <w:jc w:val="both"/>
        <w:outlineLvl w:val="1"/>
        <w:rPr>
          <w:rFonts w:ascii="仿宋" w:hAnsi="仿宋" w:eastAsia="仿宋"/>
          <w:sz w:val="28"/>
          <w:szCs w:val="28"/>
          <w:lang w:eastAsia="zh-CN"/>
        </w:rPr>
      </w:pPr>
      <w:bookmarkStart w:id="5" w:name="_Toc149831696"/>
      <w:r>
        <w:rPr>
          <w:rFonts w:hint="eastAsia" w:ascii="仿宋" w:hAnsi="仿宋" w:eastAsia="仿宋"/>
          <w:sz w:val="28"/>
          <w:szCs w:val="28"/>
          <w:lang w:eastAsia="zh-CN"/>
        </w:rPr>
        <w:t>本次权益变动系上市公司根据《广东天亿马信息产业股份有限公司2023年限制性股票激励计划》和《2023年限制性股票激励计划实施考核管理办法(修订稿)》的相关规定，向实际控制人回购并注销已授予的部分限制性股票。</w:t>
      </w:r>
    </w:p>
    <w:p w14:paraId="099D1F26">
      <w:pPr>
        <w:spacing w:line="360" w:lineRule="auto"/>
        <w:ind w:firstLine="560" w:firstLineChars="200"/>
        <w:jc w:val="both"/>
        <w:outlineLvl w:val="1"/>
        <w:rPr>
          <w:rFonts w:ascii="仿宋" w:hAnsi="仿宋" w:eastAsia="仿宋"/>
          <w:sz w:val="28"/>
          <w:szCs w:val="28"/>
          <w:lang w:eastAsia="zh-CN"/>
        </w:rPr>
      </w:pPr>
      <w:r>
        <w:rPr>
          <w:rFonts w:hint="eastAsia" w:ascii="仿宋" w:hAnsi="仿宋" w:eastAsia="仿宋"/>
          <w:sz w:val="28"/>
          <w:szCs w:val="28"/>
          <w:lang w:eastAsia="zh-CN"/>
        </w:rPr>
        <w:t>本次权益变动前，信息披露义务人合计持有上市公司股份</w:t>
      </w:r>
      <w:r>
        <w:rPr>
          <w:rFonts w:ascii="仿宋" w:hAnsi="仿宋" w:eastAsia="仿宋"/>
          <w:sz w:val="28"/>
          <w:szCs w:val="28"/>
          <w:lang w:eastAsia="zh-CN"/>
        </w:rPr>
        <w:t>23,637,944</w:t>
      </w:r>
      <w:r>
        <w:rPr>
          <w:rFonts w:hint="eastAsia" w:ascii="仿宋" w:hAnsi="仿宋" w:eastAsia="仿宋"/>
          <w:sz w:val="28"/>
          <w:szCs w:val="28"/>
          <w:lang w:eastAsia="zh-CN"/>
        </w:rPr>
        <w:t>股，占上市公司当日总股本35.16%。本次权益变动后，信息披露义务人合计持有上市公司股份</w:t>
      </w:r>
      <w:r>
        <w:rPr>
          <w:rFonts w:ascii="仿宋" w:hAnsi="仿宋" w:eastAsia="仿宋"/>
          <w:sz w:val="28"/>
          <w:szCs w:val="28"/>
          <w:lang w:eastAsia="zh-CN"/>
        </w:rPr>
        <w:t>23,253,944</w:t>
      </w:r>
      <w:r>
        <w:rPr>
          <w:rFonts w:hint="eastAsia" w:ascii="仿宋" w:hAnsi="仿宋" w:eastAsia="仿宋"/>
          <w:sz w:val="28"/>
          <w:szCs w:val="28"/>
          <w:lang w:eastAsia="zh-CN"/>
        </w:rPr>
        <w:t>股，占上市公司当日总股本</w:t>
      </w:r>
      <w:r>
        <w:rPr>
          <w:rFonts w:ascii="仿宋" w:hAnsi="仿宋" w:eastAsia="仿宋"/>
          <w:sz w:val="28"/>
          <w:szCs w:val="28"/>
          <w:lang w:eastAsia="zh-CN"/>
        </w:rPr>
        <w:t>34.78</w:t>
      </w:r>
      <w:r>
        <w:rPr>
          <w:rFonts w:hint="eastAsia" w:ascii="仿宋" w:hAnsi="仿宋" w:eastAsia="仿宋"/>
          <w:sz w:val="28"/>
          <w:szCs w:val="28"/>
          <w:lang w:eastAsia="zh-CN"/>
        </w:rPr>
        <w:t>%。</w:t>
      </w:r>
      <w:bookmarkEnd w:id="5"/>
    </w:p>
    <w:p w14:paraId="7FA74814">
      <w:pPr>
        <w:spacing w:line="360" w:lineRule="auto"/>
        <w:ind w:firstLine="560" w:firstLineChars="200"/>
        <w:jc w:val="both"/>
        <w:outlineLvl w:val="1"/>
        <w:rPr>
          <w:rFonts w:ascii="仿宋" w:hAnsi="仿宋" w:eastAsia="仿宋"/>
          <w:sz w:val="28"/>
          <w:szCs w:val="28"/>
          <w:lang w:eastAsia="zh-CN"/>
        </w:rPr>
      </w:pPr>
      <w:r>
        <w:rPr>
          <w:rFonts w:hint="eastAsia" w:ascii="仿宋" w:hAnsi="仿宋" w:eastAsia="仿宋"/>
          <w:sz w:val="28"/>
          <w:szCs w:val="28"/>
          <w:lang w:eastAsia="zh-CN"/>
        </w:rPr>
        <w:t>本次权益变动不会导致上市公司控制权发生变化，不会对上市公司治理结构及持续经营产生重大影响。</w:t>
      </w:r>
    </w:p>
    <w:p w14:paraId="1F440CD5">
      <w:pPr>
        <w:spacing w:line="360" w:lineRule="auto"/>
        <w:ind w:firstLine="562" w:firstLineChars="200"/>
        <w:outlineLvl w:val="1"/>
        <w:rPr>
          <w:rFonts w:ascii="仿宋" w:hAnsi="仿宋" w:eastAsia="仿宋"/>
          <w:b/>
          <w:sz w:val="28"/>
          <w:szCs w:val="28"/>
          <w:lang w:eastAsia="zh-CN"/>
        </w:rPr>
      </w:pPr>
      <w:r>
        <w:rPr>
          <w:rFonts w:hint="eastAsia" w:ascii="仿宋" w:hAnsi="仿宋" w:eastAsia="仿宋"/>
          <w:b/>
          <w:sz w:val="28"/>
          <w:szCs w:val="28"/>
          <w:lang w:eastAsia="zh-CN"/>
        </w:rPr>
        <w:t>二、本次权益变动前后信息披露义务人在上市公司中拥有的权益情况</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2091"/>
        <w:gridCol w:w="1416"/>
        <w:gridCol w:w="1420"/>
        <w:gridCol w:w="1560"/>
        <w:gridCol w:w="1324"/>
      </w:tblGrid>
      <w:tr w14:paraId="788B4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blHeader/>
        </w:trPr>
        <w:tc>
          <w:tcPr>
            <w:tcW w:w="417" w:type="pct"/>
            <w:vMerge w:val="restart"/>
            <w:vAlign w:val="center"/>
          </w:tcPr>
          <w:p w14:paraId="5AED4191">
            <w:pPr>
              <w:spacing w:line="360" w:lineRule="auto"/>
              <w:jc w:val="center"/>
              <w:rPr>
                <w:rFonts w:ascii="Times New Roman" w:hAnsi="Times New Roman" w:eastAsia="仿宋" w:cs="Times New Roman"/>
                <w:b/>
                <w:lang w:eastAsia="zh-CN"/>
              </w:rPr>
            </w:pPr>
            <w:r>
              <w:rPr>
                <w:rFonts w:ascii="Times New Roman" w:hAnsi="Times New Roman" w:eastAsia="仿宋" w:cs="Times New Roman"/>
                <w:b/>
                <w:lang w:eastAsia="zh-CN"/>
              </w:rPr>
              <w:t>股东名称</w:t>
            </w:r>
          </w:p>
        </w:tc>
        <w:tc>
          <w:tcPr>
            <w:tcW w:w="1227" w:type="pct"/>
            <w:vMerge w:val="restart"/>
            <w:vAlign w:val="center"/>
          </w:tcPr>
          <w:p w14:paraId="4167DA68">
            <w:pPr>
              <w:spacing w:line="360" w:lineRule="auto"/>
              <w:jc w:val="center"/>
              <w:rPr>
                <w:rFonts w:ascii="Times New Roman" w:hAnsi="Times New Roman" w:eastAsia="仿宋" w:cs="Times New Roman"/>
                <w:b/>
                <w:lang w:eastAsia="zh-CN"/>
              </w:rPr>
            </w:pPr>
            <w:r>
              <w:rPr>
                <w:rFonts w:ascii="Times New Roman" w:hAnsi="Times New Roman" w:eastAsia="仿宋" w:cs="Times New Roman"/>
                <w:b/>
                <w:lang w:eastAsia="zh-CN"/>
              </w:rPr>
              <w:t>股份性质</w:t>
            </w:r>
          </w:p>
        </w:tc>
        <w:tc>
          <w:tcPr>
            <w:tcW w:w="1664" w:type="pct"/>
            <w:gridSpan w:val="2"/>
            <w:vAlign w:val="center"/>
          </w:tcPr>
          <w:p w14:paraId="51F45D94">
            <w:pPr>
              <w:spacing w:line="360" w:lineRule="auto"/>
              <w:jc w:val="center"/>
              <w:rPr>
                <w:rFonts w:ascii="Times New Roman" w:hAnsi="Times New Roman" w:eastAsia="仿宋" w:cs="Times New Roman"/>
                <w:b/>
                <w:lang w:eastAsia="zh-CN"/>
              </w:rPr>
            </w:pPr>
            <w:r>
              <w:rPr>
                <w:rFonts w:ascii="Times New Roman" w:hAnsi="Times New Roman" w:eastAsia="仿宋" w:cs="Times New Roman"/>
                <w:b/>
                <w:lang w:eastAsia="zh-CN"/>
              </w:rPr>
              <w:t>本次权益变动前持有股份</w:t>
            </w:r>
          </w:p>
        </w:tc>
        <w:tc>
          <w:tcPr>
            <w:tcW w:w="1692" w:type="pct"/>
            <w:gridSpan w:val="2"/>
            <w:vAlign w:val="center"/>
          </w:tcPr>
          <w:p w14:paraId="2A36BC77">
            <w:pPr>
              <w:spacing w:line="360" w:lineRule="auto"/>
              <w:jc w:val="center"/>
              <w:rPr>
                <w:rFonts w:ascii="Times New Roman" w:hAnsi="Times New Roman" w:eastAsia="仿宋" w:cs="Times New Roman"/>
                <w:b/>
                <w:lang w:eastAsia="zh-CN"/>
              </w:rPr>
            </w:pPr>
            <w:r>
              <w:rPr>
                <w:rFonts w:ascii="Times New Roman" w:hAnsi="Times New Roman" w:eastAsia="仿宋" w:cs="Times New Roman"/>
                <w:b/>
                <w:lang w:eastAsia="zh-CN"/>
              </w:rPr>
              <w:t>本次权益变动后持有股份</w:t>
            </w:r>
          </w:p>
        </w:tc>
      </w:tr>
      <w:tr w14:paraId="4D9C2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17" w:type="pct"/>
            <w:vMerge w:val="continue"/>
            <w:vAlign w:val="center"/>
          </w:tcPr>
          <w:p w14:paraId="35A9642F">
            <w:pPr>
              <w:spacing w:line="360" w:lineRule="auto"/>
              <w:jc w:val="center"/>
              <w:rPr>
                <w:rFonts w:ascii="Times New Roman" w:hAnsi="Times New Roman" w:eastAsia="仿宋" w:cs="Times New Roman"/>
                <w:lang w:eastAsia="zh-CN"/>
              </w:rPr>
            </w:pPr>
          </w:p>
        </w:tc>
        <w:tc>
          <w:tcPr>
            <w:tcW w:w="1227" w:type="pct"/>
            <w:vMerge w:val="continue"/>
            <w:vAlign w:val="center"/>
          </w:tcPr>
          <w:p w14:paraId="59186D03">
            <w:pPr>
              <w:spacing w:line="360" w:lineRule="auto"/>
              <w:jc w:val="center"/>
              <w:rPr>
                <w:rFonts w:ascii="Times New Roman" w:hAnsi="Times New Roman" w:eastAsia="仿宋" w:cs="Times New Roman"/>
                <w:lang w:eastAsia="zh-CN"/>
              </w:rPr>
            </w:pPr>
          </w:p>
        </w:tc>
        <w:tc>
          <w:tcPr>
            <w:tcW w:w="831" w:type="pct"/>
            <w:vAlign w:val="center"/>
          </w:tcPr>
          <w:p w14:paraId="703F8BFC">
            <w:pPr>
              <w:spacing w:line="360" w:lineRule="auto"/>
              <w:jc w:val="center"/>
              <w:rPr>
                <w:rFonts w:ascii="Times New Roman" w:hAnsi="Times New Roman" w:eastAsia="仿宋" w:cs="Times New Roman"/>
                <w:b/>
                <w:lang w:eastAsia="zh-CN"/>
              </w:rPr>
            </w:pPr>
            <w:r>
              <w:rPr>
                <w:rFonts w:ascii="Times New Roman" w:hAnsi="Times New Roman" w:eastAsia="仿宋" w:cs="Times New Roman"/>
                <w:b/>
                <w:lang w:eastAsia="zh-CN"/>
              </w:rPr>
              <w:t>数量（万股）</w:t>
            </w:r>
          </w:p>
        </w:tc>
        <w:tc>
          <w:tcPr>
            <w:tcW w:w="833" w:type="pct"/>
            <w:vAlign w:val="center"/>
          </w:tcPr>
          <w:p w14:paraId="1AB68BD6">
            <w:pPr>
              <w:spacing w:line="360" w:lineRule="auto"/>
              <w:jc w:val="center"/>
              <w:rPr>
                <w:rFonts w:ascii="Times New Roman" w:hAnsi="Times New Roman" w:eastAsia="仿宋" w:cs="Times New Roman"/>
                <w:b/>
                <w:lang w:eastAsia="zh-CN"/>
              </w:rPr>
            </w:pPr>
            <w:r>
              <w:rPr>
                <w:rFonts w:ascii="Times New Roman" w:hAnsi="Times New Roman" w:eastAsia="仿宋" w:cs="Times New Roman"/>
                <w:b/>
                <w:lang w:eastAsia="zh-CN"/>
              </w:rPr>
              <w:t>占股本总额（%）</w:t>
            </w:r>
          </w:p>
        </w:tc>
        <w:tc>
          <w:tcPr>
            <w:tcW w:w="915" w:type="pct"/>
            <w:vAlign w:val="center"/>
          </w:tcPr>
          <w:p w14:paraId="4B84E6E7">
            <w:pPr>
              <w:spacing w:line="360" w:lineRule="auto"/>
              <w:jc w:val="center"/>
              <w:rPr>
                <w:rFonts w:ascii="Times New Roman" w:hAnsi="Times New Roman" w:eastAsia="仿宋" w:cs="Times New Roman"/>
                <w:b/>
                <w:lang w:eastAsia="zh-CN"/>
              </w:rPr>
            </w:pPr>
            <w:r>
              <w:rPr>
                <w:rFonts w:ascii="Times New Roman" w:hAnsi="Times New Roman" w:eastAsia="仿宋" w:cs="Times New Roman"/>
                <w:b/>
                <w:lang w:eastAsia="zh-CN"/>
              </w:rPr>
              <w:t>数量（万股）</w:t>
            </w:r>
          </w:p>
        </w:tc>
        <w:tc>
          <w:tcPr>
            <w:tcW w:w="777" w:type="pct"/>
            <w:vAlign w:val="center"/>
          </w:tcPr>
          <w:p w14:paraId="1BB9865D">
            <w:pPr>
              <w:spacing w:line="360" w:lineRule="auto"/>
              <w:jc w:val="center"/>
              <w:rPr>
                <w:rFonts w:ascii="Times New Roman" w:hAnsi="Times New Roman" w:eastAsia="仿宋" w:cs="Times New Roman"/>
                <w:b/>
                <w:lang w:eastAsia="zh-CN"/>
              </w:rPr>
            </w:pPr>
            <w:r>
              <w:rPr>
                <w:rFonts w:ascii="Times New Roman" w:hAnsi="Times New Roman" w:eastAsia="仿宋" w:cs="Times New Roman"/>
                <w:b/>
                <w:lang w:eastAsia="zh-CN"/>
              </w:rPr>
              <w:t>占股本总额（%）</w:t>
            </w:r>
          </w:p>
        </w:tc>
      </w:tr>
      <w:tr w14:paraId="13658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17" w:type="pct"/>
            <w:vMerge w:val="restart"/>
            <w:vAlign w:val="center"/>
          </w:tcPr>
          <w:p w14:paraId="0EEDA3E4">
            <w:pPr>
              <w:jc w:val="center"/>
              <w:rPr>
                <w:rFonts w:ascii="Times New Roman" w:hAnsi="Times New Roman" w:eastAsia="仿宋" w:cs="Times New Roman"/>
                <w:color w:val="000000"/>
              </w:rPr>
            </w:pPr>
            <w:r>
              <w:rPr>
                <w:rFonts w:ascii="Times New Roman" w:hAnsi="Times New Roman" w:eastAsia="仿宋" w:cs="Times New Roman"/>
                <w:color w:val="000000"/>
              </w:rPr>
              <w:t>林明玲</w:t>
            </w:r>
          </w:p>
        </w:tc>
        <w:tc>
          <w:tcPr>
            <w:tcW w:w="1227" w:type="pct"/>
            <w:vAlign w:val="center"/>
          </w:tcPr>
          <w:p w14:paraId="5C5C9088">
            <w:pPr>
              <w:jc w:val="center"/>
              <w:rPr>
                <w:rFonts w:ascii="仿宋" w:hAnsi="仿宋" w:eastAsia="仿宋" w:cs="宋体"/>
                <w:color w:val="000000"/>
              </w:rPr>
            </w:pPr>
            <w:r>
              <w:rPr>
                <w:rFonts w:hint="eastAsia" w:ascii="仿宋" w:hAnsi="仿宋" w:eastAsia="仿宋"/>
                <w:color w:val="000000"/>
              </w:rPr>
              <w:t>持有股份</w:t>
            </w:r>
          </w:p>
        </w:tc>
        <w:tc>
          <w:tcPr>
            <w:tcW w:w="831" w:type="pct"/>
            <w:vAlign w:val="center"/>
          </w:tcPr>
          <w:p w14:paraId="715AD570">
            <w:pPr>
              <w:jc w:val="right"/>
              <w:rPr>
                <w:rFonts w:ascii="Times New Roman" w:hAnsi="Times New Roman" w:eastAsia="宋体" w:cs="Times New Roman"/>
                <w:color w:val="000000"/>
              </w:rPr>
            </w:pPr>
            <w:r>
              <w:rPr>
                <w:rFonts w:ascii="Times New Roman" w:hAnsi="Times New Roman" w:cs="Times New Roman"/>
                <w:color w:val="000000"/>
              </w:rPr>
              <w:t>1,939.18</w:t>
            </w:r>
          </w:p>
        </w:tc>
        <w:tc>
          <w:tcPr>
            <w:tcW w:w="833" w:type="pct"/>
            <w:vAlign w:val="center"/>
          </w:tcPr>
          <w:p w14:paraId="66F26A8D">
            <w:pPr>
              <w:jc w:val="right"/>
              <w:rPr>
                <w:rFonts w:ascii="Times New Roman" w:hAnsi="Times New Roman" w:eastAsia="宋体" w:cs="Times New Roman"/>
                <w:color w:val="000000"/>
              </w:rPr>
            </w:pPr>
            <w:r>
              <w:rPr>
                <w:rFonts w:ascii="Times New Roman" w:hAnsi="Times New Roman" w:cs="Times New Roman"/>
                <w:color w:val="000000"/>
              </w:rPr>
              <w:t>28.84</w:t>
            </w:r>
          </w:p>
        </w:tc>
        <w:tc>
          <w:tcPr>
            <w:tcW w:w="915" w:type="pct"/>
            <w:vAlign w:val="center"/>
          </w:tcPr>
          <w:p w14:paraId="76688A33">
            <w:pPr>
              <w:jc w:val="right"/>
              <w:rPr>
                <w:rFonts w:ascii="Times New Roman" w:hAnsi="Times New Roman" w:eastAsia="宋体" w:cs="Times New Roman"/>
                <w:color w:val="000000"/>
              </w:rPr>
            </w:pPr>
            <w:r>
              <w:rPr>
                <w:rFonts w:ascii="Times New Roman" w:hAnsi="Times New Roman" w:cs="Times New Roman"/>
                <w:color w:val="000000"/>
              </w:rPr>
              <w:t>1,919.98</w:t>
            </w:r>
          </w:p>
        </w:tc>
        <w:tc>
          <w:tcPr>
            <w:tcW w:w="777" w:type="pct"/>
            <w:vAlign w:val="center"/>
          </w:tcPr>
          <w:p w14:paraId="7FC733DF">
            <w:pPr>
              <w:jc w:val="right"/>
              <w:rPr>
                <w:rFonts w:ascii="Times New Roman" w:hAnsi="Times New Roman" w:eastAsia="宋体" w:cs="Times New Roman"/>
                <w:color w:val="000000"/>
              </w:rPr>
            </w:pPr>
            <w:r>
              <w:rPr>
                <w:rFonts w:ascii="Times New Roman" w:hAnsi="Times New Roman" w:cs="Times New Roman"/>
                <w:color w:val="000000"/>
              </w:rPr>
              <w:t xml:space="preserve">28.72 </w:t>
            </w:r>
          </w:p>
        </w:tc>
      </w:tr>
      <w:tr w14:paraId="7B362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17" w:type="pct"/>
            <w:vMerge w:val="continue"/>
            <w:vAlign w:val="center"/>
          </w:tcPr>
          <w:p w14:paraId="7D95E0F9">
            <w:pPr>
              <w:spacing w:line="360" w:lineRule="auto"/>
              <w:jc w:val="center"/>
              <w:rPr>
                <w:rFonts w:ascii="Times New Roman" w:hAnsi="Times New Roman" w:eastAsia="仿宋" w:cs="Times New Roman"/>
                <w:lang w:eastAsia="zh-CN"/>
              </w:rPr>
            </w:pPr>
          </w:p>
        </w:tc>
        <w:tc>
          <w:tcPr>
            <w:tcW w:w="1227" w:type="pct"/>
            <w:vAlign w:val="center"/>
          </w:tcPr>
          <w:p w14:paraId="5C476A5A">
            <w:pPr>
              <w:rPr>
                <w:rFonts w:ascii="仿宋" w:hAnsi="仿宋" w:eastAsia="仿宋" w:cs="宋体"/>
                <w:color w:val="000000"/>
              </w:rPr>
            </w:pPr>
            <w:r>
              <w:rPr>
                <w:rFonts w:hint="eastAsia" w:ascii="仿宋" w:hAnsi="仿宋" w:eastAsia="仿宋"/>
                <w:color w:val="000000"/>
              </w:rPr>
              <w:t>其中：无限售条件股份</w:t>
            </w:r>
          </w:p>
        </w:tc>
        <w:tc>
          <w:tcPr>
            <w:tcW w:w="831" w:type="pct"/>
            <w:vAlign w:val="center"/>
          </w:tcPr>
          <w:p w14:paraId="2944A288">
            <w:pPr>
              <w:jc w:val="right"/>
              <w:rPr>
                <w:rFonts w:ascii="Times New Roman" w:hAnsi="Times New Roman" w:eastAsia="宋体" w:cs="Times New Roman"/>
                <w:color w:val="000000"/>
              </w:rPr>
            </w:pPr>
            <w:r>
              <w:rPr>
                <w:rFonts w:ascii="Times New Roman" w:hAnsi="Times New Roman" w:cs="Times New Roman"/>
                <w:color w:val="000000"/>
              </w:rPr>
              <w:t>0</w:t>
            </w:r>
          </w:p>
        </w:tc>
        <w:tc>
          <w:tcPr>
            <w:tcW w:w="833" w:type="pct"/>
            <w:vAlign w:val="center"/>
          </w:tcPr>
          <w:p w14:paraId="20BEE123">
            <w:pPr>
              <w:jc w:val="right"/>
              <w:rPr>
                <w:rFonts w:ascii="Times New Roman" w:hAnsi="Times New Roman" w:eastAsia="宋体" w:cs="Times New Roman"/>
                <w:color w:val="000000"/>
              </w:rPr>
            </w:pPr>
            <w:r>
              <w:rPr>
                <w:rFonts w:ascii="Times New Roman" w:hAnsi="Times New Roman" w:cs="Times New Roman"/>
                <w:color w:val="000000"/>
              </w:rPr>
              <w:t>0</w:t>
            </w:r>
          </w:p>
        </w:tc>
        <w:tc>
          <w:tcPr>
            <w:tcW w:w="915" w:type="pct"/>
            <w:vAlign w:val="center"/>
          </w:tcPr>
          <w:p w14:paraId="20BF5049">
            <w:pPr>
              <w:jc w:val="right"/>
              <w:rPr>
                <w:rFonts w:ascii="Times New Roman" w:hAnsi="Times New Roman" w:eastAsia="宋体" w:cs="Times New Roman"/>
                <w:color w:val="000000"/>
              </w:rPr>
            </w:pPr>
            <w:r>
              <w:rPr>
                <w:rFonts w:ascii="Times New Roman" w:hAnsi="Times New Roman" w:cs="Times New Roman"/>
                <w:color w:val="000000"/>
              </w:rPr>
              <w:t>483.20</w:t>
            </w:r>
          </w:p>
        </w:tc>
        <w:tc>
          <w:tcPr>
            <w:tcW w:w="777" w:type="pct"/>
            <w:vAlign w:val="center"/>
          </w:tcPr>
          <w:p w14:paraId="2188FA70">
            <w:pPr>
              <w:jc w:val="right"/>
              <w:rPr>
                <w:rFonts w:ascii="Times New Roman" w:hAnsi="Times New Roman" w:eastAsia="宋体" w:cs="Times New Roman"/>
                <w:color w:val="000000"/>
              </w:rPr>
            </w:pPr>
            <w:r>
              <w:rPr>
                <w:rFonts w:ascii="Times New Roman" w:hAnsi="Times New Roman" w:cs="Times New Roman"/>
                <w:color w:val="000000"/>
              </w:rPr>
              <w:t xml:space="preserve">7.23 </w:t>
            </w:r>
          </w:p>
        </w:tc>
      </w:tr>
      <w:tr w14:paraId="12A6B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17" w:type="pct"/>
            <w:vMerge w:val="continue"/>
            <w:vAlign w:val="center"/>
          </w:tcPr>
          <w:p w14:paraId="4BAEB152">
            <w:pPr>
              <w:spacing w:line="360" w:lineRule="auto"/>
              <w:rPr>
                <w:rFonts w:ascii="Times New Roman" w:hAnsi="Times New Roman" w:eastAsia="仿宋" w:cs="Times New Roman"/>
                <w:lang w:eastAsia="zh-CN"/>
              </w:rPr>
            </w:pPr>
          </w:p>
        </w:tc>
        <w:tc>
          <w:tcPr>
            <w:tcW w:w="1227" w:type="pct"/>
            <w:vAlign w:val="center"/>
          </w:tcPr>
          <w:p w14:paraId="4C13D15C">
            <w:pPr>
              <w:rPr>
                <w:rFonts w:ascii="Times New Roman" w:hAnsi="Times New Roman" w:eastAsia="宋体" w:cs="Times New Roman"/>
                <w:color w:val="000000"/>
              </w:rPr>
            </w:pPr>
            <w:r>
              <w:rPr>
                <w:rFonts w:ascii="Times New Roman" w:hAnsi="Times New Roman" w:cs="Times New Roman"/>
                <w:color w:val="000000"/>
              </w:rPr>
              <w:t xml:space="preserve">     </w:t>
            </w:r>
            <w:r>
              <w:rPr>
                <w:rStyle w:val="22"/>
                <w:rFonts w:hint="default" w:cs="Times New Roman"/>
                <w:sz w:val="22"/>
                <w:szCs w:val="22"/>
              </w:rPr>
              <w:t>有限售条件股份</w:t>
            </w:r>
          </w:p>
        </w:tc>
        <w:tc>
          <w:tcPr>
            <w:tcW w:w="831" w:type="pct"/>
            <w:vAlign w:val="center"/>
          </w:tcPr>
          <w:p w14:paraId="68A2AA68">
            <w:pPr>
              <w:jc w:val="right"/>
              <w:rPr>
                <w:rFonts w:ascii="Times New Roman" w:hAnsi="Times New Roman" w:eastAsia="宋体" w:cs="Times New Roman"/>
                <w:color w:val="000000"/>
              </w:rPr>
            </w:pPr>
            <w:r>
              <w:rPr>
                <w:rFonts w:ascii="Times New Roman" w:hAnsi="Times New Roman" w:cs="Times New Roman"/>
                <w:color w:val="000000"/>
              </w:rPr>
              <w:t>1,939.18</w:t>
            </w:r>
          </w:p>
        </w:tc>
        <w:tc>
          <w:tcPr>
            <w:tcW w:w="833" w:type="pct"/>
            <w:vAlign w:val="center"/>
          </w:tcPr>
          <w:p w14:paraId="10933F17">
            <w:pPr>
              <w:jc w:val="right"/>
              <w:rPr>
                <w:rFonts w:ascii="Times New Roman" w:hAnsi="Times New Roman" w:eastAsia="宋体" w:cs="Times New Roman"/>
                <w:color w:val="000000"/>
              </w:rPr>
            </w:pPr>
            <w:r>
              <w:rPr>
                <w:rFonts w:ascii="Times New Roman" w:hAnsi="Times New Roman" w:cs="Times New Roman"/>
                <w:color w:val="000000"/>
              </w:rPr>
              <w:t>28.84</w:t>
            </w:r>
          </w:p>
        </w:tc>
        <w:tc>
          <w:tcPr>
            <w:tcW w:w="915" w:type="pct"/>
            <w:vAlign w:val="center"/>
          </w:tcPr>
          <w:p w14:paraId="00304FFF">
            <w:pPr>
              <w:jc w:val="right"/>
              <w:rPr>
                <w:rFonts w:ascii="Times New Roman" w:hAnsi="Times New Roman" w:eastAsia="宋体" w:cs="Times New Roman"/>
                <w:color w:val="000000"/>
              </w:rPr>
            </w:pPr>
            <w:r>
              <w:rPr>
                <w:rFonts w:ascii="Times New Roman" w:hAnsi="Times New Roman" w:cs="Times New Roman"/>
                <w:color w:val="000000"/>
              </w:rPr>
              <w:t>1,436.79</w:t>
            </w:r>
          </w:p>
        </w:tc>
        <w:tc>
          <w:tcPr>
            <w:tcW w:w="777" w:type="pct"/>
            <w:vAlign w:val="center"/>
          </w:tcPr>
          <w:p w14:paraId="535E21C9">
            <w:pPr>
              <w:jc w:val="right"/>
              <w:rPr>
                <w:rFonts w:ascii="Times New Roman" w:hAnsi="Times New Roman" w:eastAsia="宋体" w:cs="Times New Roman"/>
                <w:color w:val="000000"/>
              </w:rPr>
            </w:pPr>
            <w:r>
              <w:rPr>
                <w:rFonts w:ascii="Times New Roman" w:hAnsi="Times New Roman" w:cs="Times New Roman"/>
                <w:color w:val="000000"/>
              </w:rPr>
              <w:t xml:space="preserve">21.49 </w:t>
            </w:r>
          </w:p>
        </w:tc>
      </w:tr>
      <w:tr w14:paraId="5BF7C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17" w:type="pct"/>
            <w:vMerge w:val="restart"/>
            <w:vAlign w:val="center"/>
          </w:tcPr>
          <w:p w14:paraId="2DC1584E">
            <w:pPr>
              <w:jc w:val="center"/>
              <w:rPr>
                <w:rFonts w:ascii="Times New Roman" w:hAnsi="Times New Roman" w:eastAsia="仿宋" w:cs="Times New Roman"/>
                <w:color w:val="000000"/>
              </w:rPr>
            </w:pPr>
            <w:r>
              <w:rPr>
                <w:rFonts w:ascii="Times New Roman" w:hAnsi="Times New Roman" w:eastAsia="仿宋" w:cs="Times New Roman"/>
                <w:color w:val="000000"/>
              </w:rPr>
              <w:t>马学沛</w:t>
            </w:r>
          </w:p>
        </w:tc>
        <w:tc>
          <w:tcPr>
            <w:tcW w:w="1227" w:type="pct"/>
            <w:vAlign w:val="center"/>
          </w:tcPr>
          <w:p w14:paraId="08B9B83C">
            <w:pPr>
              <w:jc w:val="center"/>
              <w:rPr>
                <w:rFonts w:ascii="仿宋" w:hAnsi="仿宋" w:eastAsia="仿宋" w:cs="宋体"/>
                <w:color w:val="000000"/>
              </w:rPr>
            </w:pPr>
            <w:r>
              <w:rPr>
                <w:rFonts w:hint="eastAsia" w:ascii="仿宋" w:hAnsi="仿宋" w:eastAsia="仿宋"/>
                <w:color w:val="000000"/>
              </w:rPr>
              <w:t>持有股份</w:t>
            </w:r>
          </w:p>
        </w:tc>
        <w:tc>
          <w:tcPr>
            <w:tcW w:w="831" w:type="pct"/>
            <w:vAlign w:val="center"/>
          </w:tcPr>
          <w:p w14:paraId="7F37FE6F">
            <w:pPr>
              <w:jc w:val="right"/>
              <w:rPr>
                <w:rFonts w:ascii="Times New Roman" w:hAnsi="Times New Roman" w:eastAsia="宋体" w:cs="Times New Roman"/>
                <w:color w:val="000000"/>
              </w:rPr>
            </w:pPr>
            <w:r>
              <w:rPr>
                <w:rFonts w:ascii="Times New Roman" w:hAnsi="Times New Roman" w:cs="Times New Roman"/>
                <w:color w:val="000000"/>
              </w:rPr>
              <w:t>424.61</w:t>
            </w:r>
          </w:p>
        </w:tc>
        <w:tc>
          <w:tcPr>
            <w:tcW w:w="833" w:type="pct"/>
            <w:vAlign w:val="center"/>
          </w:tcPr>
          <w:p w14:paraId="68C72F50">
            <w:pPr>
              <w:jc w:val="right"/>
              <w:rPr>
                <w:rFonts w:ascii="Times New Roman" w:hAnsi="Times New Roman" w:eastAsia="宋体" w:cs="Times New Roman"/>
                <w:color w:val="000000"/>
              </w:rPr>
            </w:pPr>
            <w:r>
              <w:rPr>
                <w:rFonts w:ascii="Times New Roman" w:hAnsi="Times New Roman" w:cs="Times New Roman"/>
                <w:color w:val="000000"/>
              </w:rPr>
              <w:t>6.32</w:t>
            </w:r>
          </w:p>
        </w:tc>
        <w:tc>
          <w:tcPr>
            <w:tcW w:w="915" w:type="pct"/>
            <w:vAlign w:val="center"/>
          </w:tcPr>
          <w:p w14:paraId="5D961BF6">
            <w:pPr>
              <w:jc w:val="right"/>
              <w:rPr>
                <w:rFonts w:ascii="Times New Roman" w:hAnsi="Times New Roman" w:eastAsia="宋体" w:cs="Times New Roman"/>
                <w:color w:val="000000"/>
              </w:rPr>
            </w:pPr>
            <w:r>
              <w:rPr>
                <w:rFonts w:ascii="Times New Roman" w:hAnsi="Times New Roman" w:cs="Times New Roman"/>
                <w:color w:val="000000"/>
              </w:rPr>
              <w:t>405.41</w:t>
            </w:r>
          </w:p>
        </w:tc>
        <w:tc>
          <w:tcPr>
            <w:tcW w:w="777" w:type="pct"/>
            <w:vAlign w:val="center"/>
          </w:tcPr>
          <w:p w14:paraId="3AD0F748">
            <w:pPr>
              <w:jc w:val="right"/>
              <w:rPr>
                <w:rFonts w:ascii="Times New Roman" w:hAnsi="Times New Roman" w:eastAsia="宋体" w:cs="Times New Roman"/>
                <w:color w:val="000000"/>
              </w:rPr>
            </w:pPr>
            <w:r>
              <w:rPr>
                <w:rFonts w:ascii="Times New Roman" w:hAnsi="Times New Roman" w:cs="Times New Roman"/>
                <w:color w:val="000000"/>
              </w:rPr>
              <w:t xml:space="preserve">6.06 </w:t>
            </w:r>
          </w:p>
        </w:tc>
      </w:tr>
      <w:tr w14:paraId="4E103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17" w:type="pct"/>
            <w:vMerge w:val="continue"/>
            <w:vAlign w:val="center"/>
          </w:tcPr>
          <w:p w14:paraId="6FE66570">
            <w:pPr>
              <w:jc w:val="center"/>
              <w:rPr>
                <w:rFonts w:ascii="Times New Roman" w:hAnsi="Times New Roman" w:eastAsia="仿宋" w:cs="Times New Roman"/>
                <w:color w:val="000000"/>
              </w:rPr>
            </w:pPr>
          </w:p>
        </w:tc>
        <w:tc>
          <w:tcPr>
            <w:tcW w:w="1227" w:type="pct"/>
            <w:vAlign w:val="center"/>
          </w:tcPr>
          <w:p w14:paraId="45B77345">
            <w:pPr>
              <w:jc w:val="center"/>
              <w:rPr>
                <w:rFonts w:ascii="仿宋" w:hAnsi="仿宋" w:eastAsia="仿宋" w:cs="宋体"/>
                <w:color w:val="000000"/>
              </w:rPr>
            </w:pPr>
            <w:r>
              <w:rPr>
                <w:rFonts w:hint="eastAsia" w:ascii="仿宋" w:hAnsi="仿宋" w:eastAsia="仿宋"/>
                <w:color w:val="000000"/>
              </w:rPr>
              <w:t>其中：无限售条件股份</w:t>
            </w:r>
          </w:p>
        </w:tc>
        <w:tc>
          <w:tcPr>
            <w:tcW w:w="831" w:type="pct"/>
            <w:vAlign w:val="center"/>
          </w:tcPr>
          <w:p w14:paraId="1ECB2CD2">
            <w:pPr>
              <w:jc w:val="right"/>
              <w:rPr>
                <w:rFonts w:ascii="Times New Roman" w:hAnsi="Times New Roman" w:eastAsia="宋体" w:cs="Times New Roman"/>
                <w:color w:val="000000"/>
              </w:rPr>
            </w:pPr>
            <w:r>
              <w:rPr>
                <w:rFonts w:ascii="Times New Roman" w:hAnsi="Times New Roman" w:cs="Times New Roman"/>
                <w:color w:val="000000"/>
              </w:rPr>
              <w:t>0</w:t>
            </w:r>
          </w:p>
        </w:tc>
        <w:tc>
          <w:tcPr>
            <w:tcW w:w="833" w:type="pct"/>
            <w:vAlign w:val="center"/>
          </w:tcPr>
          <w:p w14:paraId="06A6CE48">
            <w:pPr>
              <w:jc w:val="right"/>
              <w:rPr>
                <w:rFonts w:ascii="Times New Roman" w:hAnsi="Times New Roman" w:eastAsia="宋体" w:cs="Times New Roman"/>
                <w:color w:val="000000"/>
              </w:rPr>
            </w:pPr>
            <w:r>
              <w:rPr>
                <w:rFonts w:ascii="Times New Roman" w:hAnsi="Times New Roman" w:cs="Times New Roman"/>
                <w:color w:val="000000"/>
              </w:rPr>
              <w:t>0</w:t>
            </w:r>
          </w:p>
        </w:tc>
        <w:tc>
          <w:tcPr>
            <w:tcW w:w="915" w:type="pct"/>
            <w:vAlign w:val="center"/>
          </w:tcPr>
          <w:p w14:paraId="4945BBF3">
            <w:pPr>
              <w:jc w:val="right"/>
              <w:rPr>
                <w:rFonts w:ascii="Times New Roman" w:hAnsi="Times New Roman" w:eastAsia="宋体" w:cs="Times New Roman"/>
                <w:color w:val="000000"/>
              </w:rPr>
            </w:pPr>
            <w:r>
              <w:rPr>
                <w:rFonts w:ascii="Times New Roman" w:hAnsi="Times New Roman" w:cs="Times New Roman"/>
                <w:color w:val="000000"/>
              </w:rPr>
              <w:t>104.55</w:t>
            </w:r>
          </w:p>
        </w:tc>
        <w:tc>
          <w:tcPr>
            <w:tcW w:w="777" w:type="pct"/>
            <w:vAlign w:val="center"/>
          </w:tcPr>
          <w:p w14:paraId="34F8EBF9">
            <w:pPr>
              <w:jc w:val="right"/>
              <w:rPr>
                <w:rFonts w:ascii="Times New Roman" w:hAnsi="Times New Roman" w:eastAsia="宋体" w:cs="Times New Roman"/>
                <w:color w:val="000000"/>
              </w:rPr>
            </w:pPr>
            <w:r>
              <w:rPr>
                <w:rFonts w:ascii="Times New Roman" w:hAnsi="Times New Roman" w:cs="Times New Roman"/>
                <w:color w:val="000000"/>
              </w:rPr>
              <w:t xml:space="preserve">1.56 </w:t>
            </w:r>
          </w:p>
        </w:tc>
      </w:tr>
      <w:tr w14:paraId="2961F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17" w:type="pct"/>
            <w:vMerge w:val="continue"/>
            <w:vAlign w:val="center"/>
          </w:tcPr>
          <w:p w14:paraId="73D97171">
            <w:pPr>
              <w:jc w:val="center"/>
              <w:rPr>
                <w:rFonts w:ascii="Times New Roman" w:hAnsi="Times New Roman" w:eastAsia="仿宋" w:cs="Times New Roman"/>
                <w:color w:val="000000"/>
              </w:rPr>
            </w:pPr>
          </w:p>
        </w:tc>
        <w:tc>
          <w:tcPr>
            <w:tcW w:w="1227" w:type="pct"/>
            <w:vAlign w:val="center"/>
          </w:tcPr>
          <w:p w14:paraId="4525C86F">
            <w:pPr>
              <w:jc w:val="center"/>
              <w:rPr>
                <w:rFonts w:ascii="Times New Roman" w:hAnsi="Times New Roman" w:eastAsia="宋体" w:cs="Times New Roman"/>
                <w:color w:val="000000"/>
              </w:rPr>
            </w:pPr>
            <w:r>
              <w:rPr>
                <w:rFonts w:ascii="Times New Roman" w:hAnsi="Times New Roman" w:cs="Times New Roman"/>
                <w:color w:val="000000"/>
              </w:rPr>
              <w:t xml:space="preserve">     </w:t>
            </w:r>
            <w:r>
              <w:rPr>
                <w:rStyle w:val="22"/>
                <w:rFonts w:hint="default" w:cs="Times New Roman"/>
                <w:sz w:val="22"/>
                <w:szCs w:val="22"/>
              </w:rPr>
              <w:t>有限售条件股份</w:t>
            </w:r>
          </w:p>
        </w:tc>
        <w:tc>
          <w:tcPr>
            <w:tcW w:w="831" w:type="pct"/>
            <w:vAlign w:val="center"/>
          </w:tcPr>
          <w:p w14:paraId="06349EF2">
            <w:pPr>
              <w:jc w:val="right"/>
              <w:rPr>
                <w:rFonts w:ascii="Times New Roman" w:hAnsi="Times New Roman" w:eastAsia="宋体" w:cs="Times New Roman"/>
                <w:color w:val="000000"/>
              </w:rPr>
            </w:pPr>
            <w:r>
              <w:rPr>
                <w:rFonts w:ascii="Times New Roman" w:hAnsi="Times New Roman" w:cs="Times New Roman"/>
                <w:color w:val="000000"/>
              </w:rPr>
              <w:t>424.61</w:t>
            </w:r>
          </w:p>
        </w:tc>
        <w:tc>
          <w:tcPr>
            <w:tcW w:w="833" w:type="pct"/>
            <w:vAlign w:val="center"/>
          </w:tcPr>
          <w:p w14:paraId="7309C44D">
            <w:pPr>
              <w:jc w:val="right"/>
              <w:rPr>
                <w:rFonts w:ascii="Times New Roman" w:hAnsi="Times New Roman" w:eastAsia="宋体" w:cs="Times New Roman"/>
                <w:color w:val="000000"/>
              </w:rPr>
            </w:pPr>
            <w:r>
              <w:rPr>
                <w:rFonts w:ascii="Times New Roman" w:hAnsi="Times New Roman" w:cs="Times New Roman"/>
                <w:color w:val="000000"/>
              </w:rPr>
              <w:t>6.32</w:t>
            </w:r>
          </w:p>
        </w:tc>
        <w:tc>
          <w:tcPr>
            <w:tcW w:w="915" w:type="pct"/>
            <w:vAlign w:val="center"/>
          </w:tcPr>
          <w:p w14:paraId="4402CC5E">
            <w:pPr>
              <w:jc w:val="right"/>
              <w:rPr>
                <w:rFonts w:ascii="Times New Roman" w:hAnsi="Times New Roman" w:eastAsia="宋体" w:cs="Times New Roman"/>
                <w:color w:val="000000"/>
              </w:rPr>
            </w:pPr>
            <w:r>
              <w:rPr>
                <w:rFonts w:ascii="Times New Roman" w:hAnsi="Times New Roman" w:cs="Times New Roman"/>
                <w:color w:val="000000"/>
              </w:rPr>
              <w:t>300.86</w:t>
            </w:r>
          </w:p>
        </w:tc>
        <w:tc>
          <w:tcPr>
            <w:tcW w:w="777" w:type="pct"/>
            <w:vAlign w:val="center"/>
          </w:tcPr>
          <w:p w14:paraId="53B5E8F7">
            <w:pPr>
              <w:jc w:val="right"/>
              <w:rPr>
                <w:rFonts w:ascii="Times New Roman" w:hAnsi="Times New Roman" w:eastAsia="宋体" w:cs="Times New Roman"/>
                <w:color w:val="000000"/>
              </w:rPr>
            </w:pPr>
            <w:r>
              <w:rPr>
                <w:rFonts w:ascii="Times New Roman" w:hAnsi="Times New Roman" w:cs="Times New Roman"/>
                <w:color w:val="000000"/>
              </w:rPr>
              <w:t xml:space="preserve">4.50 </w:t>
            </w:r>
          </w:p>
        </w:tc>
      </w:tr>
      <w:tr w14:paraId="34828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17" w:type="pct"/>
            <w:vMerge w:val="restart"/>
            <w:vAlign w:val="center"/>
          </w:tcPr>
          <w:p w14:paraId="4A36481E">
            <w:pPr>
              <w:jc w:val="center"/>
              <w:rPr>
                <w:rFonts w:ascii="Times New Roman" w:hAnsi="Times New Roman" w:eastAsia="仿宋" w:cs="Times New Roman"/>
                <w:color w:val="000000"/>
              </w:rPr>
            </w:pPr>
            <w:r>
              <w:rPr>
                <w:rFonts w:ascii="Times New Roman" w:hAnsi="Times New Roman" w:eastAsia="仿宋" w:cs="Times New Roman"/>
                <w:color w:val="000000"/>
              </w:rPr>
              <w:t>合计</w:t>
            </w:r>
          </w:p>
        </w:tc>
        <w:tc>
          <w:tcPr>
            <w:tcW w:w="1227" w:type="pct"/>
            <w:vAlign w:val="center"/>
          </w:tcPr>
          <w:p w14:paraId="2DC97D92">
            <w:pPr>
              <w:jc w:val="center"/>
              <w:rPr>
                <w:rFonts w:ascii="仿宋" w:hAnsi="仿宋" w:eastAsia="仿宋" w:cs="宋体"/>
                <w:color w:val="000000"/>
              </w:rPr>
            </w:pPr>
            <w:r>
              <w:rPr>
                <w:rFonts w:hint="eastAsia" w:ascii="仿宋" w:hAnsi="仿宋" w:eastAsia="仿宋"/>
                <w:color w:val="000000"/>
              </w:rPr>
              <w:t>持有股份</w:t>
            </w:r>
          </w:p>
        </w:tc>
        <w:tc>
          <w:tcPr>
            <w:tcW w:w="831" w:type="pct"/>
            <w:vAlign w:val="center"/>
          </w:tcPr>
          <w:p w14:paraId="1D70C828">
            <w:pPr>
              <w:jc w:val="right"/>
              <w:rPr>
                <w:rFonts w:ascii="Times New Roman" w:hAnsi="Times New Roman" w:eastAsia="宋体" w:cs="Times New Roman"/>
                <w:color w:val="000000"/>
              </w:rPr>
            </w:pPr>
            <w:r>
              <w:rPr>
                <w:rFonts w:ascii="Times New Roman" w:hAnsi="Times New Roman" w:cs="Times New Roman"/>
                <w:color w:val="000000"/>
              </w:rPr>
              <w:t>2,363.79</w:t>
            </w:r>
          </w:p>
        </w:tc>
        <w:tc>
          <w:tcPr>
            <w:tcW w:w="833" w:type="pct"/>
            <w:vAlign w:val="center"/>
          </w:tcPr>
          <w:p w14:paraId="7DB76AD7">
            <w:pPr>
              <w:jc w:val="right"/>
              <w:rPr>
                <w:rFonts w:ascii="Times New Roman" w:hAnsi="Times New Roman" w:eastAsia="宋体" w:cs="Times New Roman"/>
                <w:color w:val="000000"/>
              </w:rPr>
            </w:pPr>
            <w:r>
              <w:rPr>
                <w:rFonts w:ascii="Times New Roman" w:hAnsi="Times New Roman" w:cs="Times New Roman"/>
                <w:color w:val="000000"/>
              </w:rPr>
              <w:t>35.16</w:t>
            </w:r>
          </w:p>
        </w:tc>
        <w:tc>
          <w:tcPr>
            <w:tcW w:w="915" w:type="pct"/>
            <w:vAlign w:val="center"/>
          </w:tcPr>
          <w:p w14:paraId="69F7556D">
            <w:pPr>
              <w:jc w:val="right"/>
              <w:rPr>
                <w:rFonts w:ascii="Times New Roman" w:hAnsi="Times New Roman" w:eastAsia="宋体" w:cs="Times New Roman"/>
                <w:color w:val="000000"/>
              </w:rPr>
            </w:pPr>
            <w:r>
              <w:rPr>
                <w:rFonts w:ascii="Times New Roman" w:hAnsi="Times New Roman" w:cs="Times New Roman"/>
                <w:color w:val="000000"/>
              </w:rPr>
              <w:t>2,325.39</w:t>
            </w:r>
          </w:p>
        </w:tc>
        <w:tc>
          <w:tcPr>
            <w:tcW w:w="777" w:type="pct"/>
            <w:vAlign w:val="center"/>
          </w:tcPr>
          <w:p w14:paraId="2568C16F">
            <w:pPr>
              <w:jc w:val="right"/>
              <w:rPr>
                <w:rFonts w:ascii="Times New Roman" w:hAnsi="Times New Roman" w:eastAsia="宋体" w:cs="Times New Roman"/>
                <w:color w:val="000000"/>
              </w:rPr>
            </w:pPr>
            <w:r>
              <w:rPr>
                <w:rFonts w:ascii="Times New Roman" w:hAnsi="Times New Roman" w:cs="Times New Roman"/>
                <w:color w:val="000000"/>
              </w:rPr>
              <w:t xml:space="preserve">34.78 </w:t>
            </w:r>
          </w:p>
        </w:tc>
      </w:tr>
      <w:tr w14:paraId="30EAC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17" w:type="pct"/>
            <w:vMerge w:val="continue"/>
            <w:vAlign w:val="center"/>
          </w:tcPr>
          <w:p w14:paraId="34E7B94D">
            <w:pPr>
              <w:jc w:val="center"/>
              <w:rPr>
                <w:rFonts w:ascii="Times New Roman" w:hAnsi="Times New Roman" w:eastAsia="仿宋" w:cs="Times New Roman"/>
                <w:color w:val="000000"/>
              </w:rPr>
            </w:pPr>
          </w:p>
        </w:tc>
        <w:tc>
          <w:tcPr>
            <w:tcW w:w="1227" w:type="pct"/>
            <w:vAlign w:val="center"/>
          </w:tcPr>
          <w:p w14:paraId="3DBEC304">
            <w:pPr>
              <w:jc w:val="center"/>
              <w:rPr>
                <w:rFonts w:ascii="仿宋" w:hAnsi="仿宋" w:eastAsia="仿宋" w:cs="宋体"/>
                <w:color w:val="000000"/>
              </w:rPr>
            </w:pPr>
            <w:r>
              <w:rPr>
                <w:rFonts w:hint="eastAsia" w:ascii="仿宋" w:hAnsi="仿宋" w:eastAsia="仿宋"/>
                <w:color w:val="000000"/>
              </w:rPr>
              <w:t>其中：无限售条件股份</w:t>
            </w:r>
          </w:p>
        </w:tc>
        <w:tc>
          <w:tcPr>
            <w:tcW w:w="831" w:type="pct"/>
            <w:vAlign w:val="center"/>
          </w:tcPr>
          <w:p w14:paraId="0BF3BC97">
            <w:pPr>
              <w:jc w:val="right"/>
              <w:rPr>
                <w:rFonts w:ascii="Times New Roman" w:hAnsi="Times New Roman" w:eastAsia="宋体" w:cs="Times New Roman"/>
                <w:color w:val="000000"/>
              </w:rPr>
            </w:pPr>
            <w:r>
              <w:rPr>
                <w:rFonts w:ascii="Times New Roman" w:hAnsi="Times New Roman" w:cs="Times New Roman"/>
                <w:color w:val="000000"/>
              </w:rPr>
              <w:t>0</w:t>
            </w:r>
          </w:p>
        </w:tc>
        <w:tc>
          <w:tcPr>
            <w:tcW w:w="833" w:type="pct"/>
            <w:vAlign w:val="center"/>
          </w:tcPr>
          <w:p w14:paraId="5E521286">
            <w:pPr>
              <w:jc w:val="right"/>
              <w:rPr>
                <w:rFonts w:ascii="Times New Roman" w:hAnsi="Times New Roman" w:eastAsia="宋体" w:cs="Times New Roman"/>
                <w:color w:val="000000"/>
              </w:rPr>
            </w:pPr>
            <w:r>
              <w:rPr>
                <w:rFonts w:ascii="Times New Roman" w:hAnsi="Times New Roman" w:cs="Times New Roman"/>
                <w:color w:val="000000"/>
              </w:rPr>
              <w:t>0</w:t>
            </w:r>
          </w:p>
        </w:tc>
        <w:tc>
          <w:tcPr>
            <w:tcW w:w="915" w:type="pct"/>
            <w:vAlign w:val="center"/>
          </w:tcPr>
          <w:p w14:paraId="7E19F112">
            <w:pPr>
              <w:jc w:val="right"/>
              <w:rPr>
                <w:rFonts w:ascii="Times New Roman" w:hAnsi="Times New Roman" w:eastAsia="宋体" w:cs="Times New Roman"/>
                <w:color w:val="000000"/>
              </w:rPr>
            </w:pPr>
            <w:r>
              <w:rPr>
                <w:rFonts w:ascii="Times New Roman" w:hAnsi="Times New Roman" w:cs="Times New Roman"/>
                <w:color w:val="000000"/>
              </w:rPr>
              <w:t>587.7486</w:t>
            </w:r>
          </w:p>
        </w:tc>
        <w:tc>
          <w:tcPr>
            <w:tcW w:w="777" w:type="pct"/>
            <w:vAlign w:val="center"/>
          </w:tcPr>
          <w:p w14:paraId="4BC8739F">
            <w:pPr>
              <w:jc w:val="right"/>
              <w:rPr>
                <w:rFonts w:ascii="Times New Roman" w:hAnsi="Times New Roman" w:eastAsia="宋体" w:cs="Times New Roman"/>
                <w:color w:val="000000"/>
              </w:rPr>
            </w:pPr>
            <w:r>
              <w:rPr>
                <w:rFonts w:ascii="Times New Roman" w:hAnsi="Times New Roman" w:cs="Times New Roman"/>
                <w:color w:val="000000"/>
              </w:rPr>
              <w:t xml:space="preserve">8.79 </w:t>
            </w:r>
          </w:p>
        </w:tc>
      </w:tr>
      <w:tr w14:paraId="6CAE5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17" w:type="pct"/>
            <w:vMerge w:val="continue"/>
            <w:vAlign w:val="center"/>
          </w:tcPr>
          <w:p w14:paraId="4B780330">
            <w:pPr>
              <w:jc w:val="center"/>
              <w:rPr>
                <w:rFonts w:ascii="Times New Roman" w:hAnsi="Times New Roman" w:eastAsia="仿宋" w:cs="Times New Roman"/>
                <w:color w:val="000000"/>
              </w:rPr>
            </w:pPr>
          </w:p>
        </w:tc>
        <w:tc>
          <w:tcPr>
            <w:tcW w:w="1227" w:type="pct"/>
            <w:vAlign w:val="center"/>
          </w:tcPr>
          <w:p w14:paraId="441B6E45">
            <w:pPr>
              <w:jc w:val="center"/>
              <w:rPr>
                <w:rFonts w:ascii="Times New Roman" w:hAnsi="Times New Roman" w:eastAsia="宋体" w:cs="Times New Roman"/>
                <w:color w:val="000000"/>
              </w:rPr>
            </w:pPr>
            <w:r>
              <w:rPr>
                <w:rFonts w:ascii="Times New Roman" w:hAnsi="Times New Roman" w:cs="Times New Roman"/>
                <w:color w:val="000000"/>
              </w:rPr>
              <w:t xml:space="preserve">     </w:t>
            </w:r>
            <w:r>
              <w:rPr>
                <w:rStyle w:val="22"/>
                <w:rFonts w:hint="default" w:cs="Times New Roman"/>
                <w:sz w:val="22"/>
                <w:szCs w:val="22"/>
              </w:rPr>
              <w:t>有限售条件股份</w:t>
            </w:r>
          </w:p>
        </w:tc>
        <w:tc>
          <w:tcPr>
            <w:tcW w:w="831" w:type="pct"/>
            <w:vAlign w:val="center"/>
          </w:tcPr>
          <w:p w14:paraId="4FA0AE8A">
            <w:pPr>
              <w:jc w:val="right"/>
              <w:rPr>
                <w:rFonts w:ascii="Times New Roman" w:hAnsi="Times New Roman" w:eastAsia="宋体" w:cs="Times New Roman"/>
                <w:color w:val="000000"/>
              </w:rPr>
            </w:pPr>
            <w:r>
              <w:rPr>
                <w:rFonts w:ascii="Times New Roman" w:hAnsi="Times New Roman" w:cs="Times New Roman"/>
                <w:color w:val="000000"/>
              </w:rPr>
              <w:t>2,363.79</w:t>
            </w:r>
          </w:p>
        </w:tc>
        <w:tc>
          <w:tcPr>
            <w:tcW w:w="833" w:type="pct"/>
            <w:vAlign w:val="center"/>
          </w:tcPr>
          <w:p w14:paraId="4AED0479">
            <w:pPr>
              <w:jc w:val="right"/>
              <w:rPr>
                <w:rFonts w:ascii="Times New Roman" w:hAnsi="Times New Roman" w:eastAsia="宋体" w:cs="Times New Roman"/>
                <w:color w:val="000000"/>
              </w:rPr>
            </w:pPr>
            <w:r>
              <w:rPr>
                <w:rFonts w:ascii="Times New Roman" w:hAnsi="Times New Roman" w:cs="Times New Roman"/>
                <w:color w:val="000000"/>
              </w:rPr>
              <w:t>35.16</w:t>
            </w:r>
          </w:p>
        </w:tc>
        <w:tc>
          <w:tcPr>
            <w:tcW w:w="915" w:type="pct"/>
            <w:vAlign w:val="center"/>
          </w:tcPr>
          <w:p w14:paraId="7EE1F00F">
            <w:pPr>
              <w:jc w:val="right"/>
              <w:rPr>
                <w:rFonts w:ascii="Times New Roman" w:hAnsi="Times New Roman" w:eastAsia="宋体" w:cs="Times New Roman"/>
                <w:color w:val="000000"/>
              </w:rPr>
            </w:pPr>
            <w:r>
              <w:rPr>
                <w:rFonts w:ascii="Times New Roman" w:hAnsi="Times New Roman" w:cs="Times New Roman"/>
                <w:color w:val="000000"/>
              </w:rPr>
              <w:t>1,737.65</w:t>
            </w:r>
          </w:p>
        </w:tc>
        <w:tc>
          <w:tcPr>
            <w:tcW w:w="777" w:type="pct"/>
            <w:vAlign w:val="center"/>
          </w:tcPr>
          <w:p w14:paraId="32C0A276">
            <w:pPr>
              <w:jc w:val="right"/>
              <w:rPr>
                <w:rFonts w:ascii="Times New Roman" w:hAnsi="Times New Roman" w:eastAsia="宋体" w:cs="Times New Roman"/>
                <w:color w:val="000000"/>
              </w:rPr>
            </w:pPr>
            <w:r>
              <w:rPr>
                <w:rFonts w:ascii="Times New Roman" w:hAnsi="Times New Roman" w:cs="Times New Roman"/>
                <w:color w:val="000000"/>
              </w:rPr>
              <w:t xml:space="preserve">25.99 </w:t>
            </w:r>
          </w:p>
        </w:tc>
      </w:tr>
    </w:tbl>
    <w:p w14:paraId="4037616A">
      <w:pPr>
        <w:spacing w:line="360" w:lineRule="auto"/>
        <w:ind w:firstLine="420" w:firstLineChars="200"/>
        <w:outlineLvl w:val="1"/>
        <w:rPr>
          <w:rFonts w:ascii="仿宋" w:hAnsi="仿宋" w:eastAsia="仿宋"/>
          <w:sz w:val="21"/>
          <w:szCs w:val="21"/>
          <w:lang w:eastAsia="zh-CN"/>
        </w:rPr>
      </w:pPr>
      <w:r>
        <w:rPr>
          <w:rFonts w:hint="eastAsia" w:ascii="仿宋" w:hAnsi="仿宋" w:eastAsia="仿宋"/>
          <w:sz w:val="21"/>
          <w:szCs w:val="21"/>
          <w:lang w:eastAsia="zh-CN"/>
        </w:rPr>
        <w:t>注：截至2025年5月12日，实际控制人在公司申请上市时所做出的股份限售安排、自愿锁定股份、延长锁定期限相关承诺已履行完毕。经申请，实际控制人IPO前取得的股份及因实施利润分配转增股份所</w:t>
      </w:r>
      <w:bookmarkStart w:id="11" w:name="_GoBack"/>
      <w:bookmarkEnd w:id="11"/>
      <w:r>
        <w:rPr>
          <w:rFonts w:hint="eastAsia" w:ascii="仿宋" w:hAnsi="仿宋" w:eastAsia="仿宋"/>
          <w:sz w:val="21"/>
          <w:szCs w:val="21"/>
          <w:lang w:eastAsia="zh-CN"/>
        </w:rPr>
        <w:t>取得的股份全部解除限售，并部分上市流通。</w:t>
      </w:r>
    </w:p>
    <w:p w14:paraId="2F41D312">
      <w:pPr>
        <w:spacing w:line="360" w:lineRule="auto"/>
        <w:ind w:firstLine="562" w:firstLineChars="200"/>
        <w:outlineLvl w:val="1"/>
        <w:rPr>
          <w:rFonts w:ascii="仿宋" w:hAnsi="仿宋" w:eastAsia="仿宋"/>
          <w:b/>
          <w:sz w:val="28"/>
          <w:szCs w:val="28"/>
          <w:lang w:eastAsia="zh-CN"/>
        </w:rPr>
      </w:pPr>
      <w:r>
        <w:rPr>
          <w:rFonts w:hint="eastAsia" w:ascii="仿宋" w:hAnsi="仿宋" w:eastAsia="仿宋"/>
          <w:b/>
          <w:sz w:val="28"/>
          <w:szCs w:val="28"/>
          <w:lang w:eastAsia="zh-CN"/>
        </w:rPr>
        <w:t>三、信息披露义务人在上市公司中拥有权益的权利限制情况</w:t>
      </w:r>
    </w:p>
    <w:p w14:paraId="0DBF4D36">
      <w:pPr>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信息披露义务人持有公司股票质押情况</w:t>
      </w:r>
    </w:p>
    <w:p w14:paraId="3FAB165E">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截至本报告书签署日，本次权益变动后，信息披露义务人所持质押股份情况如下：</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
        <w:gridCol w:w="1525"/>
        <w:gridCol w:w="1146"/>
        <w:gridCol w:w="1903"/>
        <w:gridCol w:w="1521"/>
        <w:gridCol w:w="1521"/>
      </w:tblGrid>
      <w:tr w14:paraId="17FAC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532" w:type="pct"/>
            <w:tcBorders>
              <w:top w:val="single" w:color="auto" w:sz="4" w:space="0"/>
              <w:left w:val="single" w:color="auto" w:sz="4" w:space="0"/>
              <w:right w:val="single" w:color="auto" w:sz="4" w:space="0"/>
            </w:tcBorders>
            <w:vAlign w:val="center"/>
          </w:tcPr>
          <w:p w14:paraId="4B481318">
            <w:pPr>
              <w:jc w:val="center"/>
              <w:rPr>
                <w:rFonts w:ascii="Times New Roman" w:hAnsi="Times New Roman" w:eastAsia="仿宋" w:cs="Times New Roman"/>
                <w:b/>
              </w:rPr>
            </w:pPr>
            <w:r>
              <w:rPr>
                <w:rFonts w:ascii="Times New Roman" w:hAnsi="Times New Roman" w:eastAsia="仿宋" w:cs="Times New Roman"/>
                <w:b/>
              </w:rPr>
              <w:t>股东名称</w:t>
            </w:r>
          </w:p>
        </w:tc>
        <w:tc>
          <w:tcPr>
            <w:tcW w:w="895" w:type="pct"/>
            <w:tcBorders>
              <w:top w:val="single" w:color="auto" w:sz="4" w:space="0"/>
              <w:left w:val="single" w:color="auto" w:sz="4" w:space="0"/>
              <w:right w:val="single" w:color="auto" w:sz="4" w:space="0"/>
            </w:tcBorders>
            <w:vAlign w:val="center"/>
          </w:tcPr>
          <w:p w14:paraId="611B2335">
            <w:pPr>
              <w:jc w:val="center"/>
              <w:rPr>
                <w:rFonts w:hint="eastAsia" w:ascii="Times New Roman" w:hAnsi="Times New Roman" w:eastAsia="仿宋" w:cs="Times New Roman"/>
                <w:b/>
                <w:lang w:eastAsia="zh-CN"/>
              </w:rPr>
            </w:pPr>
            <w:r>
              <w:rPr>
                <w:rFonts w:ascii="Times New Roman" w:hAnsi="Times New Roman" w:eastAsia="仿宋" w:cs="Times New Roman"/>
                <w:b/>
              </w:rPr>
              <w:t>持股数量</w:t>
            </w:r>
          </w:p>
          <w:p w14:paraId="416CC47A">
            <w:pPr>
              <w:jc w:val="center"/>
              <w:rPr>
                <w:rFonts w:ascii="Times New Roman" w:hAnsi="Times New Roman" w:eastAsia="仿宋" w:cs="Times New Roman"/>
                <w:b/>
                <w:lang w:eastAsia="zh-CN"/>
              </w:rPr>
            </w:pPr>
            <w:r>
              <w:rPr>
                <w:rFonts w:ascii="Times New Roman" w:hAnsi="Times New Roman" w:eastAsia="仿宋" w:cs="Times New Roman"/>
                <w:b/>
                <w:lang w:eastAsia="zh-CN"/>
              </w:rPr>
              <w:t>（万股）</w:t>
            </w:r>
          </w:p>
        </w:tc>
        <w:tc>
          <w:tcPr>
            <w:tcW w:w="672" w:type="pct"/>
            <w:tcBorders>
              <w:top w:val="single" w:color="auto" w:sz="4" w:space="0"/>
              <w:left w:val="single" w:color="auto" w:sz="4" w:space="0"/>
              <w:right w:val="single" w:color="auto" w:sz="4" w:space="0"/>
            </w:tcBorders>
            <w:vAlign w:val="center"/>
          </w:tcPr>
          <w:p w14:paraId="5A584212">
            <w:pPr>
              <w:jc w:val="center"/>
              <w:rPr>
                <w:rFonts w:ascii="Times New Roman" w:hAnsi="Times New Roman" w:eastAsia="仿宋" w:cs="Times New Roman"/>
                <w:b/>
              </w:rPr>
            </w:pPr>
            <w:r>
              <w:rPr>
                <w:rFonts w:ascii="Times New Roman" w:hAnsi="Times New Roman" w:eastAsia="仿宋" w:cs="Times New Roman"/>
                <w:b/>
              </w:rPr>
              <w:t>持股比例</w:t>
            </w:r>
            <w:r>
              <w:rPr>
                <w:rFonts w:ascii="Times New Roman" w:hAnsi="Times New Roman" w:eastAsia="仿宋" w:cs="Times New Roman"/>
                <w:b/>
                <w:lang w:eastAsia="zh-CN"/>
              </w:rPr>
              <w:t>（%）</w:t>
            </w:r>
          </w:p>
        </w:tc>
        <w:tc>
          <w:tcPr>
            <w:tcW w:w="1116" w:type="pct"/>
            <w:tcBorders>
              <w:top w:val="single" w:color="auto" w:sz="4" w:space="0"/>
              <w:left w:val="single" w:color="auto" w:sz="4" w:space="0"/>
              <w:right w:val="single" w:color="auto" w:sz="4" w:space="0"/>
            </w:tcBorders>
            <w:vAlign w:val="center"/>
          </w:tcPr>
          <w:p w14:paraId="66B1C793">
            <w:pPr>
              <w:jc w:val="center"/>
              <w:rPr>
                <w:rFonts w:ascii="Times New Roman" w:hAnsi="Times New Roman" w:eastAsia="仿宋" w:cs="Times New Roman"/>
                <w:b/>
                <w:lang w:eastAsia="zh-CN"/>
              </w:rPr>
            </w:pPr>
            <w:r>
              <w:rPr>
                <w:rFonts w:ascii="Times New Roman" w:hAnsi="Times New Roman" w:eastAsia="仿宋" w:cs="Times New Roman"/>
                <w:b/>
                <w:lang w:eastAsia="zh-CN"/>
              </w:rPr>
              <w:t>质押股份数量（万股）</w:t>
            </w:r>
          </w:p>
        </w:tc>
        <w:tc>
          <w:tcPr>
            <w:tcW w:w="892" w:type="pct"/>
            <w:tcBorders>
              <w:top w:val="single" w:color="auto" w:sz="4" w:space="0"/>
              <w:left w:val="single" w:color="auto" w:sz="4" w:space="0"/>
              <w:right w:val="single" w:color="auto" w:sz="4" w:space="0"/>
            </w:tcBorders>
            <w:vAlign w:val="center"/>
          </w:tcPr>
          <w:p w14:paraId="52BFD71A">
            <w:pPr>
              <w:jc w:val="center"/>
              <w:rPr>
                <w:rFonts w:ascii="Times New Roman" w:hAnsi="Times New Roman" w:eastAsia="仿宋" w:cs="Times New Roman"/>
                <w:b/>
              </w:rPr>
            </w:pPr>
            <w:r>
              <w:rPr>
                <w:rFonts w:ascii="Times New Roman" w:hAnsi="Times New Roman" w:eastAsia="仿宋" w:cs="Times New Roman"/>
                <w:b/>
              </w:rPr>
              <w:t>占其所持股份比例</w:t>
            </w:r>
            <w:r>
              <w:rPr>
                <w:rFonts w:ascii="Times New Roman" w:hAnsi="Times New Roman" w:eastAsia="仿宋" w:cs="Times New Roman"/>
                <w:b/>
                <w:lang w:eastAsia="zh-CN"/>
              </w:rPr>
              <w:t>（%）</w:t>
            </w:r>
          </w:p>
        </w:tc>
        <w:tc>
          <w:tcPr>
            <w:tcW w:w="892" w:type="pct"/>
            <w:tcBorders>
              <w:top w:val="single" w:color="auto" w:sz="4" w:space="0"/>
              <w:left w:val="single" w:color="auto" w:sz="4" w:space="0"/>
              <w:right w:val="single" w:color="auto" w:sz="4" w:space="0"/>
            </w:tcBorders>
            <w:vAlign w:val="center"/>
          </w:tcPr>
          <w:p w14:paraId="325FCD18">
            <w:pPr>
              <w:jc w:val="center"/>
              <w:rPr>
                <w:rFonts w:ascii="Times New Roman" w:hAnsi="Times New Roman" w:eastAsia="仿宋" w:cs="Times New Roman"/>
                <w:b/>
              </w:rPr>
            </w:pPr>
            <w:r>
              <w:rPr>
                <w:rFonts w:ascii="Times New Roman" w:hAnsi="Times New Roman" w:eastAsia="仿宋" w:cs="Times New Roman"/>
                <w:b/>
              </w:rPr>
              <w:t>占公司总股本比例</w:t>
            </w:r>
            <w:r>
              <w:rPr>
                <w:rFonts w:ascii="Times New Roman" w:hAnsi="Times New Roman" w:eastAsia="仿宋" w:cs="Times New Roman"/>
                <w:b/>
                <w:lang w:eastAsia="zh-CN"/>
              </w:rPr>
              <w:t>（%）</w:t>
            </w:r>
          </w:p>
        </w:tc>
      </w:tr>
      <w:tr w14:paraId="28688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532" w:type="pct"/>
            <w:tcBorders>
              <w:top w:val="single" w:color="auto" w:sz="4" w:space="0"/>
              <w:left w:val="single" w:color="auto" w:sz="4" w:space="0"/>
              <w:right w:val="single" w:color="auto" w:sz="4" w:space="0"/>
            </w:tcBorders>
            <w:shd w:val="clear" w:color="auto" w:fill="auto"/>
            <w:vAlign w:val="center"/>
          </w:tcPr>
          <w:p w14:paraId="27826635">
            <w:pPr>
              <w:jc w:val="center"/>
              <w:rPr>
                <w:rFonts w:ascii="Times New Roman" w:hAnsi="Times New Roman" w:eastAsia="仿宋" w:cs="Times New Roman"/>
              </w:rPr>
            </w:pPr>
            <w:r>
              <w:rPr>
                <w:rFonts w:ascii="Times New Roman" w:hAnsi="Times New Roman" w:eastAsia="仿宋" w:cs="Times New Roman"/>
              </w:rPr>
              <w:t>林明玲</w:t>
            </w:r>
          </w:p>
        </w:tc>
        <w:tc>
          <w:tcPr>
            <w:tcW w:w="895" w:type="pct"/>
            <w:tcBorders>
              <w:top w:val="single" w:color="auto" w:sz="4" w:space="0"/>
              <w:left w:val="single" w:color="auto" w:sz="4" w:space="0"/>
              <w:right w:val="single" w:color="auto" w:sz="4" w:space="0"/>
            </w:tcBorders>
            <w:shd w:val="clear" w:color="auto" w:fill="auto"/>
            <w:vAlign w:val="center"/>
          </w:tcPr>
          <w:p w14:paraId="4E13875B">
            <w:pPr>
              <w:jc w:val="center"/>
              <w:rPr>
                <w:rFonts w:ascii="Times New Roman" w:hAnsi="Times New Roman" w:eastAsia="仿宋" w:cs="Times New Roman"/>
              </w:rPr>
            </w:pPr>
            <w:r>
              <w:rPr>
                <w:rFonts w:ascii="Times New Roman" w:hAnsi="Times New Roman" w:eastAsia="仿宋" w:cs="Times New Roman"/>
              </w:rPr>
              <w:t>1</w:t>
            </w:r>
            <w:r>
              <w:rPr>
                <w:rFonts w:hint="eastAsia" w:ascii="Times New Roman" w:hAnsi="Times New Roman" w:eastAsia="仿宋" w:cs="Times New Roman"/>
                <w:lang w:eastAsia="zh-CN"/>
              </w:rPr>
              <w:t>,</w:t>
            </w:r>
            <w:r>
              <w:rPr>
                <w:rFonts w:ascii="Times New Roman" w:hAnsi="Times New Roman" w:eastAsia="仿宋" w:cs="Times New Roman"/>
              </w:rPr>
              <w:t>919.98</w:t>
            </w:r>
          </w:p>
        </w:tc>
        <w:tc>
          <w:tcPr>
            <w:tcW w:w="672" w:type="pct"/>
            <w:tcBorders>
              <w:top w:val="single" w:color="auto" w:sz="4" w:space="0"/>
              <w:left w:val="single" w:color="auto" w:sz="4" w:space="0"/>
              <w:right w:val="single" w:color="auto" w:sz="4" w:space="0"/>
            </w:tcBorders>
            <w:shd w:val="clear" w:color="auto" w:fill="auto"/>
            <w:vAlign w:val="center"/>
          </w:tcPr>
          <w:p w14:paraId="4689A30E">
            <w:pPr>
              <w:jc w:val="center"/>
              <w:rPr>
                <w:rFonts w:ascii="Times New Roman" w:hAnsi="Times New Roman" w:eastAsia="仿宋" w:cs="Times New Roman"/>
              </w:rPr>
            </w:pPr>
            <w:r>
              <w:rPr>
                <w:rFonts w:ascii="Times New Roman" w:hAnsi="Times New Roman" w:eastAsia="仿宋" w:cs="Times New Roman"/>
              </w:rPr>
              <w:t>28.72</w:t>
            </w:r>
          </w:p>
        </w:tc>
        <w:tc>
          <w:tcPr>
            <w:tcW w:w="1116" w:type="pct"/>
            <w:tcBorders>
              <w:top w:val="single" w:color="auto" w:sz="4" w:space="0"/>
              <w:left w:val="single" w:color="auto" w:sz="4" w:space="0"/>
              <w:bottom w:val="single" w:color="auto" w:sz="4" w:space="0"/>
              <w:right w:val="single" w:color="auto" w:sz="4" w:space="0"/>
            </w:tcBorders>
            <w:shd w:val="clear" w:color="auto" w:fill="auto"/>
            <w:vAlign w:val="center"/>
          </w:tcPr>
          <w:p w14:paraId="1FC0FD54">
            <w:pPr>
              <w:jc w:val="center"/>
              <w:rPr>
                <w:rFonts w:ascii="Times New Roman" w:hAnsi="Times New Roman" w:eastAsia="仿宋" w:cs="Times New Roman"/>
                <w:lang w:eastAsia="zh-CN"/>
              </w:rPr>
            </w:pPr>
            <w:r>
              <w:rPr>
                <w:rFonts w:hint="eastAsia" w:ascii="Times New Roman" w:hAnsi="Times New Roman" w:eastAsia="仿宋" w:cs="Times New Roman"/>
                <w:lang w:eastAsia="zh-CN"/>
              </w:rPr>
              <w:t>518.00</w:t>
            </w:r>
          </w:p>
        </w:tc>
        <w:tc>
          <w:tcPr>
            <w:tcW w:w="892" w:type="pct"/>
            <w:tcBorders>
              <w:top w:val="single" w:color="auto" w:sz="4" w:space="0"/>
              <w:left w:val="single" w:color="auto" w:sz="4" w:space="0"/>
              <w:bottom w:val="single" w:color="auto" w:sz="4" w:space="0"/>
              <w:right w:val="single" w:color="auto" w:sz="4" w:space="0"/>
            </w:tcBorders>
            <w:shd w:val="clear" w:color="auto" w:fill="auto"/>
            <w:vAlign w:val="center"/>
          </w:tcPr>
          <w:p w14:paraId="54BF5790">
            <w:pPr>
              <w:jc w:val="center"/>
              <w:rPr>
                <w:rFonts w:hint="eastAsia" w:ascii="Times New Roman" w:hAnsi="Times New Roman" w:eastAsia="仿宋" w:cs="Times New Roman"/>
                <w:lang w:eastAsia="zh-CN"/>
              </w:rPr>
            </w:pPr>
            <w:r>
              <w:rPr>
                <w:rFonts w:hint="eastAsia" w:ascii="Times New Roman" w:hAnsi="Times New Roman" w:eastAsia="仿宋" w:cs="Times New Roman"/>
                <w:lang w:eastAsia="zh-CN"/>
              </w:rPr>
              <w:t>26.98</w:t>
            </w:r>
          </w:p>
        </w:tc>
        <w:tc>
          <w:tcPr>
            <w:tcW w:w="892" w:type="pct"/>
            <w:tcBorders>
              <w:top w:val="single" w:color="auto" w:sz="4" w:space="0"/>
              <w:left w:val="single" w:color="auto" w:sz="4" w:space="0"/>
              <w:bottom w:val="single" w:color="auto" w:sz="4" w:space="0"/>
              <w:right w:val="single" w:color="auto" w:sz="4" w:space="0"/>
            </w:tcBorders>
            <w:shd w:val="clear" w:color="auto" w:fill="auto"/>
            <w:vAlign w:val="center"/>
          </w:tcPr>
          <w:p w14:paraId="00F41A6F">
            <w:pPr>
              <w:jc w:val="center"/>
              <w:rPr>
                <w:rFonts w:hint="eastAsia" w:ascii="Times New Roman" w:hAnsi="Times New Roman" w:eastAsia="仿宋" w:cs="Times New Roman"/>
                <w:lang w:eastAsia="zh-CN"/>
              </w:rPr>
            </w:pPr>
            <w:r>
              <w:rPr>
                <w:rFonts w:hint="eastAsia" w:ascii="Times New Roman" w:hAnsi="Times New Roman" w:eastAsia="仿宋" w:cs="Times New Roman"/>
                <w:lang w:eastAsia="zh-CN"/>
              </w:rPr>
              <w:t>7.75</w:t>
            </w:r>
          </w:p>
        </w:tc>
      </w:tr>
      <w:tr w14:paraId="3B2BD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532" w:type="pct"/>
            <w:tcBorders>
              <w:top w:val="single" w:color="auto" w:sz="4" w:space="0"/>
              <w:left w:val="single" w:color="auto" w:sz="4" w:space="0"/>
              <w:bottom w:val="single" w:color="auto" w:sz="4" w:space="0"/>
              <w:right w:val="single" w:color="auto" w:sz="4" w:space="0"/>
            </w:tcBorders>
            <w:shd w:val="clear" w:color="auto" w:fill="auto"/>
            <w:vAlign w:val="center"/>
          </w:tcPr>
          <w:p w14:paraId="5FE0D807">
            <w:pPr>
              <w:jc w:val="center"/>
              <w:rPr>
                <w:rFonts w:ascii="Times New Roman" w:hAnsi="Times New Roman" w:eastAsia="仿宋" w:cs="Times New Roman"/>
              </w:rPr>
            </w:pPr>
            <w:r>
              <w:rPr>
                <w:rFonts w:ascii="Times New Roman" w:hAnsi="Times New Roman" w:eastAsia="仿宋" w:cs="Times New Roman"/>
              </w:rPr>
              <w:t>马学沛</w:t>
            </w:r>
          </w:p>
        </w:tc>
        <w:tc>
          <w:tcPr>
            <w:tcW w:w="895" w:type="pct"/>
            <w:tcBorders>
              <w:top w:val="single" w:color="auto" w:sz="4" w:space="0"/>
              <w:left w:val="single" w:color="auto" w:sz="4" w:space="0"/>
              <w:bottom w:val="single" w:color="auto" w:sz="4" w:space="0"/>
              <w:right w:val="single" w:color="auto" w:sz="4" w:space="0"/>
            </w:tcBorders>
            <w:shd w:val="clear" w:color="auto" w:fill="auto"/>
            <w:vAlign w:val="center"/>
          </w:tcPr>
          <w:p w14:paraId="68F8C005">
            <w:pPr>
              <w:jc w:val="center"/>
              <w:rPr>
                <w:rFonts w:ascii="Times New Roman" w:hAnsi="Times New Roman" w:eastAsia="仿宋" w:cs="Times New Roman"/>
              </w:rPr>
            </w:pPr>
            <w:r>
              <w:rPr>
                <w:rFonts w:ascii="Times New Roman" w:hAnsi="Times New Roman" w:eastAsia="仿宋" w:cs="Times New Roman"/>
              </w:rPr>
              <w:t>405.41</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14:paraId="74DB71A7">
            <w:pPr>
              <w:jc w:val="center"/>
              <w:rPr>
                <w:rFonts w:ascii="Times New Roman" w:hAnsi="Times New Roman" w:eastAsia="仿宋" w:cs="Times New Roman"/>
              </w:rPr>
            </w:pPr>
            <w:r>
              <w:rPr>
                <w:rFonts w:ascii="Times New Roman" w:hAnsi="Times New Roman" w:eastAsia="仿宋" w:cs="Times New Roman"/>
              </w:rPr>
              <w:t>6.06</w:t>
            </w:r>
          </w:p>
        </w:tc>
        <w:tc>
          <w:tcPr>
            <w:tcW w:w="1116" w:type="pct"/>
            <w:tcBorders>
              <w:top w:val="single" w:color="auto" w:sz="4" w:space="0"/>
              <w:left w:val="single" w:color="auto" w:sz="4" w:space="0"/>
              <w:bottom w:val="single" w:color="auto" w:sz="4" w:space="0"/>
              <w:right w:val="single" w:color="auto" w:sz="4" w:space="0"/>
            </w:tcBorders>
            <w:shd w:val="clear" w:color="auto" w:fill="auto"/>
            <w:vAlign w:val="center"/>
          </w:tcPr>
          <w:p w14:paraId="0EE0A9AB">
            <w:pPr>
              <w:jc w:val="center"/>
              <w:rPr>
                <w:rFonts w:ascii="Times New Roman" w:hAnsi="Times New Roman" w:eastAsia="仿宋" w:cs="Times New Roman"/>
                <w:lang w:eastAsia="zh-CN"/>
              </w:rPr>
            </w:pPr>
            <w:r>
              <w:rPr>
                <w:rFonts w:ascii="Times New Roman" w:hAnsi="Times New Roman" w:eastAsia="仿宋" w:cs="Times New Roman"/>
                <w:lang w:eastAsia="zh-CN"/>
              </w:rPr>
              <w:t>360.00</w:t>
            </w:r>
          </w:p>
        </w:tc>
        <w:tc>
          <w:tcPr>
            <w:tcW w:w="892" w:type="pct"/>
            <w:tcBorders>
              <w:top w:val="single" w:color="auto" w:sz="4" w:space="0"/>
              <w:left w:val="single" w:color="auto" w:sz="4" w:space="0"/>
              <w:bottom w:val="single" w:color="auto" w:sz="4" w:space="0"/>
              <w:right w:val="single" w:color="auto" w:sz="4" w:space="0"/>
            </w:tcBorders>
            <w:shd w:val="clear" w:color="auto" w:fill="auto"/>
            <w:vAlign w:val="center"/>
          </w:tcPr>
          <w:p w14:paraId="0852591D">
            <w:pPr>
              <w:jc w:val="center"/>
              <w:rPr>
                <w:rFonts w:hint="eastAsia" w:ascii="Times New Roman" w:hAnsi="Times New Roman" w:eastAsia="仿宋" w:cs="Times New Roman"/>
                <w:lang w:eastAsia="zh-CN"/>
              </w:rPr>
            </w:pPr>
            <w:r>
              <w:rPr>
                <w:rFonts w:hint="eastAsia" w:ascii="Times New Roman" w:hAnsi="Times New Roman" w:eastAsia="仿宋" w:cs="Times New Roman"/>
                <w:lang w:eastAsia="zh-CN"/>
              </w:rPr>
              <w:t>88.80</w:t>
            </w:r>
          </w:p>
        </w:tc>
        <w:tc>
          <w:tcPr>
            <w:tcW w:w="892" w:type="pct"/>
            <w:tcBorders>
              <w:top w:val="single" w:color="auto" w:sz="4" w:space="0"/>
              <w:left w:val="single" w:color="auto" w:sz="4" w:space="0"/>
              <w:bottom w:val="single" w:color="auto" w:sz="4" w:space="0"/>
              <w:right w:val="single" w:color="auto" w:sz="4" w:space="0"/>
            </w:tcBorders>
            <w:shd w:val="clear" w:color="auto" w:fill="auto"/>
            <w:vAlign w:val="center"/>
          </w:tcPr>
          <w:p w14:paraId="0AAD9DC4">
            <w:pPr>
              <w:jc w:val="center"/>
              <w:rPr>
                <w:rFonts w:ascii="Times New Roman" w:hAnsi="Times New Roman" w:eastAsia="仿宋" w:cs="Times New Roman"/>
              </w:rPr>
            </w:pPr>
            <w:r>
              <w:rPr>
                <w:rFonts w:ascii="Times New Roman" w:hAnsi="Times New Roman" w:eastAsia="仿宋" w:cs="Times New Roman"/>
              </w:rPr>
              <w:t>5.38</w:t>
            </w:r>
          </w:p>
        </w:tc>
      </w:tr>
      <w:tr w14:paraId="24C1D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532" w:type="pct"/>
            <w:tcBorders>
              <w:top w:val="single" w:color="auto" w:sz="4" w:space="0"/>
              <w:left w:val="single" w:color="auto" w:sz="4" w:space="0"/>
              <w:bottom w:val="single" w:color="auto" w:sz="4" w:space="0"/>
              <w:right w:val="single" w:color="auto" w:sz="4" w:space="0"/>
            </w:tcBorders>
            <w:shd w:val="clear" w:color="auto" w:fill="auto"/>
            <w:vAlign w:val="center"/>
          </w:tcPr>
          <w:p w14:paraId="0DC601E3">
            <w:pPr>
              <w:jc w:val="center"/>
              <w:rPr>
                <w:rFonts w:ascii="Times New Roman" w:hAnsi="Times New Roman" w:eastAsia="仿宋" w:cs="Times New Roman"/>
              </w:rPr>
            </w:pPr>
            <w:r>
              <w:rPr>
                <w:rFonts w:ascii="Times New Roman" w:hAnsi="Times New Roman" w:eastAsia="仿宋" w:cs="Times New Roman"/>
              </w:rPr>
              <w:t>合计</w:t>
            </w:r>
          </w:p>
        </w:tc>
        <w:tc>
          <w:tcPr>
            <w:tcW w:w="895" w:type="pct"/>
            <w:tcBorders>
              <w:top w:val="single" w:color="auto" w:sz="4" w:space="0"/>
              <w:left w:val="single" w:color="auto" w:sz="4" w:space="0"/>
              <w:bottom w:val="single" w:color="auto" w:sz="4" w:space="0"/>
              <w:right w:val="single" w:color="auto" w:sz="4" w:space="0"/>
            </w:tcBorders>
            <w:shd w:val="clear" w:color="auto" w:fill="auto"/>
            <w:vAlign w:val="center"/>
          </w:tcPr>
          <w:p w14:paraId="4B36247E">
            <w:pPr>
              <w:jc w:val="center"/>
              <w:rPr>
                <w:rFonts w:ascii="Times New Roman" w:hAnsi="Times New Roman" w:eastAsia="仿宋" w:cs="Times New Roman"/>
              </w:rPr>
            </w:pPr>
            <w:r>
              <w:rPr>
                <w:rFonts w:ascii="Times New Roman" w:hAnsi="Times New Roman" w:eastAsia="仿宋" w:cs="Times New Roman"/>
              </w:rPr>
              <w:t>2</w:t>
            </w:r>
            <w:r>
              <w:rPr>
                <w:rFonts w:hint="eastAsia" w:ascii="Times New Roman" w:hAnsi="Times New Roman" w:eastAsia="仿宋" w:cs="Times New Roman"/>
                <w:lang w:eastAsia="zh-CN"/>
              </w:rPr>
              <w:t>,</w:t>
            </w:r>
            <w:r>
              <w:rPr>
                <w:rFonts w:ascii="Times New Roman" w:hAnsi="Times New Roman" w:eastAsia="仿宋" w:cs="Times New Roman"/>
              </w:rPr>
              <w:t>325.39</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14:paraId="631D270D">
            <w:pPr>
              <w:jc w:val="center"/>
              <w:rPr>
                <w:rFonts w:ascii="Times New Roman" w:hAnsi="Times New Roman" w:eastAsia="仿宋" w:cs="Times New Roman"/>
              </w:rPr>
            </w:pPr>
            <w:r>
              <w:rPr>
                <w:rFonts w:ascii="Times New Roman" w:hAnsi="Times New Roman" w:eastAsia="仿宋" w:cs="Times New Roman"/>
              </w:rPr>
              <w:t>34.78</w:t>
            </w:r>
          </w:p>
        </w:tc>
        <w:tc>
          <w:tcPr>
            <w:tcW w:w="1116" w:type="pct"/>
            <w:tcBorders>
              <w:top w:val="single" w:color="auto" w:sz="4" w:space="0"/>
              <w:left w:val="single" w:color="auto" w:sz="4" w:space="0"/>
              <w:bottom w:val="single" w:color="auto" w:sz="4" w:space="0"/>
              <w:right w:val="single" w:color="auto" w:sz="4" w:space="0"/>
            </w:tcBorders>
            <w:shd w:val="clear" w:color="auto" w:fill="auto"/>
            <w:vAlign w:val="center"/>
          </w:tcPr>
          <w:p w14:paraId="1BE47536">
            <w:pPr>
              <w:jc w:val="center"/>
              <w:rPr>
                <w:rFonts w:ascii="Times New Roman" w:hAnsi="Times New Roman" w:eastAsia="仿宋" w:cs="Times New Roman"/>
                <w:lang w:eastAsia="zh-CN"/>
              </w:rPr>
            </w:pPr>
            <w:r>
              <w:rPr>
                <w:rFonts w:ascii="Times New Roman" w:hAnsi="Times New Roman" w:eastAsia="仿宋" w:cs="Times New Roman"/>
                <w:lang w:eastAsia="zh-CN"/>
              </w:rPr>
              <w:t>878.00</w:t>
            </w:r>
          </w:p>
        </w:tc>
        <w:tc>
          <w:tcPr>
            <w:tcW w:w="892" w:type="pct"/>
            <w:tcBorders>
              <w:top w:val="single" w:color="auto" w:sz="4" w:space="0"/>
              <w:left w:val="single" w:color="auto" w:sz="4" w:space="0"/>
              <w:bottom w:val="single" w:color="auto" w:sz="4" w:space="0"/>
              <w:right w:val="single" w:color="auto" w:sz="4" w:space="0"/>
            </w:tcBorders>
            <w:shd w:val="clear" w:color="auto" w:fill="auto"/>
            <w:vAlign w:val="center"/>
          </w:tcPr>
          <w:p w14:paraId="3DAD86BD">
            <w:pPr>
              <w:jc w:val="center"/>
              <w:rPr>
                <w:rFonts w:hint="eastAsia" w:ascii="Times New Roman" w:hAnsi="Times New Roman" w:eastAsia="仿宋" w:cs="Times New Roman"/>
                <w:lang w:eastAsia="zh-CN"/>
              </w:rPr>
            </w:pPr>
            <w:r>
              <w:rPr>
                <w:rFonts w:hint="eastAsia" w:ascii="Times New Roman" w:hAnsi="Times New Roman" w:eastAsia="仿宋" w:cs="Times New Roman"/>
                <w:lang w:eastAsia="zh-CN"/>
              </w:rPr>
              <w:t>37.76</w:t>
            </w:r>
          </w:p>
        </w:tc>
        <w:tc>
          <w:tcPr>
            <w:tcW w:w="892" w:type="pct"/>
            <w:tcBorders>
              <w:top w:val="single" w:color="auto" w:sz="4" w:space="0"/>
              <w:left w:val="single" w:color="auto" w:sz="4" w:space="0"/>
              <w:bottom w:val="single" w:color="auto" w:sz="4" w:space="0"/>
              <w:right w:val="single" w:color="auto" w:sz="4" w:space="0"/>
            </w:tcBorders>
            <w:shd w:val="clear" w:color="auto" w:fill="auto"/>
            <w:vAlign w:val="center"/>
          </w:tcPr>
          <w:p w14:paraId="554F6F16">
            <w:pPr>
              <w:jc w:val="center"/>
              <w:rPr>
                <w:rFonts w:ascii="Times New Roman" w:hAnsi="Times New Roman" w:eastAsia="仿宋" w:cs="Times New Roman"/>
              </w:rPr>
            </w:pPr>
            <w:r>
              <w:rPr>
                <w:rFonts w:ascii="Times New Roman" w:hAnsi="Times New Roman" w:eastAsia="仿宋" w:cs="Times New Roman"/>
              </w:rPr>
              <w:t>13.13</w:t>
            </w:r>
          </w:p>
        </w:tc>
      </w:tr>
    </w:tbl>
    <w:p w14:paraId="5E082ABC">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除上述外,信息披露义务人在上市公司中拥有权益的股份不存在其他任何权利限制。</w:t>
      </w:r>
    </w:p>
    <w:p w14:paraId="0CC3B75F">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2.信息披露义务人曾作出股份锁定承诺情况</w:t>
      </w:r>
    </w:p>
    <w:p w14:paraId="6D61F5BB">
      <w:pPr>
        <w:spacing w:line="360" w:lineRule="auto"/>
        <w:ind w:firstLine="560" w:firstLineChars="200"/>
        <w:rPr>
          <w:rFonts w:ascii="仿宋" w:hAnsi="仿宋" w:eastAsia="仿宋"/>
          <w:color w:val="000000"/>
          <w:sz w:val="28"/>
          <w:lang w:eastAsia="zh-CN"/>
        </w:rPr>
      </w:pPr>
      <w:r>
        <w:rPr>
          <w:rFonts w:hint="eastAsia" w:ascii="仿宋" w:hAnsi="仿宋" w:eastAsia="仿宋"/>
          <w:sz w:val="28"/>
          <w:szCs w:val="28"/>
          <w:lang w:eastAsia="zh-CN"/>
        </w:rPr>
        <w:t>林明玲女士、马学沛先生</w:t>
      </w:r>
      <w:r>
        <w:rPr>
          <w:rFonts w:hint="eastAsia" w:ascii="仿宋" w:hAnsi="仿宋" w:eastAsia="仿宋"/>
          <w:color w:val="000000"/>
          <w:sz w:val="28"/>
          <w:lang w:eastAsia="zh-CN"/>
        </w:rPr>
        <w:t>在公司申请股票首次公开发行上市时承诺：</w:t>
      </w:r>
    </w:p>
    <w:p w14:paraId="34D92B99">
      <w:pPr>
        <w:spacing w:line="360" w:lineRule="auto"/>
        <w:ind w:firstLine="560" w:firstLineChars="200"/>
        <w:rPr>
          <w:rFonts w:ascii="仿宋" w:hAnsi="仿宋" w:eastAsia="仿宋"/>
          <w:color w:val="000000"/>
          <w:sz w:val="28"/>
          <w:lang w:eastAsia="zh-CN"/>
        </w:rPr>
      </w:pPr>
      <w:r>
        <w:rPr>
          <w:rFonts w:hint="eastAsia" w:ascii="仿宋" w:hAnsi="仿宋" w:eastAsia="仿宋"/>
          <w:color w:val="000000"/>
          <w:sz w:val="28"/>
          <w:lang w:eastAsia="zh-CN"/>
        </w:rPr>
        <w:t>（1）自天亿马的股票在证券交易所上市之日起</w:t>
      </w:r>
      <w:r>
        <w:rPr>
          <w:rFonts w:ascii="仿宋" w:hAnsi="仿宋" w:eastAsia="仿宋"/>
          <w:color w:val="000000"/>
          <w:sz w:val="28"/>
          <w:lang w:eastAsia="zh-CN"/>
        </w:rPr>
        <w:t>36</w:t>
      </w:r>
      <w:r>
        <w:rPr>
          <w:rFonts w:hint="eastAsia" w:ascii="仿宋" w:hAnsi="仿宋" w:eastAsia="仿宋"/>
          <w:color w:val="000000"/>
          <w:sz w:val="28"/>
          <w:lang w:eastAsia="zh-CN"/>
        </w:rPr>
        <w:t>个月内，不转让或者委托他人管理本单位直接或间接持有的天亿马公开发行股票前已发行的股份，也不由天亿马回购本单位直接或间接持有的天亿马公开发行股票前已发行的股份。</w:t>
      </w:r>
    </w:p>
    <w:p w14:paraId="3C0F7CB8">
      <w:pPr>
        <w:spacing w:line="360" w:lineRule="auto"/>
        <w:ind w:firstLine="560" w:firstLineChars="200"/>
        <w:rPr>
          <w:rFonts w:ascii="仿宋" w:hAnsi="仿宋" w:eastAsia="仿宋"/>
          <w:color w:val="000000"/>
          <w:sz w:val="28"/>
          <w:lang w:eastAsia="zh-CN"/>
        </w:rPr>
      </w:pPr>
      <w:r>
        <w:rPr>
          <w:rFonts w:hint="eastAsia" w:ascii="仿宋" w:hAnsi="仿宋" w:eastAsia="仿宋"/>
          <w:color w:val="000000"/>
          <w:sz w:val="28"/>
          <w:lang w:eastAsia="zh-CN"/>
        </w:rPr>
        <w:t>（2）上述锁定期满后，本人在担任发行人董事、监事或者高级管理人员期间每年转让的天亿马股份不超过本人所持有天亿马股份                                                                                                                                                                                                                                                                                                                                                                                                                                                                                                                                                                                                                                                                                                                                                                                                                                                                                                                                                                                                                                                                                                                                                                                                                                                                               总数的25%，且在本人离职后半年内不转让持有的天亿马股份。本人在任期届满前离职的，在本人就任时确定的任期内和任期届满后6个月内，仍应遵守前述规定。</w:t>
      </w:r>
    </w:p>
    <w:p w14:paraId="6D49969E">
      <w:pPr>
        <w:spacing w:line="360" w:lineRule="auto"/>
        <w:ind w:firstLine="560" w:firstLineChars="200"/>
        <w:rPr>
          <w:rFonts w:ascii="仿宋" w:hAnsi="仿宋" w:eastAsia="仿宋"/>
          <w:color w:val="000000"/>
          <w:sz w:val="28"/>
          <w:lang w:eastAsia="zh-CN"/>
        </w:rPr>
      </w:pPr>
      <w:r>
        <w:rPr>
          <w:rFonts w:hint="eastAsia" w:ascii="仿宋" w:hAnsi="仿宋" w:eastAsia="仿宋"/>
          <w:color w:val="000000"/>
          <w:sz w:val="28"/>
          <w:lang w:eastAsia="zh-CN"/>
        </w:rPr>
        <w:t>（3）公司上市后6个月内如公司股票连续20个交易日的收盘价均低于发行价，或者上市后6个月期末收盘价低于发行价，本人持有公司股票的锁定期限自动延长6个月。若公司股票在期间发生派息、送股、资本公积金转增股本等除权除息事项的，发行价将进行相应除权除息调整。</w:t>
      </w:r>
    </w:p>
    <w:p w14:paraId="2D75DEED">
      <w:pPr>
        <w:spacing w:line="360" w:lineRule="auto"/>
        <w:ind w:firstLine="560" w:firstLineChars="200"/>
        <w:rPr>
          <w:rFonts w:ascii="仿宋" w:hAnsi="仿宋" w:eastAsia="仿宋"/>
          <w:color w:val="000000"/>
          <w:sz w:val="28"/>
          <w:lang w:eastAsia="zh-CN"/>
        </w:rPr>
      </w:pPr>
      <w:r>
        <w:rPr>
          <w:rFonts w:hint="eastAsia" w:ascii="仿宋" w:hAnsi="仿宋" w:eastAsia="仿宋"/>
          <w:color w:val="000000"/>
          <w:sz w:val="28"/>
          <w:lang w:eastAsia="zh-CN"/>
        </w:rPr>
        <w:t>（4）若本人违反股份锁定承诺而获得股份转让收益的，转让收益无偿划归天亿马所有；在转让收益全部缴付天亿马前，如天亿马进行现金分红的，可直接从本单位应得现金分红中扣除尚未缴付的收益金额；转让收益全部缴付天亿马前，不得转让直接或间接持有的天亿马股份。</w:t>
      </w:r>
    </w:p>
    <w:p w14:paraId="0F4EF3D9">
      <w:pPr>
        <w:spacing w:line="360" w:lineRule="auto"/>
        <w:ind w:firstLine="560" w:firstLineChars="200"/>
        <w:rPr>
          <w:rFonts w:ascii="仿宋" w:hAnsi="仿宋" w:eastAsia="仿宋"/>
          <w:sz w:val="28"/>
          <w:szCs w:val="28"/>
          <w:lang w:eastAsia="zh-CN"/>
        </w:rPr>
      </w:pPr>
      <w:r>
        <w:rPr>
          <w:rFonts w:hint="eastAsia" w:ascii="仿宋" w:hAnsi="仿宋" w:eastAsia="仿宋"/>
          <w:color w:val="000000"/>
          <w:sz w:val="28"/>
          <w:lang w:eastAsia="zh-CN"/>
        </w:rPr>
        <w:t>截至2025年5月12日，上述承诺已履行完毕。承诺履行期间，未发生违反承诺的情形。</w:t>
      </w:r>
      <w:r>
        <w:rPr>
          <w:rFonts w:ascii="仿宋" w:hAnsi="仿宋" w:eastAsia="仿宋"/>
          <w:sz w:val="28"/>
          <w:szCs w:val="28"/>
          <w:lang w:eastAsia="zh-CN"/>
        </w:rPr>
        <w:br w:type="page"/>
      </w:r>
    </w:p>
    <w:p w14:paraId="59B85248">
      <w:pPr>
        <w:spacing w:line="360" w:lineRule="auto"/>
        <w:jc w:val="center"/>
        <w:outlineLvl w:val="0"/>
        <w:rPr>
          <w:rFonts w:ascii="黑体" w:hAnsi="黑体" w:eastAsia="黑体"/>
          <w:b/>
          <w:sz w:val="32"/>
          <w:szCs w:val="28"/>
          <w:lang w:eastAsia="zh-CN"/>
        </w:rPr>
      </w:pPr>
      <w:bookmarkStart w:id="6" w:name="_Toc24245"/>
      <w:r>
        <w:rPr>
          <w:rFonts w:hint="eastAsia" w:ascii="黑体" w:hAnsi="黑体" w:eastAsia="黑体"/>
          <w:b/>
          <w:sz w:val="32"/>
          <w:szCs w:val="28"/>
          <w:lang w:eastAsia="zh-CN"/>
        </w:rPr>
        <w:t>第五节  前6个月内买卖上市公司股份的情况</w:t>
      </w:r>
      <w:bookmarkEnd w:id="6"/>
    </w:p>
    <w:p w14:paraId="5A291CF7">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信息披露义务人在本报告书签署之日前6个月内未买卖</w:t>
      </w:r>
      <w:r>
        <w:rPr>
          <w:rFonts w:hint="eastAsia" w:ascii="仿宋" w:hAnsi="仿宋" w:eastAsia="仿宋"/>
          <w:color w:val="000000"/>
          <w:sz w:val="28"/>
          <w:lang w:eastAsia="zh-CN"/>
        </w:rPr>
        <w:t>天亿马</w:t>
      </w:r>
      <w:r>
        <w:rPr>
          <w:rFonts w:hint="eastAsia" w:ascii="仿宋" w:hAnsi="仿宋" w:eastAsia="仿宋"/>
          <w:sz w:val="28"/>
          <w:szCs w:val="28"/>
          <w:lang w:eastAsia="zh-CN"/>
        </w:rPr>
        <w:t>股票。</w:t>
      </w:r>
    </w:p>
    <w:p w14:paraId="1A54079D">
      <w:pPr>
        <w:widowControl/>
        <w:rPr>
          <w:rFonts w:ascii="仿宋" w:hAnsi="仿宋" w:eastAsia="仿宋"/>
          <w:sz w:val="28"/>
          <w:szCs w:val="28"/>
          <w:lang w:eastAsia="zh-CN"/>
        </w:rPr>
      </w:pPr>
      <w:r>
        <w:rPr>
          <w:rFonts w:ascii="仿宋" w:hAnsi="仿宋" w:eastAsia="仿宋"/>
          <w:sz w:val="28"/>
          <w:szCs w:val="28"/>
          <w:lang w:eastAsia="zh-CN"/>
        </w:rPr>
        <w:br w:type="page"/>
      </w:r>
    </w:p>
    <w:p w14:paraId="747C2A17">
      <w:pPr>
        <w:spacing w:line="360" w:lineRule="auto"/>
        <w:jc w:val="center"/>
        <w:outlineLvl w:val="0"/>
        <w:rPr>
          <w:rFonts w:ascii="黑体" w:hAnsi="黑体" w:eastAsia="黑体"/>
          <w:b/>
          <w:sz w:val="32"/>
          <w:szCs w:val="28"/>
          <w:lang w:eastAsia="zh-CN"/>
        </w:rPr>
      </w:pPr>
      <w:bookmarkStart w:id="7" w:name="_Toc12603"/>
      <w:r>
        <w:rPr>
          <w:rFonts w:hint="eastAsia" w:ascii="黑体" w:hAnsi="黑体" w:eastAsia="黑体"/>
          <w:b/>
          <w:sz w:val="32"/>
          <w:szCs w:val="28"/>
          <w:lang w:eastAsia="zh-CN"/>
        </w:rPr>
        <w:t>第六节  其他重大事项</w:t>
      </w:r>
      <w:bookmarkEnd w:id="7"/>
    </w:p>
    <w:p w14:paraId="580A8451">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截至本报告书签署日，信息披露义务人已按有关规定对本次权益变动的相关信息进行了如实披露，不存在信息披露义务人为避免对报告书内容产生误解而必须披露的其他信息，以及中国证监会或深交所依法要求信息披露义务人提供的其他信息。</w:t>
      </w:r>
    </w:p>
    <w:p w14:paraId="0CF76ABA">
      <w:pPr>
        <w:widowControl/>
        <w:rPr>
          <w:rFonts w:ascii="仿宋" w:hAnsi="仿宋" w:eastAsia="仿宋"/>
          <w:sz w:val="28"/>
          <w:szCs w:val="28"/>
          <w:lang w:eastAsia="zh-CN"/>
        </w:rPr>
      </w:pPr>
      <w:r>
        <w:rPr>
          <w:rFonts w:ascii="仿宋" w:hAnsi="仿宋" w:eastAsia="仿宋"/>
          <w:sz w:val="28"/>
          <w:szCs w:val="28"/>
          <w:lang w:eastAsia="zh-CN"/>
        </w:rPr>
        <w:br w:type="page"/>
      </w:r>
    </w:p>
    <w:p w14:paraId="3D037353">
      <w:pPr>
        <w:spacing w:line="360" w:lineRule="auto"/>
        <w:jc w:val="center"/>
        <w:outlineLvl w:val="0"/>
        <w:rPr>
          <w:rFonts w:ascii="黑体" w:hAnsi="黑体" w:eastAsia="黑体"/>
          <w:b/>
          <w:sz w:val="32"/>
          <w:szCs w:val="28"/>
          <w:lang w:eastAsia="zh-CN"/>
        </w:rPr>
      </w:pPr>
      <w:bookmarkStart w:id="8" w:name="_Toc31560"/>
      <w:r>
        <w:rPr>
          <w:rFonts w:hint="eastAsia" w:ascii="黑体" w:hAnsi="黑体" w:eastAsia="黑体"/>
          <w:b/>
          <w:sz w:val="32"/>
          <w:szCs w:val="28"/>
          <w:lang w:eastAsia="zh-CN"/>
        </w:rPr>
        <w:t>第七节  备查文件</w:t>
      </w:r>
      <w:bookmarkEnd w:id="8"/>
    </w:p>
    <w:p w14:paraId="515FEFDA">
      <w:pPr>
        <w:spacing w:line="360" w:lineRule="auto"/>
        <w:ind w:firstLine="562" w:firstLineChars="200"/>
        <w:outlineLvl w:val="1"/>
        <w:rPr>
          <w:rFonts w:ascii="仿宋" w:hAnsi="仿宋" w:eastAsia="仿宋"/>
          <w:b/>
          <w:sz w:val="28"/>
          <w:szCs w:val="28"/>
          <w:lang w:eastAsia="zh-CN"/>
        </w:rPr>
      </w:pPr>
      <w:r>
        <w:rPr>
          <w:rFonts w:hint="eastAsia" w:ascii="仿宋" w:hAnsi="仿宋" w:eastAsia="仿宋"/>
          <w:b/>
          <w:sz w:val="28"/>
          <w:szCs w:val="28"/>
          <w:lang w:eastAsia="zh-CN"/>
        </w:rPr>
        <w:t>一、备查文件</w:t>
      </w:r>
    </w:p>
    <w:p w14:paraId="43599A9E">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1.信息披露义务人的身份证明文件（复印件）；</w:t>
      </w:r>
    </w:p>
    <w:p w14:paraId="6F692363">
      <w:pPr>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t>2</w:t>
      </w:r>
      <w:r>
        <w:rPr>
          <w:rFonts w:hint="eastAsia" w:ascii="仿宋" w:hAnsi="仿宋" w:eastAsia="仿宋"/>
          <w:sz w:val="28"/>
          <w:szCs w:val="28"/>
          <w:lang w:eastAsia="zh-CN"/>
        </w:rPr>
        <w:t>.信息披露义务人签署的本报告书文本；</w:t>
      </w:r>
    </w:p>
    <w:p w14:paraId="172E3653">
      <w:pPr>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.中国证监会或深交所要求的其他文件。</w:t>
      </w:r>
    </w:p>
    <w:p w14:paraId="6EFDC996">
      <w:pPr>
        <w:spacing w:line="360" w:lineRule="auto"/>
        <w:ind w:firstLine="562" w:firstLineChars="200"/>
        <w:outlineLvl w:val="1"/>
        <w:rPr>
          <w:rFonts w:ascii="仿宋" w:hAnsi="仿宋" w:eastAsia="仿宋"/>
          <w:b/>
          <w:sz w:val="28"/>
          <w:szCs w:val="28"/>
          <w:lang w:eastAsia="zh-CN"/>
        </w:rPr>
      </w:pPr>
      <w:r>
        <w:rPr>
          <w:rFonts w:hint="eastAsia" w:ascii="仿宋" w:hAnsi="仿宋" w:eastAsia="仿宋"/>
          <w:b/>
          <w:sz w:val="28"/>
          <w:szCs w:val="28"/>
          <w:lang w:eastAsia="zh-CN"/>
        </w:rPr>
        <w:t>二、备查文件置备地点</w:t>
      </w:r>
    </w:p>
    <w:p w14:paraId="3412D130">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本报告书全书和上述备查文件置于上市公司证券部，供投资者查阅。投资者也可在深交所网站、巨潮资讯网查阅本报告书全文。</w:t>
      </w:r>
    </w:p>
    <w:p w14:paraId="3CD17B22">
      <w:pPr>
        <w:widowControl/>
        <w:rPr>
          <w:rFonts w:ascii="仿宋" w:hAnsi="仿宋" w:eastAsia="仿宋"/>
          <w:sz w:val="28"/>
          <w:szCs w:val="28"/>
          <w:lang w:eastAsia="zh-CN"/>
        </w:rPr>
      </w:pPr>
      <w:r>
        <w:rPr>
          <w:rFonts w:ascii="仿宋" w:hAnsi="仿宋" w:eastAsia="仿宋"/>
          <w:sz w:val="28"/>
          <w:szCs w:val="28"/>
          <w:lang w:eastAsia="zh-CN"/>
        </w:rPr>
        <w:br w:type="page"/>
      </w:r>
    </w:p>
    <w:p w14:paraId="0454F8DD">
      <w:pPr>
        <w:spacing w:line="360" w:lineRule="auto"/>
        <w:jc w:val="center"/>
        <w:outlineLvl w:val="0"/>
        <w:rPr>
          <w:rFonts w:ascii="黑体" w:hAnsi="黑体" w:eastAsia="黑体"/>
          <w:b/>
          <w:sz w:val="32"/>
          <w:szCs w:val="28"/>
          <w:lang w:eastAsia="zh-CN"/>
        </w:rPr>
      </w:pPr>
      <w:bookmarkStart w:id="9" w:name="_Toc25210"/>
      <w:r>
        <w:rPr>
          <w:rFonts w:hint="eastAsia" w:ascii="黑体" w:hAnsi="黑体" w:eastAsia="黑体"/>
          <w:b/>
          <w:sz w:val="32"/>
          <w:szCs w:val="28"/>
          <w:lang w:eastAsia="zh-CN"/>
        </w:rPr>
        <w:t>第八节  信息披露义务人声明</w:t>
      </w:r>
      <w:bookmarkEnd w:id="9"/>
    </w:p>
    <w:p w14:paraId="7EDDE823">
      <w:pPr>
        <w:spacing w:before="312" w:beforeLines="100"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本人承诺本报告书不存在虚假记载、误导性陈述或重大遗漏，并对其内容的真实性、准确性和完整性承担个别和连带的法律责任。</w:t>
      </w:r>
    </w:p>
    <w:p w14:paraId="41B3381F">
      <w:pPr>
        <w:wordWrap w:val="0"/>
        <w:spacing w:line="360" w:lineRule="auto"/>
        <w:ind w:firstLine="560" w:firstLineChars="200"/>
        <w:jc w:val="right"/>
        <w:rPr>
          <w:rFonts w:ascii="仿宋" w:hAnsi="仿宋" w:eastAsia="仿宋"/>
          <w:sz w:val="28"/>
          <w:szCs w:val="28"/>
          <w:lang w:eastAsia="zh-CN"/>
        </w:rPr>
      </w:pPr>
    </w:p>
    <w:p w14:paraId="15FD627B">
      <w:pPr>
        <w:spacing w:line="360" w:lineRule="auto"/>
        <w:ind w:firstLine="560" w:firstLineChars="200"/>
        <w:jc w:val="right"/>
        <w:rPr>
          <w:rFonts w:ascii="仿宋" w:hAnsi="仿宋" w:eastAsia="仿宋"/>
          <w:sz w:val="28"/>
          <w:szCs w:val="28"/>
          <w:lang w:eastAsia="zh-CN"/>
        </w:rPr>
      </w:pPr>
    </w:p>
    <w:p w14:paraId="137D4D87">
      <w:pPr>
        <w:spacing w:line="360" w:lineRule="auto"/>
        <w:ind w:firstLine="560" w:firstLineChars="200"/>
        <w:jc w:val="right"/>
        <w:rPr>
          <w:rFonts w:ascii="仿宋" w:hAnsi="仿宋" w:eastAsia="仿宋"/>
          <w:sz w:val="28"/>
          <w:szCs w:val="28"/>
          <w:lang w:eastAsia="zh-CN"/>
        </w:rPr>
      </w:pPr>
    </w:p>
    <w:p w14:paraId="05B130AC">
      <w:pPr>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信息披露义务人一：________________________</w:t>
      </w:r>
    </w:p>
    <w:p w14:paraId="457424F2">
      <w:pPr>
        <w:spacing w:line="360" w:lineRule="auto"/>
        <w:ind w:right="1120"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林明玲</w:t>
      </w:r>
    </w:p>
    <w:p w14:paraId="71D96D8B">
      <w:pPr>
        <w:spacing w:line="360" w:lineRule="auto"/>
        <w:ind w:firstLine="560" w:firstLineChars="200"/>
        <w:jc w:val="right"/>
        <w:rPr>
          <w:rFonts w:ascii="仿宋" w:hAnsi="仿宋" w:eastAsia="仿宋"/>
          <w:sz w:val="28"/>
          <w:szCs w:val="28"/>
          <w:lang w:eastAsia="zh-CN"/>
        </w:rPr>
      </w:pPr>
    </w:p>
    <w:p w14:paraId="6F517B5E">
      <w:pPr>
        <w:spacing w:line="360" w:lineRule="auto"/>
        <w:ind w:firstLine="560" w:firstLineChars="200"/>
        <w:jc w:val="right"/>
        <w:rPr>
          <w:rFonts w:ascii="仿宋" w:hAnsi="仿宋" w:eastAsia="仿宋"/>
          <w:sz w:val="28"/>
          <w:szCs w:val="28"/>
          <w:lang w:eastAsia="zh-CN"/>
        </w:rPr>
      </w:pPr>
    </w:p>
    <w:p w14:paraId="64C9C0E8">
      <w:pPr>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 xml:space="preserve"> </w:t>
      </w:r>
    </w:p>
    <w:p w14:paraId="490083BF">
      <w:pPr>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信息披露义务人二：_______________________</w:t>
      </w:r>
    </w:p>
    <w:p w14:paraId="291B3A62">
      <w:pPr>
        <w:wordWrap w:val="0"/>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 xml:space="preserve">马学沛         </w:t>
      </w:r>
    </w:p>
    <w:p w14:paraId="4642677B">
      <w:pPr>
        <w:spacing w:line="360" w:lineRule="auto"/>
        <w:ind w:firstLine="560" w:firstLineChars="200"/>
        <w:jc w:val="right"/>
        <w:rPr>
          <w:rFonts w:ascii="仿宋" w:hAnsi="仿宋" w:eastAsia="仿宋"/>
          <w:sz w:val="28"/>
          <w:szCs w:val="28"/>
          <w:lang w:eastAsia="zh-CN"/>
        </w:rPr>
      </w:pPr>
    </w:p>
    <w:p w14:paraId="6E701E9E">
      <w:pPr>
        <w:wordWrap w:val="0"/>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签署日期：2025年7月29日</w:t>
      </w:r>
    </w:p>
    <w:p w14:paraId="1E290F55">
      <w:pPr>
        <w:widowControl/>
        <w:rPr>
          <w:rFonts w:ascii="仿宋" w:hAnsi="仿宋" w:eastAsia="仿宋"/>
          <w:sz w:val="28"/>
          <w:szCs w:val="28"/>
          <w:lang w:eastAsia="zh-CN"/>
        </w:rPr>
      </w:pPr>
      <w:r>
        <w:rPr>
          <w:rFonts w:ascii="仿宋" w:hAnsi="仿宋" w:eastAsia="仿宋"/>
          <w:sz w:val="28"/>
          <w:szCs w:val="28"/>
          <w:lang w:eastAsia="zh-CN"/>
        </w:rPr>
        <w:br w:type="page"/>
      </w:r>
    </w:p>
    <w:p w14:paraId="0FAC107B">
      <w:pPr>
        <w:spacing w:line="360" w:lineRule="auto"/>
        <w:rPr>
          <w:rFonts w:ascii="仿宋" w:hAnsi="仿宋" w:eastAsia="仿宋"/>
          <w:szCs w:val="24"/>
          <w:lang w:eastAsia="zh-CN"/>
        </w:rPr>
      </w:pPr>
      <w:r>
        <w:rPr>
          <w:rFonts w:hint="eastAsia" w:ascii="仿宋" w:hAnsi="仿宋" w:eastAsia="仿宋"/>
          <w:szCs w:val="24"/>
          <w:lang w:eastAsia="zh-CN"/>
        </w:rPr>
        <w:t>（本页无正文，为《广东天亿马信息产业股份有限公司简式权益变动报告书》之签署页）</w:t>
      </w:r>
    </w:p>
    <w:p w14:paraId="1CDAB060">
      <w:pPr>
        <w:spacing w:line="360" w:lineRule="auto"/>
        <w:jc w:val="right"/>
        <w:rPr>
          <w:rFonts w:ascii="仿宋" w:hAnsi="仿宋" w:eastAsia="仿宋"/>
          <w:b/>
          <w:sz w:val="24"/>
          <w:szCs w:val="24"/>
          <w:lang w:eastAsia="zh-CN"/>
        </w:rPr>
      </w:pPr>
    </w:p>
    <w:p w14:paraId="7C303B82">
      <w:pPr>
        <w:spacing w:line="360" w:lineRule="auto"/>
        <w:jc w:val="right"/>
        <w:rPr>
          <w:rFonts w:ascii="仿宋" w:hAnsi="仿宋" w:eastAsia="仿宋"/>
          <w:b/>
          <w:sz w:val="24"/>
          <w:szCs w:val="24"/>
          <w:lang w:eastAsia="zh-CN"/>
        </w:rPr>
      </w:pPr>
    </w:p>
    <w:p w14:paraId="5C522623">
      <w:pPr>
        <w:spacing w:line="360" w:lineRule="auto"/>
        <w:jc w:val="right"/>
        <w:rPr>
          <w:rFonts w:ascii="仿宋" w:hAnsi="仿宋" w:eastAsia="仿宋"/>
          <w:b/>
          <w:sz w:val="24"/>
          <w:szCs w:val="24"/>
          <w:lang w:eastAsia="zh-CN"/>
        </w:rPr>
      </w:pPr>
    </w:p>
    <w:p w14:paraId="6488B0EB">
      <w:pPr>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信息披露义务人一：________________________</w:t>
      </w:r>
    </w:p>
    <w:p w14:paraId="22C039E5">
      <w:pPr>
        <w:spacing w:line="360" w:lineRule="auto"/>
        <w:ind w:right="1120"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林明玲</w:t>
      </w:r>
    </w:p>
    <w:p w14:paraId="5FC9B390">
      <w:pPr>
        <w:spacing w:line="360" w:lineRule="auto"/>
        <w:ind w:firstLine="560" w:firstLineChars="200"/>
        <w:jc w:val="right"/>
        <w:rPr>
          <w:rFonts w:ascii="仿宋" w:hAnsi="仿宋" w:eastAsia="仿宋"/>
          <w:sz w:val="28"/>
          <w:szCs w:val="28"/>
          <w:lang w:eastAsia="zh-CN"/>
        </w:rPr>
      </w:pPr>
    </w:p>
    <w:p w14:paraId="5B5C6E70">
      <w:pPr>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 xml:space="preserve"> </w:t>
      </w:r>
    </w:p>
    <w:p w14:paraId="4DA838A6">
      <w:pPr>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信息披露义务人二：_______________________</w:t>
      </w:r>
    </w:p>
    <w:p w14:paraId="002700B4">
      <w:pPr>
        <w:wordWrap w:val="0"/>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 xml:space="preserve">马学沛         </w:t>
      </w:r>
    </w:p>
    <w:p w14:paraId="0EA9D143">
      <w:pPr>
        <w:spacing w:line="360" w:lineRule="auto"/>
        <w:ind w:firstLine="560" w:firstLineChars="200"/>
        <w:jc w:val="right"/>
        <w:rPr>
          <w:rFonts w:ascii="仿宋" w:hAnsi="仿宋" w:eastAsia="仿宋"/>
          <w:sz w:val="28"/>
          <w:szCs w:val="28"/>
          <w:lang w:eastAsia="zh-CN"/>
        </w:rPr>
      </w:pPr>
    </w:p>
    <w:p w14:paraId="41D0CB99">
      <w:pPr>
        <w:wordWrap w:val="0"/>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签署日期：2025年7月29日</w:t>
      </w:r>
    </w:p>
    <w:p w14:paraId="7B4645E8">
      <w:pPr>
        <w:spacing w:line="360" w:lineRule="auto"/>
        <w:rPr>
          <w:rFonts w:ascii="黑体" w:hAnsi="黑体" w:eastAsia="黑体"/>
          <w:b/>
          <w:sz w:val="32"/>
          <w:szCs w:val="28"/>
          <w:lang w:eastAsia="zh-CN"/>
        </w:rPr>
      </w:pPr>
    </w:p>
    <w:p w14:paraId="01055A3B">
      <w:pPr>
        <w:widowControl/>
        <w:rPr>
          <w:rFonts w:ascii="仿宋" w:hAnsi="仿宋" w:eastAsia="仿宋"/>
          <w:sz w:val="28"/>
          <w:szCs w:val="28"/>
          <w:lang w:eastAsia="zh-CN"/>
        </w:rPr>
      </w:pPr>
    </w:p>
    <w:p w14:paraId="2308A35B">
      <w:pPr>
        <w:widowControl/>
        <w:rPr>
          <w:rFonts w:ascii="黑体" w:hAnsi="黑体" w:eastAsia="黑体"/>
          <w:b/>
          <w:sz w:val="24"/>
          <w:szCs w:val="24"/>
          <w:lang w:eastAsia="zh-CN"/>
        </w:rPr>
      </w:pPr>
      <w:r>
        <w:rPr>
          <w:rFonts w:ascii="黑体" w:hAnsi="黑体" w:eastAsia="黑体"/>
          <w:b/>
          <w:sz w:val="24"/>
          <w:szCs w:val="24"/>
          <w:lang w:eastAsia="zh-CN"/>
        </w:rPr>
        <w:br w:type="page"/>
      </w:r>
    </w:p>
    <w:p w14:paraId="34D6CF57">
      <w:pPr>
        <w:spacing w:line="360" w:lineRule="auto"/>
        <w:outlineLvl w:val="0"/>
        <w:rPr>
          <w:rFonts w:ascii="黑体" w:hAnsi="黑体" w:eastAsia="黑体"/>
          <w:b/>
          <w:sz w:val="24"/>
          <w:szCs w:val="24"/>
          <w:lang w:eastAsia="zh-CN"/>
        </w:rPr>
      </w:pPr>
      <w:bookmarkStart w:id="10" w:name="_Toc32325"/>
      <w:r>
        <w:rPr>
          <w:rFonts w:hint="eastAsia" w:ascii="黑体" w:hAnsi="黑体" w:eastAsia="黑体"/>
          <w:b/>
          <w:sz w:val="24"/>
          <w:szCs w:val="24"/>
          <w:lang w:eastAsia="zh-CN"/>
        </w:rPr>
        <w:t>附表</w:t>
      </w:r>
      <w:bookmarkEnd w:id="10"/>
    </w:p>
    <w:p w14:paraId="4258CB6F">
      <w:pPr>
        <w:spacing w:line="360" w:lineRule="auto"/>
        <w:jc w:val="center"/>
        <w:rPr>
          <w:rFonts w:ascii="黑体" w:hAnsi="黑体" w:eastAsia="黑体"/>
          <w:b/>
          <w:sz w:val="32"/>
          <w:szCs w:val="28"/>
          <w:lang w:eastAsia="zh-CN"/>
        </w:rPr>
      </w:pPr>
      <w:r>
        <w:rPr>
          <w:rFonts w:hint="eastAsia" w:ascii="黑体" w:hAnsi="黑体" w:eastAsia="黑体"/>
          <w:b/>
          <w:sz w:val="32"/>
          <w:szCs w:val="28"/>
          <w:lang w:eastAsia="zh-CN"/>
        </w:rPr>
        <w:t>简式权益变动报告书</w:t>
      </w:r>
    </w:p>
    <w:tbl>
      <w:tblPr>
        <w:tblStyle w:val="11"/>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7"/>
        <w:gridCol w:w="2610"/>
        <w:gridCol w:w="1652"/>
        <w:gridCol w:w="2634"/>
      </w:tblGrid>
      <w:tr w14:paraId="3FF8A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000" w:type="pct"/>
            <w:gridSpan w:val="4"/>
            <w:vAlign w:val="center"/>
          </w:tcPr>
          <w:p w14:paraId="10559D76">
            <w:pPr>
              <w:widowControl/>
              <w:jc w:val="both"/>
              <w:rPr>
                <w:rFonts w:ascii="仿宋" w:hAnsi="仿宋" w:eastAsia="仿宋" w:cs="宋体"/>
                <w:b/>
                <w:bCs/>
                <w:color w:val="000000"/>
                <w:sz w:val="24"/>
                <w:szCs w:val="24"/>
                <w:lang w:eastAsia="zh-CN"/>
              </w:rPr>
            </w:pPr>
            <w:r>
              <w:rPr>
                <w:rFonts w:hint="eastAsia" w:ascii="仿宋" w:hAnsi="仿宋" w:eastAsia="仿宋" w:cs="宋体"/>
                <w:b/>
                <w:bCs/>
                <w:color w:val="000000"/>
                <w:sz w:val="24"/>
                <w:szCs w:val="24"/>
                <w:lang w:eastAsia="zh-CN"/>
              </w:rPr>
              <w:t>基本情况</w:t>
            </w:r>
          </w:p>
        </w:tc>
      </w:tr>
      <w:tr w14:paraId="604F4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950" w:type="pct"/>
            <w:vAlign w:val="center"/>
          </w:tcPr>
          <w:p w14:paraId="74B1848C">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上市公司名称</w:t>
            </w:r>
          </w:p>
        </w:tc>
        <w:tc>
          <w:tcPr>
            <w:tcW w:w="1533" w:type="pct"/>
            <w:vAlign w:val="center"/>
          </w:tcPr>
          <w:p w14:paraId="43A4594E">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广东天亿马信息产业股份有限公司</w:t>
            </w:r>
          </w:p>
        </w:tc>
        <w:tc>
          <w:tcPr>
            <w:tcW w:w="970" w:type="pct"/>
            <w:vAlign w:val="center"/>
          </w:tcPr>
          <w:p w14:paraId="410F10C9">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上市公司所在地</w:t>
            </w:r>
          </w:p>
        </w:tc>
        <w:tc>
          <w:tcPr>
            <w:tcW w:w="1546" w:type="pct"/>
            <w:vAlign w:val="center"/>
          </w:tcPr>
          <w:p w14:paraId="1FA64C23">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广东省汕头市</w:t>
            </w:r>
          </w:p>
        </w:tc>
      </w:tr>
      <w:tr w14:paraId="2F859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950" w:type="pct"/>
            <w:vAlign w:val="center"/>
          </w:tcPr>
          <w:p w14:paraId="7EAC21C5">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股票简称</w:t>
            </w:r>
          </w:p>
        </w:tc>
        <w:tc>
          <w:tcPr>
            <w:tcW w:w="1533" w:type="pct"/>
            <w:vAlign w:val="center"/>
          </w:tcPr>
          <w:p w14:paraId="56F05AF8">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天亿马</w:t>
            </w:r>
          </w:p>
        </w:tc>
        <w:tc>
          <w:tcPr>
            <w:tcW w:w="970" w:type="pct"/>
            <w:vAlign w:val="center"/>
          </w:tcPr>
          <w:p w14:paraId="7E4B93C3">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股票代码</w:t>
            </w:r>
          </w:p>
        </w:tc>
        <w:tc>
          <w:tcPr>
            <w:tcW w:w="1546" w:type="pct"/>
            <w:vAlign w:val="center"/>
          </w:tcPr>
          <w:p w14:paraId="10AD5242">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301178</w:t>
            </w:r>
          </w:p>
        </w:tc>
      </w:tr>
      <w:tr w14:paraId="5B734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50" w:type="pct"/>
            <w:vAlign w:val="center"/>
          </w:tcPr>
          <w:p w14:paraId="5BD19CB2">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信息披露义务人一</w:t>
            </w:r>
          </w:p>
        </w:tc>
        <w:tc>
          <w:tcPr>
            <w:tcW w:w="1533" w:type="pct"/>
            <w:vAlign w:val="center"/>
          </w:tcPr>
          <w:p w14:paraId="59C113A7">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林明玲</w:t>
            </w:r>
          </w:p>
        </w:tc>
        <w:tc>
          <w:tcPr>
            <w:tcW w:w="970" w:type="pct"/>
            <w:vAlign w:val="center"/>
          </w:tcPr>
          <w:p w14:paraId="78381DAC">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信息披露义务人一</w:t>
            </w:r>
            <w:r>
              <w:rPr>
                <w:rFonts w:hint="eastAsia" w:ascii="仿宋" w:hAnsi="仿宋" w:eastAsia="仿宋" w:cs="宋体"/>
                <w:color w:val="000000"/>
                <w:sz w:val="24"/>
                <w:szCs w:val="24"/>
              </w:rPr>
              <w:t>住所</w:t>
            </w:r>
          </w:p>
        </w:tc>
        <w:tc>
          <w:tcPr>
            <w:tcW w:w="1546" w:type="pct"/>
            <w:vAlign w:val="center"/>
          </w:tcPr>
          <w:p w14:paraId="35913897">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rPr>
              <w:t>广东省汕头市</w:t>
            </w:r>
          </w:p>
        </w:tc>
      </w:tr>
      <w:tr w14:paraId="4BCE7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50" w:type="pct"/>
            <w:vAlign w:val="center"/>
          </w:tcPr>
          <w:p w14:paraId="5FE63D5B">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信息披露义务人二</w:t>
            </w:r>
          </w:p>
        </w:tc>
        <w:tc>
          <w:tcPr>
            <w:tcW w:w="1533" w:type="pct"/>
            <w:vAlign w:val="center"/>
          </w:tcPr>
          <w:p w14:paraId="2C4D8C96">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马学沛</w:t>
            </w:r>
          </w:p>
        </w:tc>
        <w:tc>
          <w:tcPr>
            <w:tcW w:w="970" w:type="pct"/>
            <w:vAlign w:val="center"/>
          </w:tcPr>
          <w:p w14:paraId="0350ED98">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信息披露义务人二</w:t>
            </w:r>
            <w:r>
              <w:rPr>
                <w:rFonts w:hint="eastAsia" w:ascii="仿宋" w:hAnsi="仿宋" w:eastAsia="仿宋" w:cs="宋体"/>
                <w:color w:val="000000"/>
                <w:sz w:val="24"/>
                <w:szCs w:val="24"/>
              </w:rPr>
              <w:t>住所</w:t>
            </w:r>
          </w:p>
        </w:tc>
        <w:tc>
          <w:tcPr>
            <w:tcW w:w="1546" w:type="pct"/>
            <w:vAlign w:val="center"/>
          </w:tcPr>
          <w:p w14:paraId="5CF91C3A">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rPr>
              <w:t>广东省汕头市</w:t>
            </w:r>
          </w:p>
        </w:tc>
      </w:tr>
      <w:tr w14:paraId="27D5D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3" w:hRule="atLeast"/>
        </w:trPr>
        <w:tc>
          <w:tcPr>
            <w:tcW w:w="950" w:type="pct"/>
            <w:vAlign w:val="center"/>
          </w:tcPr>
          <w:p w14:paraId="41A727FF">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拥有权益的股份数量变化</w:t>
            </w:r>
          </w:p>
        </w:tc>
        <w:tc>
          <w:tcPr>
            <w:tcW w:w="1533" w:type="pct"/>
            <w:vAlign w:val="center"/>
          </w:tcPr>
          <w:p w14:paraId="45F81DAB">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增加 □</w:t>
            </w:r>
          </w:p>
          <w:p w14:paraId="4A911671">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减少 </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hint="eastAsia" w:ascii="仿宋" w:hAnsi="仿宋" w:eastAsia="仿宋" w:cs="宋体"/>
                <w:color w:val="000000"/>
                <w:position w:val="2"/>
                <w:sz w:val="15"/>
                <w:szCs w:val="24"/>
                <w:lang w:eastAsia="zh-CN"/>
              </w:rPr>
              <w:instrText xml:space="preserve">√</w:instrText>
            </w:r>
            <w:r>
              <w:rPr>
                <w:rFonts w:hint="eastAsia" w:ascii="仿宋" w:hAnsi="仿宋" w:eastAsia="仿宋" w:cs="宋体"/>
                <w:color w:val="000000"/>
                <w:sz w:val="24"/>
                <w:szCs w:val="24"/>
                <w:lang w:eastAsia="zh-CN"/>
              </w:rPr>
              <w:instrText xml:space="preserve">)</w:instrText>
            </w:r>
            <w:r>
              <w:rPr>
                <w:rFonts w:ascii="仿宋" w:hAnsi="仿宋" w:eastAsia="仿宋" w:cs="宋体"/>
                <w:color w:val="000000"/>
                <w:sz w:val="24"/>
                <w:szCs w:val="24"/>
                <w:lang w:eastAsia="zh-CN"/>
              </w:rPr>
              <w:fldChar w:fldCharType="end"/>
            </w:r>
          </w:p>
          <w:p w14:paraId="351E72B8">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不变，但持有人发生变化 □</w:t>
            </w:r>
          </w:p>
          <w:p w14:paraId="566671F5">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不变，但持股比例发生变化 □</w:t>
            </w:r>
          </w:p>
        </w:tc>
        <w:tc>
          <w:tcPr>
            <w:tcW w:w="970" w:type="pct"/>
            <w:vAlign w:val="center"/>
          </w:tcPr>
          <w:p w14:paraId="2DC66FF5">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有无一致行动人</w:t>
            </w:r>
          </w:p>
        </w:tc>
        <w:tc>
          <w:tcPr>
            <w:tcW w:w="1546" w:type="pct"/>
            <w:vAlign w:val="center"/>
          </w:tcPr>
          <w:p w14:paraId="5DE36361">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有 </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hint="eastAsia" w:ascii="仿宋" w:hAnsi="仿宋" w:eastAsia="仿宋" w:cs="宋体"/>
                <w:color w:val="000000"/>
                <w:position w:val="2"/>
                <w:sz w:val="16"/>
                <w:szCs w:val="24"/>
                <w:lang w:eastAsia="zh-CN"/>
              </w:rPr>
              <w:instrText xml:space="preserve">√</w:instrText>
            </w:r>
            <w:r>
              <w:rPr>
                <w:rFonts w:hint="eastAsia" w:ascii="仿宋" w:hAnsi="仿宋" w:eastAsia="仿宋" w:cs="宋体"/>
                <w:color w:val="000000"/>
                <w:sz w:val="24"/>
                <w:szCs w:val="24"/>
                <w:lang w:eastAsia="zh-CN"/>
              </w:rPr>
              <w:instrText xml:space="preserve">)</w:instrText>
            </w:r>
            <w:r>
              <w:rPr>
                <w:rFonts w:ascii="仿宋" w:hAnsi="仿宋" w:eastAsia="仿宋" w:cs="宋体"/>
                <w:color w:val="000000"/>
                <w:sz w:val="24"/>
                <w:szCs w:val="24"/>
                <w:lang w:eastAsia="zh-CN"/>
              </w:rPr>
              <w:fldChar w:fldCharType="end"/>
            </w:r>
          </w:p>
          <w:p w14:paraId="4909BAC2">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无 □</w:t>
            </w:r>
          </w:p>
        </w:tc>
      </w:tr>
      <w:tr w14:paraId="18BFD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3" w:hRule="atLeast"/>
        </w:trPr>
        <w:tc>
          <w:tcPr>
            <w:tcW w:w="950" w:type="pct"/>
            <w:vAlign w:val="center"/>
          </w:tcPr>
          <w:p w14:paraId="474DF328">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信息披露义务人是否为上市公司第一大股东</w:t>
            </w:r>
          </w:p>
        </w:tc>
        <w:tc>
          <w:tcPr>
            <w:tcW w:w="1533" w:type="pct"/>
            <w:vAlign w:val="center"/>
          </w:tcPr>
          <w:p w14:paraId="5B808594">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是 </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hint="eastAsia" w:ascii="仿宋" w:hAnsi="仿宋" w:eastAsia="仿宋" w:cs="宋体"/>
                <w:color w:val="000000"/>
                <w:position w:val="2"/>
                <w:sz w:val="15"/>
                <w:szCs w:val="24"/>
                <w:lang w:eastAsia="zh-CN"/>
              </w:rPr>
              <w:instrText xml:space="preserve">√</w:instrText>
            </w:r>
            <w:r>
              <w:rPr>
                <w:rFonts w:hint="eastAsia" w:ascii="仿宋" w:hAnsi="仿宋" w:eastAsia="仿宋" w:cs="宋体"/>
                <w:color w:val="000000"/>
                <w:sz w:val="24"/>
                <w:szCs w:val="24"/>
                <w:lang w:eastAsia="zh-CN"/>
              </w:rPr>
              <w:instrText xml:space="preserve">)</w:instrText>
            </w:r>
            <w:r>
              <w:rPr>
                <w:rFonts w:ascii="仿宋" w:hAnsi="仿宋" w:eastAsia="仿宋" w:cs="宋体"/>
                <w:color w:val="000000"/>
                <w:sz w:val="24"/>
                <w:szCs w:val="24"/>
                <w:lang w:eastAsia="zh-CN"/>
              </w:rPr>
              <w:fldChar w:fldCharType="end"/>
            </w:r>
          </w:p>
          <w:p w14:paraId="1D82112A">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否 □</w:t>
            </w:r>
          </w:p>
        </w:tc>
        <w:tc>
          <w:tcPr>
            <w:tcW w:w="970" w:type="pct"/>
            <w:vAlign w:val="center"/>
          </w:tcPr>
          <w:p w14:paraId="437FF61A">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信息披露义务人是否为上市公司实际控制人</w:t>
            </w:r>
          </w:p>
        </w:tc>
        <w:tc>
          <w:tcPr>
            <w:tcW w:w="1546" w:type="pct"/>
            <w:vAlign w:val="center"/>
          </w:tcPr>
          <w:p w14:paraId="7B232E4A">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是 </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hint="eastAsia" w:ascii="仿宋" w:hAnsi="仿宋" w:eastAsia="仿宋" w:cs="宋体"/>
                <w:color w:val="000000"/>
                <w:position w:val="2"/>
                <w:sz w:val="15"/>
                <w:szCs w:val="24"/>
                <w:lang w:eastAsia="zh-CN"/>
              </w:rPr>
              <w:instrText xml:space="preserve">√</w:instrText>
            </w:r>
            <w:r>
              <w:rPr>
                <w:rFonts w:hint="eastAsia" w:ascii="仿宋" w:hAnsi="仿宋" w:eastAsia="仿宋" w:cs="宋体"/>
                <w:color w:val="000000"/>
                <w:sz w:val="24"/>
                <w:szCs w:val="24"/>
                <w:lang w:eastAsia="zh-CN"/>
              </w:rPr>
              <w:instrText xml:space="preserve">)</w:instrText>
            </w:r>
            <w:r>
              <w:rPr>
                <w:rFonts w:ascii="仿宋" w:hAnsi="仿宋" w:eastAsia="仿宋" w:cs="宋体"/>
                <w:color w:val="000000"/>
                <w:sz w:val="24"/>
                <w:szCs w:val="24"/>
                <w:lang w:eastAsia="zh-CN"/>
              </w:rPr>
              <w:fldChar w:fldCharType="end"/>
            </w:r>
          </w:p>
          <w:p w14:paraId="3423442B">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否 □</w:t>
            </w:r>
          </w:p>
        </w:tc>
      </w:tr>
      <w:tr w14:paraId="75E5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7" w:hRule="atLeast"/>
        </w:trPr>
        <w:tc>
          <w:tcPr>
            <w:tcW w:w="950" w:type="pct"/>
            <w:vAlign w:val="center"/>
          </w:tcPr>
          <w:p w14:paraId="321CD21D">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本权益变动方式（可多选）</w:t>
            </w:r>
          </w:p>
        </w:tc>
        <w:tc>
          <w:tcPr>
            <w:tcW w:w="4049" w:type="pct"/>
            <w:gridSpan w:val="3"/>
            <w:vAlign w:val="center"/>
          </w:tcPr>
          <w:p w14:paraId="039D54D3">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通过证券交易所的集中交易□      协议转让 □</w:t>
            </w:r>
          </w:p>
          <w:p w14:paraId="1687F0A7">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国有股行政划转或变更 □         间接方式转让 □</w:t>
            </w:r>
          </w:p>
          <w:p w14:paraId="0A0EB72D">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取得上市公司发行的新股 □       执行法院裁定 □ </w:t>
            </w:r>
          </w:p>
          <w:p w14:paraId="0A35A0CA">
            <w:pPr>
              <w:widowControl/>
              <w:jc w:val="both"/>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继承□                          赠与 □</w:t>
            </w:r>
          </w:p>
          <w:p w14:paraId="0A69C3BE">
            <w:pPr>
              <w:rPr>
                <w:lang w:eastAsia="zh-CN"/>
              </w:rPr>
            </w:pPr>
            <w:r>
              <w:rPr>
                <w:rFonts w:hint="eastAsia" w:ascii="仿宋" w:hAnsi="仿宋" w:eastAsia="仿宋" w:cs="宋体"/>
                <w:color w:val="000000"/>
                <w:sz w:val="24"/>
                <w:szCs w:val="24"/>
                <w:lang w:eastAsia="zh-CN"/>
              </w:rPr>
              <w:t>其他：</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hint="eastAsia" w:ascii="仿宋" w:hAnsi="仿宋" w:eastAsia="仿宋" w:cs="宋体"/>
                <w:color w:val="000000"/>
                <w:position w:val="2"/>
                <w:sz w:val="15"/>
                <w:szCs w:val="24"/>
                <w:lang w:eastAsia="zh-CN"/>
              </w:rPr>
              <w:instrText xml:space="preserve">√</w:instrText>
            </w:r>
            <w:r>
              <w:rPr>
                <w:rFonts w:hint="eastAsia" w:ascii="仿宋" w:hAnsi="仿宋" w:eastAsia="仿宋" w:cs="宋体"/>
                <w:color w:val="000000"/>
                <w:sz w:val="24"/>
                <w:szCs w:val="24"/>
                <w:lang w:eastAsia="zh-CN"/>
              </w:rPr>
              <w:instrText xml:space="preserve">)</w:instrText>
            </w:r>
            <w:r>
              <w:rPr>
                <w:rFonts w:ascii="仿宋" w:hAnsi="仿宋" w:eastAsia="仿宋" w:cs="宋体"/>
                <w:color w:val="000000"/>
                <w:sz w:val="24"/>
                <w:szCs w:val="24"/>
                <w:lang w:eastAsia="zh-CN"/>
              </w:rPr>
              <w:fldChar w:fldCharType="end"/>
            </w:r>
            <w:r>
              <w:rPr>
                <w:rFonts w:hint="eastAsia" w:ascii="仿宋" w:hAnsi="仿宋" w:eastAsia="仿宋" w:cs="宋体"/>
                <w:color w:val="000000"/>
                <w:sz w:val="24"/>
                <w:szCs w:val="24"/>
                <w:lang w:eastAsia="zh-CN"/>
              </w:rPr>
              <w:t>（请注明）</w:t>
            </w:r>
            <w:r>
              <w:rPr>
                <w:rFonts w:hint="eastAsia" w:ascii="仿宋" w:hAnsi="仿宋" w:eastAsia="仿宋" w:cs="宋体"/>
                <w:color w:val="000000"/>
                <w:sz w:val="24"/>
                <w:szCs w:val="24"/>
                <w:u w:val="single"/>
              </w:rPr>
              <w:t>因公司向实际控制人回购限制性股票并注销，导致持股比例减少。</w:t>
            </w:r>
          </w:p>
        </w:tc>
      </w:tr>
      <w:tr w14:paraId="2B230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50" w:type="pct"/>
            <w:vAlign w:val="center"/>
          </w:tcPr>
          <w:p w14:paraId="59ECA6F7">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信息披露义务人披露前拥有权益的股份数量及占上市公司已发行股份比例</w:t>
            </w:r>
          </w:p>
        </w:tc>
        <w:tc>
          <w:tcPr>
            <w:tcW w:w="4049" w:type="pct"/>
            <w:gridSpan w:val="3"/>
            <w:vAlign w:val="center"/>
          </w:tcPr>
          <w:p w14:paraId="4F6ECF0A">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股票种类：人民币普通股（A股）</w:t>
            </w:r>
          </w:p>
          <w:p w14:paraId="622DCEF6">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持股数量：</w:t>
            </w:r>
            <w:r>
              <w:rPr>
                <w:rFonts w:ascii="仿宋" w:hAnsi="仿宋" w:eastAsia="仿宋" w:cs="宋体"/>
                <w:color w:val="000000"/>
                <w:sz w:val="24"/>
                <w:szCs w:val="24"/>
                <w:lang w:eastAsia="zh-CN"/>
              </w:rPr>
              <w:t>23,637,944</w:t>
            </w:r>
            <w:r>
              <w:rPr>
                <w:rFonts w:hint="eastAsia" w:ascii="仿宋" w:hAnsi="仿宋" w:eastAsia="仿宋" w:cs="宋体"/>
                <w:color w:val="000000"/>
                <w:sz w:val="24"/>
                <w:szCs w:val="24"/>
                <w:lang w:eastAsia="zh-CN"/>
              </w:rPr>
              <w:t>股</w:t>
            </w:r>
          </w:p>
          <w:p w14:paraId="02C192E5">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持股比例：</w:t>
            </w:r>
            <w:r>
              <w:rPr>
                <w:rFonts w:ascii="仿宋" w:hAnsi="仿宋" w:eastAsia="仿宋" w:cs="宋体"/>
                <w:color w:val="000000"/>
                <w:sz w:val="24"/>
                <w:szCs w:val="24"/>
                <w:lang w:eastAsia="zh-CN"/>
              </w:rPr>
              <w:t>35.16</w:t>
            </w:r>
            <w:r>
              <w:rPr>
                <w:rFonts w:hint="eastAsia" w:ascii="仿宋" w:hAnsi="仿宋" w:eastAsia="仿宋" w:cs="宋体"/>
                <w:color w:val="000000"/>
                <w:sz w:val="24"/>
                <w:szCs w:val="24"/>
                <w:lang w:eastAsia="zh-CN"/>
              </w:rPr>
              <w:t>%</w:t>
            </w:r>
          </w:p>
        </w:tc>
      </w:tr>
      <w:tr w14:paraId="1CDC2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50" w:type="pct"/>
            <w:vAlign w:val="center"/>
          </w:tcPr>
          <w:p w14:paraId="4ED4C390">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本次权益变动后，信息披露义务人拥有权益的股份数量及变动比例</w:t>
            </w:r>
          </w:p>
        </w:tc>
        <w:tc>
          <w:tcPr>
            <w:tcW w:w="4049" w:type="pct"/>
            <w:gridSpan w:val="3"/>
            <w:vAlign w:val="center"/>
          </w:tcPr>
          <w:p w14:paraId="3CDCF8A1">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股票种类：人民币普通股（A股）</w:t>
            </w:r>
          </w:p>
          <w:p w14:paraId="0562B73A">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持股数量：</w:t>
            </w:r>
            <w:r>
              <w:rPr>
                <w:rFonts w:ascii="仿宋" w:hAnsi="仿宋" w:eastAsia="仿宋" w:cs="宋体"/>
                <w:color w:val="000000"/>
                <w:sz w:val="24"/>
                <w:szCs w:val="24"/>
                <w:lang w:eastAsia="zh-CN"/>
              </w:rPr>
              <w:t>23,253,944</w:t>
            </w:r>
            <w:r>
              <w:rPr>
                <w:rFonts w:hint="eastAsia" w:ascii="仿宋" w:hAnsi="仿宋" w:eastAsia="仿宋" w:cs="宋体"/>
                <w:color w:val="000000"/>
                <w:sz w:val="24"/>
                <w:szCs w:val="24"/>
                <w:lang w:eastAsia="zh-CN"/>
              </w:rPr>
              <w:t>股</w:t>
            </w:r>
          </w:p>
          <w:p w14:paraId="01A13DD0">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持股比例：</w:t>
            </w:r>
            <w:r>
              <w:rPr>
                <w:rFonts w:ascii="仿宋" w:hAnsi="仿宋" w:eastAsia="仿宋" w:cs="宋体"/>
                <w:color w:val="000000"/>
                <w:sz w:val="24"/>
                <w:szCs w:val="24"/>
                <w:lang w:eastAsia="zh-CN"/>
              </w:rPr>
              <w:t>34.78%</w:t>
            </w:r>
          </w:p>
          <w:p w14:paraId="617D5EAF">
            <w:pPr>
              <w:widowControl/>
              <w:rPr>
                <w:rFonts w:ascii="仿宋" w:hAnsi="仿宋" w:eastAsia="仿宋"/>
                <w:sz w:val="24"/>
                <w:szCs w:val="24"/>
                <w:lang w:eastAsia="zh-CN"/>
              </w:rPr>
            </w:pPr>
            <w:r>
              <w:rPr>
                <w:rFonts w:hint="eastAsia" w:ascii="仿宋" w:hAnsi="仿宋" w:eastAsia="仿宋" w:cs="宋体"/>
                <w:color w:val="000000"/>
                <w:sz w:val="24"/>
                <w:szCs w:val="24"/>
                <w:lang w:eastAsia="zh-CN"/>
              </w:rPr>
              <w:t>变动</w:t>
            </w:r>
            <w:r>
              <w:rPr>
                <w:rFonts w:hint="eastAsia" w:ascii="仿宋" w:hAnsi="仿宋" w:eastAsia="仿宋" w:cs="宋体"/>
                <w:sz w:val="24"/>
                <w:szCs w:val="24"/>
                <w:lang w:eastAsia="zh-CN"/>
              </w:rPr>
              <w:t>比例：减少</w:t>
            </w:r>
            <w:r>
              <w:rPr>
                <w:rFonts w:hint="eastAsia" w:ascii="仿宋" w:hAnsi="仿宋" w:eastAsia="仿宋"/>
                <w:sz w:val="24"/>
                <w:szCs w:val="24"/>
                <w:lang w:eastAsia="zh-CN"/>
              </w:rPr>
              <w:t>0.38%。</w:t>
            </w:r>
          </w:p>
          <w:p w14:paraId="5D95B533">
            <w:pPr>
              <w:widowControl/>
              <w:rPr>
                <w:rFonts w:ascii="仿宋" w:hAnsi="仿宋" w:eastAsia="仿宋" w:cs="宋体"/>
                <w:color w:val="000000"/>
                <w:sz w:val="24"/>
                <w:szCs w:val="24"/>
                <w:lang w:eastAsia="zh-CN"/>
              </w:rPr>
            </w:pPr>
            <w:r>
              <w:rPr>
                <w:rFonts w:hint="eastAsia" w:ascii="仿宋" w:hAnsi="仿宋" w:eastAsia="仿宋"/>
                <w:sz w:val="24"/>
                <w:szCs w:val="24"/>
                <w:lang w:eastAsia="zh-CN"/>
              </w:rPr>
              <w:t>注：</w:t>
            </w:r>
            <w:r>
              <w:rPr>
                <w:rFonts w:hint="eastAsia" w:ascii="仿宋" w:hAnsi="仿宋" w:eastAsia="仿宋" w:cs="宋体"/>
                <w:color w:val="000000"/>
                <w:sz w:val="24"/>
                <w:szCs w:val="24"/>
                <w:lang w:eastAsia="zh-CN"/>
              </w:rPr>
              <w:t>上市公司回购专用账户中持有公司股票</w:t>
            </w:r>
            <w:r>
              <w:rPr>
                <w:rFonts w:ascii="仿宋" w:hAnsi="仿宋" w:eastAsia="仿宋" w:cs="宋体"/>
                <w:color w:val="000000"/>
                <w:sz w:val="24"/>
                <w:szCs w:val="24"/>
                <w:lang w:eastAsia="zh-CN"/>
              </w:rPr>
              <w:t>1,224,140</w:t>
            </w:r>
            <w:r>
              <w:rPr>
                <w:rFonts w:hint="eastAsia" w:ascii="仿宋" w:hAnsi="仿宋" w:eastAsia="仿宋" w:cs="宋体"/>
                <w:color w:val="000000"/>
                <w:sz w:val="24"/>
                <w:szCs w:val="24"/>
                <w:lang w:eastAsia="zh-CN"/>
              </w:rPr>
              <w:t>股。按剔除回购专用账户股份的总股本计，实际控制人持股比例由35.91%降低至35.43%,减少0.48%。</w:t>
            </w:r>
          </w:p>
        </w:tc>
      </w:tr>
      <w:tr w14:paraId="59CBB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50" w:type="pct"/>
            <w:vAlign w:val="center"/>
          </w:tcPr>
          <w:p w14:paraId="5507080D">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在上市公司中拥有权益的股份变动的时间及方式</w:t>
            </w:r>
          </w:p>
        </w:tc>
        <w:tc>
          <w:tcPr>
            <w:tcW w:w="4049" w:type="pct"/>
            <w:gridSpan w:val="3"/>
            <w:vAlign w:val="center"/>
          </w:tcPr>
          <w:p w14:paraId="4D997A63">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时间：2024年</w:t>
            </w:r>
            <w:r>
              <w:rPr>
                <w:rFonts w:ascii="仿宋" w:hAnsi="仿宋" w:eastAsia="仿宋" w:cs="宋体"/>
                <w:color w:val="000000"/>
                <w:sz w:val="24"/>
                <w:szCs w:val="24"/>
                <w:lang w:eastAsia="zh-CN"/>
              </w:rPr>
              <w:t>11</w:t>
            </w:r>
            <w:r>
              <w:rPr>
                <w:rFonts w:hint="eastAsia" w:ascii="仿宋" w:hAnsi="仿宋" w:eastAsia="仿宋" w:cs="宋体"/>
                <w:color w:val="000000"/>
                <w:sz w:val="24"/>
                <w:szCs w:val="24"/>
                <w:lang w:eastAsia="zh-CN"/>
              </w:rPr>
              <w:t>月27日、2025年7月28日</w:t>
            </w:r>
          </w:p>
          <w:p w14:paraId="6FB504BB">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方式：由上市公司回购并注销</w:t>
            </w:r>
          </w:p>
        </w:tc>
      </w:tr>
      <w:tr w14:paraId="7A31B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950" w:type="pct"/>
            <w:vAlign w:val="center"/>
          </w:tcPr>
          <w:p w14:paraId="73A38A9A">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是否已充分披露资金来源</w:t>
            </w:r>
          </w:p>
        </w:tc>
        <w:tc>
          <w:tcPr>
            <w:tcW w:w="4049" w:type="pct"/>
            <w:gridSpan w:val="3"/>
            <w:vAlign w:val="center"/>
          </w:tcPr>
          <w:p w14:paraId="6D13E88A">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是 </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hint="eastAsia" w:ascii="仿宋" w:hAnsi="仿宋" w:eastAsia="仿宋" w:cs="宋体"/>
                <w:color w:val="000000"/>
                <w:position w:val="2"/>
                <w:sz w:val="15"/>
                <w:szCs w:val="24"/>
                <w:lang w:eastAsia="zh-CN"/>
              </w:rPr>
              <w:instrText xml:space="preserve">√</w:instrText>
            </w:r>
            <w:r>
              <w:rPr>
                <w:rFonts w:hint="eastAsia" w:ascii="仿宋" w:hAnsi="仿宋" w:eastAsia="仿宋" w:cs="宋体"/>
                <w:color w:val="000000"/>
                <w:sz w:val="24"/>
                <w:szCs w:val="24"/>
                <w:lang w:eastAsia="zh-CN"/>
              </w:rPr>
              <w:instrText xml:space="preserve">)</w:instrText>
            </w:r>
            <w:r>
              <w:rPr>
                <w:rFonts w:ascii="仿宋" w:hAnsi="仿宋" w:eastAsia="仿宋" w:cs="宋体"/>
                <w:color w:val="000000"/>
                <w:sz w:val="24"/>
                <w:szCs w:val="24"/>
                <w:lang w:eastAsia="zh-CN"/>
              </w:rPr>
              <w:fldChar w:fldCharType="end"/>
            </w:r>
            <w:r>
              <w:rPr>
                <w:rFonts w:hint="eastAsia" w:ascii="仿宋" w:hAnsi="仿宋" w:eastAsia="仿宋" w:cs="宋体"/>
                <w:color w:val="000000"/>
                <w:sz w:val="24"/>
                <w:szCs w:val="24"/>
                <w:lang w:eastAsia="zh-CN"/>
              </w:rPr>
              <w:t xml:space="preserve">   否 □   不适用□</w:t>
            </w:r>
          </w:p>
        </w:tc>
      </w:tr>
      <w:tr w14:paraId="0DDDE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8" w:hRule="atLeast"/>
        </w:trPr>
        <w:tc>
          <w:tcPr>
            <w:tcW w:w="950" w:type="pct"/>
            <w:vAlign w:val="center"/>
          </w:tcPr>
          <w:p w14:paraId="22B026BF">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信息披露义务人是否拟于未来12个月内继续增持</w:t>
            </w:r>
          </w:p>
        </w:tc>
        <w:tc>
          <w:tcPr>
            <w:tcW w:w="4049" w:type="pct"/>
            <w:gridSpan w:val="3"/>
            <w:vAlign w:val="center"/>
          </w:tcPr>
          <w:p w14:paraId="6091034A">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是 </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hint="eastAsia" w:ascii="仿宋" w:hAnsi="仿宋" w:eastAsia="仿宋" w:cs="宋体"/>
                <w:color w:val="000000"/>
                <w:position w:val="2"/>
                <w:sz w:val="15"/>
                <w:szCs w:val="24"/>
                <w:lang w:eastAsia="zh-CN"/>
              </w:rPr>
              <w:instrText xml:space="preserve">√</w:instrText>
            </w:r>
            <w:r>
              <w:rPr>
                <w:rFonts w:hint="eastAsia" w:ascii="仿宋" w:hAnsi="仿宋" w:eastAsia="仿宋" w:cs="宋体"/>
                <w:color w:val="000000"/>
                <w:sz w:val="24"/>
                <w:szCs w:val="24"/>
                <w:lang w:eastAsia="zh-CN"/>
              </w:rPr>
              <w:instrText xml:space="preserve">)</w:instrText>
            </w:r>
            <w:r>
              <w:rPr>
                <w:rFonts w:ascii="仿宋" w:hAnsi="仿宋" w:eastAsia="仿宋" w:cs="宋体"/>
                <w:color w:val="000000"/>
                <w:sz w:val="24"/>
                <w:szCs w:val="24"/>
                <w:lang w:eastAsia="zh-CN"/>
              </w:rPr>
              <w:fldChar w:fldCharType="end"/>
            </w:r>
            <w:r>
              <w:rPr>
                <w:rFonts w:hint="eastAsia" w:ascii="仿宋" w:hAnsi="仿宋" w:eastAsia="仿宋" w:cs="宋体"/>
                <w:color w:val="000000"/>
                <w:sz w:val="24"/>
                <w:szCs w:val="24"/>
                <w:lang w:eastAsia="zh-CN"/>
              </w:rPr>
              <w:t xml:space="preserve">  否 □   不适用</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ascii="仿宋" w:hAnsi="仿宋" w:eastAsia="仿宋" w:cs="宋体"/>
                <w:color w:val="000000"/>
                <w:sz w:val="24"/>
                <w:szCs w:val="24"/>
                <w:lang w:eastAsia="zh-CN"/>
              </w:rPr>
              <w:fldChar w:fldCharType="end"/>
            </w:r>
          </w:p>
          <w:p w14:paraId="75A10193">
            <w:pPr>
              <w:spacing w:line="360" w:lineRule="auto"/>
              <w:ind w:firstLine="440" w:firstLineChars="200"/>
              <w:jc w:val="both"/>
              <w:rPr>
                <w:rFonts w:ascii="仿宋" w:hAnsi="仿宋" w:eastAsia="仿宋"/>
                <w:lang w:eastAsia="zh-CN"/>
              </w:rPr>
            </w:pPr>
            <w:r>
              <w:rPr>
                <w:rFonts w:hint="eastAsia" w:ascii="仿宋" w:hAnsi="仿宋" w:eastAsia="仿宋"/>
                <w:lang w:eastAsia="zh-CN"/>
              </w:rPr>
              <w:t>上市公司正在筹划以发行股份及支付现金的方式购买广东星云开物科技股份有限公司100%股权，并计划向实际控制人马学沛先生发行股份以募集配套资金。本次交易尚需公司董事会再次审议及公司股东会审议通过，并经深圳证券交易所审核同意及中国证监会注册后方可正式实施。本次交易最终批准或注册时间存在不确定性。</w:t>
            </w:r>
          </w:p>
          <w:p w14:paraId="6B1F6A1C">
            <w:pPr>
              <w:spacing w:line="360" w:lineRule="auto"/>
              <w:ind w:firstLine="440" w:firstLineChars="200"/>
              <w:jc w:val="both"/>
              <w:rPr>
                <w:rFonts w:ascii="仿宋" w:hAnsi="仿宋" w:eastAsia="仿宋" w:cs="宋体"/>
                <w:color w:val="000000"/>
                <w:sz w:val="24"/>
                <w:szCs w:val="24"/>
                <w:lang w:eastAsia="zh-CN"/>
              </w:rPr>
            </w:pPr>
            <w:r>
              <w:rPr>
                <w:rFonts w:hint="eastAsia" w:ascii="仿宋" w:hAnsi="仿宋" w:eastAsia="仿宋"/>
                <w:lang w:eastAsia="zh-CN"/>
              </w:rPr>
              <w:t>截至本报告书签署日，除上述事项外，信息披露义务人亦不排除在未来12个月内在符合遵守现行有效的法律、行政法规及规范性文件的基础上增加或减少上市公司股份之可能性。若发生相关权益变动事项，信息披露义务人将严格按照相关法律法规及相关规定履行信息披露及其他相关义务。</w:t>
            </w:r>
          </w:p>
        </w:tc>
      </w:tr>
      <w:tr w14:paraId="529C8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50" w:type="pct"/>
            <w:vAlign w:val="center"/>
          </w:tcPr>
          <w:p w14:paraId="3150D40B">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信息披露义务人在此前6个月是否在二级市场买卖该上市公司股票</w:t>
            </w:r>
          </w:p>
        </w:tc>
        <w:tc>
          <w:tcPr>
            <w:tcW w:w="4049" w:type="pct"/>
            <w:gridSpan w:val="3"/>
            <w:vAlign w:val="center"/>
          </w:tcPr>
          <w:p w14:paraId="4B1690B5">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是 ☑   否 </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ascii="仿宋" w:hAnsi="仿宋" w:eastAsia="仿宋" w:cs="宋体"/>
                <w:color w:val="000000"/>
                <w:sz w:val="24"/>
                <w:szCs w:val="24"/>
                <w:lang w:eastAsia="zh-CN"/>
              </w:rPr>
              <w:fldChar w:fldCharType="end"/>
            </w:r>
          </w:p>
        </w:tc>
      </w:tr>
      <w:tr w14:paraId="7B867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000" w:type="pct"/>
            <w:gridSpan w:val="4"/>
            <w:vAlign w:val="center"/>
          </w:tcPr>
          <w:p w14:paraId="4CD4CD17">
            <w:pPr>
              <w:widowControl/>
              <w:jc w:val="both"/>
              <w:rPr>
                <w:rFonts w:ascii="仿宋" w:hAnsi="仿宋" w:eastAsia="仿宋" w:cs="宋体"/>
                <w:b/>
                <w:bCs/>
                <w:color w:val="000000"/>
                <w:sz w:val="24"/>
                <w:szCs w:val="24"/>
                <w:lang w:eastAsia="zh-CN"/>
              </w:rPr>
            </w:pPr>
            <w:r>
              <w:rPr>
                <w:rFonts w:hint="eastAsia" w:ascii="仿宋" w:hAnsi="仿宋" w:eastAsia="仿宋" w:cs="宋体"/>
                <w:b/>
                <w:bCs/>
                <w:color w:val="000000"/>
                <w:sz w:val="24"/>
                <w:szCs w:val="24"/>
                <w:lang w:eastAsia="zh-CN"/>
              </w:rPr>
              <w:t>涉及上市公司控股股东或实际控制人减持股份的，信息披露义务人还应当就以下内容予以说明：</w:t>
            </w:r>
          </w:p>
        </w:tc>
      </w:tr>
      <w:tr w14:paraId="1E79A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950" w:type="pct"/>
            <w:vAlign w:val="center"/>
          </w:tcPr>
          <w:p w14:paraId="469E5EF6">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控股股东或实际控制人减持时是否存在侵害上市公司和股东权益的问题</w:t>
            </w:r>
          </w:p>
        </w:tc>
        <w:tc>
          <w:tcPr>
            <w:tcW w:w="4049" w:type="pct"/>
            <w:gridSpan w:val="3"/>
            <w:vAlign w:val="center"/>
          </w:tcPr>
          <w:p w14:paraId="5C721822">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是 □   否 □   不适用</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ascii="仿宋" w:hAnsi="仿宋" w:eastAsia="仿宋" w:cs="宋体"/>
                <w:color w:val="000000"/>
                <w:sz w:val="24"/>
                <w:szCs w:val="24"/>
                <w:lang w:eastAsia="zh-CN"/>
              </w:rPr>
              <w:fldChar w:fldCharType="end"/>
            </w:r>
          </w:p>
          <w:p w14:paraId="7EF556BA">
            <w:pPr>
              <w:widowControl/>
              <w:rPr>
                <w:rFonts w:ascii="仿宋" w:hAnsi="仿宋" w:eastAsia="仿宋" w:cs="宋体"/>
                <w:color w:val="000000"/>
                <w:sz w:val="24"/>
                <w:szCs w:val="24"/>
                <w:lang w:eastAsia="zh-CN"/>
              </w:rPr>
            </w:pPr>
          </w:p>
          <w:p w14:paraId="52A2F8B3">
            <w:pPr>
              <w:widowControl/>
              <w:rPr>
                <w:rFonts w:ascii="仿宋" w:hAnsi="仿宋" w:eastAsia="仿宋" w:cs="宋体"/>
                <w:color w:val="000000"/>
                <w:sz w:val="24"/>
                <w:szCs w:val="24"/>
                <w:lang w:eastAsia="zh-CN"/>
              </w:rPr>
            </w:pPr>
          </w:p>
        </w:tc>
      </w:tr>
      <w:tr w14:paraId="6269C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950" w:type="pct"/>
            <w:vAlign w:val="center"/>
          </w:tcPr>
          <w:p w14:paraId="11B5D7F8">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控股股东或实际控制人减持时是否存在未清偿其对公司的负债，未解除公司为其负债提供的担保，或者损害公司利益的其他情形</w:t>
            </w:r>
          </w:p>
        </w:tc>
        <w:tc>
          <w:tcPr>
            <w:tcW w:w="4049" w:type="pct"/>
            <w:gridSpan w:val="3"/>
            <w:vAlign w:val="center"/>
          </w:tcPr>
          <w:p w14:paraId="6CD284FD">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是 □   否 □   不适用</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hint="eastAsia" w:ascii="仿宋" w:hAnsi="仿宋" w:eastAsia="仿宋" w:cs="宋体"/>
                <w:color w:val="000000"/>
                <w:position w:val="2"/>
                <w:sz w:val="15"/>
                <w:szCs w:val="24"/>
                <w:lang w:eastAsia="zh-CN"/>
              </w:rPr>
              <w:instrText xml:space="preserve">√</w:instrText>
            </w:r>
            <w:r>
              <w:rPr>
                <w:rFonts w:hint="eastAsia" w:ascii="仿宋" w:hAnsi="仿宋" w:eastAsia="仿宋" w:cs="宋体"/>
                <w:color w:val="000000"/>
                <w:sz w:val="24"/>
                <w:szCs w:val="24"/>
                <w:lang w:eastAsia="zh-CN"/>
              </w:rPr>
              <w:instrText xml:space="preserve">)</w:instrText>
            </w:r>
            <w:r>
              <w:rPr>
                <w:rFonts w:ascii="仿宋" w:hAnsi="仿宋" w:eastAsia="仿宋" w:cs="宋体"/>
                <w:color w:val="000000"/>
                <w:sz w:val="24"/>
                <w:szCs w:val="24"/>
                <w:lang w:eastAsia="zh-CN"/>
              </w:rPr>
              <w:fldChar w:fldCharType="end"/>
            </w:r>
          </w:p>
        </w:tc>
      </w:tr>
      <w:tr w14:paraId="7E0CC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950" w:type="pct"/>
            <w:vAlign w:val="center"/>
          </w:tcPr>
          <w:p w14:paraId="4913A270">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本次权益变动是否需取得批准</w:t>
            </w:r>
          </w:p>
        </w:tc>
        <w:tc>
          <w:tcPr>
            <w:tcW w:w="4049" w:type="pct"/>
            <w:gridSpan w:val="3"/>
            <w:vAlign w:val="center"/>
          </w:tcPr>
          <w:p w14:paraId="226431C5">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是 □   否 □   不适用</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hint="eastAsia" w:ascii="仿宋" w:hAnsi="仿宋" w:eastAsia="仿宋" w:cs="宋体"/>
                <w:color w:val="000000"/>
                <w:position w:val="2"/>
                <w:sz w:val="15"/>
                <w:szCs w:val="24"/>
                <w:lang w:eastAsia="zh-CN"/>
              </w:rPr>
              <w:instrText xml:space="preserve">√</w:instrText>
            </w:r>
            <w:r>
              <w:rPr>
                <w:rFonts w:hint="eastAsia" w:ascii="仿宋" w:hAnsi="仿宋" w:eastAsia="仿宋" w:cs="宋体"/>
                <w:color w:val="000000"/>
                <w:sz w:val="24"/>
                <w:szCs w:val="24"/>
                <w:lang w:eastAsia="zh-CN"/>
              </w:rPr>
              <w:instrText xml:space="preserve">)</w:instrText>
            </w:r>
            <w:r>
              <w:rPr>
                <w:rFonts w:ascii="仿宋" w:hAnsi="仿宋" w:eastAsia="仿宋" w:cs="宋体"/>
                <w:color w:val="000000"/>
                <w:sz w:val="24"/>
                <w:szCs w:val="24"/>
                <w:lang w:eastAsia="zh-CN"/>
              </w:rPr>
              <w:fldChar w:fldCharType="end"/>
            </w:r>
          </w:p>
        </w:tc>
      </w:tr>
      <w:tr w14:paraId="5A9DA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0" w:type="pct"/>
            <w:vAlign w:val="center"/>
          </w:tcPr>
          <w:p w14:paraId="24F3CED3">
            <w:pPr>
              <w:widowControl/>
              <w:jc w:val="center"/>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是否已得到批准</w:t>
            </w:r>
          </w:p>
        </w:tc>
        <w:tc>
          <w:tcPr>
            <w:tcW w:w="4049" w:type="pct"/>
            <w:gridSpan w:val="3"/>
            <w:vAlign w:val="center"/>
          </w:tcPr>
          <w:p w14:paraId="0165C970">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是 □   否 □   不适用</w:t>
            </w:r>
            <w:r>
              <w:rPr>
                <w:rFonts w:ascii="仿宋" w:hAnsi="仿宋" w:eastAsia="仿宋" w:cs="宋体"/>
                <w:color w:val="000000"/>
                <w:sz w:val="24"/>
                <w:szCs w:val="24"/>
                <w:lang w:eastAsia="zh-CN"/>
              </w:rPr>
              <w:fldChar w:fldCharType="begin"/>
            </w:r>
            <w:r>
              <w:rPr>
                <w:rFonts w:ascii="仿宋" w:hAnsi="仿宋" w:eastAsia="仿宋" w:cs="宋体"/>
                <w:color w:val="000000"/>
                <w:sz w:val="24"/>
                <w:szCs w:val="24"/>
                <w:lang w:eastAsia="zh-CN"/>
              </w:rPr>
              <w:instrText xml:space="preserve"> </w:instrText>
            </w:r>
            <w:r>
              <w:rPr>
                <w:rFonts w:hint="eastAsia" w:ascii="仿宋" w:hAnsi="仿宋" w:eastAsia="仿宋" w:cs="宋体"/>
                <w:color w:val="000000"/>
                <w:sz w:val="24"/>
                <w:szCs w:val="24"/>
                <w:lang w:eastAsia="zh-CN"/>
              </w:rPr>
              <w:instrText xml:space="preserve">eq \o\ac(□,</w:instrText>
            </w:r>
            <w:r>
              <w:rPr>
                <w:rFonts w:hint="eastAsia" w:ascii="仿宋" w:hAnsi="仿宋" w:eastAsia="仿宋" w:cs="宋体"/>
                <w:color w:val="000000"/>
                <w:position w:val="2"/>
                <w:sz w:val="15"/>
                <w:szCs w:val="24"/>
                <w:lang w:eastAsia="zh-CN"/>
              </w:rPr>
              <w:instrText xml:space="preserve">√</w:instrText>
            </w:r>
            <w:r>
              <w:rPr>
                <w:rFonts w:hint="eastAsia" w:ascii="仿宋" w:hAnsi="仿宋" w:eastAsia="仿宋" w:cs="宋体"/>
                <w:color w:val="000000"/>
                <w:sz w:val="24"/>
                <w:szCs w:val="24"/>
                <w:lang w:eastAsia="zh-CN"/>
              </w:rPr>
              <w:instrText xml:space="preserve">)</w:instrText>
            </w:r>
            <w:r>
              <w:rPr>
                <w:rFonts w:ascii="仿宋" w:hAnsi="仿宋" w:eastAsia="仿宋" w:cs="宋体"/>
                <w:color w:val="000000"/>
                <w:sz w:val="24"/>
                <w:szCs w:val="24"/>
                <w:lang w:eastAsia="zh-CN"/>
              </w:rPr>
              <w:fldChar w:fldCharType="end"/>
            </w:r>
          </w:p>
        </w:tc>
      </w:tr>
    </w:tbl>
    <w:p w14:paraId="74D59460">
      <w:pPr>
        <w:spacing w:line="360" w:lineRule="auto"/>
        <w:jc w:val="right"/>
        <w:rPr>
          <w:rFonts w:ascii="仿宋" w:hAnsi="仿宋" w:eastAsia="仿宋"/>
          <w:b/>
          <w:sz w:val="24"/>
          <w:szCs w:val="24"/>
          <w:lang w:eastAsia="zh-CN"/>
        </w:rPr>
      </w:pPr>
    </w:p>
    <w:p w14:paraId="25E6A694">
      <w:pPr>
        <w:spacing w:line="360" w:lineRule="auto"/>
        <w:rPr>
          <w:rFonts w:ascii="仿宋" w:hAnsi="仿宋" w:eastAsia="仿宋"/>
          <w:szCs w:val="24"/>
          <w:lang w:eastAsia="zh-CN"/>
        </w:rPr>
      </w:pPr>
      <w:r>
        <w:rPr>
          <w:rFonts w:ascii="仿宋" w:hAnsi="仿宋" w:eastAsia="仿宋"/>
          <w:b/>
          <w:sz w:val="24"/>
          <w:szCs w:val="24"/>
          <w:lang w:eastAsia="zh-CN"/>
        </w:rPr>
        <w:br w:type="page"/>
      </w:r>
      <w:r>
        <w:rPr>
          <w:rFonts w:hint="eastAsia" w:ascii="仿宋" w:hAnsi="仿宋" w:eastAsia="仿宋"/>
          <w:szCs w:val="24"/>
          <w:lang w:eastAsia="zh-CN"/>
        </w:rPr>
        <w:t>（本页无正文，为《广东天亿马信息产业股份有限公司简式权益变动报告书附表》之签署页）</w:t>
      </w:r>
    </w:p>
    <w:p w14:paraId="71C465F7">
      <w:pPr>
        <w:spacing w:line="360" w:lineRule="auto"/>
        <w:jc w:val="right"/>
        <w:rPr>
          <w:rFonts w:ascii="仿宋" w:hAnsi="仿宋" w:eastAsia="仿宋"/>
          <w:b/>
          <w:sz w:val="24"/>
          <w:szCs w:val="24"/>
          <w:lang w:eastAsia="zh-CN"/>
        </w:rPr>
      </w:pPr>
    </w:p>
    <w:p w14:paraId="3F631FC8">
      <w:pPr>
        <w:spacing w:line="360" w:lineRule="auto"/>
        <w:jc w:val="right"/>
        <w:rPr>
          <w:rFonts w:ascii="仿宋" w:hAnsi="仿宋" w:eastAsia="仿宋"/>
          <w:b/>
          <w:sz w:val="24"/>
          <w:szCs w:val="24"/>
          <w:lang w:eastAsia="zh-CN"/>
        </w:rPr>
      </w:pPr>
    </w:p>
    <w:p w14:paraId="2230525A">
      <w:pPr>
        <w:spacing w:line="360" w:lineRule="auto"/>
        <w:jc w:val="right"/>
        <w:rPr>
          <w:rFonts w:ascii="仿宋" w:hAnsi="仿宋" w:eastAsia="仿宋"/>
          <w:b/>
          <w:sz w:val="24"/>
          <w:szCs w:val="24"/>
          <w:lang w:eastAsia="zh-CN"/>
        </w:rPr>
      </w:pPr>
    </w:p>
    <w:p w14:paraId="5EFEAE66">
      <w:pPr>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信息披露义务人一：________________________</w:t>
      </w:r>
    </w:p>
    <w:p w14:paraId="787D758A">
      <w:pPr>
        <w:spacing w:line="360" w:lineRule="auto"/>
        <w:ind w:right="1120"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林明玲</w:t>
      </w:r>
    </w:p>
    <w:p w14:paraId="5F110E65">
      <w:pPr>
        <w:spacing w:line="360" w:lineRule="auto"/>
        <w:ind w:firstLine="560" w:firstLineChars="200"/>
        <w:jc w:val="right"/>
        <w:rPr>
          <w:rFonts w:ascii="仿宋" w:hAnsi="仿宋" w:eastAsia="仿宋"/>
          <w:sz w:val="28"/>
          <w:szCs w:val="28"/>
          <w:lang w:eastAsia="zh-CN"/>
        </w:rPr>
      </w:pPr>
    </w:p>
    <w:p w14:paraId="1DDF1330">
      <w:pPr>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 xml:space="preserve"> </w:t>
      </w:r>
    </w:p>
    <w:p w14:paraId="02A9A0D6">
      <w:pPr>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信息披露义务人二：_______________________</w:t>
      </w:r>
    </w:p>
    <w:p w14:paraId="00C7BE8B">
      <w:pPr>
        <w:wordWrap w:val="0"/>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 xml:space="preserve">马学沛         </w:t>
      </w:r>
    </w:p>
    <w:p w14:paraId="0D9B89BA">
      <w:pPr>
        <w:spacing w:line="360" w:lineRule="auto"/>
        <w:jc w:val="right"/>
        <w:rPr>
          <w:rFonts w:ascii="仿宋" w:hAnsi="仿宋" w:eastAsia="仿宋"/>
          <w:b/>
          <w:sz w:val="24"/>
          <w:szCs w:val="24"/>
          <w:lang w:eastAsia="zh-CN"/>
        </w:rPr>
      </w:pPr>
    </w:p>
    <w:p w14:paraId="13960E06">
      <w:pPr>
        <w:widowControl/>
        <w:jc w:val="right"/>
        <w:rPr>
          <w:rFonts w:ascii="仿宋" w:hAnsi="仿宋" w:eastAsia="仿宋"/>
          <w:sz w:val="24"/>
          <w:szCs w:val="24"/>
          <w:lang w:eastAsia="zh-CN"/>
        </w:rPr>
      </w:pPr>
    </w:p>
    <w:p w14:paraId="2D2FCD19">
      <w:pPr>
        <w:wordWrap w:val="0"/>
        <w:spacing w:line="360" w:lineRule="auto"/>
        <w:ind w:firstLine="560" w:firstLineChars="200"/>
        <w:jc w:val="right"/>
        <w:rPr>
          <w:rFonts w:ascii="仿宋" w:hAnsi="仿宋" w:eastAsia="仿宋"/>
          <w:sz w:val="28"/>
          <w:szCs w:val="28"/>
          <w:lang w:eastAsia="zh-CN"/>
        </w:rPr>
      </w:pPr>
      <w:r>
        <w:rPr>
          <w:rFonts w:hint="eastAsia" w:ascii="仿宋" w:hAnsi="仿宋" w:eastAsia="仿宋"/>
          <w:sz w:val="28"/>
          <w:szCs w:val="28"/>
          <w:lang w:eastAsia="zh-CN"/>
        </w:rPr>
        <w:t>签署日期： 2025年7月29日</w:t>
      </w:r>
    </w:p>
    <w:p w14:paraId="0E6AD2A9">
      <w:pPr>
        <w:widowControl/>
        <w:rPr>
          <w:rFonts w:ascii="仿宋" w:hAnsi="仿宋" w:eastAsia="仿宋"/>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roman"/>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1MTFiNGJhMzJhM2I0OTEyMWNkYTJhZjkyNTJjNzEifQ=="/>
  </w:docVars>
  <w:rsids>
    <w:rsidRoot w:val="002E370C"/>
    <w:rsid w:val="0000302D"/>
    <w:rsid w:val="0000347C"/>
    <w:rsid w:val="00010D1D"/>
    <w:rsid w:val="0001103C"/>
    <w:rsid w:val="000126BC"/>
    <w:rsid w:val="00023FDF"/>
    <w:rsid w:val="000251CC"/>
    <w:rsid w:val="000268F5"/>
    <w:rsid w:val="00026FB6"/>
    <w:rsid w:val="000308C7"/>
    <w:rsid w:val="00037D55"/>
    <w:rsid w:val="00040603"/>
    <w:rsid w:val="0004372E"/>
    <w:rsid w:val="000505D7"/>
    <w:rsid w:val="00060091"/>
    <w:rsid w:val="00075134"/>
    <w:rsid w:val="00077C52"/>
    <w:rsid w:val="00081115"/>
    <w:rsid w:val="00084832"/>
    <w:rsid w:val="0008535E"/>
    <w:rsid w:val="00090B8C"/>
    <w:rsid w:val="00093278"/>
    <w:rsid w:val="00095CE4"/>
    <w:rsid w:val="00096CD1"/>
    <w:rsid w:val="000A057C"/>
    <w:rsid w:val="000A401C"/>
    <w:rsid w:val="000A53D8"/>
    <w:rsid w:val="000B36F7"/>
    <w:rsid w:val="000B3EEB"/>
    <w:rsid w:val="000B40D4"/>
    <w:rsid w:val="000B422B"/>
    <w:rsid w:val="000C255F"/>
    <w:rsid w:val="000C7E94"/>
    <w:rsid w:val="000D01D5"/>
    <w:rsid w:val="000D28DE"/>
    <w:rsid w:val="000D7F49"/>
    <w:rsid w:val="000E0142"/>
    <w:rsid w:val="000E20E4"/>
    <w:rsid w:val="000E23F3"/>
    <w:rsid w:val="000E3F6E"/>
    <w:rsid w:val="000F0E6E"/>
    <w:rsid w:val="000F1018"/>
    <w:rsid w:val="000F6E61"/>
    <w:rsid w:val="000F7537"/>
    <w:rsid w:val="0010030B"/>
    <w:rsid w:val="0010121C"/>
    <w:rsid w:val="00105A3A"/>
    <w:rsid w:val="00113A9C"/>
    <w:rsid w:val="00113F0C"/>
    <w:rsid w:val="0012332C"/>
    <w:rsid w:val="00123955"/>
    <w:rsid w:val="00126E4F"/>
    <w:rsid w:val="0012757A"/>
    <w:rsid w:val="00137B46"/>
    <w:rsid w:val="0014101B"/>
    <w:rsid w:val="0014385B"/>
    <w:rsid w:val="00144BD6"/>
    <w:rsid w:val="001538E0"/>
    <w:rsid w:val="00155857"/>
    <w:rsid w:val="001572A0"/>
    <w:rsid w:val="0016196A"/>
    <w:rsid w:val="00163DEC"/>
    <w:rsid w:val="001647C1"/>
    <w:rsid w:val="001649FC"/>
    <w:rsid w:val="0017192A"/>
    <w:rsid w:val="00174217"/>
    <w:rsid w:val="001811C8"/>
    <w:rsid w:val="001840E7"/>
    <w:rsid w:val="0019049A"/>
    <w:rsid w:val="00192547"/>
    <w:rsid w:val="00194231"/>
    <w:rsid w:val="0019540D"/>
    <w:rsid w:val="00196A1B"/>
    <w:rsid w:val="00197D58"/>
    <w:rsid w:val="001A79A7"/>
    <w:rsid w:val="001B00FF"/>
    <w:rsid w:val="001B0587"/>
    <w:rsid w:val="001B1705"/>
    <w:rsid w:val="001B2CB2"/>
    <w:rsid w:val="001B446C"/>
    <w:rsid w:val="001C09DE"/>
    <w:rsid w:val="001C5DAB"/>
    <w:rsid w:val="001D1D80"/>
    <w:rsid w:val="001D2E70"/>
    <w:rsid w:val="001D3359"/>
    <w:rsid w:val="001D4DA6"/>
    <w:rsid w:val="001F021E"/>
    <w:rsid w:val="0020610C"/>
    <w:rsid w:val="00206B5E"/>
    <w:rsid w:val="00211205"/>
    <w:rsid w:val="002127EE"/>
    <w:rsid w:val="00214840"/>
    <w:rsid w:val="00221300"/>
    <w:rsid w:val="00225CAF"/>
    <w:rsid w:val="00225E79"/>
    <w:rsid w:val="00234933"/>
    <w:rsid w:val="002349EF"/>
    <w:rsid w:val="002353A4"/>
    <w:rsid w:val="00240ADB"/>
    <w:rsid w:val="002428FE"/>
    <w:rsid w:val="0024512A"/>
    <w:rsid w:val="00264763"/>
    <w:rsid w:val="00267448"/>
    <w:rsid w:val="00270747"/>
    <w:rsid w:val="00273D73"/>
    <w:rsid w:val="00273E50"/>
    <w:rsid w:val="00274ECA"/>
    <w:rsid w:val="00275B06"/>
    <w:rsid w:val="00281CB3"/>
    <w:rsid w:val="002839AD"/>
    <w:rsid w:val="002864B8"/>
    <w:rsid w:val="00286B2F"/>
    <w:rsid w:val="00287FA2"/>
    <w:rsid w:val="00290A6C"/>
    <w:rsid w:val="00296508"/>
    <w:rsid w:val="002A14D9"/>
    <w:rsid w:val="002A1997"/>
    <w:rsid w:val="002A3D69"/>
    <w:rsid w:val="002A4153"/>
    <w:rsid w:val="002A4DA6"/>
    <w:rsid w:val="002B7876"/>
    <w:rsid w:val="002C09E3"/>
    <w:rsid w:val="002C2384"/>
    <w:rsid w:val="002C631E"/>
    <w:rsid w:val="002D0BA0"/>
    <w:rsid w:val="002D0D43"/>
    <w:rsid w:val="002D1611"/>
    <w:rsid w:val="002D33E0"/>
    <w:rsid w:val="002D4B48"/>
    <w:rsid w:val="002E370C"/>
    <w:rsid w:val="002E58F7"/>
    <w:rsid w:val="002E5F1B"/>
    <w:rsid w:val="002E69BE"/>
    <w:rsid w:val="002F2299"/>
    <w:rsid w:val="002F28B6"/>
    <w:rsid w:val="002F469D"/>
    <w:rsid w:val="00315A0E"/>
    <w:rsid w:val="00315E80"/>
    <w:rsid w:val="00321B42"/>
    <w:rsid w:val="0032396E"/>
    <w:rsid w:val="00326A75"/>
    <w:rsid w:val="00327EE8"/>
    <w:rsid w:val="00335DB3"/>
    <w:rsid w:val="00337A8D"/>
    <w:rsid w:val="00340A00"/>
    <w:rsid w:val="00340CD5"/>
    <w:rsid w:val="0034139E"/>
    <w:rsid w:val="00343269"/>
    <w:rsid w:val="00355B7C"/>
    <w:rsid w:val="0035680E"/>
    <w:rsid w:val="00356A59"/>
    <w:rsid w:val="00370FC2"/>
    <w:rsid w:val="00371637"/>
    <w:rsid w:val="0037211A"/>
    <w:rsid w:val="00373632"/>
    <w:rsid w:val="00377930"/>
    <w:rsid w:val="00380EBD"/>
    <w:rsid w:val="00385063"/>
    <w:rsid w:val="003A1E95"/>
    <w:rsid w:val="003A232E"/>
    <w:rsid w:val="003A6B01"/>
    <w:rsid w:val="003B1D18"/>
    <w:rsid w:val="003B26C7"/>
    <w:rsid w:val="003B42D3"/>
    <w:rsid w:val="003B4B48"/>
    <w:rsid w:val="003C64A1"/>
    <w:rsid w:val="003D2724"/>
    <w:rsid w:val="003D3B25"/>
    <w:rsid w:val="003E1C18"/>
    <w:rsid w:val="003E1E3A"/>
    <w:rsid w:val="003F2F7C"/>
    <w:rsid w:val="004010FD"/>
    <w:rsid w:val="00402228"/>
    <w:rsid w:val="004041DC"/>
    <w:rsid w:val="00405082"/>
    <w:rsid w:val="00416161"/>
    <w:rsid w:val="00417E90"/>
    <w:rsid w:val="00422C5A"/>
    <w:rsid w:val="00424567"/>
    <w:rsid w:val="00425B2E"/>
    <w:rsid w:val="0042612E"/>
    <w:rsid w:val="004302C4"/>
    <w:rsid w:val="00441C01"/>
    <w:rsid w:val="00442834"/>
    <w:rsid w:val="0044467E"/>
    <w:rsid w:val="004500B2"/>
    <w:rsid w:val="00453F54"/>
    <w:rsid w:val="004548FB"/>
    <w:rsid w:val="00454BE6"/>
    <w:rsid w:val="0046032E"/>
    <w:rsid w:val="0046117E"/>
    <w:rsid w:val="00472DB0"/>
    <w:rsid w:val="004744E5"/>
    <w:rsid w:val="00474BF6"/>
    <w:rsid w:val="004825F0"/>
    <w:rsid w:val="00485571"/>
    <w:rsid w:val="00492806"/>
    <w:rsid w:val="00492F71"/>
    <w:rsid w:val="00495A4F"/>
    <w:rsid w:val="004A2940"/>
    <w:rsid w:val="004A70CC"/>
    <w:rsid w:val="004B2EB8"/>
    <w:rsid w:val="004B3445"/>
    <w:rsid w:val="004B42B5"/>
    <w:rsid w:val="004C743B"/>
    <w:rsid w:val="004C780A"/>
    <w:rsid w:val="004D0DB9"/>
    <w:rsid w:val="004D21B1"/>
    <w:rsid w:val="004D25C4"/>
    <w:rsid w:val="004D687A"/>
    <w:rsid w:val="004D6C6C"/>
    <w:rsid w:val="004E2262"/>
    <w:rsid w:val="004E43D1"/>
    <w:rsid w:val="004E7B18"/>
    <w:rsid w:val="004F0E66"/>
    <w:rsid w:val="004F3D15"/>
    <w:rsid w:val="00501EE6"/>
    <w:rsid w:val="00506483"/>
    <w:rsid w:val="005145C1"/>
    <w:rsid w:val="00514887"/>
    <w:rsid w:val="00517363"/>
    <w:rsid w:val="00517E6A"/>
    <w:rsid w:val="00523AA9"/>
    <w:rsid w:val="00530659"/>
    <w:rsid w:val="0053273A"/>
    <w:rsid w:val="00534310"/>
    <w:rsid w:val="005350A2"/>
    <w:rsid w:val="00537B26"/>
    <w:rsid w:val="00552420"/>
    <w:rsid w:val="00554D93"/>
    <w:rsid w:val="00563E66"/>
    <w:rsid w:val="005644C2"/>
    <w:rsid w:val="00565487"/>
    <w:rsid w:val="00566C57"/>
    <w:rsid w:val="00573DBB"/>
    <w:rsid w:val="0057537B"/>
    <w:rsid w:val="005755B2"/>
    <w:rsid w:val="0057620D"/>
    <w:rsid w:val="0058081F"/>
    <w:rsid w:val="00584C72"/>
    <w:rsid w:val="00587048"/>
    <w:rsid w:val="00590A6A"/>
    <w:rsid w:val="00593411"/>
    <w:rsid w:val="0059731E"/>
    <w:rsid w:val="005A1BC8"/>
    <w:rsid w:val="005B0B97"/>
    <w:rsid w:val="005B29E8"/>
    <w:rsid w:val="005B3621"/>
    <w:rsid w:val="005B7F42"/>
    <w:rsid w:val="005C0B3B"/>
    <w:rsid w:val="005C6DB4"/>
    <w:rsid w:val="005C7E0D"/>
    <w:rsid w:val="005D04DD"/>
    <w:rsid w:val="005D0983"/>
    <w:rsid w:val="005D1337"/>
    <w:rsid w:val="005D4590"/>
    <w:rsid w:val="005D4949"/>
    <w:rsid w:val="005D5367"/>
    <w:rsid w:val="005E2E95"/>
    <w:rsid w:val="005E3746"/>
    <w:rsid w:val="005E442E"/>
    <w:rsid w:val="005F04F5"/>
    <w:rsid w:val="005F13C5"/>
    <w:rsid w:val="005F20B1"/>
    <w:rsid w:val="005F6A1C"/>
    <w:rsid w:val="00601B77"/>
    <w:rsid w:val="006026F4"/>
    <w:rsid w:val="00604D90"/>
    <w:rsid w:val="00607B3B"/>
    <w:rsid w:val="00622120"/>
    <w:rsid w:val="00622952"/>
    <w:rsid w:val="0062748D"/>
    <w:rsid w:val="0063079D"/>
    <w:rsid w:val="00630DD1"/>
    <w:rsid w:val="0063252D"/>
    <w:rsid w:val="00633C08"/>
    <w:rsid w:val="00634B34"/>
    <w:rsid w:val="0063769E"/>
    <w:rsid w:val="006403AF"/>
    <w:rsid w:val="00640E01"/>
    <w:rsid w:val="00643EA0"/>
    <w:rsid w:val="0064471F"/>
    <w:rsid w:val="006471B0"/>
    <w:rsid w:val="00650044"/>
    <w:rsid w:val="006509E4"/>
    <w:rsid w:val="0065278D"/>
    <w:rsid w:val="006547FC"/>
    <w:rsid w:val="00655E46"/>
    <w:rsid w:val="006562A2"/>
    <w:rsid w:val="00660D1A"/>
    <w:rsid w:val="00662D95"/>
    <w:rsid w:val="00675680"/>
    <w:rsid w:val="006808DD"/>
    <w:rsid w:val="006844F8"/>
    <w:rsid w:val="00685DB2"/>
    <w:rsid w:val="00685F8B"/>
    <w:rsid w:val="00692250"/>
    <w:rsid w:val="00694183"/>
    <w:rsid w:val="006A24F0"/>
    <w:rsid w:val="006A2A3E"/>
    <w:rsid w:val="006A3886"/>
    <w:rsid w:val="006A6420"/>
    <w:rsid w:val="006B10DA"/>
    <w:rsid w:val="006B5670"/>
    <w:rsid w:val="006C3220"/>
    <w:rsid w:val="006C323B"/>
    <w:rsid w:val="006C6FA3"/>
    <w:rsid w:val="006C7433"/>
    <w:rsid w:val="006D0164"/>
    <w:rsid w:val="006D1698"/>
    <w:rsid w:val="006D490D"/>
    <w:rsid w:val="006E3CA7"/>
    <w:rsid w:val="006F0475"/>
    <w:rsid w:val="006F0D28"/>
    <w:rsid w:val="006F1931"/>
    <w:rsid w:val="006F2E09"/>
    <w:rsid w:val="006F2F93"/>
    <w:rsid w:val="006F7C2C"/>
    <w:rsid w:val="007036B7"/>
    <w:rsid w:val="00715E70"/>
    <w:rsid w:val="00720DA7"/>
    <w:rsid w:val="00725413"/>
    <w:rsid w:val="0073099D"/>
    <w:rsid w:val="007321A0"/>
    <w:rsid w:val="00740A29"/>
    <w:rsid w:val="00740F58"/>
    <w:rsid w:val="007428F6"/>
    <w:rsid w:val="00743B0C"/>
    <w:rsid w:val="007450E9"/>
    <w:rsid w:val="00750F0A"/>
    <w:rsid w:val="00754461"/>
    <w:rsid w:val="007576CA"/>
    <w:rsid w:val="007576D4"/>
    <w:rsid w:val="0076218E"/>
    <w:rsid w:val="00764CA5"/>
    <w:rsid w:val="00771371"/>
    <w:rsid w:val="00775930"/>
    <w:rsid w:val="00782ED9"/>
    <w:rsid w:val="00791F49"/>
    <w:rsid w:val="007A0DE8"/>
    <w:rsid w:val="007A7DC3"/>
    <w:rsid w:val="007B3B1E"/>
    <w:rsid w:val="007B42A2"/>
    <w:rsid w:val="007C1D72"/>
    <w:rsid w:val="007C2367"/>
    <w:rsid w:val="007C2B79"/>
    <w:rsid w:val="007C43BF"/>
    <w:rsid w:val="007D041D"/>
    <w:rsid w:val="007D3150"/>
    <w:rsid w:val="007D514F"/>
    <w:rsid w:val="007E2F3F"/>
    <w:rsid w:val="007F0313"/>
    <w:rsid w:val="007F48D0"/>
    <w:rsid w:val="007F507B"/>
    <w:rsid w:val="007F7C10"/>
    <w:rsid w:val="008008EA"/>
    <w:rsid w:val="00804C5C"/>
    <w:rsid w:val="00805F80"/>
    <w:rsid w:val="00810185"/>
    <w:rsid w:val="00813CD1"/>
    <w:rsid w:val="00813D47"/>
    <w:rsid w:val="00814059"/>
    <w:rsid w:val="00814956"/>
    <w:rsid w:val="00817C47"/>
    <w:rsid w:val="00822401"/>
    <w:rsid w:val="008246C9"/>
    <w:rsid w:val="0082584A"/>
    <w:rsid w:val="00834C4D"/>
    <w:rsid w:val="008362A3"/>
    <w:rsid w:val="00841C7D"/>
    <w:rsid w:val="0084399F"/>
    <w:rsid w:val="0084485A"/>
    <w:rsid w:val="00845A13"/>
    <w:rsid w:val="00851603"/>
    <w:rsid w:val="00853A3A"/>
    <w:rsid w:val="00860012"/>
    <w:rsid w:val="008611A0"/>
    <w:rsid w:val="00865B6C"/>
    <w:rsid w:val="008829C6"/>
    <w:rsid w:val="00883CCC"/>
    <w:rsid w:val="008852EB"/>
    <w:rsid w:val="0088568D"/>
    <w:rsid w:val="0089042B"/>
    <w:rsid w:val="008918C5"/>
    <w:rsid w:val="008A14C7"/>
    <w:rsid w:val="008A7F3B"/>
    <w:rsid w:val="008B1758"/>
    <w:rsid w:val="008B2085"/>
    <w:rsid w:val="008B4B5E"/>
    <w:rsid w:val="008C586A"/>
    <w:rsid w:val="008D0489"/>
    <w:rsid w:val="008D2417"/>
    <w:rsid w:val="008E79EA"/>
    <w:rsid w:val="008F077F"/>
    <w:rsid w:val="008F17BE"/>
    <w:rsid w:val="008F624F"/>
    <w:rsid w:val="00900492"/>
    <w:rsid w:val="00905AA4"/>
    <w:rsid w:val="00911918"/>
    <w:rsid w:val="009174D2"/>
    <w:rsid w:val="00927C7E"/>
    <w:rsid w:val="00931CE9"/>
    <w:rsid w:val="00936410"/>
    <w:rsid w:val="00944C70"/>
    <w:rsid w:val="00947627"/>
    <w:rsid w:val="00955BCC"/>
    <w:rsid w:val="00956472"/>
    <w:rsid w:val="009607C0"/>
    <w:rsid w:val="009666DC"/>
    <w:rsid w:val="00970C96"/>
    <w:rsid w:val="00971ADA"/>
    <w:rsid w:val="0097528D"/>
    <w:rsid w:val="009854BE"/>
    <w:rsid w:val="00985A0C"/>
    <w:rsid w:val="00986001"/>
    <w:rsid w:val="00986A51"/>
    <w:rsid w:val="00992EEB"/>
    <w:rsid w:val="00993CF1"/>
    <w:rsid w:val="0099447C"/>
    <w:rsid w:val="009961C6"/>
    <w:rsid w:val="009967B9"/>
    <w:rsid w:val="009A574D"/>
    <w:rsid w:val="009A5964"/>
    <w:rsid w:val="009B0350"/>
    <w:rsid w:val="009B15E1"/>
    <w:rsid w:val="009B223B"/>
    <w:rsid w:val="009C40F5"/>
    <w:rsid w:val="009D0616"/>
    <w:rsid w:val="009D092E"/>
    <w:rsid w:val="009D0CEF"/>
    <w:rsid w:val="009D11C9"/>
    <w:rsid w:val="009D3EF6"/>
    <w:rsid w:val="009D4F7A"/>
    <w:rsid w:val="009E6B60"/>
    <w:rsid w:val="009F5AF2"/>
    <w:rsid w:val="009F63B3"/>
    <w:rsid w:val="00A011E6"/>
    <w:rsid w:val="00A056A1"/>
    <w:rsid w:val="00A10888"/>
    <w:rsid w:val="00A26F47"/>
    <w:rsid w:val="00A35242"/>
    <w:rsid w:val="00A4094A"/>
    <w:rsid w:val="00A432C6"/>
    <w:rsid w:val="00A46070"/>
    <w:rsid w:val="00A53808"/>
    <w:rsid w:val="00A62111"/>
    <w:rsid w:val="00A64105"/>
    <w:rsid w:val="00A6736D"/>
    <w:rsid w:val="00A7349B"/>
    <w:rsid w:val="00A74B04"/>
    <w:rsid w:val="00A8368B"/>
    <w:rsid w:val="00A83B51"/>
    <w:rsid w:val="00A83C97"/>
    <w:rsid w:val="00A84324"/>
    <w:rsid w:val="00A8442B"/>
    <w:rsid w:val="00A907EA"/>
    <w:rsid w:val="00A91DA1"/>
    <w:rsid w:val="00A94007"/>
    <w:rsid w:val="00AA00DE"/>
    <w:rsid w:val="00AA26BC"/>
    <w:rsid w:val="00AA42CE"/>
    <w:rsid w:val="00AA4FE4"/>
    <w:rsid w:val="00AB0450"/>
    <w:rsid w:val="00AB5056"/>
    <w:rsid w:val="00AC2A1A"/>
    <w:rsid w:val="00AC5616"/>
    <w:rsid w:val="00AD0492"/>
    <w:rsid w:val="00AD5291"/>
    <w:rsid w:val="00AD71D3"/>
    <w:rsid w:val="00AE26A7"/>
    <w:rsid w:val="00AE34A4"/>
    <w:rsid w:val="00AE447B"/>
    <w:rsid w:val="00AE4772"/>
    <w:rsid w:val="00AE7899"/>
    <w:rsid w:val="00AF2275"/>
    <w:rsid w:val="00AF32D4"/>
    <w:rsid w:val="00AF54EB"/>
    <w:rsid w:val="00AF6004"/>
    <w:rsid w:val="00B016CF"/>
    <w:rsid w:val="00B018CD"/>
    <w:rsid w:val="00B054B6"/>
    <w:rsid w:val="00B05768"/>
    <w:rsid w:val="00B079E6"/>
    <w:rsid w:val="00B12E1C"/>
    <w:rsid w:val="00B14093"/>
    <w:rsid w:val="00B15DB9"/>
    <w:rsid w:val="00B2379F"/>
    <w:rsid w:val="00B23921"/>
    <w:rsid w:val="00B24289"/>
    <w:rsid w:val="00B26FCE"/>
    <w:rsid w:val="00B27B78"/>
    <w:rsid w:val="00B31622"/>
    <w:rsid w:val="00B33DC4"/>
    <w:rsid w:val="00B35B6D"/>
    <w:rsid w:val="00B436B4"/>
    <w:rsid w:val="00B4762B"/>
    <w:rsid w:val="00B47E1B"/>
    <w:rsid w:val="00B5209F"/>
    <w:rsid w:val="00B52F94"/>
    <w:rsid w:val="00B63856"/>
    <w:rsid w:val="00B638AA"/>
    <w:rsid w:val="00B66476"/>
    <w:rsid w:val="00B678C3"/>
    <w:rsid w:val="00B7076E"/>
    <w:rsid w:val="00B746A1"/>
    <w:rsid w:val="00B770B4"/>
    <w:rsid w:val="00B77436"/>
    <w:rsid w:val="00B80604"/>
    <w:rsid w:val="00BA16BF"/>
    <w:rsid w:val="00BA5D1E"/>
    <w:rsid w:val="00BA602F"/>
    <w:rsid w:val="00BA70C1"/>
    <w:rsid w:val="00BA78FD"/>
    <w:rsid w:val="00BB1303"/>
    <w:rsid w:val="00BB7405"/>
    <w:rsid w:val="00BC17EB"/>
    <w:rsid w:val="00BC6078"/>
    <w:rsid w:val="00BC76C6"/>
    <w:rsid w:val="00BD2CE6"/>
    <w:rsid w:val="00BE147F"/>
    <w:rsid w:val="00BE3945"/>
    <w:rsid w:val="00BE67E2"/>
    <w:rsid w:val="00BE7A5B"/>
    <w:rsid w:val="00BF4E0A"/>
    <w:rsid w:val="00BF5F14"/>
    <w:rsid w:val="00C014FA"/>
    <w:rsid w:val="00C0434F"/>
    <w:rsid w:val="00C04D6C"/>
    <w:rsid w:val="00C12E2B"/>
    <w:rsid w:val="00C17BE8"/>
    <w:rsid w:val="00C26639"/>
    <w:rsid w:val="00C26B93"/>
    <w:rsid w:val="00C2792A"/>
    <w:rsid w:val="00C37614"/>
    <w:rsid w:val="00C45BFD"/>
    <w:rsid w:val="00C47DD4"/>
    <w:rsid w:val="00C51574"/>
    <w:rsid w:val="00C52B5D"/>
    <w:rsid w:val="00C609F0"/>
    <w:rsid w:val="00C63A7C"/>
    <w:rsid w:val="00C731BE"/>
    <w:rsid w:val="00C7341F"/>
    <w:rsid w:val="00C76FF1"/>
    <w:rsid w:val="00C77A8C"/>
    <w:rsid w:val="00C913A4"/>
    <w:rsid w:val="00C91833"/>
    <w:rsid w:val="00C923FF"/>
    <w:rsid w:val="00CA5CA0"/>
    <w:rsid w:val="00CB08D8"/>
    <w:rsid w:val="00CB1E34"/>
    <w:rsid w:val="00CB359E"/>
    <w:rsid w:val="00CB6321"/>
    <w:rsid w:val="00CC2A8A"/>
    <w:rsid w:val="00CC2CF6"/>
    <w:rsid w:val="00CC724F"/>
    <w:rsid w:val="00CD0698"/>
    <w:rsid w:val="00CD2317"/>
    <w:rsid w:val="00CD2AD5"/>
    <w:rsid w:val="00CD3456"/>
    <w:rsid w:val="00CD53F9"/>
    <w:rsid w:val="00CD6D93"/>
    <w:rsid w:val="00CE2008"/>
    <w:rsid w:val="00CE67E4"/>
    <w:rsid w:val="00CF31A4"/>
    <w:rsid w:val="00CF3729"/>
    <w:rsid w:val="00CF484D"/>
    <w:rsid w:val="00CF7816"/>
    <w:rsid w:val="00D0441D"/>
    <w:rsid w:val="00D1003B"/>
    <w:rsid w:val="00D15224"/>
    <w:rsid w:val="00D16682"/>
    <w:rsid w:val="00D205A8"/>
    <w:rsid w:val="00D22CB2"/>
    <w:rsid w:val="00D31416"/>
    <w:rsid w:val="00D32DE1"/>
    <w:rsid w:val="00D359A6"/>
    <w:rsid w:val="00D509B3"/>
    <w:rsid w:val="00D512E4"/>
    <w:rsid w:val="00D51B64"/>
    <w:rsid w:val="00D53592"/>
    <w:rsid w:val="00D54E9A"/>
    <w:rsid w:val="00D574B6"/>
    <w:rsid w:val="00D6012E"/>
    <w:rsid w:val="00D61F88"/>
    <w:rsid w:val="00D65C09"/>
    <w:rsid w:val="00D665CD"/>
    <w:rsid w:val="00D77465"/>
    <w:rsid w:val="00D926F4"/>
    <w:rsid w:val="00D92FE0"/>
    <w:rsid w:val="00D932C2"/>
    <w:rsid w:val="00D9617A"/>
    <w:rsid w:val="00DA1F60"/>
    <w:rsid w:val="00DA3EEC"/>
    <w:rsid w:val="00DC3454"/>
    <w:rsid w:val="00DC3C67"/>
    <w:rsid w:val="00DD16B2"/>
    <w:rsid w:val="00DD39AA"/>
    <w:rsid w:val="00DD4985"/>
    <w:rsid w:val="00DE4445"/>
    <w:rsid w:val="00DF0701"/>
    <w:rsid w:val="00DF42F0"/>
    <w:rsid w:val="00DF4C12"/>
    <w:rsid w:val="00DF7089"/>
    <w:rsid w:val="00E04794"/>
    <w:rsid w:val="00E06A81"/>
    <w:rsid w:val="00E07D4B"/>
    <w:rsid w:val="00E1165D"/>
    <w:rsid w:val="00E12062"/>
    <w:rsid w:val="00E14B15"/>
    <w:rsid w:val="00E15F71"/>
    <w:rsid w:val="00E2099D"/>
    <w:rsid w:val="00E23D2C"/>
    <w:rsid w:val="00E2697E"/>
    <w:rsid w:val="00E32826"/>
    <w:rsid w:val="00E35EE5"/>
    <w:rsid w:val="00E37396"/>
    <w:rsid w:val="00E409A7"/>
    <w:rsid w:val="00E4122A"/>
    <w:rsid w:val="00E41889"/>
    <w:rsid w:val="00E427ED"/>
    <w:rsid w:val="00E456A4"/>
    <w:rsid w:val="00E46199"/>
    <w:rsid w:val="00E46FB7"/>
    <w:rsid w:val="00E517F3"/>
    <w:rsid w:val="00E55BFF"/>
    <w:rsid w:val="00E633DE"/>
    <w:rsid w:val="00E64C8E"/>
    <w:rsid w:val="00E6576A"/>
    <w:rsid w:val="00E7455C"/>
    <w:rsid w:val="00E76F9F"/>
    <w:rsid w:val="00E812A7"/>
    <w:rsid w:val="00E85F28"/>
    <w:rsid w:val="00E86ED9"/>
    <w:rsid w:val="00E938E3"/>
    <w:rsid w:val="00E95B6C"/>
    <w:rsid w:val="00EB2C1F"/>
    <w:rsid w:val="00EB6BA8"/>
    <w:rsid w:val="00EC4444"/>
    <w:rsid w:val="00EC5909"/>
    <w:rsid w:val="00EC634D"/>
    <w:rsid w:val="00EC709F"/>
    <w:rsid w:val="00ED15A0"/>
    <w:rsid w:val="00ED1889"/>
    <w:rsid w:val="00EE5CA9"/>
    <w:rsid w:val="00EF5AA6"/>
    <w:rsid w:val="00EF6456"/>
    <w:rsid w:val="00EF7B44"/>
    <w:rsid w:val="00F018E9"/>
    <w:rsid w:val="00F10E1C"/>
    <w:rsid w:val="00F1597F"/>
    <w:rsid w:val="00F20FBA"/>
    <w:rsid w:val="00F225EF"/>
    <w:rsid w:val="00F332DC"/>
    <w:rsid w:val="00F34BF9"/>
    <w:rsid w:val="00F356F5"/>
    <w:rsid w:val="00F35ACD"/>
    <w:rsid w:val="00F367E3"/>
    <w:rsid w:val="00F400AA"/>
    <w:rsid w:val="00F41870"/>
    <w:rsid w:val="00F50095"/>
    <w:rsid w:val="00F501B0"/>
    <w:rsid w:val="00F51311"/>
    <w:rsid w:val="00F55315"/>
    <w:rsid w:val="00F56A77"/>
    <w:rsid w:val="00F57388"/>
    <w:rsid w:val="00F606D4"/>
    <w:rsid w:val="00F74DD7"/>
    <w:rsid w:val="00F7604E"/>
    <w:rsid w:val="00F86B96"/>
    <w:rsid w:val="00F92D88"/>
    <w:rsid w:val="00F93294"/>
    <w:rsid w:val="00F942BD"/>
    <w:rsid w:val="00F9492A"/>
    <w:rsid w:val="00FA3A3B"/>
    <w:rsid w:val="00FA527E"/>
    <w:rsid w:val="00FA77DC"/>
    <w:rsid w:val="00FB0BFD"/>
    <w:rsid w:val="00FB1D81"/>
    <w:rsid w:val="00FB231B"/>
    <w:rsid w:val="00FB54E4"/>
    <w:rsid w:val="00FB5DFF"/>
    <w:rsid w:val="00FC02C5"/>
    <w:rsid w:val="00FC06CF"/>
    <w:rsid w:val="00FC5292"/>
    <w:rsid w:val="00FC55C7"/>
    <w:rsid w:val="00FD2B9E"/>
    <w:rsid w:val="00FD33DB"/>
    <w:rsid w:val="00FD7032"/>
    <w:rsid w:val="00FE0FED"/>
    <w:rsid w:val="00FF02CF"/>
    <w:rsid w:val="00FF1FDD"/>
    <w:rsid w:val="00FF6A19"/>
    <w:rsid w:val="00FF7004"/>
    <w:rsid w:val="0362462E"/>
    <w:rsid w:val="07D4733A"/>
    <w:rsid w:val="085F4779"/>
    <w:rsid w:val="087D02AA"/>
    <w:rsid w:val="095A2027"/>
    <w:rsid w:val="09614D9F"/>
    <w:rsid w:val="09F00295"/>
    <w:rsid w:val="0A5847B8"/>
    <w:rsid w:val="0C7C3BE1"/>
    <w:rsid w:val="0CA073F2"/>
    <w:rsid w:val="0D71793F"/>
    <w:rsid w:val="0E977E58"/>
    <w:rsid w:val="0EAF071F"/>
    <w:rsid w:val="14EC5583"/>
    <w:rsid w:val="14F33503"/>
    <w:rsid w:val="15962639"/>
    <w:rsid w:val="19856016"/>
    <w:rsid w:val="1BEC27B9"/>
    <w:rsid w:val="1DD43CFE"/>
    <w:rsid w:val="1E012619"/>
    <w:rsid w:val="21366A7E"/>
    <w:rsid w:val="235A678E"/>
    <w:rsid w:val="244B4754"/>
    <w:rsid w:val="24CC1713"/>
    <w:rsid w:val="24E0567E"/>
    <w:rsid w:val="26EE4083"/>
    <w:rsid w:val="27677ABD"/>
    <w:rsid w:val="278F0C96"/>
    <w:rsid w:val="29CE5AA6"/>
    <w:rsid w:val="2A6B59EA"/>
    <w:rsid w:val="2C0A6CA7"/>
    <w:rsid w:val="2C3F0EDD"/>
    <w:rsid w:val="2CC2067C"/>
    <w:rsid w:val="320A2DFE"/>
    <w:rsid w:val="320F75A3"/>
    <w:rsid w:val="32CE4D68"/>
    <w:rsid w:val="33BE1F31"/>
    <w:rsid w:val="35BC359E"/>
    <w:rsid w:val="35E36D7D"/>
    <w:rsid w:val="38F66DC7"/>
    <w:rsid w:val="3A054C86"/>
    <w:rsid w:val="3B767EF1"/>
    <w:rsid w:val="3EF32C54"/>
    <w:rsid w:val="41B63363"/>
    <w:rsid w:val="4325354D"/>
    <w:rsid w:val="43E51F12"/>
    <w:rsid w:val="47A1104B"/>
    <w:rsid w:val="49E04914"/>
    <w:rsid w:val="4AD36F68"/>
    <w:rsid w:val="4FCD042A"/>
    <w:rsid w:val="54457F5D"/>
    <w:rsid w:val="54905ECA"/>
    <w:rsid w:val="54F06C40"/>
    <w:rsid w:val="57034731"/>
    <w:rsid w:val="58690ACE"/>
    <w:rsid w:val="58BE1257"/>
    <w:rsid w:val="5925101A"/>
    <w:rsid w:val="59B30690"/>
    <w:rsid w:val="5C853E3A"/>
    <w:rsid w:val="5D437F7D"/>
    <w:rsid w:val="5DAA1DAA"/>
    <w:rsid w:val="5E42709B"/>
    <w:rsid w:val="603B318E"/>
    <w:rsid w:val="6095303D"/>
    <w:rsid w:val="61500EBB"/>
    <w:rsid w:val="665705F5"/>
    <w:rsid w:val="6707049C"/>
    <w:rsid w:val="67185FD7"/>
    <w:rsid w:val="67F325A0"/>
    <w:rsid w:val="68AB69D7"/>
    <w:rsid w:val="6AC54F7D"/>
    <w:rsid w:val="6BAA4C47"/>
    <w:rsid w:val="6D2C1FDA"/>
    <w:rsid w:val="7278201F"/>
    <w:rsid w:val="74A85BED"/>
    <w:rsid w:val="75C15A8B"/>
    <w:rsid w:val="76BA547C"/>
    <w:rsid w:val="790926AB"/>
    <w:rsid w:val="79E6721A"/>
    <w:rsid w:val="7A37456E"/>
    <w:rsid w:val="7A9E5575"/>
    <w:rsid w:val="7DF369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EastAsia" w:cstheme="minorBidi"/>
      <w:sz w:val="22"/>
      <w:szCs w:val="22"/>
      <w:lang w:val="en-US" w:eastAsia="en-US" w:bidi="ar-SA"/>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0"/>
    <w:semiHidden/>
    <w:unhideWhenUsed/>
    <w:qFormat/>
    <w:uiPriority w:val="99"/>
  </w:style>
  <w:style w:type="paragraph" w:styleId="4">
    <w:name w:val="Balloon Text"/>
    <w:basedOn w:val="1"/>
    <w:link w:val="17"/>
    <w:semiHidden/>
    <w:unhideWhenUsed/>
    <w:qFormat/>
    <w:uiPriority w:val="99"/>
    <w:rPr>
      <w:sz w:val="18"/>
      <w:szCs w:val="18"/>
    </w:rPr>
  </w:style>
  <w:style w:type="paragraph" w:styleId="5">
    <w:name w:val="footer"/>
    <w:basedOn w:val="1"/>
    <w:link w:val="19"/>
    <w:unhideWhenUsed/>
    <w:qFormat/>
    <w:uiPriority w:val="99"/>
    <w:pPr>
      <w:tabs>
        <w:tab w:val="center" w:pos="4153"/>
        <w:tab w:val="right" w:pos="8306"/>
      </w:tabs>
      <w:snapToGrid w:val="0"/>
    </w:pPr>
    <w:rPr>
      <w:sz w:val="18"/>
      <w:szCs w:val="18"/>
    </w:rPr>
  </w:style>
  <w:style w:type="paragraph" w:styleId="6">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style>
  <w:style w:type="paragraph" w:styleId="8">
    <w:name w:val="toc 2"/>
    <w:basedOn w:val="1"/>
    <w:next w:val="1"/>
    <w:unhideWhenUsed/>
    <w:qFormat/>
    <w:uiPriority w:val="39"/>
    <w:pPr>
      <w:ind w:left="420" w:leftChars="200"/>
    </w:pPr>
  </w:style>
  <w:style w:type="paragraph" w:styleId="9">
    <w:name w:val="annotation subject"/>
    <w:basedOn w:val="3"/>
    <w:next w:val="3"/>
    <w:link w:val="21"/>
    <w:semiHidden/>
    <w:unhideWhenUsed/>
    <w:qFormat/>
    <w:uiPriority w:val="99"/>
    <w:rPr>
      <w:b/>
      <w:bCs/>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styleId="14">
    <w:name w:val="annotation reference"/>
    <w:basedOn w:val="12"/>
    <w:semiHidden/>
    <w:unhideWhenUsed/>
    <w:qFormat/>
    <w:uiPriority w:val="99"/>
    <w:rPr>
      <w:sz w:val="21"/>
      <w:szCs w:val="21"/>
    </w:rPr>
  </w:style>
  <w:style w:type="character" w:customStyle="1" w:styleId="15">
    <w:name w:val="标题 1 Char"/>
    <w:basedOn w:val="12"/>
    <w:link w:val="2"/>
    <w:qFormat/>
    <w:uiPriority w:val="9"/>
    <w:rPr>
      <w:b/>
      <w:bCs/>
      <w:kern w:val="44"/>
      <w:sz w:val="44"/>
      <w:szCs w:val="44"/>
      <w:lang w:eastAsia="en-US"/>
    </w:rPr>
  </w:style>
  <w:style w:type="paragraph" w:customStyle="1" w:styleId="16">
    <w:name w:val="TOC 标题1"/>
    <w:basedOn w:val="2"/>
    <w:next w:val="1"/>
    <w:semiHidden/>
    <w:unhideWhenUsed/>
    <w:qFormat/>
    <w:uiPriority w:val="39"/>
    <w:pPr>
      <w:widowControl/>
      <w:spacing w:before="480" w:after="0" w:line="276" w:lineRule="auto"/>
      <w:outlineLvl w:val="9"/>
    </w:pPr>
    <w:rPr>
      <w:rFonts w:asciiTheme="majorHAnsi" w:hAnsiTheme="majorHAnsi" w:eastAsiaTheme="majorEastAsia" w:cstheme="majorBidi"/>
      <w:color w:val="376092" w:themeColor="accent1" w:themeShade="BF"/>
      <w:kern w:val="0"/>
      <w:sz w:val="28"/>
      <w:szCs w:val="28"/>
      <w:lang w:eastAsia="zh-CN"/>
    </w:rPr>
  </w:style>
  <w:style w:type="character" w:customStyle="1" w:styleId="17">
    <w:name w:val="批注框文本 Char"/>
    <w:basedOn w:val="12"/>
    <w:link w:val="4"/>
    <w:semiHidden/>
    <w:qFormat/>
    <w:uiPriority w:val="99"/>
    <w:rPr>
      <w:kern w:val="0"/>
      <w:sz w:val="18"/>
      <w:szCs w:val="18"/>
      <w:lang w:eastAsia="en-US"/>
    </w:rPr>
  </w:style>
  <w:style w:type="character" w:customStyle="1" w:styleId="18">
    <w:name w:val="页眉 Char"/>
    <w:basedOn w:val="12"/>
    <w:link w:val="6"/>
    <w:qFormat/>
    <w:uiPriority w:val="99"/>
    <w:rPr>
      <w:kern w:val="0"/>
      <w:sz w:val="18"/>
      <w:szCs w:val="18"/>
      <w:lang w:eastAsia="en-US"/>
    </w:rPr>
  </w:style>
  <w:style w:type="character" w:customStyle="1" w:styleId="19">
    <w:name w:val="页脚 Char"/>
    <w:basedOn w:val="12"/>
    <w:link w:val="5"/>
    <w:qFormat/>
    <w:uiPriority w:val="99"/>
    <w:rPr>
      <w:kern w:val="0"/>
      <w:sz w:val="18"/>
      <w:szCs w:val="18"/>
      <w:lang w:eastAsia="en-US"/>
    </w:rPr>
  </w:style>
  <w:style w:type="character" w:customStyle="1" w:styleId="20">
    <w:name w:val="批注文字 Char"/>
    <w:basedOn w:val="12"/>
    <w:link w:val="3"/>
    <w:semiHidden/>
    <w:qFormat/>
    <w:uiPriority w:val="99"/>
    <w:rPr>
      <w:sz w:val="22"/>
      <w:szCs w:val="22"/>
      <w:lang w:eastAsia="en-US"/>
    </w:rPr>
  </w:style>
  <w:style w:type="character" w:customStyle="1" w:styleId="21">
    <w:name w:val="批注主题 Char"/>
    <w:basedOn w:val="20"/>
    <w:link w:val="9"/>
    <w:semiHidden/>
    <w:qFormat/>
    <w:uiPriority w:val="99"/>
    <w:rPr>
      <w:b/>
      <w:bCs/>
      <w:sz w:val="22"/>
      <w:szCs w:val="22"/>
      <w:lang w:eastAsia="en-US"/>
    </w:rPr>
  </w:style>
  <w:style w:type="character" w:customStyle="1" w:styleId="22">
    <w:name w:val="font11"/>
    <w:basedOn w:val="12"/>
    <w:qFormat/>
    <w:uiPriority w:val="0"/>
    <w:rPr>
      <w:rFonts w:hint="eastAsia" w:ascii="仿宋" w:hAnsi="仿宋" w:eastAsia="仿宋"/>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3.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1950D6-F905-4140-BB94-8379B2A6E303}">
  <ds:schemaRefs/>
</ds:datastoreItem>
</file>

<file path=customXml/itemProps2.xml><?xml version="1.0" encoding="utf-8"?>
<ds:datastoreItem xmlns:ds="http://schemas.openxmlformats.org/officeDocument/2006/customXml" ds:itemID="{38FDD383-AE8F-40BB-8854-037E022E010F}">
  <ds:schemaRefs/>
</ds:datastoreItem>
</file>

<file path=customXml/itemProps3.xml><?xml version="1.0" encoding="utf-8"?>
<ds:datastoreItem xmlns:ds="http://schemas.openxmlformats.org/officeDocument/2006/customXml" ds:itemID="{93000AEC-E6CD-499F-9207-50DDCE66DBF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1247</Words>
  <Characters>1287</Characters>
  <Lines>57</Lines>
  <Paragraphs>16</Paragraphs>
  <TotalTime>0</TotalTime>
  <ScaleCrop>false</ScaleCrop>
  <LinksUpToDate>false</LinksUpToDate>
  <CharactersWithSpaces>1316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2023-11-01T09:33:00Z</dcterms:created>
  <dc:creator>hsq</dc:creator>
  <cp:lastModifiedBy>黄舒倩</cp:lastModifiedBy>
  <cp:lastPrinted>2023-05-05T09:19:00Z</cp:lastPrinted>
  <dcterms:modified xsi:type="dcterms:W3CDTF">2025-07-29T06:40:42Z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B148C170B3694556AD06A46854A710BA</vt:lpwstr>
  </property>
  <property fmtid="{D5CDD505-2E9C-101B-9397-08002B2CF9AE}" pid="4" name="KSOTemplateDocerSaveRecord">
    <vt:lpwstr>eyJoZGlkIjoiYjc3NTVmODk5OWI4YTU0YmU5MTlhYzJjMjBkNzFlNmEiLCJ1c2VySWQiOiIyNDMwNTgyMjAifQ==</vt:lpwstr>
  </property>
</Properties>
</file>