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763C0C" w14:textId="77777777" w:rsidR="007C53A6" w:rsidRDefault="002D322E">
      <w:pPr>
        <w:autoSpaceDE w:val="0"/>
        <w:autoSpaceDN w:val="0"/>
        <w:adjustRightInd w:val="0"/>
        <w:spacing w:line="360" w:lineRule="auto"/>
        <w:jc w:val="left"/>
        <w:rPr>
          <w:rFonts w:ascii="仿宋" w:eastAsia="仿宋" w:hAnsi="仿宋"/>
          <w:sz w:val="28"/>
        </w:rPr>
      </w:pPr>
      <w:r>
        <w:rPr>
          <w:rFonts w:ascii="仿宋" w:eastAsia="仿宋" w:hAnsi="仿宋" w:hint="eastAsia"/>
          <w:sz w:val="28"/>
        </w:rPr>
        <w:t>证券代码：301178     证券简称：天亿马    公告编号：2025-065</w:t>
      </w:r>
    </w:p>
    <w:p w14:paraId="12EA7234" w14:textId="77777777" w:rsidR="007C53A6" w:rsidRDefault="007C53A6"/>
    <w:p w14:paraId="472BE033" w14:textId="77777777" w:rsidR="007C53A6" w:rsidRDefault="002D322E">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7944DDEA" w14:textId="77777777" w:rsidR="007C53A6" w:rsidRDefault="002D322E">
      <w:pPr>
        <w:spacing w:afterLines="100" w:after="312" w:line="360" w:lineRule="auto"/>
        <w:jc w:val="center"/>
        <w:rPr>
          <w:rFonts w:ascii="黑体" w:eastAsia="黑体" w:hAnsi="黑体"/>
          <w:sz w:val="36"/>
          <w:szCs w:val="36"/>
        </w:rPr>
      </w:pPr>
      <w:r>
        <w:rPr>
          <w:rFonts w:ascii="黑体" w:eastAsia="黑体" w:hAnsi="黑体" w:hint="eastAsia"/>
          <w:sz w:val="36"/>
          <w:szCs w:val="36"/>
        </w:rPr>
        <w:t>关于调剂担保额度并为子公司申请综合授信额度提供担保的进展公告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7C53A6" w14:paraId="0D8E0F57"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62024E98" w14:textId="77777777" w:rsidR="007C53A6" w:rsidRDefault="002D322E">
            <w:pPr>
              <w:widowControl/>
              <w:spacing w:line="440" w:lineRule="exact"/>
              <w:ind w:firstLineChars="200" w:firstLine="560"/>
              <w:rPr>
                <w:rFonts w:ascii="楷体" w:eastAsia="楷体" w:hAnsi="楷体" w:cs="宋体"/>
                <w:kern w:val="0"/>
                <w:sz w:val="28"/>
              </w:rPr>
            </w:pPr>
            <w:r>
              <w:rPr>
                <w:rFonts w:ascii="楷体" w:eastAsia="楷体" w:hAnsi="楷体" w:cs="宋体" w:hint="eastAsia"/>
                <w:kern w:val="0"/>
                <w:sz w:val="28"/>
              </w:rPr>
              <w:t>本公司及董事会全体成员保证信息披露的内容真实、准确、完整，没有虚假记载、误导性陈述或重大遗漏。</w:t>
            </w:r>
          </w:p>
        </w:tc>
      </w:tr>
    </w:tbl>
    <w:p w14:paraId="1DEF2239" w14:textId="77777777" w:rsidR="007C53A6" w:rsidRDefault="007C53A6"/>
    <w:p w14:paraId="7A009F39" w14:textId="77777777" w:rsidR="007C53A6" w:rsidRDefault="002D322E">
      <w:pPr>
        <w:spacing w:line="360" w:lineRule="auto"/>
        <w:ind w:firstLineChars="200" w:firstLine="562"/>
        <w:outlineLvl w:val="0"/>
        <w:rPr>
          <w:rFonts w:ascii="仿宋" w:eastAsia="仿宋" w:hAnsi="仿宋"/>
          <w:b/>
          <w:sz w:val="28"/>
        </w:rPr>
      </w:pPr>
      <w:r>
        <w:rPr>
          <w:rFonts w:ascii="仿宋" w:eastAsia="仿宋" w:hAnsi="仿宋" w:hint="eastAsia"/>
          <w:b/>
          <w:sz w:val="28"/>
        </w:rPr>
        <w:t>一、担保情况概述</w:t>
      </w:r>
    </w:p>
    <w:p w14:paraId="07D75F95" w14:textId="77777777" w:rsidR="007C53A6" w:rsidRDefault="002D322E">
      <w:pPr>
        <w:spacing w:line="360" w:lineRule="auto"/>
        <w:ind w:firstLineChars="200" w:firstLine="560"/>
        <w:rPr>
          <w:rFonts w:ascii="仿宋" w:eastAsia="仿宋" w:hAnsi="仿宋"/>
          <w:sz w:val="28"/>
        </w:rPr>
      </w:pPr>
      <w:r>
        <w:rPr>
          <w:rFonts w:ascii="仿宋" w:eastAsia="仿宋" w:hAnsi="仿宋" w:hint="eastAsia"/>
          <w:sz w:val="28"/>
        </w:rPr>
        <w:t>广东天亿马信息产业股份有限公司（以下简称“公司”“天亿马”）于</w:t>
      </w:r>
      <w:r>
        <w:rPr>
          <w:rFonts w:ascii="仿宋" w:eastAsia="仿宋" w:hAnsi="仿宋" w:hint="eastAsia"/>
          <w:color w:val="000000"/>
          <w:sz w:val="28"/>
          <w:szCs w:val="28"/>
        </w:rPr>
        <w:t>2025年4月18日召开第三届董事会第三十次会议和第三届监事会第二十六次会议</w:t>
      </w:r>
      <w:r>
        <w:rPr>
          <w:rFonts w:ascii="仿宋" w:eastAsia="仿宋" w:hAnsi="仿宋" w:hint="eastAsia"/>
          <w:sz w:val="28"/>
        </w:rPr>
        <w:t>，并于2025年5月13日召开了2024年年度股东会，审议通过了</w:t>
      </w:r>
      <w:r>
        <w:rPr>
          <w:rFonts w:ascii="仿宋" w:eastAsia="仿宋" w:hAnsi="仿宋" w:hint="eastAsia"/>
          <w:color w:val="000000"/>
          <w:sz w:val="28"/>
          <w:szCs w:val="28"/>
        </w:rPr>
        <w:t>《</w:t>
      </w:r>
      <w:r>
        <w:rPr>
          <w:rFonts w:ascii="仿宋" w:eastAsia="仿宋" w:hAnsi="仿宋" w:hint="eastAsia"/>
          <w:color w:val="000000"/>
          <w:sz w:val="28"/>
        </w:rPr>
        <w:t>关于子公司拟申请综合授信额度并由公司为其提供担保的议案</w:t>
      </w:r>
      <w:r>
        <w:rPr>
          <w:rFonts w:ascii="仿宋" w:eastAsia="仿宋" w:hAnsi="仿宋" w:hint="eastAsia"/>
          <w:color w:val="000000"/>
          <w:sz w:val="28"/>
          <w:szCs w:val="28"/>
        </w:rPr>
        <w:t>》</w:t>
      </w:r>
      <w:r>
        <w:rPr>
          <w:rFonts w:ascii="仿宋" w:eastAsia="仿宋" w:hAnsi="仿宋" w:hint="eastAsia"/>
          <w:sz w:val="28"/>
        </w:rPr>
        <w:t>，同意为满足日常生产经营和项目建设的资金需求，公司子公司深圳市互联精英信息技术有限公司、天亿马信息技术有限公司、广东天亿马信息科技有限公司、广东天亿马数字能源有限公司（以下简称“天亿马数字能源”）、广东天亿马新能源产业发展有限公司拟向银行等金融机构申请总额度不超过28,000万元(人民币万元，下同)的融资，并由公司提供担保。在符合法律、行政法规及相关规定的前提下，在2024年年度股东会审议通过的额度范围内及其有效期内，公司并表范围内主体及未来授权期内新设立或纳入的子公司间担保额度可以进行调剂。该事项自股东会审议通过后至次年年度股东会召开前有效，公司并表范围内主体及未来授权期内新设立或纳入的子公</w:t>
      </w:r>
      <w:r>
        <w:rPr>
          <w:rFonts w:ascii="仿宋" w:eastAsia="仿宋" w:hAnsi="仿宋" w:hint="eastAsia"/>
          <w:sz w:val="28"/>
        </w:rPr>
        <w:lastRenderedPageBreak/>
        <w:t>司间担保额度可以进行调剂。该事项自股东会审议通过后至次年年度股东会召开前有效。具体内容详见公司披露于巨潮资讯网（www.cninfo.com.cn）的《广东天亿马信息产业股份有限公司关于子公司申请综合授信额度并由公司为其提供担保的公告》（公告编号：2025-029）。</w:t>
      </w:r>
    </w:p>
    <w:p w14:paraId="6C7A8AC1" w14:textId="77777777" w:rsidR="007C53A6" w:rsidRDefault="002D322E">
      <w:pPr>
        <w:spacing w:line="360" w:lineRule="auto"/>
        <w:ind w:firstLineChars="200" w:firstLine="562"/>
        <w:outlineLvl w:val="0"/>
        <w:rPr>
          <w:rFonts w:ascii="仿宋" w:eastAsia="仿宋" w:hAnsi="仿宋"/>
          <w:b/>
          <w:sz w:val="28"/>
        </w:rPr>
      </w:pPr>
      <w:r>
        <w:rPr>
          <w:rFonts w:ascii="仿宋" w:eastAsia="仿宋" w:hAnsi="仿宋" w:hint="eastAsia"/>
          <w:b/>
          <w:sz w:val="28"/>
        </w:rPr>
        <w:t>二、担保调剂及进展情况</w:t>
      </w:r>
    </w:p>
    <w:p w14:paraId="46D6B6BD" w14:textId="37073801" w:rsidR="007C53A6" w:rsidRDefault="002D322E">
      <w:pPr>
        <w:spacing w:line="360" w:lineRule="auto"/>
        <w:ind w:firstLineChars="200" w:firstLine="560"/>
        <w:rPr>
          <w:rFonts w:ascii="仿宋" w:eastAsia="仿宋" w:hAnsi="仿宋"/>
          <w:sz w:val="28"/>
        </w:rPr>
      </w:pPr>
      <w:r>
        <w:rPr>
          <w:rFonts w:ascii="仿宋" w:eastAsia="仿宋" w:hAnsi="仿宋" w:hint="eastAsia"/>
          <w:sz w:val="28"/>
        </w:rPr>
        <w:t>公司于2025年8月15日与</w:t>
      </w:r>
      <w:bookmarkStart w:id="0" w:name="OLE_LINK1"/>
      <w:bookmarkStart w:id="1" w:name="OLE_LINK2"/>
      <w:r>
        <w:rPr>
          <w:rFonts w:ascii="仿宋" w:eastAsia="仿宋" w:hAnsi="仿宋" w:hint="eastAsia"/>
          <w:sz w:val="28"/>
        </w:rPr>
        <w:t>中航国际融资租赁有限公司</w:t>
      </w:r>
      <w:bookmarkEnd w:id="0"/>
      <w:bookmarkEnd w:id="1"/>
      <w:r>
        <w:rPr>
          <w:rFonts w:ascii="仿宋" w:eastAsia="仿宋" w:hAnsi="仿宋" w:hint="eastAsia"/>
          <w:sz w:val="28"/>
        </w:rPr>
        <w:t>签订了《最高额保证合同》，为控股子公司广西亿泰新能源有限公司（以下简称“广西亿泰”）向中航国际融资租赁有限公司签订的《融资租赁合同》项下的债务提供连带责任保证。融资金额为转让合同项下的全部转让价款，即人民币</w:t>
      </w:r>
      <w:r>
        <w:rPr>
          <w:rFonts w:ascii="仿宋" w:eastAsia="仿宋" w:hAnsi="仿宋"/>
          <w:sz w:val="28"/>
        </w:rPr>
        <w:t>8</w:t>
      </w:r>
      <w:r>
        <w:rPr>
          <w:rFonts w:ascii="仿宋" w:eastAsia="仿宋" w:hAnsi="仿宋" w:hint="eastAsia"/>
          <w:sz w:val="28"/>
        </w:rPr>
        <w:t>44万元。为满足子公司业务发展及实际经营需要，在公司2024年年度股东会审议批准的额度范围内，公司将天亿马数字能源未使用的部分担保额度调剂至广西亿泰，为</w:t>
      </w:r>
      <w:r w:rsidR="00CC5B65" w:rsidRPr="00CC5B65">
        <w:rPr>
          <w:rFonts w:ascii="仿宋" w:eastAsia="仿宋" w:hAnsi="仿宋" w:hint="eastAsia"/>
          <w:sz w:val="28"/>
        </w:rPr>
        <w:t>广西亿泰</w:t>
      </w:r>
      <w:r>
        <w:rPr>
          <w:rFonts w:ascii="仿宋" w:eastAsia="仿宋" w:hAnsi="仿宋" w:hint="eastAsia"/>
          <w:sz w:val="28"/>
        </w:rPr>
        <w:t>融资提供最高额不超过</w:t>
      </w:r>
      <w:bookmarkStart w:id="2" w:name="OLE_LINK4"/>
      <w:bookmarkStart w:id="3" w:name="OLE_LINK3"/>
      <w:r>
        <w:rPr>
          <w:rFonts w:ascii="仿宋" w:eastAsia="仿宋" w:hAnsi="仿宋"/>
          <w:sz w:val="28"/>
        </w:rPr>
        <w:t>844</w:t>
      </w:r>
      <w:r>
        <w:rPr>
          <w:rFonts w:ascii="仿宋" w:eastAsia="仿宋" w:hAnsi="仿宋" w:hint="eastAsia"/>
          <w:sz w:val="28"/>
        </w:rPr>
        <w:t>万元</w:t>
      </w:r>
      <w:bookmarkEnd w:id="2"/>
      <w:bookmarkEnd w:id="3"/>
      <w:r>
        <w:rPr>
          <w:rFonts w:ascii="仿宋" w:eastAsia="仿宋" w:hAnsi="仿宋" w:hint="eastAsia"/>
          <w:sz w:val="28"/>
        </w:rPr>
        <w:t>的连带责任保证担保。</w:t>
      </w:r>
    </w:p>
    <w:p w14:paraId="3B5A5764" w14:textId="1FCA47BE" w:rsidR="007C53A6" w:rsidRDefault="002D322E">
      <w:pPr>
        <w:spacing w:line="360" w:lineRule="auto"/>
        <w:ind w:firstLineChars="200" w:firstLine="560"/>
        <w:rPr>
          <w:rFonts w:ascii="仿宋" w:eastAsia="仿宋" w:hAnsi="仿宋"/>
          <w:sz w:val="28"/>
        </w:rPr>
      </w:pPr>
      <w:r>
        <w:rPr>
          <w:rFonts w:ascii="仿宋" w:eastAsia="仿宋" w:hAnsi="仿宋" w:hint="eastAsia"/>
          <w:sz w:val="28"/>
        </w:rPr>
        <w:t>广西亿泰系公司三级控股子公司，属公司并表范围内，在2024年年度股东会决议担保额度预计主体范围内。股东会决议时数字能源负债率为</w:t>
      </w:r>
      <w:r>
        <w:rPr>
          <w:rFonts w:ascii="仿宋" w:eastAsia="仿宋" w:hAnsi="仿宋"/>
          <w:sz w:val="28"/>
        </w:rPr>
        <w:t>74.72%</w:t>
      </w:r>
      <w:r>
        <w:rPr>
          <w:rFonts w:ascii="仿宋" w:eastAsia="仿宋" w:hAnsi="仿宋" w:hint="eastAsia"/>
          <w:sz w:val="28"/>
        </w:rPr>
        <w:t>，广西亿泰2025年一季度末负债率为</w:t>
      </w:r>
      <w:r w:rsidR="00295C76" w:rsidRPr="00295C76">
        <w:rPr>
          <w:rFonts w:ascii="仿宋" w:eastAsia="仿宋" w:hAnsi="仿宋"/>
          <w:sz w:val="28"/>
        </w:rPr>
        <w:t>84.20</w:t>
      </w:r>
      <w:r>
        <w:rPr>
          <w:rFonts w:ascii="仿宋" w:eastAsia="仿宋" w:hAnsi="仿宋" w:hint="eastAsia"/>
          <w:sz w:val="28"/>
        </w:rPr>
        <w:t>%。数字能源和广西亿泰同为负债率70%以上主体。本次调剂后，天亿马数字能源可使用的担保额度为不超过人民币</w:t>
      </w:r>
      <w:r>
        <w:rPr>
          <w:rFonts w:ascii="仿宋" w:eastAsia="仿宋" w:hAnsi="仿宋"/>
          <w:sz w:val="28"/>
        </w:rPr>
        <w:t>4</w:t>
      </w:r>
      <w:r>
        <w:rPr>
          <w:rFonts w:ascii="仿宋" w:eastAsia="仿宋" w:hAnsi="仿宋" w:hint="eastAsia"/>
          <w:sz w:val="28"/>
        </w:rPr>
        <w:t>,</w:t>
      </w:r>
      <w:r>
        <w:rPr>
          <w:rFonts w:ascii="仿宋" w:eastAsia="仿宋" w:hAnsi="仿宋"/>
          <w:sz w:val="28"/>
        </w:rPr>
        <w:t>156</w:t>
      </w:r>
      <w:r>
        <w:rPr>
          <w:rFonts w:ascii="仿宋" w:eastAsia="仿宋" w:hAnsi="仿宋" w:hint="eastAsia"/>
          <w:sz w:val="28"/>
        </w:rPr>
        <w:t>万元。</w:t>
      </w:r>
    </w:p>
    <w:p w14:paraId="127BD557" w14:textId="77777777" w:rsidR="007C53A6" w:rsidRDefault="002D322E">
      <w:pPr>
        <w:spacing w:line="360" w:lineRule="auto"/>
        <w:ind w:firstLineChars="200" w:firstLine="560"/>
        <w:rPr>
          <w:rFonts w:ascii="仿宋" w:eastAsia="仿宋" w:hAnsi="仿宋"/>
          <w:sz w:val="28"/>
        </w:rPr>
      </w:pPr>
      <w:r>
        <w:rPr>
          <w:rFonts w:ascii="仿宋" w:eastAsia="仿宋" w:hAnsi="仿宋" w:hint="eastAsia"/>
          <w:sz w:val="28"/>
        </w:rPr>
        <w:t>广西亿泰为深圳市亿泰新能源有限公司（以下简称“深圳亿泰”）下设的全资子公司。深圳亿泰由公司控股子公司天亿马数字能源持股67%，其他股东广东后洋投资有限公司持股33%。广东后洋投资有限</w:t>
      </w:r>
      <w:r>
        <w:rPr>
          <w:rFonts w:ascii="仿宋" w:eastAsia="仿宋" w:hAnsi="仿宋" w:hint="eastAsia"/>
          <w:sz w:val="28"/>
        </w:rPr>
        <w:lastRenderedPageBreak/>
        <w:t>公司为本次融资提供同等担保。</w:t>
      </w:r>
    </w:p>
    <w:p w14:paraId="4791A35B" w14:textId="77777777" w:rsidR="007C53A6" w:rsidRDefault="002D322E">
      <w:pPr>
        <w:spacing w:line="360" w:lineRule="auto"/>
        <w:ind w:firstLineChars="200" w:firstLine="562"/>
        <w:outlineLvl w:val="0"/>
        <w:rPr>
          <w:rFonts w:ascii="仿宋" w:eastAsia="仿宋" w:hAnsi="仿宋"/>
          <w:b/>
          <w:sz w:val="28"/>
        </w:rPr>
      </w:pPr>
      <w:r>
        <w:rPr>
          <w:rFonts w:ascii="仿宋" w:eastAsia="仿宋" w:hAnsi="仿宋" w:hint="eastAsia"/>
          <w:b/>
          <w:sz w:val="28"/>
        </w:rPr>
        <w:t>三、被担保方基本情况</w:t>
      </w:r>
    </w:p>
    <w:p w14:paraId="1E63CE7E" w14:textId="77777777" w:rsidR="007C53A6" w:rsidRDefault="002D322E">
      <w:pPr>
        <w:spacing w:line="360" w:lineRule="auto"/>
        <w:ind w:firstLineChars="200" w:firstLine="560"/>
        <w:outlineLvl w:val="0"/>
        <w:rPr>
          <w:rFonts w:ascii="仿宋" w:eastAsia="仿宋" w:hAnsi="仿宋"/>
          <w:sz w:val="28"/>
        </w:rPr>
      </w:pPr>
      <w:r>
        <w:rPr>
          <w:rFonts w:ascii="仿宋" w:eastAsia="仿宋" w:hAnsi="仿宋" w:hint="eastAsia"/>
          <w:sz w:val="28"/>
        </w:rPr>
        <w:t>（一）基本信息</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669"/>
        <w:gridCol w:w="6853"/>
      </w:tblGrid>
      <w:tr w:rsidR="007C53A6" w14:paraId="36E9BD6B" w14:textId="77777777" w:rsidTr="002D302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9" w:type="pct"/>
            <w:tcBorders>
              <w:top w:val="none" w:sz="0" w:space="0" w:color="auto"/>
              <w:left w:val="none" w:sz="0" w:space="0" w:color="auto"/>
              <w:bottom w:val="none" w:sz="0" w:space="0" w:color="auto"/>
              <w:right w:val="none" w:sz="0" w:space="0" w:color="auto"/>
            </w:tcBorders>
          </w:tcPr>
          <w:p w14:paraId="3E2877DB" w14:textId="77777777" w:rsidR="007C53A6" w:rsidRDefault="002D322E">
            <w:pPr>
              <w:rPr>
                <w:rFonts w:ascii="仿宋" w:eastAsia="仿宋" w:hAnsi="仿宋"/>
                <w:b w:val="0"/>
                <w:sz w:val="24"/>
                <w:szCs w:val="24"/>
              </w:rPr>
            </w:pPr>
            <w:r>
              <w:rPr>
                <w:rFonts w:ascii="仿宋" w:eastAsia="仿宋" w:hAnsi="仿宋" w:hint="eastAsia"/>
                <w:b w:val="0"/>
                <w:sz w:val="24"/>
                <w:szCs w:val="24"/>
              </w:rPr>
              <w:t>公司名称</w:t>
            </w:r>
          </w:p>
        </w:tc>
        <w:tc>
          <w:tcPr>
            <w:tcW w:w="4021" w:type="pct"/>
            <w:tcBorders>
              <w:top w:val="none" w:sz="0" w:space="0" w:color="auto"/>
              <w:left w:val="none" w:sz="0" w:space="0" w:color="auto"/>
              <w:bottom w:val="none" w:sz="0" w:space="0" w:color="auto"/>
              <w:right w:val="none" w:sz="0" w:space="0" w:color="auto"/>
            </w:tcBorders>
          </w:tcPr>
          <w:p w14:paraId="318ADA69" w14:textId="77777777" w:rsidR="007C53A6" w:rsidRDefault="002D322E">
            <w:pPr>
              <w:cnfStyle w:val="100000000000" w:firstRow="1" w:lastRow="0" w:firstColumn="0" w:lastColumn="0" w:oddVBand="0" w:evenVBand="0" w:oddHBand="0" w:evenHBand="0" w:firstRowFirstColumn="0" w:firstRowLastColumn="0" w:lastRowFirstColumn="0" w:lastRowLastColumn="0"/>
              <w:rPr>
                <w:rFonts w:ascii="仿宋" w:eastAsia="仿宋" w:hAnsi="仿宋"/>
                <w:b w:val="0"/>
                <w:sz w:val="24"/>
                <w:szCs w:val="24"/>
              </w:rPr>
            </w:pPr>
            <w:r>
              <w:rPr>
                <w:rFonts w:ascii="仿宋" w:eastAsia="仿宋" w:hAnsi="仿宋" w:hint="eastAsia"/>
                <w:b w:val="0"/>
                <w:sz w:val="24"/>
                <w:szCs w:val="24"/>
              </w:rPr>
              <w:t>广西亿泰新能源有限公司</w:t>
            </w:r>
          </w:p>
        </w:tc>
      </w:tr>
      <w:tr w:rsidR="007C53A6" w14:paraId="60A6D6EE"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40149274" w14:textId="77777777" w:rsidR="007C53A6" w:rsidRDefault="002D322E">
            <w:pPr>
              <w:rPr>
                <w:rFonts w:ascii="仿宋" w:eastAsia="仿宋" w:hAnsi="仿宋"/>
                <w:b w:val="0"/>
                <w:sz w:val="24"/>
                <w:szCs w:val="24"/>
              </w:rPr>
            </w:pPr>
            <w:r>
              <w:rPr>
                <w:rFonts w:ascii="仿宋" w:eastAsia="仿宋" w:hAnsi="仿宋" w:hint="eastAsia"/>
                <w:b w:val="0"/>
                <w:sz w:val="24"/>
                <w:szCs w:val="24"/>
              </w:rPr>
              <w:t>成立日期</w:t>
            </w:r>
          </w:p>
        </w:tc>
        <w:tc>
          <w:tcPr>
            <w:tcW w:w="4021" w:type="pct"/>
          </w:tcPr>
          <w:p w14:paraId="70434B26"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sz w:val="24"/>
                <w:szCs w:val="24"/>
              </w:rPr>
              <w:t>2024-09-18</w:t>
            </w:r>
          </w:p>
        </w:tc>
      </w:tr>
      <w:tr w:rsidR="007C53A6" w14:paraId="54E8E41E"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7B90587A" w14:textId="77777777" w:rsidR="007C53A6" w:rsidRDefault="002D322E">
            <w:pPr>
              <w:rPr>
                <w:rFonts w:ascii="仿宋" w:eastAsia="仿宋" w:hAnsi="仿宋"/>
                <w:b w:val="0"/>
                <w:sz w:val="24"/>
                <w:szCs w:val="24"/>
              </w:rPr>
            </w:pPr>
            <w:r>
              <w:rPr>
                <w:rFonts w:ascii="仿宋" w:eastAsia="仿宋" w:hAnsi="仿宋" w:hint="eastAsia"/>
                <w:b w:val="0"/>
                <w:sz w:val="24"/>
                <w:szCs w:val="24"/>
              </w:rPr>
              <w:t>注册地点</w:t>
            </w:r>
          </w:p>
        </w:tc>
        <w:tc>
          <w:tcPr>
            <w:tcW w:w="4021" w:type="pct"/>
          </w:tcPr>
          <w:p w14:paraId="6B9F2F5D"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柳州市葡萄山路7号1号科技楼4-2之8003-03号</w:t>
            </w:r>
          </w:p>
        </w:tc>
      </w:tr>
      <w:tr w:rsidR="007C53A6" w14:paraId="7B0C48E4"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05842AF1" w14:textId="77777777" w:rsidR="007C53A6" w:rsidRDefault="002D322E">
            <w:pPr>
              <w:rPr>
                <w:rFonts w:ascii="仿宋" w:eastAsia="仿宋" w:hAnsi="仿宋"/>
                <w:b w:val="0"/>
                <w:sz w:val="24"/>
                <w:szCs w:val="24"/>
              </w:rPr>
            </w:pPr>
            <w:r>
              <w:rPr>
                <w:rFonts w:ascii="仿宋" w:eastAsia="仿宋" w:hAnsi="仿宋" w:hint="eastAsia"/>
                <w:b w:val="0"/>
                <w:sz w:val="24"/>
                <w:szCs w:val="24"/>
              </w:rPr>
              <w:t>法定代表人</w:t>
            </w:r>
          </w:p>
        </w:tc>
        <w:tc>
          <w:tcPr>
            <w:tcW w:w="4021" w:type="pct"/>
          </w:tcPr>
          <w:p w14:paraId="3A702370"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林明玲</w:t>
            </w:r>
          </w:p>
        </w:tc>
      </w:tr>
      <w:tr w:rsidR="007C53A6" w14:paraId="2573E63A"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21553E6D" w14:textId="77777777" w:rsidR="007C53A6" w:rsidRDefault="002D322E">
            <w:pPr>
              <w:rPr>
                <w:rFonts w:ascii="仿宋" w:eastAsia="仿宋" w:hAnsi="仿宋"/>
                <w:b w:val="0"/>
                <w:sz w:val="24"/>
                <w:szCs w:val="24"/>
              </w:rPr>
            </w:pPr>
            <w:r>
              <w:rPr>
                <w:rFonts w:ascii="仿宋" w:eastAsia="仿宋" w:hAnsi="仿宋" w:hint="eastAsia"/>
                <w:b w:val="0"/>
                <w:sz w:val="24"/>
                <w:szCs w:val="24"/>
              </w:rPr>
              <w:t>注册资本</w:t>
            </w:r>
          </w:p>
        </w:tc>
        <w:tc>
          <w:tcPr>
            <w:tcW w:w="4021" w:type="pct"/>
          </w:tcPr>
          <w:p w14:paraId="5E48AF24"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412万元</w:t>
            </w:r>
          </w:p>
        </w:tc>
      </w:tr>
      <w:tr w:rsidR="007C53A6" w14:paraId="13E9D425"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6A53F2FE" w14:textId="77777777" w:rsidR="007C53A6" w:rsidRDefault="002D322E">
            <w:pPr>
              <w:rPr>
                <w:rFonts w:ascii="仿宋" w:eastAsia="仿宋" w:hAnsi="仿宋"/>
                <w:b w:val="0"/>
                <w:sz w:val="24"/>
                <w:szCs w:val="24"/>
              </w:rPr>
            </w:pPr>
            <w:r>
              <w:rPr>
                <w:rFonts w:ascii="仿宋" w:eastAsia="仿宋" w:hAnsi="仿宋" w:hint="eastAsia"/>
                <w:b w:val="0"/>
                <w:sz w:val="24"/>
                <w:szCs w:val="24"/>
              </w:rPr>
              <w:t>经营范围</w:t>
            </w:r>
          </w:p>
        </w:tc>
        <w:tc>
          <w:tcPr>
            <w:tcW w:w="4021" w:type="pct"/>
          </w:tcPr>
          <w:p w14:paraId="319DF5C2"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一般项目：新兴能源技术研发；节能管理服务；电力行业高效节能技术研发；海上风电相关系统研发；风力发电技术服务；太阳能发电技术服务；合同能源管理；发电技术服务；储能技术服务；租赁服务（不含许可类租赁服务）；光伏发电设备租赁；企业管理咨询；信息咨询服务（不含许可类信息咨询服务）；电气设备销售；机械电气设备销售；太阳能热发电产品销售；海上风力发电机组销售；海上风电相关装备销售；太阳能热发电装备销售；光伏设备及元器件销售；劳务服务（不含劳务派遣）；电子专用设备销售；半导体器件专用设备销售；电气设备修理；普通机械设备安装服务；技术服务、技术开发、技术咨询、技术交流、技术转让、技术推广；发电机及发电机组销售；新能源原动设备销售；电力电子元器件销售；太阳能热利用装备销售。（除依法须经批准的项目外，凭营业执照依法自主开展经营活动）许可项目：发电业务、输电业务、供（配）电业务；建筑劳务分包；电气安装服务；输电、供电、受电电力设施的安装、维修和试验。（依法须经批准的项目，经相关部门批准后方可开展经营活动，具体经营项目以相关部门批准文件或许可证件为准）</w:t>
            </w:r>
          </w:p>
        </w:tc>
      </w:tr>
      <w:tr w:rsidR="007C53A6" w14:paraId="7A55D141" w14:textId="77777777" w:rsidTr="007C53A6">
        <w:tc>
          <w:tcPr>
            <w:cnfStyle w:val="001000000000" w:firstRow="0" w:lastRow="0" w:firstColumn="1" w:lastColumn="0" w:oddVBand="0" w:evenVBand="0" w:oddHBand="0" w:evenHBand="0" w:firstRowFirstColumn="0" w:firstRowLastColumn="0" w:lastRowFirstColumn="0" w:lastRowLastColumn="0"/>
            <w:tcW w:w="979" w:type="pct"/>
          </w:tcPr>
          <w:p w14:paraId="384FF8D8" w14:textId="77777777" w:rsidR="007C53A6" w:rsidRDefault="002D322E">
            <w:pPr>
              <w:rPr>
                <w:rFonts w:ascii="仿宋" w:eastAsia="仿宋" w:hAnsi="仿宋"/>
                <w:b w:val="0"/>
                <w:sz w:val="24"/>
                <w:szCs w:val="24"/>
              </w:rPr>
            </w:pPr>
            <w:r>
              <w:rPr>
                <w:rFonts w:ascii="仿宋" w:eastAsia="仿宋" w:hAnsi="仿宋" w:hint="eastAsia"/>
                <w:b w:val="0"/>
                <w:sz w:val="24"/>
                <w:szCs w:val="24"/>
              </w:rPr>
              <w:t>是否为失信被执行人</w:t>
            </w:r>
          </w:p>
        </w:tc>
        <w:tc>
          <w:tcPr>
            <w:tcW w:w="4021" w:type="pct"/>
            <w:vAlign w:val="center"/>
          </w:tcPr>
          <w:p w14:paraId="6F0A546D" w14:textId="77777777" w:rsidR="007C53A6" w:rsidRDefault="002D322E">
            <w:pPr>
              <w:cnfStyle w:val="000000000000" w:firstRow="0" w:lastRow="0" w:firstColumn="0" w:lastColumn="0" w:oddVBand="0" w:evenVBand="0" w:oddHBand="0" w:evenHBand="0" w:firstRowFirstColumn="0" w:firstRowLastColumn="0" w:lastRowFirstColumn="0" w:lastRowLastColumn="0"/>
              <w:rPr>
                <w:rFonts w:ascii="仿宋" w:eastAsia="仿宋" w:hAnsi="仿宋"/>
                <w:sz w:val="24"/>
                <w:szCs w:val="24"/>
              </w:rPr>
            </w:pPr>
            <w:r>
              <w:rPr>
                <w:rFonts w:ascii="仿宋" w:eastAsia="仿宋" w:hAnsi="仿宋" w:hint="eastAsia"/>
                <w:sz w:val="24"/>
                <w:szCs w:val="24"/>
              </w:rPr>
              <w:t>否</w:t>
            </w:r>
          </w:p>
        </w:tc>
      </w:tr>
    </w:tbl>
    <w:p w14:paraId="6442AA34"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（二）股权结构</w:t>
      </w:r>
    </w:p>
    <w:p w14:paraId="7C2B97F0"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广西亿泰股权结构如下：</w:t>
      </w:r>
    </w:p>
    <w:tbl>
      <w:tblPr>
        <w:tblStyle w:val="a8"/>
        <w:tblW w:w="5000" w:type="pct"/>
        <w:jc w:val="center"/>
        <w:tblLook w:val="04A0" w:firstRow="1" w:lastRow="0" w:firstColumn="1" w:lastColumn="0" w:noHBand="0" w:noVBand="1"/>
      </w:tblPr>
      <w:tblGrid>
        <w:gridCol w:w="4077"/>
        <w:gridCol w:w="2938"/>
        <w:gridCol w:w="1507"/>
      </w:tblGrid>
      <w:tr w:rsidR="007C53A6" w14:paraId="4E735862" w14:textId="77777777">
        <w:trPr>
          <w:trHeight w:val="20"/>
          <w:jc w:val="center"/>
        </w:trPr>
        <w:tc>
          <w:tcPr>
            <w:tcW w:w="2392" w:type="pct"/>
          </w:tcPr>
          <w:p w14:paraId="04A68175" w14:textId="77777777" w:rsidR="007C53A6" w:rsidRDefault="002D322E">
            <w:pPr>
              <w:jc w:val="center"/>
              <w:rPr>
                <w:rFonts w:ascii="仿宋" w:eastAsia="仿宋" w:hAnsi="仿宋"/>
                <w:sz w:val="24"/>
                <w:szCs w:val="24"/>
              </w:rPr>
            </w:pPr>
            <w:r>
              <w:rPr>
                <w:rFonts w:ascii="仿宋" w:eastAsia="仿宋" w:hAnsi="仿宋" w:hint="eastAsia"/>
                <w:sz w:val="24"/>
                <w:szCs w:val="24"/>
              </w:rPr>
              <w:t>股东名称</w:t>
            </w:r>
          </w:p>
        </w:tc>
        <w:tc>
          <w:tcPr>
            <w:tcW w:w="1724" w:type="pct"/>
          </w:tcPr>
          <w:p w14:paraId="02C113E3" w14:textId="77777777" w:rsidR="007C53A6" w:rsidRDefault="002D322E">
            <w:pPr>
              <w:jc w:val="center"/>
              <w:rPr>
                <w:rFonts w:ascii="仿宋" w:eastAsia="仿宋" w:hAnsi="仿宋"/>
                <w:sz w:val="24"/>
                <w:szCs w:val="24"/>
              </w:rPr>
            </w:pPr>
            <w:r>
              <w:rPr>
                <w:rFonts w:ascii="仿宋" w:eastAsia="仿宋" w:hAnsi="仿宋" w:hint="eastAsia"/>
                <w:sz w:val="24"/>
                <w:szCs w:val="24"/>
              </w:rPr>
              <w:t>认缴注册额（万元）</w:t>
            </w:r>
          </w:p>
        </w:tc>
        <w:tc>
          <w:tcPr>
            <w:tcW w:w="884" w:type="pct"/>
          </w:tcPr>
          <w:p w14:paraId="4424AFA6" w14:textId="77777777" w:rsidR="007C53A6" w:rsidRDefault="002D322E">
            <w:pPr>
              <w:jc w:val="center"/>
              <w:rPr>
                <w:rFonts w:ascii="仿宋" w:eastAsia="仿宋" w:hAnsi="仿宋"/>
                <w:sz w:val="24"/>
                <w:szCs w:val="24"/>
              </w:rPr>
            </w:pPr>
            <w:r>
              <w:rPr>
                <w:rFonts w:ascii="仿宋" w:eastAsia="仿宋" w:hAnsi="仿宋" w:hint="eastAsia"/>
                <w:sz w:val="24"/>
                <w:szCs w:val="24"/>
              </w:rPr>
              <w:t>持股比例</w:t>
            </w:r>
          </w:p>
        </w:tc>
      </w:tr>
      <w:tr w:rsidR="007C53A6" w14:paraId="16628C95" w14:textId="77777777">
        <w:trPr>
          <w:trHeight w:val="20"/>
          <w:jc w:val="center"/>
        </w:trPr>
        <w:tc>
          <w:tcPr>
            <w:tcW w:w="2392" w:type="pct"/>
            <w:vAlign w:val="center"/>
          </w:tcPr>
          <w:p w14:paraId="3A1299B8" w14:textId="77777777" w:rsidR="007C53A6" w:rsidRDefault="002D322E">
            <w:pPr>
              <w:jc w:val="center"/>
              <w:rPr>
                <w:rFonts w:ascii="仿宋" w:eastAsia="仿宋" w:hAnsi="仿宋"/>
                <w:sz w:val="24"/>
                <w:szCs w:val="24"/>
              </w:rPr>
            </w:pPr>
            <w:r>
              <w:rPr>
                <w:rFonts w:ascii="仿宋" w:eastAsia="仿宋" w:hAnsi="仿宋" w:hint="eastAsia"/>
                <w:sz w:val="24"/>
                <w:szCs w:val="24"/>
              </w:rPr>
              <w:t>深圳市亿泰新能源有限公司</w:t>
            </w:r>
          </w:p>
        </w:tc>
        <w:tc>
          <w:tcPr>
            <w:tcW w:w="1724" w:type="pct"/>
            <w:vAlign w:val="center"/>
          </w:tcPr>
          <w:p w14:paraId="769FF3D1" w14:textId="77777777" w:rsidR="007C53A6" w:rsidRDefault="002D322E">
            <w:pPr>
              <w:jc w:val="center"/>
              <w:rPr>
                <w:rFonts w:ascii="仿宋" w:eastAsia="仿宋" w:hAnsi="仿宋"/>
                <w:sz w:val="24"/>
                <w:szCs w:val="24"/>
              </w:rPr>
            </w:pPr>
            <w:r>
              <w:rPr>
                <w:rFonts w:ascii="仿宋" w:eastAsia="仿宋" w:hAnsi="仿宋" w:hint="eastAsia"/>
                <w:sz w:val="24"/>
                <w:szCs w:val="24"/>
              </w:rPr>
              <w:t>412</w:t>
            </w:r>
          </w:p>
        </w:tc>
        <w:tc>
          <w:tcPr>
            <w:tcW w:w="884" w:type="pct"/>
            <w:vAlign w:val="center"/>
          </w:tcPr>
          <w:p w14:paraId="7159A02B" w14:textId="77777777" w:rsidR="007C53A6" w:rsidRDefault="002D322E">
            <w:pPr>
              <w:jc w:val="center"/>
              <w:rPr>
                <w:rFonts w:ascii="仿宋" w:eastAsia="仿宋" w:hAnsi="仿宋"/>
                <w:sz w:val="24"/>
                <w:szCs w:val="24"/>
              </w:rPr>
            </w:pPr>
            <w:r>
              <w:rPr>
                <w:rFonts w:ascii="仿宋" w:eastAsia="仿宋" w:hAnsi="仿宋" w:hint="eastAsia"/>
                <w:sz w:val="24"/>
                <w:szCs w:val="24"/>
              </w:rPr>
              <w:t>100%</w:t>
            </w:r>
          </w:p>
        </w:tc>
      </w:tr>
    </w:tbl>
    <w:p w14:paraId="3EDE7380"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深圳市亿泰新能源有限公司股权结构如下：</w:t>
      </w:r>
    </w:p>
    <w:tbl>
      <w:tblPr>
        <w:tblStyle w:val="a8"/>
        <w:tblW w:w="5000" w:type="pct"/>
        <w:tblLook w:val="04A0" w:firstRow="1" w:lastRow="0" w:firstColumn="1" w:lastColumn="0" w:noHBand="0" w:noVBand="1"/>
      </w:tblPr>
      <w:tblGrid>
        <w:gridCol w:w="4128"/>
        <w:gridCol w:w="2940"/>
        <w:gridCol w:w="1454"/>
      </w:tblGrid>
      <w:tr w:rsidR="007C53A6" w14:paraId="3A0E0D3A" w14:textId="77777777">
        <w:tc>
          <w:tcPr>
            <w:tcW w:w="2422" w:type="pct"/>
          </w:tcPr>
          <w:p w14:paraId="4BE2C528" w14:textId="77777777" w:rsidR="007C53A6" w:rsidRDefault="002D322E">
            <w:pPr>
              <w:jc w:val="center"/>
              <w:rPr>
                <w:rFonts w:ascii="仿宋" w:eastAsia="仿宋" w:hAnsi="仿宋"/>
                <w:sz w:val="24"/>
                <w:szCs w:val="24"/>
              </w:rPr>
            </w:pPr>
            <w:r>
              <w:rPr>
                <w:rFonts w:ascii="仿宋" w:eastAsia="仿宋" w:hAnsi="仿宋" w:hint="eastAsia"/>
                <w:sz w:val="24"/>
                <w:szCs w:val="24"/>
              </w:rPr>
              <w:t>股东名称</w:t>
            </w:r>
          </w:p>
        </w:tc>
        <w:tc>
          <w:tcPr>
            <w:tcW w:w="1725" w:type="pct"/>
          </w:tcPr>
          <w:p w14:paraId="55B2640D" w14:textId="77777777" w:rsidR="007C53A6" w:rsidRDefault="002D322E">
            <w:pPr>
              <w:jc w:val="center"/>
              <w:rPr>
                <w:rFonts w:ascii="仿宋" w:eastAsia="仿宋" w:hAnsi="仿宋"/>
                <w:sz w:val="24"/>
                <w:szCs w:val="24"/>
              </w:rPr>
            </w:pPr>
            <w:r>
              <w:rPr>
                <w:rFonts w:ascii="仿宋" w:eastAsia="仿宋" w:hAnsi="仿宋" w:hint="eastAsia"/>
                <w:sz w:val="24"/>
                <w:szCs w:val="24"/>
              </w:rPr>
              <w:t>认缴注册额（万元）</w:t>
            </w:r>
          </w:p>
        </w:tc>
        <w:tc>
          <w:tcPr>
            <w:tcW w:w="854" w:type="pct"/>
          </w:tcPr>
          <w:p w14:paraId="37B51C5E" w14:textId="77777777" w:rsidR="007C53A6" w:rsidRDefault="002D322E">
            <w:pPr>
              <w:jc w:val="center"/>
              <w:rPr>
                <w:rFonts w:ascii="仿宋" w:eastAsia="仿宋" w:hAnsi="仿宋"/>
                <w:sz w:val="24"/>
                <w:szCs w:val="24"/>
              </w:rPr>
            </w:pPr>
            <w:r>
              <w:rPr>
                <w:rFonts w:ascii="仿宋" w:eastAsia="仿宋" w:hAnsi="仿宋" w:hint="eastAsia"/>
                <w:sz w:val="24"/>
                <w:szCs w:val="24"/>
              </w:rPr>
              <w:t>持股比例</w:t>
            </w:r>
          </w:p>
        </w:tc>
      </w:tr>
      <w:tr w:rsidR="007C53A6" w14:paraId="4F76378E" w14:textId="77777777">
        <w:tc>
          <w:tcPr>
            <w:tcW w:w="2422" w:type="pct"/>
          </w:tcPr>
          <w:p w14:paraId="481E440F" w14:textId="77777777" w:rsidR="007C53A6" w:rsidRDefault="002D322E">
            <w:pPr>
              <w:jc w:val="center"/>
              <w:rPr>
                <w:rFonts w:ascii="仿宋" w:eastAsia="仿宋" w:hAnsi="仿宋"/>
                <w:sz w:val="24"/>
                <w:szCs w:val="24"/>
              </w:rPr>
            </w:pPr>
            <w:r>
              <w:rPr>
                <w:rFonts w:ascii="仿宋" w:eastAsia="仿宋" w:hAnsi="仿宋" w:hint="eastAsia"/>
                <w:sz w:val="24"/>
                <w:szCs w:val="24"/>
              </w:rPr>
              <w:t>广东天亿马数字能源有限公司</w:t>
            </w:r>
          </w:p>
        </w:tc>
        <w:tc>
          <w:tcPr>
            <w:tcW w:w="1725" w:type="pct"/>
          </w:tcPr>
          <w:p w14:paraId="4C25D30F" w14:textId="77777777" w:rsidR="007C53A6" w:rsidRDefault="002D322E">
            <w:pPr>
              <w:jc w:val="center"/>
              <w:rPr>
                <w:rFonts w:ascii="仿宋" w:eastAsia="仿宋" w:hAnsi="仿宋"/>
                <w:sz w:val="24"/>
                <w:szCs w:val="24"/>
              </w:rPr>
            </w:pPr>
            <w:r>
              <w:rPr>
                <w:rFonts w:ascii="仿宋" w:eastAsia="仿宋" w:hAnsi="仿宋" w:hint="eastAsia"/>
                <w:sz w:val="24"/>
                <w:szCs w:val="24"/>
              </w:rPr>
              <w:t>670</w:t>
            </w:r>
          </w:p>
        </w:tc>
        <w:tc>
          <w:tcPr>
            <w:tcW w:w="854" w:type="pct"/>
          </w:tcPr>
          <w:p w14:paraId="621EB798" w14:textId="77777777" w:rsidR="007C53A6" w:rsidRDefault="002D322E">
            <w:pPr>
              <w:jc w:val="center"/>
              <w:rPr>
                <w:rFonts w:ascii="仿宋" w:eastAsia="仿宋" w:hAnsi="仿宋"/>
                <w:sz w:val="24"/>
                <w:szCs w:val="24"/>
              </w:rPr>
            </w:pPr>
            <w:r>
              <w:rPr>
                <w:rFonts w:ascii="仿宋" w:eastAsia="仿宋" w:hAnsi="仿宋" w:hint="eastAsia"/>
                <w:sz w:val="24"/>
                <w:szCs w:val="24"/>
              </w:rPr>
              <w:t>67%</w:t>
            </w:r>
          </w:p>
        </w:tc>
      </w:tr>
      <w:tr w:rsidR="007C53A6" w14:paraId="43390532" w14:textId="77777777">
        <w:tc>
          <w:tcPr>
            <w:tcW w:w="2422" w:type="pct"/>
          </w:tcPr>
          <w:p w14:paraId="2BDC7A9D" w14:textId="77777777" w:rsidR="007C53A6" w:rsidRDefault="002D322E">
            <w:pPr>
              <w:jc w:val="center"/>
              <w:rPr>
                <w:rFonts w:ascii="仿宋" w:eastAsia="仿宋" w:hAnsi="仿宋"/>
                <w:sz w:val="24"/>
                <w:szCs w:val="24"/>
              </w:rPr>
            </w:pPr>
            <w:r>
              <w:rPr>
                <w:rFonts w:ascii="仿宋" w:eastAsia="仿宋" w:hAnsi="仿宋" w:hint="eastAsia"/>
                <w:sz w:val="24"/>
                <w:szCs w:val="24"/>
              </w:rPr>
              <w:t>广东后洋投资有限公司</w:t>
            </w:r>
          </w:p>
        </w:tc>
        <w:tc>
          <w:tcPr>
            <w:tcW w:w="1725" w:type="pct"/>
          </w:tcPr>
          <w:p w14:paraId="4458A4DD" w14:textId="77777777" w:rsidR="007C53A6" w:rsidRDefault="002D322E">
            <w:pPr>
              <w:jc w:val="center"/>
              <w:rPr>
                <w:rFonts w:ascii="仿宋" w:eastAsia="仿宋" w:hAnsi="仿宋"/>
                <w:sz w:val="24"/>
                <w:szCs w:val="24"/>
              </w:rPr>
            </w:pPr>
            <w:r>
              <w:rPr>
                <w:rFonts w:ascii="仿宋" w:eastAsia="仿宋" w:hAnsi="仿宋" w:hint="eastAsia"/>
                <w:sz w:val="24"/>
                <w:szCs w:val="24"/>
              </w:rPr>
              <w:t>330</w:t>
            </w:r>
          </w:p>
        </w:tc>
        <w:tc>
          <w:tcPr>
            <w:tcW w:w="854" w:type="pct"/>
          </w:tcPr>
          <w:p w14:paraId="17B9853C" w14:textId="77777777" w:rsidR="007C53A6" w:rsidRDefault="002D322E">
            <w:pPr>
              <w:jc w:val="center"/>
              <w:rPr>
                <w:rFonts w:ascii="仿宋" w:eastAsia="仿宋" w:hAnsi="仿宋"/>
                <w:sz w:val="24"/>
                <w:szCs w:val="24"/>
              </w:rPr>
            </w:pPr>
            <w:r>
              <w:rPr>
                <w:rFonts w:ascii="仿宋" w:eastAsia="仿宋" w:hAnsi="仿宋" w:hint="eastAsia"/>
                <w:sz w:val="24"/>
                <w:szCs w:val="24"/>
              </w:rPr>
              <w:t>33%</w:t>
            </w:r>
          </w:p>
        </w:tc>
      </w:tr>
    </w:tbl>
    <w:p w14:paraId="73946790"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lastRenderedPageBreak/>
        <w:t>广东天亿马数字能源有限公司股权结构如下：</w:t>
      </w:r>
    </w:p>
    <w:tbl>
      <w:tblPr>
        <w:tblStyle w:val="a8"/>
        <w:tblW w:w="5000" w:type="pct"/>
        <w:tblLook w:val="04A0" w:firstRow="1" w:lastRow="0" w:firstColumn="1" w:lastColumn="0" w:noHBand="0" w:noVBand="1"/>
      </w:tblPr>
      <w:tblGrid>
        <w:gridCol w:w="4128"/>
        <w:gridCol w:w="2940"/>
        <w:gridCol w:w="1454"/>
      </w:tblGrid>
      <w:tr w:rsidR="007C53A6" w14:paraId="6321B5BB" w14:textId="77777777">
        <w:tc>
          <w:tcPr>
            <w:tcW w:w="2422" w:type="pct"/>
          </w:tcPr>
          <w:p w14:paraId="446E2955" w14:textId="77777777" w:rsidR="007C53A6" w:rsidRDefault="002D322E">
            <w:pPr>
              <w:jc w:val="center"/>
              <w:rPr>
                <w:rFonts w:ascii="仿宋" w:eastAsia="仿宋" w:hAnsi="仿宋"/>
                <w:sz w:val="24"/>
                <w:szCs w:val="24"/>
              </w:rPr>
            </w:pPr>
            <w:r>
              <w:rPr>
                <w:rFonts w:ascii="仿宋" w:eastAsia="仿宋" w:hAnsi="仿宋" w:hint="eastAsia"/>
                <w:sz w:val="24"/>
                <w:szCs w:val="24"/>
              </w:rPr>
              <w:t>股东名称</w:t>
            </w:r>
          </w:p>
        </w:tc>
        <w:tc>
          <w:tcPr>
            <w:tcW w:w="1725" w:type="pct"/>
          </w:tcPr>
          <w:p w14:paraId="51347965" w14:textId="77777777" w:rsidR="007C53A6" w:rsidRDefault="002D322E">
            <w:pPr>
              <w:jc w:val="center"/>
              <w:rPr>
                <w:rFonts w:ascii="仿宋" w:eastAsia="仿宋" w:hAnsi="仿宋"/>
                <w:sz w:val="24"/>
                <w:szCs w:val="24"/>
              </w:rPr>
            </w:pPr>
            <w:r>
              <w:rPr>
                <w:rFonts w:ascii="仿宋" w:eastAsia="仿宋" w:hAnsi="仿宋" w:hint="eastAsia"/>
                <w:sz w:val="24"/>
                <w:szCs w:val="24"/>
              </w:rPr>
              <w:t>认缴注册额（万元）</w:t>
            </w:r>
          </w:p>
        </w:tc>
        <w:tc>
          <w:tcPr>
            <w:tcW w:w="854" w:type="pct"/>
          </w:tcPr>
          <w:p w14:paraId="6521F786" w14:textId="77777777" w:rsidR="007C53A6" w:rsidRDefault="002D322E">
            <w:pPr>
              <w:jc w:val="center"/>
              <w:rPr>
                <w:rFonts w:ascii="仿宋" w:eastAsia="仿宋" w:hAnsi="仿宋"/>
                <w:sz w:val="24"/>
                <w:szCs w:val="24"/>
              </w:rPr>
            </w:pPr>
            <w:r>
              <w:rPr>
                <w:rFonts w:ascii="仿宋" w:eastAsia="仿宋" w:hAnsi="仿宋" w:hint="eastAsia"/>
                <w:sz w:val="24"/>
                <w:szCs w:val="24"/>
              </w:rPr>
              <w:t>持股比例</w:t>
            </w:r>
          </w:p>
        </w:tc>
      </w:tr>
      <w:tr w:rsidR="007C53A6" w14:paraId="3D8D586D" w14:textId="77777777">
        <w:tc>
          <w:tcPr>
            <w:tcW w:w="2422" w:type="pct"/>
          </w:tcPr>
          <w:p w14:paraId="1F45AFE9" w14:textId="77777777" w:rsidR="007C53A6" w:rsidRDefault="002D322E">
            <w:pPr>
              <w:jc w:val="center"/>
              <w:rPr>
                <w:rFonts w:ascii="仿宋" w:eastAsia="仿宋" w:hAnsi="仿宋"/>
                <w:sz w:val="24"/>
                <w:szCs w:val="24"/>
              </w:rPr>
            </w:pPr>
            <w:r>
              <w:rPr>
                <w:rFonts w:ascii="仿宋" w:eastAsia="仿宋" w:hAnsi="仿宋" w:hint="eastAsia"/>
                <w:sz w:val="24"/>
                <w:szCs w:val="24"/>
              </w:rPr>
              <w:t>广东天亿马信息产业股份有限公司</w:t>
            </w:r>
          </w:p>
        </w:tc>
        <w:tc>
          <w:tcPr>
            <w:tcW w:w="1725" w:type="pct"/>
          </w:tcPr>
          <w:p w14:paraId="4F7A437A" w14:textId="77777777" w:rsidR="007C53A6" w:rsidRDefault="002D322E">
            <w:pPr>
              <w:jc w:val="center"/>
              <w:rPr>
                <w:rFonts w:ascii="仿宋" w:eastAsia="仿宋" w:hAnsi="仿宋"/>
                <w:sz w:val="24"/>
                <w:szCs w:val="24"/>
              </w:rPr>
            </w:pPr>
            <w:r>
              <w:rPr>
                <w:rFonts w:ascii="仿宋" w:eastAsia="仿宋" w:hAnsi="仿宋" w:hint="eastAsia"/>
                <w:sz w:val="24"/>
                <w:szCs w:val="24"/>
              </w:rPr>
              <w:t>510</w:t>
            </w:r>
          </w:p>
        </w:tc>
        <w:tc>
          <w:tcPr>
            <w:tcW w:w="854" w:type="pct"/>
          </w:tcPr>
          <w:p w14:paraId="207B8440" w14:textId="77777777" w:rsidR="007C53A6" w:rsidRDefault="002D322E">
            <w:pPr>
              <w:jc w:val="center"/>
              <w:rPr>
                <w:rFonts w:ascii="仿宋" w:eastAsia="仿宋" w:hAnsi="仿宋"/>
                <w:sz w:val="24"/>
                <w:szCs w:val="24"/>
              </w:rPr>
            </w:pPr>
            <w:r>
              <w:rPr>
                <w:rFonts w:ascii="仿宋" w:eastAsia="仿宋" w:hAnsi="仿宋" w:hint="eastAsia"/>
                <w:sz w:val="24"/>
                <w:szCs w:val="24"/>
              </w:rPr>
              <w:t>51%</w:t>
            </w:r>
          </w:p>
        </w:tc>
      </w:tr>
      <w:tr w:rsidR="007C53A6" w14:paraId="3AA1EA1E" w14:textId="77777777">
        <w:tc>
          <w:tcPr>
            <w:tcW w:w="2422" w:type="pct"/>
          </w:tcPr>
          <w:p w14:paraId="72862AE1" w14:textId="77777777" w:rsidR="007C53A6" w:rsidRDefault="002D322E">
            <w:pPr>
              <w:jc w:val="center"/>
              <w:rPr>
                <w:rFonts w:ascii="仿宋" w:eastAsia="仿宋" w:hAnsi="仿宋"/>
                <w:sz w:val="24"/>
                <w:szCs w:val="24"/>
              </w:rPr>
            </w:pPr>
            <w:r>
              <w:rPr>
                <w:rFonts w:ascii="仿宋" w:eastAsia="仿宋" w:hAnsi="仿宋" w:hint="eastAsia"/>
                <w:sz w:val="24"/>
                <w:szCs w:val="24"/>
              </w:rPr>
              <w:t>重庆腾和远科技合伙企业（有限合伙）</w:t>
            </w:r>
          </w:p>
        </w:tc>
        <w:tc>
          <w:tcPr>
            <w:tcW w:w="1725" w:type="pct"/>
          </w:tcPr>
          <w:p w14:paraId="2027FF6A" w14:textId="77777777" w:rsidR="007C53A6" w:rsidRDefault="002D322E">
            <w:pPr>
              <w:jc w:val="center"/>
              <w:rPr>
                <w:rFonts w:ascii="仿宋" w:eastAsia="仿宋" w:hAnsi="仿宋"/>
                <w:sz w:val="24"/>
                <w:szCs w:val="24"/>
              </w:rPr>
            </w:pPr>
            <w:r>
              <w:rPr>
                <w:rFonts w:ascii="仿宋" w:eastAsia="仿宋" w:hAnsi="仿宋" w:hint="eastAsia"/>
                <w:sz w:val="24"/>
                <w:szCs w:val="24"/>
              </w:rPr>
              <w:t>330</w:t>
            </w:r>
          </w:p>
        </w:tc>
        <w:tc>
          <w:tcPr>
            <w:tcW w:w="854" w:type="pct"/>
          </w:tcPr>
          <w:p w14:paraId="397E3AC8" w14:textId="77777777" w:rsidR="007C53A6" w:rsidRDefault="002D322E">
            <w:pPr>
              <w:jc w:val="center"/>
              <w:rPr>
                <w:rFonts w:ascii="仿宋" w:eastAsia="仿宋" w:hAnsi="仿宋"/>
                <w:sz w:val="24"/>
                <w:szCs w:val="24"/>
              </w:rPr>
            </w:pPr>
            <w:r>
              <w:rPr>
                <w:rFonts w:ascii="仿宋" w:eastAsia="仿宋" w:hAnsi="仿宋" w:hint="eastAsia"/>
                <w:sz w:val="24"/>
                <w:szCs w:val="24"/>
              </w:rPr>
              <w:t>33%</w:t>
            </w:r>
          </w:p>
        </w:tc>
      </w:tr>
      <w:tr w:rsidR="007C53A6" w14:paraId="72A75D94" w14:textId="77777777">
        <w:tc>
          <w:tcPr>
            <w:tcW w:w="2422" w:type="pct"/>
          </w:tcPr>
          <w:p w14:paraId="55238929" w14:textId="77777777" w:rsidR="007C53A6" w:rsidRDefault="002D322E">
            <w:pPr>
              <w:jc w:val="center"/>
              <w:rPr>
                <w:rFonts w:ascii="仿宋" w:eastAsia="仿宋" w:hAnsi="仿宋"/>
                <w:sz w:val="24"/>
                <w:szCs w:val="24"/>
              </w:rPr>
            </w:pPr>
            <w:r>
              <w:rPr>
                <w:rFonts w:ascii="仿宋" w:eastAsia="仿宋" w:hAnsi="仿宋" w:hint="eastAsia"/>
                <w:sz w:val="24"/>
                <w:szCs w:val="24"/>
              </w:rPr>
              <w:t>黄谷丰</w:t>
            </w:r>
          </w:p>
        </w:tc>
        <w:tc>
          <w:tcPr>
            <w:tcW w:w="1725" w:type="pct"/>
          </w:tcPr>
          <w:p w14:paraId="4F51C7C7" w14:textId="77777777" w:rsidR="007C53A6" w:rsidRDefault="002D322E">
            <w:pPr>
              <w:jc w:val="center"/>
              <w:rPr>
                <w:rFonts w:ascii="仿宋" w:eastAsia="仿宋" w:hAnsi="仿宋"/>
                <w:sz w:val="24"/>
                <w:szCs w:val="24"/>
              </w:rPr>
            </w:pPr>
            <w:r>
              <w:rPr>
                <w:rFonts w:ascii="仿宋" w:eastAsia="仿宋" w:hAnsi="仿宋" w:hint="eastAsia"/>
                <w:sz w:val="24"/>
                <w:szCs w:val="24"/>
              </w:rPr>
              <w:t>60</w:t>
            </w:r>
          </w:p>
        </w:tc>
        <w:tc>
          <w:tcPr>
            <w:tcW w:w="854" w:type="pct"/>
          </w:tcPr>
          <w:p w14:paraId="0F6A0DFD" w14:textId="77777777" w:rsidR="007C53A6" w:rsidRDefault="002D322E">
            <w:pPr>
              <w:jc w:val="center"/>
              <w:rPr>
                <w:rFonts w:ascii="仿宋" w:eastAsia="仿宋" w:hAnsi="仿宋"/>
                <w:sz w:val="24"/>
                <w:szCs w:val="24"/>
              </w:rPr>
            </w:pPr>
            <w:r>
              <w:rPr>
                <w:rFonts w:ascii="仿宋" w:eastAsia="仿宋" w:hAnsi="仿宋" w:hint="eastAsia"/>
                <w:sz w:val="24"/>
                <w:szCs w:val="24"/>
              </w:rPr>
              <w:t>6%</w:t>
            </w:r>
          </w:p>
        </w:tc>
      </w:tr>
    </w:tbl>
    <w:p w14:paraId="5B04F322"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（三）财务数据</w:t>
      </w:r>
    </w:p>
    <w:p w14:paraId="4949ADF6"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广西亿泰最近一年又一期财务数据如下：</w:t>
      </w:r>
    </w:p>
    <w:p w14:paraId="2AA3A03E" w14:textId="77777777" w:rsidR="007C53A6" w:rsidRDefault="002D322E">
      <w:pPr>
        <w:spacing w:line="360" w:lineRule="auto"/>
        <w:ind w:firstLineChars="200" w:firstLine="420"/>
        <w:jc w:val="right"/>
        <w:rPr>
          <w:rFonts w:ascii="仿宋" w:eastAsia="仿宋" w:hAnsi="仿宋"/>
        </w:rPr>
      </w:pPr>
      <w:r>
        <w:rPr>
          <w:rFonts w:ascii="仿宋" w:eastAsia="仿宋" w:hAnsi="仿宋" w:hint="eastAsia"/>
        </w:rPr>
        <w:t>单位：元</w:t>
      </w:r>
    </w:p>
    <w:tbl>
      <w:tblPr>
        <w:tblStyle w:val="a9"/>
        <w:tblW w:w="5000" w:type="pct"/>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2552"/>
        <w:gridCol w:w="2984"/>
        <w:gridCol w:w="2986"/>
      </w:tblGrid>
      <w:tr w:rsidR="007C53A6" w14:paraId="6860B93C" w14:textId="77777777" w:rsidTr="00F75398">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497" w:type="pct"/>
            <w:tcBorders>
              <w:top w:val="none" w:sz="0" w:space="0" w:color="auto"/>
              <w:left w:val="none" w:sz="0" w:space="0" w:color="auto"/>
              <w:bottom w:val="none" w:sz="0" w:space="0" w:color="auto"/>
              <w:right w:val="none" w:sz="0" w:space="0" w:color="auto"/>
            </w:tcBorders>
          </w:tcPr>
          <w:p w14:paraId="2CF46722" w14:textId="77777777" w:rsidR="007C53A6" w:rsidRDefault="002D322E">
            <w:pPr>
              <w:jc w:val="center"/>
              <w:rPr>
                <w:rFonts w:ascii="仿宋" w:eastAsia="仿宋" w:hAnsi="仿宋"/>
                <w:b w:val="0"/>
                <w:bCs w:val="0"/>
                <w:kern w:val="0"/>
                <w:sz w:val="24"/>
                <w:szCs w:val="24"/>
              </w:rPr>
            </w:pPr>
            <w:r>
              <w:rPr>
                <w:rFonts w:ascii="仿宋" w:eastAsia="仿宋" w:hAnsi="仿宋" w:hint="eastAsia"/>
                <w:kern w:val="0"/>
                <w:sz w:val="24"/>
                <w:szCs w:val="24"/>
              </w:rPr>
              <w:t>项目</w:t>
            </w:r>
          </w:p>
        </w:tc>
        <w:tc>
          <w:tcPr>
            <w:tcW w:w="1751" w:type="pct"/>
            <w:tcBorders>
              <w:top w:val="none" w:sz="0" w:space="0" w:color="auto"/>
              <w:left w:val="none" w:sz="0" w:space="0" w:color="auto"/>
              <w:bottom w:val="none" w:sz="0" w:space="0" w:color="auto"/>
              <w:right w:val="none" w:sz="0" w:space="0" w:color="auto"/>
            </w:tcBorders>
          </w:tcPr>
          <w:p w14:paraId="05D4C3F2" w14:textId="77777777" w:rsidR="007C53A6" w:rsidRDefault="002D32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Pr>
                <w:rFonts w:ascii="仿宋" w:eastAsia="仿宋" w:hAnsi="仿宋" w:hint="eastAsia"/>
                <w:kern w:val="0"/>
                <w:sz w:val="24"/>
                <w:szCs w:val="24"/>
              </w:rPr>
              <w:t>2024年末/2024年</w:t>
            </w:r>
          </w:p>
          <w:p w14:paraId="6BEF77AC" w14:textId="77777777" w:rsidR="007C53A6" w:rsidRDefault="002D32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Pr>
                <w:rFonts w:ascii="仿宋" w:eastAsia="仿宋" w:hAnsi="仿宋" w:hint="eastAsia"/>
                <w:kern w:val="0"/>
                <w:sz w:val="24"/>
                <w:szCs w:val="24"/>
              </w:rPr>
              <w:t>（经审计）</w:t>
            </w:r>
          </w:p>
        </w:tc>
        <w:tc>
          <w:tcPr>
            <w:tcW w:w="1752" w:type="pct"/>
            <w:tcBorders>
              <w:top w:val="none" w:sz="0" w:space="0" w:color="auto"/>
              <w:left w:val="none" w:sz="0" w:space="0" w:color="auto"/>
              <w:bottom w:val="none" w:sz="0" w:space="0" w:color="auto"/>
              <w:right w:val="none" w:sz="0" w:space="0" w:color="auto"/>
            </w:tcBorders>
          </w:tcPr>
          <w:p w14:paraId="1560E7FC" w14:textId="77777777" w:rsidR="007C53A6" w:rsidRPr="00485C8B" w:rsidRDefault="002D32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sidRPr="00485C8B">
              <w:rPr>
                <w:rFonts w:ascii="仿宋" w:eastAsia="仿宋" w:hAnsi="仿宋" w:hint="eastAsia"/>
                <w:kern w:val="0"/>
                <w:sz w:val="24"/>
                <w:szCs w:val="24"/>
              </w:rPr>
              <w:t>2025年一季度末</w:t>
            </w:r>
          </w:p>
          <w:p w14:paraId="2D34D9A3" w14:textId="77777777" w:rsidR="007C53A6" w:rsidRPr="00485C8B" w:rsidRDefault="002D32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kern w:val="0"/>
                <w:sz w:val="24"/>
                <w:szCs w:val="24"/>
              </w:rPr>
            </w:pPr>
            <w:r w:rsidRPr="00485C8B">
              <w:rPr>
                <w:rFonts w:ascii="仿宋" w:eastAsia="仿宋" w:hAnsi="仿宋" w:hint="eastAsia"/>
                <w:kern w:val="0"/>
                <w:sz w:val="24"/>
                <w:szCs w:val="24"/>
              </w:rPr>
              <w:t>/2025年一季度</w:t>
            </w:r>
          </w:p>
          <w:p w14:paraId="2FA01089" w14:textId="77777777" w:rsidR="007C53A6" w:rsidRDefault="002D32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b w:val="0"/>
                <w:bCs w:val="0"/>
                <w:kern w:val="0"/>
                <w:sz w:val="24"/>
                <w:szCs w:val="24"/>
              </w:rPr>
            </w:pPr>
            <w:r w:rsidRPr="00485C8B">
              <w:rPr>
                <w:rFonts w:ascii="仿宋" w:eastAsia="仿宋" w:hAnsi="仿宋" w:hint="eastAsia"/>
                <w:kern w:val="0"/>
                <w:sz w:val="24"/>
                <w:szCs w:val="24"/>
              </w:rPr>
              <w:t>（未经审计）</w:t>
            </w:r>
          </w:p>
        </w:tc>
      </w:tr>
      <w:tr w:rsidR="00F75398" w14:paraId="65A62F35"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61AF22F6"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资产总额</w:t>
            </w:r>
          </w:p>
        </w:tc>
        <w:tc>
          <w:tcPr>
            <w:tcW w:w="1751" w:type="pct"/>
            <w:vAlign w:val="center"/>
          </w:tcPr>
          <w:p w14:paraId="0C60F009"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4,612,879.76</w:t>
            </w:r>
          </w:p>
        </w:tc>
        <w:tc>
          <w:tcPr>
            <w:tcW w:w="1752" w:type="pct"/>
            <w:vAlign w:val="center"/>
          </w:tcPr>
          <w:p w14:paraId="16DD345A" w14:textId="5952A431"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12,393,736.45</w:t>
            </w:r>
          </w:p>
        </w:tc>
      </w:tr>
      <w:tr w:rsidR="00F75398" w14:paraId="2EF1CEDD"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336DE8BC"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负债总额</w:t>
            </w:r>
          </w:p>
        </w:tc>
        <w:tc>
          <w:tcPr>
            <w:tcW w:w="1751" w:type="pct"/>
            <w:vAlign w:val="center"/>
          </w:tcPr>
          <w:p w14:paraId="5F5251CE"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2,655,016.80</w:t>
            </w:r>
          </w:p>
        </w:tc>
        <w:tc>
          <w:tcPr>
            <w:tcW w:w="1752" w:type="pct"/>
          </w:tcPr>
          <w:p w14:paraId="1A863E07" w14:textId="7372A255"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10,436,105.79</w:t>
            </w:r>
          </w:p>
        </w:tc>
        <w:bookmarkStart w:id="4" w:name="_GoBack"/>
        <w:bookmarkEnd w:id="4"/>
      </w:tr>
      <w:tr w:rsidR="00F75398" w14:paraId="39B4B70B"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1B6728D0" w14:textId="77777777" w:rsidR="00F75398" w:rsidRDefault="00F75398">
            <w:pPr>
              <w:jc w:val="right"/>
              <w:rPr>
                <w:rFonts w:ascii="仿宋" w:eastAsia="仿宋" w:hAnsi="仿宋"/>
                <w:bCs w:val="0"/>
                <w:kern w:val="0"/>
                <w:sz w:val="24"/>
                <w:szCs w:val="24"/>
              </w:rPr>
            </w:pPr>
            <w:r>
              <w:rPr>
                <w:rFonts w:ascii="仿宋" w:eastAsia="仿宋" w:hAnsi="仿宋" w:hint="eastAsia"/>
                <w:b w:val="0"/>
                <w:kern w:val="0"/>
                <w:sz w:val="24"/>
                <w:szCs w:val="24"/>
              </w:rPr>
              <w:t>流动负债总额</w:t>
            </w:r>
          </w:p>
        </w:tc>
        <w:tc>
          <w:tcPr>
            <w:tcW w:w="1751" w:type="pct"/>
            <w:vAlign w:val="center"/>
          </w:tcPr>
          <w:p w14:paraId="2A1082E5"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2,655,016.80</w:t>
            </w:r>
          </w:p>
        </w:tc>
        <w:tc>
          <w:tcPr>
            <w:tcW w:w="1752" w:type="pct"/>
          </w:tcPr>
          <w:p w14:paraId="5F9571E7" w14:textId="66E2771A"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10,436,105.79</w:t>
            </w:r>
          </w:p>
        </w:tc>
      </w:tr>
      <w:tr w:rsidR="00F75398" w14:paraId="27383917"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64DEE734"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净资产</w:t>
            </w:r>
          </w:p>
        </w:tc>
        <w:tc>
          <w:tcPr>
            <w:tcW w:w="1751" w:type="pct"/>
            <w:vAlign w:val="center"/>
          </w:tcPr>
          <w:p w14:paraId="2CB7214B"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1,957,862.96</w:t>
            </w:r>
          </w:p>
        </w:tc>
        <w:tc>
          <w:tcPr>
            <w:tcW w:w="1752" w:type="pct"/>
          </w:tcPr>
          <w:p w14:paraId="5658AE4D" w14:textId="33170751"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1,957,630.66</w:t>
            </w:r>
          </w:p>
        </w:tc>
      </w:tr>
      <w:tr w:rsidR="00F75398" w14:paraId="687A4086"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32F2F4FB"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营业收入</w:t>
            </w:r>
          </w:p>
        </w:tc>
        <w:tc>
          <w:tcPr>
            <w:tcW w:w="1751" w:type="pct"/>
            <w:vAlign w:val="center"/>
          </w:tcPr>
          <w:p w14:paraId="70559038"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0</w:t>
            </w:r>
          </w:p>
        </w:tc>
        <w:tc>
          <w:tcPr>
            <w:tcW w:w="1752" w:type="pct"/>
          </w:tcPr>
          <w:p w14:paraId="2DAD21EB" w14:textId="7D51DD62"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0</w:t>
            </w:r>
          </w:p>
        </w:tc>
      </w:tr>
      <w:tr w:rsidR="00F75398" w14:paraId="55429A0A"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350A455F"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利润总额</w:t>
            </w:r>
          </w:p>
        </w:tc>
        <w:tc>
          <w:tcPr>
            <w:tcW w:w="1751" w:type="pct"/>
            <w:vAlign w:val="center"/>
          </w:tcPr>
          <w:p w14:paraId="6B49071B"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-217.55</w:t>
            </w:r>
          </w:p>
        </w:tc>
        <w:tc>
          <w:tcPr>
            <w:tcW w:w="1752" w:type="pct"/>
          </w:tcPr>
          <w:p w14:paraId="66142E8B" w14:textId="475EF71F"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bookmarkStart w:id="5" w:name="OLE_LINK5"/>
            <w:r>
              <w:rPr>
                <w:rFonts w:ascii="仿宋" w:eastAsia="仿宋" w:hAnsi="仿宋" w:hint="eastAsia"/>
                <w:kern w:val="0"/>
                <w:sz w:val="24"/>
                <w:szCs w:val="24"/>
              </w:rPr>
              <w:t>-</w:t>
            </w:r>
            <w:bookmarkEnd w:id="5"/>
            <w:r>
              <w:rPr>
                <w:rFonts w:ascii="仿宋" w:eastAsia="仿宋" w:hAnsi="仿宋" w:hint="eastAsia"/>
                <w:kern w:val="0"/>
                <w:sz w:val="24"/>
                <w:szCs w:val="24"/>
              </w:rPr>
              <w:t>290.37</w:t>
            </w:r>
          </w:p>
        </w:tc>
      </w:tr>
      <w:tr w:rsidR="00F75398" w14:paraId="5550EEBB" w14:textId="77777777" w:rsidTr="00F75398">
        <w:trPr>
          <w:trHeight w:val="234"/>
        </w:trPr>
        <w:tc>
          <w:tcPr>
            <w:cnfStyle w:val="001000000000" w:firstRow="0" w:lastRow="0" w:firstColumn="1" w:lastColumn="0" w:oddVBand="0" w:evenVBand="0" w:oddHBand="0" w:evenHBand="0" w:firstRowFirstColumn="0" w:firstRowLastColumn="0" w:lastRowFirstColumn="0" w:lastRowLastColumn="0"/>
            <w:tcW w:w="1497" w:type="pct"/>
          </w:tcPr>
          <w:p w14:paraId="771C63D2" w14:textId="77777777" w:rsidR="00F75398" w:rsidRDefault="00F75398">
            <w:pPr>
              <w:jc w:val="center"/>
              <w:rPr>
                <w:rFonts w:ascii="仿宋" w:eastAsia="仿宋" w:hAnsi="仿宋"/>
                <w:bCs w:val="0"/>
                <w:kern w:val="0"/>
                <w:sz w:val="24"/>
                <w:szCs w:val="24"/>
              </w:rPr>
            </w:pPr>
            <w:r>
              <w:rPr>
                <w:rFonts w:ascii="仿宋" w:eastAsia="仿宋" w:hAnsi="仿宋" w:hint="eastAsia"/>
                <w:b w:val="0"/>
                <w:kern w:val="0"/>
                <w:sz w:val="24"/>
                <w:szCs w:val="24"/>
              </w:rPr>
              <w:t>净利润</w:t>
            </w:r>
          </w:p>
        </w:tc>
        <w:tc>
          <w:tcPr>
            <w:tcW w:w="1751" w:type="pct"/>
            <w:vAlign w:val="center"/>
          </w:tcPr>
          <w:p w14:paraId="56BC08F1" w14:textId="77777777"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-174.04</w:t>
            </w:r>
          </w:p>
        </w:tc>
        <w:tc>
          <w:tcPr>
            <w:tcW w:w="1752" w:type="pct"/>
          </w:tcPr>
          <w:p w14:paraId="172E689A" w14:textId="78EBA0B5" w:rsidR="00F75398" w:rsidRDefault="00F75398">
            <w:pPr>
              <w:jc w:val="right"/>
              <w:cnfStyle w:val="000000000000" w:firstRow="0" w:lastRow="0" w:firstColumn="0" w:lastColumn="0" w:oddVBand="0" w:evenVBand="0" w:oddHBand="0" w:evenHBand="0" w:firstRowFirstColumn="0" w:firstRowLastColumn="0" w:lastRowFirstColumn="0" w:lastRowLastColumn="0"/>
              <w:rPr>
                <w:rFonts w:ascii="仿宋" w:eastAsia="仿宋" w:hAnsi="仿宋" w:cstheme="minorBidi"/>
                <w:color w:val="000000"/>
                <w:kern w:val="0"/>
                <w:sz w:val="24"/>
                <w:szCs w:val="24"/>
              </w:rPr>
            </w:pPr>
            <w:r>
              <w:rPr>
                <w:rFonts w:ascii="仿宋" w:eastAsia="仿宋" w:hAnsi="仿宋" w:hint="eastAsia"/>
                <w:kern w:val="0"/>
                <w:sz w:val="24"/>
                <w:szCs w:val="24"/>
              </w:rPr>
              <w:t>-232.30</w:t>
            </w:r>
          </w:p>
        </w:tc>
      </w:tr>
    </w:tbl>
    <w:p w14:paraId="0807B4C1" w14:textId="77777777" w:rsidR="007C53A6" w:rsidRDefault="007C53A6">
      <w:pPr>
        <w:spacing w:line="360" w:lineRule="auto"/>
        <w:ind w:firstLineChars="200" w:firstLine="420"/>
        <w:jc w:val="right"/>
        <w:rPr>
          <w:rFonts w:ascii="仿宋" w:eastAsia="仿宋" w:hAnsi="仿宋"/>
        </w:rPr>
      </w:pPr>
    </w:p>
    <w:p w14:paraId="6ACB5BE4" w14:textId="77777777" w:rsidR="007C53A6" w:rsidRDefault="002D322E">
      <w:pPr>
        <w:spacing w:line="360" w:lineRule="auto"/>
        <w:ind w:firstLineChars="200" w:firstLine="562"/>
        <w:outlineLvl w:val="0"/>
        <w:rPr>
          <w:rFonts w:ascii="仿宋" w:eastAsia="仿宋" w:hAnsi="仿宋"/>
          <w:b/>
          <w:sz w:val="28"/>
        </w:rPr>
      </w:pPr>
      <w:r>
        <w:rPr>
          <w:rFonts w:ascii="仿宋" w:eastAsia="仿宋" w:hAnsi="仿宋" w:hint="eastAsia"/>
          <w:b/>
          <w:sz w:val="28"/>
        </w:rPr>
        <w:t>四、担保协议的主要内容</w:t>
      </w:r>
    </w:p>
    <w:p w14:paraId="01D4C6B3" w14:textId="14728380" w:rsidR="00992A25" w:rsidRDefault="00992A25" w:rsidP="00992A25">
      <w:pPr>
        <w:spacing w:beforeLines="50" w:before="156" w:line="360" w:lineRule="auto"/>
        <w:ind w:firstLineChars="200" w:firstLine="560"/>
        <w:rPr>
          <w:rFonts w:ascii="仿宋" w:eastAsia="仿宋" w:hAnsi="仿宋"/>
          <w:sz w:val="28"/>
        </w:rPr>
      </w:pPr>
      <w:r>
        <w:rPr>
          <w:rFonts w:ascii="仿宋" w:eastAsia="仿宋" w:hAnsi="仿宋" w:hint="eastAsia"/>
          <w:sz w:val="28"/>
        </w:rPr>
        <w:t>（一）债权人（出租人）：中航国际融资租赁有限公司</w:t>
      </w:r>
    </w:p>
    <w:p w14:paraId="76193369" w14:textId="08A44B49"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w:t>
      </w:r>
      <w:r w:rsidR="00992A25">
        <w:rPr>
          <w:rFonts w:ascii="仿宋" w:eastAsia="仿宋" w:hAnsi="仿宋" w:hint="eastAsia"/>
          <w:sz w:val="28"/>
        </w:rPr>
        <w:t>二</w:t>
      </w:r>
      <w:r>
        <w:rPr>
          <w:rFonts w:ascii="仿宋" w:eastAsia="仿宋" w:hAnsi="仿宋" w:hint="eastAsia"/>
          <w:sz w:val="28"/>
        </w:rPr>
        <w:t>）被担保的债务人</w:t>
      </w:r>
      <w:r w:rsidR="00992A25">
        <w:rPr>
          <w:rFonts w:ascii="仿宋" w:eastAsia="仿宋" w:hAnsi="仿宋" w:hint="eastAsia"/>
          <w:sz w:val="28"/>
        </w:rPr>
        <w:t>（承租人）</w:t>
      </w:r>
      <w:r>
        <w:rPr>
          <w:rFonts w:ascii="仿宋" w:eastAsia="仿宋" w:hAnsi="仿宋" w:hint="eastAsia"/>
          <w:sz w:val="28"/>
        </w:rPr>
        <w:t>：广西亿泰新能源有限公司</w:t>
      </w:r>
    </w:p>
    <w:p w14:paraId="3FD62D8B" w14:textId="007B49BE"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w:t>
      </w:r>
      <w:r w:rsidR="00992A25">
        <w:rPr>
          <w:rFonts w:ascii="仿宋" w:eastAsia="仿宋" w:hAnsi="仿宋" w:hint="eastAsia"/>
          <w:sz w:val="28"/>
        </w:rPr>
        <w:t>三</w:t>
      </w:r>
      <w:r>
        <w:rPr>
          <w:rFonts w:ascii="仿宋" w:eastAsia="仿宋" w:hAnsi="仿宋" w:hint="eastAsia"/>
          <w:sz w:val="28"/>
        </w:rPr>
        <w:t>）保证人：广东天亿马信息产业股份有限公司</w:t>
      </w:r>
    </w:p>
    <w:p w14:paraId="4724C492" w14:textId="24BF3A5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（四）最高本金限额：人民币</w:t>
      </w:r>
      <w:r>
        <w:rPr>
          <w:rFonts w:ascii="仿宋" w:eastAsia="仿宋" w:hAnsi="仿宋"/>
          <w:sz w:val="28"/>
        </w:rPr>
        <w:t>844</w:t>
      </w:r>
      <w:r>
        <w:rPr>
          <w:rFonts w:ascii="仿宋" w:eastAsia="仿宋" w:hAnsi="仿宋" w:hint="eastAsia"/>
          <w:sz w:val="28"/>
        </w:rPr>
        <w:t>万元</w:t>
      </w:r>
    </w:p>
    <w:p w14:paraId="6895E955"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（五）保证方式：连带责任保证</w:t>
      </w:r>
    </w:p>
    <w:p w14:paraId="415A3AB7"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（六）保证担保范围：保证担保的范围为债务人（承租人）在租赁合同、转让合同项下对债权人（出租人）的所有债务，包括但不限</w:t>
      </w:r>
      <w:r>
        <w:rPr>
          <w:rFonts w:ascii="仿宋" w:eastAsia="仿宋" w:hAnsi="仿宋" w:hint="eastAsia"/>
          <w:sz w:val="28"/>
        </w:rPr>
        <w:lastRenderedPageBreak/>
        <w:t>于下列各项：</w:t>
      </w:r>
    </w:p>
    <w:p w14:paraId="3D8B59E5"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（1）全部租金（包括根据租赁合同不时上调的部分）、特殊租金（如有）；</w:t>
      </w:r>
    </w:p>
    <w:p w14:paraId="260470BF"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（2）保证金、零期租金、保险费、期末购买价及租赁合同项下的其他应付款项；</w:t>
      </w:r>
    </w:p>
    <w:p w14:paraId="13661EF7"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（3）逾期利息；</w:t>
      </w:r>
    </w:p>
    <w:p w14:paraId="4FBE9976"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（4）损害赔偿金、违约赔偿金、合同解约金；</w:t>
      </w:r>
    </w:p>
    <w:p w14:paraId="5E121264"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（5）债权人（出租人）为实现其权益所发生的费用，如诉讼费、律师费、保全费、诉讼财产保全责任保险的保险费、评估费、执行费、拍卖费、公告费、税费等；</w:t>
      </w:r>
    </w:p>
    <w:p w14:paraId="397F0B7F"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6）债务人（承租人）在租赁合同、转让合同因任何原因被提前终止、解除或被认定无效、被认定成其他法律关系或无法执行情况下需向债权人（出租人）承担的任何性质的返还责任、赔偿责任、或其它任何责任。</w:t>
      </w:r>
    </w:p>
    <w:p w14:paraId="0A028214" w14:textId="77777777"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七）保证期间：本合同项下的保证期间为租赁合同约定的债务履行期限届满之日起三年。若发生法律、法规规定或租赁合同约定的事项，导致租赁合同债务提前、延后到期的，保证期间相应提前或延后。如果债务人（承租人）进入破产程序且依据通过的重整计划的规定，债务人（承租人）对债权人（出租人）的债务被延期清偿的，则保证人对延期清偿的债务仍应承担保证责任，保证期间顺延为重整计</w:t>
      </w:r>
      <w:r>
        <w:rPr>
          <w:rFonts w:ascii="仿宋" w:eastAsia="仿宋" w:hAnsi="仿宋" w:hint="eastAsia"/>
          <w:sz w:val="28"/>
        </w:rPr>
        <w:lastRenderedPageBreak/>
        <w:t>划规定的债务履行期限届满之日起三年。</w:t>
      </w:r>
    </w:p>
    <w:p w14:paraId="1F882EC9" w14:textId="6B50D2F8" w:rsidR="007C53A6" w:rsidRDefault="002D322E">
      <w:pPr>
        <w:spacing w:beforeLines="50" w:before="156" w:line="360" w:lineRule="auto"/>
        <w:ind w:firstLineChars="200" w:firstLine="560"/>
        <w:rPr>
          <w:rFonts w:ascii="仿宋" w:eastAsia="仿宋" w:hAnsi="仿宋"/>
          <w:sz w:val="28"/>
        </w:rPr>
      </w:pPr>
      <w:r>
        <w:rPr>
          <w:rFonts w:ascii="仿宋" w:eastAsia="仿宋" w:hAnsi="仿宋" w:hint="eastAsia"/>
          <w:sz w:val="28"/>
        </w:rPr>
        <w:t>（八）</w:t>
      </w:r>
      <w:r w:rsidR="00AF4D4D">
        <w:rPr>
          <w:rFonts w:ascii="仿宋" w:eastAsia="仿宋" w:hAnsi="仿宋" w:hint="eastAsia"/>
          <w:sz w:val="28"/>
        </w:rPr>
        <w:t>合同生效条件</w:t>
      </w:r>
      <w:r>
        <w:rPr>
          <w:rFonts w:ascii="仿宋" w:eastAsia="仿宋" w:hAnsi="仿宋" w:hint="eastAsia"/>
          <w:sz w:val="28"/>
        </w:rPr>
        <w:t>：本合同自各方法定代表人/授权代表人签字，或者加盖公章后生效。</w:t>
      </w:r>
    </w:p>
    <w:p w14:paraId="7F1E7EFD" w14:textId="77777777" w:rsidR="007C53A6" w:rsidRDefault="002D322E">
      <w:pPr>
        <w:spacing w:line="360" w:lineRule="auto"/>
        <w:ind w:firstLineChars="200" w:firstLine="562"/>
        <w:outlineLvl w:val="0"/>
        <w:rPr>
          <w:rFonts w:ascii="仿宋" w:eastAsia="仿宋" w:hAnsi="仿宋"/>
          <w:b/>
          <w:sz w:val="28"/>
        </w:rPr>
      </w:pPr>
      <w:r>
        <w:rPr>
          <w:rFonts w:ascii="仿宋" w:eastAsia="仿宋" w:hAnsi="仿宋" w:hint="eastAsia"/>
          <w:b/>
          <w:sz w:val="28"/>
        </w:rPr>
        <w:t>五、累计对外担保数量及逾期担保数量</w:t>
      </w:r>
    </w:p>
    <w:p w14:paraId="1076B36E" w14:textId="0572F00A" w:rsidR="006E58F5" w:rsidRDefault="006E58F5" w:rsidP="006E58F5">
      <w:pPr>
        <w:spacing w:line="360" w:lineRule="auto"/>
        <w:ind w:firstLineChars="200" w:firstLine="560"/>
        <w:outlineLvl w:val="0"/>
        <w:rPr>
          <w:rFonts w:ascii="仿宋" w:eastAsia="仿宋" w:hAnsi="仿宋"/>
          <w:sz w:val="28"/>
        </w:rPr>
      </w:pPr>
      <w:r w:rsidRPr="006E58F5">
        <w:rPr>
          <w:rFonts w:ascii="仿宋" w:eastAsia="仿宋" w:hAnsi="仿宋" w:hint="eastAsia"/>
          <w:sz w:val="28"/>
        </w:rPr>
        <w:t>公司审批通过对合并报表范围内子公司担保额度总金额为人民币34,750万元，占公司2024年经审计净资产的45.83%。截至本公告日，公司对合并报表范围内单位提供的实际担保余额为人民币10,971.37万元，占公司2024年经审计净资产的14.47%；公司及子公司对合并报表范围外单位提供的担保余额为0元。公司及子公司无逾期对外担保、无涉及诉讼的对外担保或因担保被判决败诉而应承担损失的情形。</w:t>
      </w:r>
    </w:p>
    <w:p w14:paraId="5BF6004D" w14:textId="34CE4653" w:rsidR="007C53A6" w:rsidRDefault="002D322E" w:rsidP="006E58F5">
      <w:pPr>
        <w:spacing w:line="360" w:lineRule="auto"/>
        <w:ind w:firstLineChars="200" w:firstLine="562"/>
        <w:outlineLvl w:val="0"/>
        <w:rPr>
          <w:rFonts w:ascii="仿宋" w:eastAsia="仿宋" w:hAnsi="仿宋"/>
          <w:b/>
          <w:sz w:val="28"/>
        </w:rPr>
      </w:pPr>
      <w:r>
        <w:rPr>
          <w:rFonts w:ascii="仿宋" w:eastAsia="仿宋" w:hAnsi="仿宋" w:hint="eastAsia"/>
          <w:b/>
          <w:sz w:val="28"/>
        </w:rPr>
        <w:t>六、备查文件</w:t>
      </w:r>
    </w:p>
    <w:p w14:paraId="798EBB17" w14:textId="77777777" w:rsidR="007C53A6" w:rsidRDefault="002D322E">
      <w:pPr>
        <w:spacing w:line="360" w:lineRule="auto"/>
        <w:ind w:firstLineChars="200" w:firstLine="560"/>
        <w:rPr>
          <w:rFonts w:ascii="仿宋" w:eastAsia="仿宋" w:hAnsi="仿宋"/>
          <w:sz w:val="28"/>
        </w:rPr>
      </w:pPr>
      <w:r>
        <w:rPr>
          <w:rFonts w:ascii="仿宋" w:eastAsia="仿宋" w:hAnsi="仿宋" w:hint="eastAsia"/>
          <w:sz w:val="28"/>
        </w:rPr>
        <w:t>（一）《中航国际融资租赁有限公司、广西亿泰新能源有限公司及广东天亿马信息产业股份有限公司之保证合同》</w:t>
      </w:r>
    </w:p>
    <w:p w14:paraId="73AC4CBA" w14:textId="77777777" w:rsidR="007C53A6" w:rsidRDefault="002D322E">
      <w:pPr>
        <w:spacing w:line="360" w:lineRule="auto"/>
        <w:ind w:firstLineChars="200" w:firstLine="560"/>
        <w:rPr>
          <w:rFonts w:ascii="仿宋" w:eastAsia="仿宋" w:hAnsi="仿宋"/>
          <w:sz w:val="28"/>
        </w:rPr>
      </w:pPr>
      <w:r>
        <w:rPr>
          <w:rFonts w:ascii="仿宋" w:eastAsia="仿宋" w:hAnsi="仿宋" w:hint="eastAsia"/>
          <w:sz w:val="28"/>
        </w:rPr>
        <w:t>特此公告。</w:t>
      </w:r>
    </w:p>
    <w:p w14:paraId="340860A6" w14:textId="77777777" w:rsidR="007C53A6" w:rsidRDefault="002D322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40709B7E" w14:textId="77777777" w:rsidR="007C53A6" w:rsidRDefault="002D322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3B0A0CC9" w14:textId="519E671A" w:rsidR="007C53A6" w:rsidRDefault="002D322E">
      <w:pPr>
        <w:wordWrap w:val="0"/>
        <w:spacing w:beforeLines="50" w:before="156" w:line="360" w:lineRule="auto"/>
        <w:ind w:firstLineChars="200" w:firstLine="560"/>
        <w:jc w:val="right"/>
        <w:rPr>
          <w:rFonts w:ascii="仿宋" w:eastAsia="仿宋" w:hAnsi="仿宋"/>
          <w:sz w:val="28"/>
        </w:rPr>
      </w:pPr>
      <w:r>
        <w:rPr>
          <w:rFonts w:ascii="仿宋" w:eastAsia="仿宋" w:hAnsi="仿宋" w:hint="eastAsia"/>
          <w:sz w:val="28"/>
          <w:szCs w:val="28"/>
        </w:rPr>
        <w:t>2025年8月15日</w:t>
      </w:r>
    </w:p>
    <w:sectPr w:rsidR="007C53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3D5F9C" w14:textId="77777777" w:rsidR="00095F25" w:rsidRDefault="00095F25" w:rsidP="006E58F5">
      <w:r>
        <w:separator/>
      </w:r>
    </w:p>
  </w:endnote>
  <w:endnote w:type="continuationSeparator" w:id="0">
    <w:p w14:paraId="652D4AD1" w14:textId="77777777" w:rsidR="00095F25" w:rsidRDefault="00095F25" w:rsidP="006E5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74C5E2" w14:textId="77777777" w:rsidR="00095F25" w:rsidRDefault="00095F25" w:rsidP="006E58F5">
      <w:r>
        <w:separator/>
      </w:r>
    </w:p>
  </w:footnote>
  <w:footnote w:type="continuationSeparator" w:id="0">
    <w:p w14:paraId="1230A32E" w14:textId="77777777" w:rsidR="00095F25" w:rsidRDefault="00095F25" w:rsidP="006E58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1DD5"/>
    <w:rsid w:val="00001F91"/>
    <w:rsid w:val="00001FF3"/>
    <w:rsid w:val="00005D60"/>
    <w:rsid w:val="00006924"/>
    <w:rsid w:val="000078D4"/>
    <w:rsid w:val="000101C9"/>
    <w:rsid w:val="000126BF"/>
    <w:rsid w:val="00013211"/>
    <w:rsid w:val="00016C94"/>
    <w:rsid w:val="00016DAB"/>
    <w:rsid w:val="000240EC"/>
    <w:rsid w:val="000241C3"/>
    <w:rsid w:val="000249B7"/>
    <w:rsid w:val="000355CF"/>
    <w:rsid w:val="00047123"/>
    <w:rsid w:val="000567AE"/>
    <w:rsid w:val="00061411"/>
    <w:rsid w:val="000633C2"/>
    <w:rsid w:val="00063596"/>
    <w:rsid w:val="000637A2"/>
    <w:rsid w:val="000648AD"/>
    <w:rsid w:val="00064CE2"/>
    <w:rsid w:val="00065027"/>
    <w:rsid w:val="000755AE"/>
    <w:rsid w:val="00076DD8"/>
    <w:rsid w:val="00081C3D"/>
    <w:rsid w:val="00084890"/>
    <w:rsid w:val="00095F25"/>
    <w:rsid w:val="000A330F"/>
    <w:rsid w:val="000A7303"/>
    <w:rsid w:val="000B12BA"/>
    <w:rsid w:val="000B2A6B"/>
    <w:rsid w:val="000B5727"/>
    <w:rsid w:val="000B70BA"/>
    <w:rsid w:val="000C118A"/>
    <w:rsid w:val="000C7083"/>
    <w:rsid w:val="000D13E8"/>
    <w:rsid w:val="000D26F9"/>
    <w:rsid w:val="000D64B1"/>
    <w:rsid w:val="000E0840"/>
    <w:rsid w:val="000E186F"/>
    <w:rsid w:val="000E52AB"/>
    <w:rsid w:val="000F305F"/>
    <w:rsid w:val="000F4DAD"/>
    <w:rsid w:val="000F6B9C"/>
    <w:rsid w:val="0010273A"/>
    <w:rsid w:val="00106D6D"/>
    <w:rsid w:val="001112CE"/>
    <w:rsid w:val="0011282A"/>
    <w:rsid w:val="00114F78"/>
    <w:rsid w:val="001170A5"/>
    <w:rsid w:val="001211D0"/>
    <w:rsid w:val="001306CA"/>
    <w:rsid w:val="00131A47"/>
    <w:rsid w:val="00132FCD"/>
    <w:rsid w:val="00135B94"/>
    <w:rsid w:val="0013679D"/>
    <w:rsid w:val="0013755F"/>
    <w:rsid w:val="00141BF6"/>
    <w:rsid w:val="0014501B"/>
    <w:rsid w:val="001456E4"/>
    <w:rsid w:val="00147439"/>
    <w:rsid w:val="00153315"/>
    <w:rsid w:val="0015451E"/>
    <w:rsid w:val="00155039"/>
    <w:rsid w:val="00155EED"/>
    <w:rsid w:val="001567BD"/>
    <w:rsid w:val="00173BE5"/>
    <w:rsid w:val="00175FD0"/>
    <w:rsid w:val="001763BF"/>
    <w:rsid w:val="00176BF2"/>
    <w:rsid w:val="0017726B"/>
    <w:rsid w:val="001800FC"/>
    <w:rsid w:val="00186FCA"/>
    <w:rsid w:val="00192371"/>
    <w:rsid w:val="001937CE"/>
    <w:rsid w:val="00195B33"/>
    <w:rsid w:val="00196C83"/>
    <w:rsid w:val="001A3C8F"/>
    <w:rsid w:val="001A48A7"/>
    <w:rsid w:val="001A4937"/>
    <w:rsid w:val="001A5B56"/>
    <w:rsid w:val="001A5FB1"/>
    <w:rsid w:val="001B04CE"/>
    <w:rsid w:val="001B0C9A"/>
    <w:rsid w:val="001B3CE0"/>
    <w:rsid w:val="001B5306"/>
    <w:rsid w:val="001C28C7"/>
    <w:rsid w:val="001C29F4"/>
    <w:rsid w:val="001C5C4A"/>
    <w:rsid w:val="001C5DA2"/>
    <w:rsid w:val="001C6591"/>
    <w:rsid w:val="001D244D"/>
    <w:rsid w:val="001D2962"/>
    <w:rsid w:val="001D6DE2"/>
    <w:rsid w:val="001E02B1"/>
    <w:rsid w:val="001E06DB"/>
    <w:rsid w:val="001E10CB"/>
    <w:rsid w:val="001E1735"/>
    <w:rsid w:val="001E6CDE"/>
    <w:rsid w:val="001F1F9F"/>
    <w:rsid w:val="001F2CEE"/>
    <w:rsid w:val="001F4A9B"/>
    <w:rsid w:val="001F5FAD"/>
    <w:rsid w:val="00202B6B"/>
    <w:rsid w:val="00203AFE"/>
    <w:rsid w:val="0020476C"/>
    <w:rsid w:val="00205333"/>
    <w:rsid w:val="00213C21"/>
    <w:rsid w:val="002143DF"/>
    <w:rsid w:val="00216934"/>
    <w:rsid w:val="0022006C"/>
    <w:rsid w:val="00220687"/>
    <w:rsid w:val="00220CB2"/>
    <w:rsid w:val="0022285B"/>
    <w:rsid w:val="00222A0A"/>
    <w:rsid w:val="0022305F"/>
    <w:rsid w:val="00224BD6"/>
    <w:rsid w:val="002252CB"/>
    <w:rsid w:val="002300C5"/>
    <w:rsid w:val="00232E86"/>
    <w:rsid w:val="00234716"/>
    <w:rsid w:val="00235346"/>
    <w:rsid w:val="002411E3"/>
    <w:rsid w:val="00255C86"/>
    <w:rsid w:val="002573EF"/>
    <w:rsid w:val="00261181"/>
    <w:rsid w:val="0026280E"/>
    <w:rsid w:val="00262A64"/>
    <w:rsid w:val="00263332"/>
    <w:rsid w:val="00267179"/>
    <w:rsid w:val="00272EFE"/>
    <w:rsid w:val="0027546D"/>
    <w:rsid w:val="00275892"/>
    <w:rsid w:val="00275E40"/>
    <w:rsid w:val="00276362"/>
    <w:rsid w:val="002839F1"/>
    <w:rsid w:val="002865A5"/>
    <w:rsid w:val="002866D3"/>
    <w:rsid w:val="00286AAC"/>
    <w:rsid w:val="00286D5B"/>
    <w:rsid w:val="002918DD"/>
    <w:rsid w:val="00295C76"/>
    <w:rsid w:val="002A1368"/>
    <w:rsid w:val="002A1A75"/>
    <w:rsid w:val="002A1F3A"/>
    <w:rsid w:val="002B12B7"/>
    <w:rsid w:val="002C2C64"/>
    <w:rsid w:val="002C694C"/>
    <w:rsid w:val="002D3023"/>
    <w:rsid w:val="002D322E"/>
    <w:rsid w:val="002E4E4D"/>
    <w:rsid w:val="002E5A91"/>
    <w:rsid w:val="002E7634"/>
    <w:rsid w:val="002F2169"/>
    <w:rsid w:val="002F41F1"/>
    <w:rsid w:val="002F6391"/>
    <w:rsid w:val="00301DF8"/>
    <w:rsid w:val="0031618C"/>
    <w:rsid w:val="0032113C"/>
    <w:rsid w:val="0032439A"/>
    <w:rsid w:val="0032529C"/>
    <w:rsid w:val="003265AC"/>
    <w:rsid w:val="00326C42"/>
    <w:rsid w:val="00330F82"/>
    <w:rsid w:val="003313F1"/>
    <w:rsid w:val="00332258"/>
    <w:rsid w:val="0034342B"/>
    <w:rsid w:val="0034648D"/>
    <w:rsid w:val="00346AC3"/>
    <w:rsid w:val="00347396"/>
    <w:rsid w:val="0035529C"/>
    <w:rsid w:val="003568D5"/>
    <w:rsid w:val="00360181"/>
    <w:rsid w:val="00360C17"/>
    <w:rsid w:val="0036248D"/>
    <w:rsid w:val="00364AD7"/>
    <w:rsid w:val="003720F5"/>
    <w:rsid w:val="00372C9B"/>
    <w:rsid w:val="00374A59"/>
    <w:rsid w:val="00375593"/>
    <w:rsid w:val="00375750"/>
    <w:rsid w:val="00375DDE"/>
    <w:rsid w:val="00381091"/>
    <w:rsid w:val="003815DB"/>
    <w:rsid w:val="00381988"/>
    <w:rsid w:val="00382B3C"/>
    <w:rsid w:val="00387919"/>
    <w:rsid w:val="00397DFF"/>
    <w:rsid w:val="003A300C"/>
    <w:rsid w:val="003A45BD"/>
    <w:rsid w:val="003A49C3"/>
    <w:rsid w:val="003B001B"/>
    <w:rsid w:val="003B4403"/>
    <w:rsid w:val="003B49E1"/>
    <w:rsid w:val="003B54E0"/>
    <w:rsid w:val="003C039A"/>
    <w:rsid w:val="003C0808"/>
    <w:rsid w:val="003C4FBE"/>
    <w:rsid w:val="003C65AC"/>
    <w:rsid w:val="003C6F10"/>
    <w:rsid w:val="003D1C9C"/>
    <w:rsid w:val="003D33B3"/>
    <w:rsid w:val="003D450D"/>
    <w:rsid w:val="003D5444"/>
    <w:rsid w:val="003E2314"/>
    <w:rsid w:val="003E5913"/>
    <w:rsid w:val="003F0F2A"/>
    <w:rsid w:val="003F53B2"/>
    <w:rsid w:val="004024F6"/>
    <w:rsid w:val="00410061"/>
    <w:rsid w:val="004106F7"/>
    <w:rsid w:val="004112AB"/>
    <w:rsid w:val="0041334D"/>
    <w:rsid w:val="00414EBC"/>
    <w:rsid w:val="00415F62"/>
    <w:rsid w:val="00417E68"/>
    <w:rsid w:val="0042163F"/>
    <w:rsid w:val="00426E9E"/>
    <w:rsid w:val="00434202"/>
    <w:rsid w:val="00435D3B"/>
    <w:rsid w:val="004373D4"/>
    <w:rsid w:val="00437F6E"/>
    <w:rsid w:val="004440AD"/>
    <w:rsid w:val="00446D95"/>
    <w:rsid w:val="004471F2"/>
    <w:rsid w:val="00450396"/>
    <w:rsid w:val="00452F24"/>
    <w:rsid w:val="00454D8B"/>
    <w:rsid w:val="00460D28"/>
    <w:rsid w:val="0046127A"/>
    <w:rsid w:val="004637BD"/>
    <w:rsid w:val="00463A3A"/>
    <w:rsid w:val="00464800"/>
    <w:rsid w:val="00465C4F"/>
    <w:rsid w:val="00466303"/>
    <w:rsid w:val="00480970"/>
    <w:rsid w:val="00483B6F"/>
    <w:rsid w:val="00485C8B"/>
    <w:rsid w:val="0049397F"/>
    <w:rsid w:val="00494243"/>
    <w:rsid w:val="004A01DD"/>
    <w:rsid w:val="004A0FDC"/>
    <w:rsid w:val="004A2ED1"/>
    <w:rsid w:val="004A3458"/>
    <w:rsid w:val="004A5050"/>
    <w:rsid w:val="004B0266"/>
    <w:rsid w:val="004B0A33"/>
    <w:rsid w:val="004B7E62"/>
    <w:rsid w:val="004C16D9"/>
    <w:rsid w:val="004C1CB6"/>
    <w:rsid w:val="004C632D"/>
    <w:rsid w:val="004D1BEB"/>
    <w:rsid w:val="004D30CD"/>
    <w:rsid w:val="004D472A"/>
    <w:rsid w:val="004D717C"/>
    <w:rsid w:val="004E2BCE"/>
    <w:rsid w:val="004E5D99"/>
    <w:rsid w:val="004E64E4"/>
    <w:rsid w:val="004E6590"/>
    <w:rsid w:val="004E6668"/>
    <w:rsid w:val="004E6854"/>
    <w:rsid w:val="004F101A"/>
    <w:rsid w:val="004F35D5"/>
    <w:rsid w:val="004F5B94"/>
    <w:rsid w:val="004F756F"/>
    <w:rsid w:val="004F766D"/>
    <w:rsid w:val="00504467"/>
    <w:rsid w:val="00506858"/>
    <w:rsid w:val="00507F1B"/>
    <w:rsid w:val="00510EDF"/>
    <w:rsid w:val="00510FD3"/>
    <w:rsid w:val="00511DDA"/>
    <w:rsid w:val="005154EC"/>
    <w:rsid w:val="00522F6B"/>
    <w:rsid w:val="0052481D"/>
    <w:rsid w:val="00525899"/>
    <w:rsid w:val="0052789D"/>
    <w:rsid w:val="00527D0E"/>
    <w:rsid w:val="005317FA"/>
    <w:rsid w:val="0053191A"/>
    <w:rsid w:val="00531AC2"/>
    <w:rsid w:val="005325F9"/>
    <w:rsid w:val="00532FCB"/>
    <w:rsid w:val="00546F87"/>
    <w:rsid w:val="00547609"/>
    <w:rsid w:val="005505BE"/>
    <w:rsid w:val="0055105C"/>
    <w:rsid w:val="00551AE2"/>
    <w:rsid w:val="0055266A"/>
    <w:rsid w:val="00553076"/>
    <w:rsid w:val="00560ABC"/>
    <w:rsid w:val="00561060"/>
    <w:rsid w:val="00562C18"/>
    <w:rsid w:val="00563E7F"/>
    <w:rsid w:val="005661ED"/>
    <w:rsid w:val="005704DC"/>
    <w:rsid w:val="00575050"/>
    <w:rsid w:val="00575271"/>
    <w:rsid w:val="00575DE6"/>
    <w:rsid w:val="00576DAF"/>
    <w:rsid w:val="0058127C"/>
    <w:rsid w:val="00581863"/>
    <w:rsid w:val="005860CC"/>
    <w:rsid w:val="00586522"/>
    <w:rsid w:val="00586FAF"/>
    <w:rsid w:val="0059060A"/>
    <w:rsid w:val="00593136"/>
    <w:rsid w:val="0059463C"/>
    <w:rsid w:val="0059501E"/>
    <w:rsid w:val="00596C99"/>
    <w:rsid w:val="005970F7"/>
    <w:rsid w:val="0059754B"/>
    <w:rsid w:val="005977F2"/>
    <w:rsid w:val="005A04A2"/>
    <w:rsid w:val="005A11EA"/>
    <w:rsid w:val="005A4545"/>
    <w:rsid w:val="005A49FF"/>
    <w:rsid w:val="005B1EBB"/>
    <w:rsid w:val="005D4719"/>
    <w:rsid w:val="005D61D8"/>
    <w:rsid w:val="005D7329"/>
    <w:rsid w:val="005D7D92"/>
    <w:rsid w:val="005E0C93"/>
    <w:rsid w:val="005E227C"/>
    <w:rsid w:val="005E2742"/>
    <w:rsid w:val="005E32CA"/>
    <w:rsid w:val="005F2D0F"/>
    <w:rsid w:val="005F65C9"/>
    <w:rsid w:val="005F66B8"/>
    <w:rsid w:val="006024D1"/>
    <w:rsid w:val="00605B9A"/>
    <w:rsid w:val="00610AB1"/>
    <w:rsid w:val="00611644"/>
    <w:rsid w:val="00612BBC"/>
    <w:rsid w:val="00613CE2"/>
    <w:rsid w:val="00613F09"/>
    <w:rsid w:val="00616A85"/>
    <w:rsid w:val="006170FE"/>
    <w:rsid w:val="0063213D"/>
    <w:rsid w:val="006411A6"/>
    <w:rsid w:val="00641F91"/>
    <w:rsid w:val="00642143"/>
    <w:rsid w:val="00642F08"/>
    <w:rsid w:val="00646765"/>
    <w:rsid w:val="00647CDE"/>
    <w:rsid w:val="00651926"/>
    <w:rsid w:val="00653A97"/>
    <w:rsid w:val="00655692"/>
    <w:rsid w:val="006610B0"/>
    <w:rsid w:val="00662911"/>
    <w:rsid w:val="00663839"/>
    <w:rsid w:val="006665AC"/>
    <w:rsid w:val="00672FB9"/>
    <w:rsid w:val="00680127"/>
    <w:rsid w:val="00683180"/>
    <w:rsid w:val="00683216"/>
    <w:rsid w:val="00683ABC"/>
    <w:rsid w:val="00684DD6"/>
    <w:rsid w:val="00685C17"/>
    <w:rsid w:val="006864CF"/>
    <w:rsid w:val="00687C6F"/>
    <w:rsid w:val="006957F6"/>
    <w:rsid w:val="00696FA4"/>
    <w:rsid w:val="006970E5"/>
    <w:rsid w:val="006A32B3"/>
    <w:rsid w:val="006A4141"/>
    <w:rsid w:val="006A4862"/>
    <w:rsid w:val="006B0EBE"/>
    <w:rsid w:val="006B1567"/>
    <w:rsid w:val="006B1A64"/>
    <w:rsid w:val="006B3551"/>
    <w:rsid w:val="006B5229"/>
    <w:rsid w:val="006C413C"/>
    <w:rsid w:val="006C492C"/>
    <w:rsid w:val="006C7371"/>
    <w:rsid w:val="006E30D7"/>
    <w:rsid w:val="006E58F5"/>
    <w:rsid w:val="006E658B"/>
    <w:rsid w:val="006F252E"/>
    <w:rsid w:val="006F28C6"/>
    <w:rsid w:val="006F6449"/>
    <w:rsid w:val="00714491"/>
    <w:rsid w:val="00715147"/>
    <w:rsid w:val="00715B5B"/>
    <w:rsid w:val="007203AE"/>
    <w:rsid w:val="0072060A"/>
    <w:rsid w:val="00723C96"/>
    <w:rsid w:val="00724C6A"/>
    <w:rsid w:val="00726F29"/>
    <w:rsid w:val="0073437E"/>
    <w:rsid w:val="00743D63"/>
    <w:rsid w:val="007443B7"/>
    <w:rsid w:val="007446F8"/>
    <w:rsid w:val="007462B3"/>
    <w:rsid w:val="00754574"/>
    <w:rsid w:val="007571B1"/>
    <w:rsid w:val="0076293D"/>
    <w:rsid w:val="007647E0"/>
    <w:rsid w:val="00771B3D"/>
    <w:rsid w:val="00771FEB"/>
    <w:rsid w:val="0077442A"/>
    <w:rsid w:val="00774F5E"/>
    <w:rsid w:val="007755DF"/>
    <w:rsid w:val="00780F19"/>
    <w:rsid w:val="0078408A"/>
    <w:rsid w:val="00784FF3"/>
    <w:rsid w:val="007870B4"/>
    <w:rsid w:val="0079720E"/>
    <w:rsid w:val="007A1E4C"/>
    <w:rsid w:val="007A1EF5"/>
    <w:rsid w:val="007A5F6E"/>
    <w:rsid w:val="007A5FBC"/>
    <w:rsid w:val="007B3181"/>
    <w:rsid w:val="007B3B0D"/>
    <w:rsid w:val="007B51F2"/>
    <w:rsid w:val="007C2F57"/>
    <w:rsid w:val="007C302B"/>
    <w:rsid w:val="007C53A6"/>
    <w:rsid w:val="007C6390"/>
    <w:rsid w:val="007C769C"/>
    <w:rsid w:val="007D4B31"/>
    <w:rsid w:val="007D5034"/>
    <w:rsid w:val="007D5D64"/>
    <w:rsid w:val="007D642B"/>
    <w:rsid w:val="007E12DB"/>
    <w:rsid w:val="007E3498"/>
    <w:rsid w:val="007E541C"/>
    <w:rsid w:val="007F5EB7"/>
    <w:rsid w:val="007F68AB"/>
    <w:rsid w:val="0080096E"/>
    <w:rsid w:val="00801915"/>
    <w:rsid w:val="00804C31"/>
    <w:rsid w:val="0080763F"/>
    <w:rsid w:val="00811AA9"/>
    <w:rsid w:val="0081775E"/>
    <w:rsid w:val="00820E29"/>
    <w:rsid w:val="00822741"/>
    <w:rsid w:val="00824610"/>
    <w:rsid w:val="00824AED"/>
    <w:rsid w:val="008250C3"/>
    <w:rsid w:val="00834866"/>
    <w:rsid w:val="00834C6C"/>
    <w:rsid w:val="008362B9"/>
    <w:rsid w:val="008510C6"/>
    <w:rsid w:val="008519AD"/>
    <w:rsid w:val="008540A4"/>
    <w:rsid w:val="008617D3"/>
    <w:rsid w:val="00866459"/>
    <w:rsid w:val="008674BE"/>
    <w:rsid w:val="00870002"/>
    <w:rsid w:val="0087045E"/>
    <w:rsid w:val="00871245"/>
    <w:rsid w:val="00873602"/>
    <w:rsid w:val="00874122"/>
    <w:rsid w:val="00877DF3"/>
    <w:rsid w:val="00885B11"/>
    <w:rsid w:val="008865AC"/>
    <w:rsid w:val="008931F3"/>
    <w:rsid w:val="00895407"/>
    <w:rsid w:val="00897B31"/>
    <w:rsid w:val="008A18ED"/>
    <w:rsid w:val="008A4D79"/>
    <w:rsid w:val="008B3852"/>
    <w:rsid w:val="008B4F17"/>
    <w:rsid w:val="008B582E"/>
    <w:rsid w:val="008B6FE9"/>
    <w:rsid w:val="008B7F93"/>
    <w:rsid w:val="008C5EF8"/>
    <w:rsid w:val="008D2268"/>
    <w:rsid w:val="008D2D66"/>
    <w:rsid w:val="008D4143"/>
    <w:rsid w:val="008D5CA7"/>
    <w:rsid w:val="008E0E08"/>
    <w:rsid w:val="008E0E09"/>
    <w:rsid w:val="008E4021"/>
    <w:rsid w:val="008E44DC"/>
    <w:rsid w:val="008E51CC"/>
    <w:rsid w:val="008E5437"/>
    <w:rsid w:val="008F160E"/>
    <w:rsid w:val="008F26CC"/>
    <w:rsid w:val="0090117F"/>
    <w:rsid w:val="00907260"/>
    <w:rsid w:val="00912C4C"/>
    <w:rsid w:val="0091693E"/>
    <w:rsid w:val="00923887"/>
    <w:rsid w:val="00931A5D"/>
    <w:rsid w:val="009327B3"/>
    <w:rsid w:val="00934892"/>
    <w:rsid w:val="00934EB4"/>
    <w:rsid w:val="00941D73"/>
    <w:rsid w:val="00944C7F"/>
    <w:rsid w:val="00963B43"/>
    <w:rsid w:val="0096448A"/>
    <w:rsid w:val="0096472A"/>
    <w:rsid w:val="00965F5A"/>
    <w:rsid w:val="00965FC3"/>
    <w:rsid w:val="0096685C"/>
    <w:rsid w:val="0097199D"/>
    <w:rsid w:val="009723E3"/>
    <w:rsid w:val="00973B9E"/>
    <w:rsid w:val="00976EB1"/>
    <w:rsid w:val="00984D4C"/>
    <w:rsid w:val="00992A25"/>
    <w:rsid w:val="00995EA2"/>
    <w:rsid w:val="009A3D54"/>
    <w:rsid w:val="009A6C3E"/>
    <w:rsid w:val="009B1090"/>
    <w:rsid w:val="009B3C20"/>
    <w:rsid w:val="009B489B"/>
    <w:rsid w:val="009C09FF"/>
    <w:rsid w:val="009C21F1"/>
    <w:rsid w:val="009C5A49"/>
    <w:rsid w:val="009D2802"/>
    <w:rsid w:val="009D56F3"/>
    <w:rsid w:val="009E2E45"/>
    <w:rsid w:val="009E34F5"/>
    <w:rsid w:val="009E3EF8"/>
    <w:rsid w:val="009E52F4"/>
    <w:rsid w:val="009E5F3D"/>
    <w:rsid w:val="009E7431"/>
    <w:rsid w:val="009F0561"/>
    <w:rsid w:val="009F0827"/>
    <w:rsid w:val="009F0E07"/>
    <w:rsid w:val="009F3CD1"/>
    <w:rsid w:val="009F446F"/>
    <w:rsid w:val="009F4DBE"/>
    <w:rsid w:val="009F5E79"/>
    <w:rsid w:val="009F72E7"/>
    <w:rsid w:val="00A172F2"/>
    <w:rsid w:val="00A23045"/>
    <w:rsid w:val="00A24B52"/>
    <w:rsid w:val="00A24D85"/>
    <w:rsid w:val="00A2599A"/>
    <w:rsid w:val="00A36E41"/>
    <w:rsid w:val="00A46F7C"/>
    <w:rsid w:val="00A471C2"/>
    <w:rsid w:val="00A5186E"/>
    <w:rsid w:val="00A54047"/>
    <w:rsid w:val="00A568A3"/>
    <w:rsid w:val="00A630A6"/>
    <w:rsid w:val="00A63D1F"/>
    <w:rsid w:val="00A72A81"/>
    <w:rsid w:val="00A810E0"/>
    <w:rsid w:val="00A941BE"/>
    <w:rsid w:val="00A96C57"/>
    <w:rsid w:val="00A978F9"/>
    <w:rsid w:val="00AA28EA"/>
    <w:rsid w:val="00AA33E9"/>
    <w:rsid w:val="00AB03ED"/>
    <w:rsid w:val="00AB1EDD"/>
    <w:rsid w:val="00AB7521"/>
    <w:rsid w:val="00AC248D"/>
    <w:rsid w:val="00AC4459"/>
    <w:rsid w:val="00AC4B70"/>
    <w:rsid w:val="00AC4CF0"/>
    <w:rsid w:val="00AD2081"/>
    <w:rsid w:val="00AD2C23"/>
    <w:rsid w:val="00AD2CB1"/>
    <w:rsid w:val="00AE385C"/>
    <w:rsid w:val="00AE5FA4"/>
    <w:rsid w:val="00AF448C"/>
    <w:rsid w:val="00AF4D4D"/>
    <w:rsid w:val="00AF5185"/>
    <w:rsid w:val="00AF7BEC"/>
    <w:rsid w:val="00B01ACD"/>
    <w:rsid w:val="00B02014"/>
    <w:rsid w:val="00B1014B"/>
    <w:rsid w:val="00B10666"/>
    <w:rsid w:val="00B10E38"/>
    <w:rsid w:val="00B10FC1"/>
    <w:rsid w:val="00B134FD"/>
    <w:rsid w:val="00B13699"/>
    <w:rsid w:val="00B15251"/>
    <w:rsid w:val="00B157DB"/>
    <w:rsid w:val="00B17C58"/>
    <w:rsid w:val="00B23AA1"/>
    <w:rsid w:val="00B24CE1"/>
    <w:rsid w:val="00B2781F"/>
    <w:rsid w:val="00B32C35"/>
    <w:rsid w:val="00B402A7"/>
    <w:rsid w:val="00B403FD"/>
    <w:rsid w:val="00B41A7D"/>
    <w:rsid w:val="00B448F1"/>
    <w:rsid w:val="00B46A42"/>
    <w:rsid w:val="00B50A78"/>
    <w:rsid w:val="00B51863"/>
    <w:rsid w:val="00B51F1A"/>
    <w:rsid w:val="00B55F7C"/>
    <w:rsid w:val="00B608B5"/>
    <w:rsid w:val="00B6173D"/>
    <w:rsid w:val="00B62FFE"/>
    <w:rsid w:val="00B648A2"/>
    <w:rsid w:val="00B7595B"/>
    <w:rsid w:val="00B82172"/>
    <w:rsid w:val="00B82479"/>
    <w:rsid w:val="00B8749A"/>
    <w:rsid w:val="00B90299"/>
    <w:rsid w:val="00B91413"/>
    <w:rsid w:val="00B92C98"/>
    <w:rsid w:val="00B9568B"/>
    <w:rsid w:val="00B956BA"/>
    <w:rsid w:val="00BA011F"/>
    <w:rsid w:val="00BA7982"/>
    <w:rsid w:val="00BA7FA0"/>
    <w:rsid w:val="00BB16AA"/>
    <w:rsid w:val="00BB20FE"/>
    <w:rsid w:val="00BB4E58"/>
    <w:rsid w:val="00BB668C"/>
    <w:rsid w:val="00BB7935"/>
    <w:rsid w:val="00BC0398"/>
    <w:rsid w:val="00BC1AC9"/>
    <w:rsid w:val="00BC24B6"/>
    <w:rsid w:val="00BC3398"/>
    <w:rsid w:val="00BC3ADA"/>
    <w:rsid w:val="00BC64EA"/>
    <w:rsid w:val="00BD5C07"/>
    <w:rsid w:val="00BE4A95"/>
    <w:rsid w:val="00BE744C"/>
    <w:rsid w:val="00BF25F8"/>
    <w:rsid w:val="00BF2F88"/>
    <w:rsid w:val="00BF702C"/>
    <w:rsid w:val="00BF7A24"/>
    <w:rsid w:val="00C0583D"/>
    <w:rsid w:val="00C10405"/>
    <w:rsid w:val="00C10AC1"/>
    <w:rsid w:val="00C12218"/>
    <w:rsid w:val="00C12C2E"/>
    <w:rsid w:val="00C14A90"/>
    <w:rsid w:val="00C14ECB"/>
    <w:rsid w:val="00C22055"/>
    <w:rsid w:val="00C234CF"/>
    <w:rsid w:val="00C3007D"/>
    <w:rsid w:val="00C352CA"/>
    <w:rsid w:val="00C430E9"/>
    <w:rsid w:val="00C45F23"/>
    <w:rsid w:val="00C47FFB"/>
    <w:rsid w:val="00C5013D"/>
    <w:rsid w:val="00C50A0E"/>
    <w:rsid w:val="00C5120F"/>
    <w:rsid w:val="00C5268D"/>
    <w:rsid w:val="00C528AE"/>
    <w:rsid w:val="00C54544"/>
    <w:rsid w:val="00C54A23"/>
    <w:rsid w:val="00C56BBE"/>
    <w:rsid w:val="00C57E75"/>
    <w:rsid w:val="00C616D5"/>
    <w:rsid w:val="00C6508F"/>
    <w:rsid w:val="00C65EFC"/>
    <w:rsid w:val="00C66C90"/>
    <w:rsid w:val="00C71B4E"/>
    <w:rsid w:val="00C7693F"/>
    <w:rsid w:val="00C77AA1"/>
    <w:rsid w:val="00C80121"/>
    <w:rsid w:val="00C814D5"/>
    <w:rsid w:val="00C836A2"/>
    <w:rsid w:val="00C8466F"/>
    <w:rsid w:val="00C90518"/>
    <w:rsid w:val="00C905D6"/>
    <w:rsid w:val="00C92369"/>
    <w:rsid w:val="00C9349D"/>
    <w:rsid w:val="00C93E35"/>
    <w:rsid w:val="00C9435A"/>
    <w:rsid w:val="00C95574"/>
    <w:rsid w:val="00CA07AE"/>
    <w:rsid w:val="00CA2D42"/>
    <w:rsid w:val="00CA5B51"/>
    <w:rsid w:val="00CA6C76"/>
    <w:rsid w:val="00CB742D"/>
    <w:rsid w:val="00CB747A"/>
    <w:rsid w:val="00CB7FF7"/>
    <w:rsid w:val="00CC379E"/>
    <w:rsid w:val="00CC3F03"/>
    <w:rsid w:val="00CC50BE"/>
    <w:rsid w:val="00CC5B65"/>
    <w:rsid w:val="00CC724F"/>
    <w:rsid w:val="00CD36BC"/>
    <w:rsid w:val="00CD4F7A"/>
    <w:rsid w:val="00CE0946"/>
    <w:rsid w:val="00CE1B19"/>
    <w:rsid w:val="00CE7A16"/>
    <w:rsid w:val="00CF0498"/>
    <w:rsid w:val="00CF2FB3"/>
    <w:rsid w:val="00CF6023"/>
    <w:rsid w:val="00CF6FDB"/>
    <w:rsid w:val="00D02124"/>
    <w:rsid w:val="00D02D40"/>
    <w:rsid w:val="00D03778"/>
    <w:rsid w:val="00D10A91"/>
    <w:rsid w:val="00D14AF8"/>
    <w:rsid w:val="00D1655C"/>
    <w:rsid w:val="00D23349"/>
    <w:rsid w:val="00D25216"/>
    <w:rsid w:val="00D26834"/>
    <w:rsid w:val="00D30E68"/>
    <w:rsid w:val="00D322C0"/>
    <w:rsid w:val="00D32470"/>
    <w:rsid w:val="00D35BA5"/>
    <w:rsid w:val="00D367E4"/>
    <w:rsid w:val="00D370F7"/>
    <w:rsid w:val="00D403F5"/>
    <w:rsid w:val="00D40BB2"/>
    <w:rsid w:val="00D417AF"/>
    <w:rsid w:val="00D42FB6"/>
    <w:rsid w:val="00D52A2C"/>
    <w:rsid w:val="00D532E6"/>
    <w:rsid w:val="00D539A8"/>
    <w:rsid w:val="00D54DAC"/>
    <w:rsid w:val="00D55A8C"/>
    <w:rsid w:val="00D5628C"/>
    <w:rsid w:val="00D629D5"/>
    <w:rsid w:val="00D642D3"/>
    <w:rsid w:val="00D66E62"/>
    <w:rsid w:val="00D7467D"/>
    <w:rsid w:val="00D774FF"/>
    <w:rsid w:val="00D779CB"/>
    <w:rsid w:val="00D80B1D"/>
    <w:rsid w:val="00D82D0F"/>
    <w:rsid w:val="00D833BE"/>
    <w:rsid w:val="00D837D4"/>
    <w:rsid w:val="00D86CF4"/>
    <w:rsid w:val="00D87337"/>
    <w:rsid w:val="00D90BCA"/>
    <w:rsid w:val="00D92361"/>
    <w:rsid w:val="00D928C6"/>
    <w:rsid w:val="00D94937"/>
    <w:rsid w:val="00DA266C"/>
    <w:rsid w:val="00DA317A"/>
    <w:rsid w:val="00DA4DFD"/>
    <w:rsid w:val="00DA5279"/>
    <w:rsid w:val="00DA527E"/>
    <w:rsid w:val="00DA5472"/>
    <w:rsid w:val="00DA54BE"/>
    <w:rsid w:val="00DB00C8"/>
    <w:rsid w:val="00DB2346"/>
    <w:rsid w:val="00DB34E4"/>
    <w:rsid w:val="00DC0A6A"/>
    <w:rsid w:val="00DC508A"/>
    <w:rsid w:val="00DE29E0"/>
    <w:rsid w:val="00DE5481"/>
    <w:rsid w:val="00DE6042"/>
    <w:rsid w:val="00DF013A"/>
    <w:rsid w:val="00DF1AEC"/>
    <w:rsid w:val="00DF2372"/>
    <w:rsid w:val="00DF284B"/>
    <w:rsid w:val="00DF4295"/>
    <w:rsid w:val="00E02D97"/>
    <w:rsid w:val="00E05992"/>
    <w:rsid w:val="00E07635"/>
    <w:rsid w:val="00E13E51"/>
    <w:rsid w:val="00E1538F"/>
    <w:rsid w:val="00E165FB"/>
    <w:rsid w:val="00E2099D"/>
    <w:rsid w:val="00E20E6B"/>
    <w:rsid w:val="00E27CBD"/>
    <w:rsid w:val="00E312D8"/>
    <w:rsid w:val="00E3190E"/>
    <w:rsid w:val="00E31A70"/>
    <w:rsid w:val="00E323E9"/>
    <w:rsid w:val="00E34AD9"/>
    <w:rsid w:val="00E35558"/>
    <w:rsid w:val="00E37893"/>
    <w:rsid w:val="00E40A95"/>
    <w:rsid w:val="00E413EF"/>
    <w:rsid w:val="00E42425"/>
    <w:rsid w:val="00E430B3"/>
    <w:rsid w:val="00E4600E"/>
    <w:rsid w:val="00E50BB0"/>
    <w:rsid w:val="00E52527"/>
    <w:rsid w:val="00E53123"/>
    <w:rsid w:val="00E56437"/>
    <w:rsid w:val="00E638EC"/>
    <w:rsid w:val="00E66489"/>
    <w:rsid w:val="00E66D3A"/>
    <w:rsid w:val="00E70D1A"/>
    <w:rsid w:val="00E73F6A"/>
    <w:rsid w:val="00E7518E"/>
    <w:rsid w:val="00E76BDF"/>
    <w:rsid w:val="00E80F89"/>
    <w:rsid w:val="00E851A1"/>
    <w:rsid w:val="00E8761B"/>
    <w:rsid w:val="00E91743"/>
    <w:rsid w:val="00E92AAE"/>
    <w:rsid w:val="00E92BD4"/>
    <w:rsid w:val="00EA4EFD"/>
    <w:rsid w:val="00EB4E36"/>
    <w:rsid w:val="00EB6986"/>
    <w:rsid w:val="00EC12D4"/>
    <w:rsid w:val="00EC7F03"/>
    <w:rsid w:val="00ED059C"/>
    <w:rsid w:val="00ED368D"/>
    <w:rsid w:val="00ED384B"/>
    <w:rsid w:val="00ED4781"/>
    <w:rsid w:val="00ED51B0"/>
    <w:rsid w:val="00ED5A39"/>
    <w:rsid w:val="00ED6F51"/>
    <w:rsid w:val="00EE1C97"/>
    <w:rsid w:val="00EE5227"/>
    <w:rsid w:val="00EE6663"/>
    <w:rsid w:val="00EF0CA3"/>
    <w:rsid w:val="00EF0FD9"/>
    <w:rsid w:val="00F00052"/>
    <w:rsid w:val="00F04C13"/>
    <w:rsid w:val="00F10635"/>
    <w:rsid w:val="00F1318A"/>
    <w:rsid w:val="00F14C49"/>
    <w:rsid w:val="00F15AF2"/>
    <w:rsid w:val="00F25749"/>
    <w:rsid w:val="00F25EC5"/>
    <w:rsid w:val="00F30C01"/>
    <w:rsid w:val="00F3271C"/>
    <w:rsid w:val="00F32800"/>
    <w:rsid w:val="00F33BFF"/>
    <w:rsid w:val="00F34F95"/>
    <w:rsid w:val="00F35173"/>
    <w:rsid w:val="00F42B61"/>
    <w:rsid w:val="00F43F0E"/>
    <w:rsid w:val="00F4654D"/>
    <w:rsid w:val="00F50BD0"/>
    <w:rsid w:val="00F50DC2"/>
    <w:rsid w:val="00F52498"/>
    <w:rsid w:val="00F53230"/>
    <w:rsid w:val="00F5500B"/>
    <w:rsid w:val="00F602E9"/>
    <w:rsid w:val="00F62B65"/>
    <w:rsid w:val="00F65BC7"/>
    <w:rsid w:val="00F6799B"/>
    <w:rsid w:val="00F71457"/>
    <w:rsid w:val="00F7427F"/>
    <w:rsid w:val="00F75398"/>
    <w:rsid w:val="00F77428"/>
    <w:rsid w:val="00F91A0E"/>
    <w:rsid w:val="00FA0E70"/>
    <w:rsid w:val="00FA0E71"/>
    <w:rsid w:val="00FA3590"/>
    <w:rsid w:val="00FA5DA7"/>
    <w:rsid w:val="00FB1CC4"/>
    <w:rsid w:val="00FB56A1"/>
    <w:rsid w:val="00FC16E1"/>
    <w:rsid w:val="00FC27EE"/>
    <w:rsid w:val="00FC578C"/>
    <w:rsid w:val="00FD1256"/>
    <w:rsid w:val="00FD29CB"/>
    <w:rsid w:val="00FD434D"/>
    <w:rsid w:val="00FD4E57"/>
    <w:rsid w:val="00FD5C57"/>
    <w:rsid w:val="00FE0EDC"/>
    <w:rsid w:val="00FE4073"/>
    <w:rsid w:val="00FE6297"/>
    <w:rsid w:val="00FF0AF1"/>
    <w:rsid w:val="00FF3119"/>
    <w:rsid w:val="00FF57B3"/>
    <w:rsid w:val="00FF6FE6"/>
    <w:rsid w:val="00FF7ADD"/>
    <w:rsid w:val="0128129A"/>
    <w:rsid w:val="0AC97A10"/>
    <w:rsid w:val="0CB51CE5"/>
    <w:rsid w:val="0E213113"/>
    <w:rsid w:val="10EE19D3"/>
    <w:rsid w:val="12E33098"/>
    <w:rsid w:val="14F50E56"/>
    <w:rsid w:val="16C64858"/>
    <w:rsid w:val="1AC83294"/>
    <w:rsid w:val="1CEE0809"/>
    <w:rsid w:val="20053D71"/>
    <w:rsid w:val="2250482D"/>
    <w:rsid w:val="22EE13BE"/>
    <w:rsid w:val="23276B60"/>
    <w:rsid w:val="29491AEB"/>
    <w:rsid w:val="35A434F0"/>
    <w:rsid w:val="35E54477"/>
    <w:rsid w:val="39EC75DB"/>
    <w:rsid w:val="3B581673"/>
    <w:rsid w:val="3EBA08A8"/>
    <w:rsid w:val="406919B1"/>
    <w:rsid w:val="44082603"/>
    <w:rsid w:val="454113CA"/>
    <w:rsid w:val="46B5206F"/>
    <w:rsid w:val="4C692B3F"/>
    <w:rsid w:val="4E775D34"/>
    <w:rsid w:val="536A2433"/>
    <w:rsid w:val="552C79A0"/>
    <w:rsid w:val="58E85D30"/>
    <w:rsid w:val="591C1711"/>
    <w:rsid w:val="5A6C6A91"/>
    <w:rsid w:val="5C0C052C"/>
    <w:rsid w:val="5C1E200D"/>
    <w:rsid w:val="60107EBF"/>
    <w:rsid w:val="640229B5"/>
    <w:rsid w:val="66AD6051"/>
    <w:rsid w:val="679A65B6"/>
    <w:rsid w:val="6AE34B4E"/>
    <w:rsid w:val="71FC02EA"/>
    <w:rsid w:val="73832A2A"/>
    <w:rsid w:val="79B75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9">
    <w:name w:val="Light Shading"/>
    <w:basedOn w:val="a1"/>
    <w:uiPriority w:val="60"/>
    <w:qFormat/>
    <w:rPr>
      <w:color w:val="000000" w:themeColor="text1" w:themeShade="BF"/>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a">
    <w:name w:val="annotation reference"/>
    <w:basedOn w:val="a0"/>
    <w:uiPriority w:val="99"/>
    <w:semiHidden/>
    <w:unhideWhenUsed/>
    <w:qFormat/>
    <w:rPr>
      <w:sz w:val="21"/>
      <w:szCs w:val="21"/>
    </w:rPr>
  </w:style>
  <w:style w:type="paragraph" w:styleId="ab">
    <w:name w:val="List Paragraph"/>
    <w:basedOn w:val="a"/>
    <w:uiPriority w:val="34"/>
    <w:qFormat/>
    <w:pPr>
      <w:ind w:firstLineChars="200" w:firstLine="420"/>
    </w:p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7"/>
    <w:uiPriority w:val="99"/>
    <w:semiHidden/>
    <w:qFormat/>
    <w:rPr>
      <w:rFonts w:ascii="Times New Roman" w:eastAsia="宋体" w:hAnsi="Times New Roman" w:cs="Times New Roman"/>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4AE19-62BE-4636-8DF0-19755A626948}">
  <ds:schemaRefs>
    <ds:schemaRef ds:uri="http://www.yonyou.com/datasource"/>
  </ds:schemaRefs>
</ds:datastoreItem>
</file>

<file path=customXml/itemProps2.xml><?xml version="1.0" encoding="utf-8"?>
<ds:datastoreItem xmlns:ds="http://schemas.openxmlformats.org/officeDocument/2006/customXml" ds:itemID="{65FE3991-D225-4E9B-A5B0-58C12833890E}">
  <ds:schemaRefs>
    <ds:schemaRef ds:uri="http://www.yonyou.com/relation"/>
  </ds:schemaRefs>
</ds:datastoreItem>
</file>

<file path=customXml/itemProps3.xml><?xml version="1.0" encoding="utf-8"?>
<ds:datastoreItem xmlns:ds="http://schemas.openxmlformats.org/officeDocument/2006/customXml" ds:itemID="{A302E648-8705-4612-A415-7656BA2196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3956</TotalTime>
  <Pages>6</Pages>
  <Words>499</Words>
  <Characters>2850</Characters>
  <Application>Microsoft Office Word</Application>
  <DocSecurity>0</DocSecurity>
  <Lines>23</Lines>
  <Paragraphs>6</Paragraphs>
  <ScaleCrop>false</ScaleCrop>
  <Company>Microsoft</Company>
  <LinksUpToDate>false</LinksUpToDate>
  <CharactersWithSpaces>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85</cp:revision>
  <cp:lastPrinted>2023-12-13T01:13:00Z</cp:lastPrinted>
  <dcterms:created xsi:type="dcterms:W3CDTF">2025-08-07T09:04:00Z</dcterms:created>
  <dcterms:modified xsi:type="dcterms:W3CDTF">2025-08-15T08:06:00Z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2052-12.1.0.21915</vt:lpwstr>
  </property>
  <property fmtid="{D5CDD505-2E9C-101B-9397-08002B2CF9AE}" pid="4" name="ICV">
    <vt:lpwstr>0499C7DC4DDA4E768E963F1986A55D22_12</vt:lpwstr>
  </property>
</Properties>
</file>