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3ECC61" w14:textId="6EDDFB91" w:rsidR="000F5022" w:rsidRDefault="00EE225D">
      <w:pPr>
        <w:spacing w:line="360" w:lineRule="auto"/>
        <w:jc w:val="center"/>
        <w:rPr>
          <w:rFonts w:ascii="仿宋" w:eastAsia="仿宋" w:hAnsi="仿宋" w:cs="Times New Roman"/>
          <w:sz w:val="28"/>
          <w:szCs w:val="20"/>
          <w:lang w:eastAsia="zh-CN"/>
        </w:rPr>
      </w:pPr>
      <w:r>
        <w:rPr>
          <w:rFonts w:ascii="仿宋" w:eastAsia="仿宋" w:hAnsi="仿宋" w:cs="Times New Roman" w:hint="eastAsia"/>
          <w:sz w:val="28"/>
          <w:szCs w:val="20"/>
          <w:lang w:eastAsia="zh-CN"/>
        </w:rPr>
        <w:t>证券代码：301178    证券简称：天亿马    公告编号：2025-0</w:t>
      </w:r>
      <w:r w:rsidR="00A7605E">
        <w:rPr>
          <w:rFonts w:ascii="仿宋" w:eastAsia="仿宋" w:hAnsi="仿宋" w:cs="Times New Roman" w:hint="eastAsia"/>
          <w:sz w:val="28"/>
          <w:szCs w:val="20"/>
          <w:lang w:eastAsia="zh-CN"/>
        </w:rPr>
        <w:t>67</w:t>
      </w:r>
    </w:p>
    <w:p w14:paraId="41339C99" w14:textId="77777777" w:rsidR="000F5022" w:rsidRDefault="00EE225D">
      <w:pPr>
        <w:widowControl w:val="0"/>
        <w:kinsoku/>
        <w:snapToGrid/>
        <w:spacing w:line="360" w:lineRule="auto"/>
        <w:jc w:val="center"/>
        <w:textAlignment w:val="auto"/>
        <w:rPr>
          <w:rFonts w:ascii="黑体" w:eastAsia="黑体" w:hAnsi="黑体" w:cs="Times New Roman"/>
          <w:snapToGrid/>
          <w:kern w:val="2"/>
          <w:sz w:val="36"/>
          <w:szCs w:val="36"/>
          <w:lang w:eastAsia="zh-CN"/>
        </w:rPr>
      </w:pPr>
      <w:r>
        <w:rPr>
          <w:rFonts w:ascii="黑体" w:eastAsia="黑体" w:hAnsi="黑体" w:cs="Times New Roman" w:hint="eastAsia"/>
          <w:snapToGrid/>
          <w:kern w:val="2"/>
          <w:sz w:val="36"/>
          <w:szCs w:val="36"/>
          <w:lang w:eastAsia="zh-CN"/>
        </w:rPr>
        <w:t>广东天亿马信息产业股份有限公司</w:t>
      </w:r>
    </w:p>
    <w:p w14:paraId="1865C6F5" w14:textId="77777777" w:rsidR="000F5022" w:rsidRDefault="00EE225D">
      <w:pPr>
        <w:widowControl w:val="0"/>
        <w:kinsoku/>
        <w:snapToGrid/>
        <w:spacing w:line="360" w:lineRule="auto"/>
        <w:jc w:val="center"/>
        <w:textAlignment w:val="auto"/>
        <w:rPr>
          <w:rFonts w:ascii="宋体" w:eastAsia="宋体" w:hAnsi="宋体" w:cs="宋体"/>
          <w:sz w:val="30"/>
          <w:szCs w:val="30"/>
        </w:rPr>
      </w:pPr>
      <w:r>
        <w:rPr>
          <w:rFonts w:ascii="黑体" w:eastAsia="黑体" w:hAnsi="黑体" w:cs="Times New Roman" w:hint="eastAsia"/>
          <w:snapToGrid/>
          <w:kern w:val="2"/>
          <w:sz w:val="36"/>
          <w:szCs w:val="36"/>
          <w:lang w:eastAsia="zh-CN"/>
        </w:rPr>
        <w:t>关于重大资产重组事项的进展公告</w:t>
      </w:r>
    </w:p>
    <w:tbl>
      <w:tblPr>
        <w:tblStyle w:val="TableNormal"/>
        <w:tblW w:w="7962" w:type="dxa"/>
        <w:tblInd w:w="299" w:type="dxa"/>
        <w:tblBorders>
          <w:top w:val="single" w:sz="4" w:space="0" w:color="000000"/>
          <w:left w:val="single" w:sz="4" w:space="0" w:color="000000"/>
          <w:bottom w:val="single" w:sz="4" w:space="0" w:color="000000"/>
          <w:right w:val="single" w:sz="4" w:space="0" w:color="000000"/>
        </w:tblBorders>
        <w:tblLayout w:type="fixed"/>
        <w:tblLook w:val="04A0" w:firstRow="1" w:lastRow="0" w:firstColumn="1" w:lastColumn="0" w:noHBand="0" w:noVBand="1"/>
      </w:tblPr>
      <w:tblGrid>
        <w:gridCol w:w="7962"/>
      </w:tblGrid>
      <w:tr w:rsidR="000F5022" w14:paraId="5A9F8D6B" w14:textId="77777777">
        <w:trPr>
          <w:trHeight w:val="776"/>
        </w:trPr>
        <w:tc>
          <w:tcPr>
            <w:tcW w:w="7962" w:type="dxa"/>
          </w:tcPr>
          <w:p w14:paraId="138E715C" w14:textId="77777777" w:rsidR="000F5022" w:rsidRDefault="00EE225D">
            <w:pPr>
              <w:kinsoku/>
              <w:autoSpaceDE/>
              <w:autoSpaceDN/>
              <w:adjustRightInd/>
              <w:snapToGrid/>
              <w:spacing w:line="440" w:lineRule="exact"/>
              <w:ind w:firstLineChars="200" w:firstLine="560"/>
              <w:jc w:val="both"/>
              <w:textAlignment w:val="auto"/>
              <w:rPr>
                <w:rFonts w:ascii="楷体" w:eastAsia="楷体" w:hAnsi="楷体" w:cs="宋体"/>
                <w:snapToGrid/>
                <w:sz w:val="28"/>
                <w:szCs w:val="24"/>
                <w:lang w:eastAsia="zh-CN"/>
              </w:rPr>
            </w:pPr>
            <w:r>
              <w:rPr>
                <w:rFonts w:ascii="楷体" w:eastAsia="楷体" w:hAnsi="楷体" w:cs="宋体" w:hint="eastAsia"/>
                <w:snapToGrid/>
                <w:sz w:val="28"/>
                <w:szCs w:val="24"/>
                <w:lang w:eastAsia="zh-CN"/>
              </w:rPr>
              <w:t>本公司及董事会全体成员保证信息披露的内容真实、准确、完整，没有虚假记载、误导性陈述或者重大遗漏。</w:t>
            </w:r>
          </w:p>
        </w:tc>
      </w:tr>
    </w:tbl>
    <w:p w14:paraId="36012826" w14:textId="77777777" w:rsidR="000F5022" w:rsidRDefault="000F5022">
      <w:pPr>
        <w:spacing w:line="360" w:lineRule="auto"/>
        <w:rPr>
          <w:rFonts w:ascii="宋体" w:eastAsia="宋体" w:hAnsi="宋体" w:cs="宋体"/>
          <w:sz w:val="24"/>
          <w:szCs w:val="24"/>
          <w:lang w:eastAsia="zh-CN"/>
        </w:rPr>
      </w:pPr>
    </w:p>
    <w:p w14:paraId="656E1152" w14:textId="77777777" w:rsidR="000F5022" w:rsidRDefault="00EE225D">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特别提示：</w:t>
      </w:r>
    </w:p>
    <w:p w14:paraId="0F9BB55E" w14:textId="77777777" w:rsidR="000F5022" w:rsidRDefault="00EE225D">
      <w:pPr>
        <w:widowControl w:val="0"/>
        <w:numPr>
          <w:ilvl w:val="0"/>
          <w:numId w:val="1"/>
        </w:numPr>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广东天亿马信息产业股份有限公司</w:t>
      </w:r>
      <w:r>
        <w:rPr>
          <w:rFonts w:ascii="仿宋" w:eastAsia="仿宋" w:hAnsi="仿宋" w:cs="仿宋"/>
          <w:snapToGrid/>
          <w:kern w:val="2"/>
          <w:sz w:val="28"/>
          <w:szCs w:val="28"/>
          <w:lang w:eastAsia="zh-CN"/>
        </w:rPr>
        <w:t>（以下简称“公司”）</w:t>
      </w:r>
      <w:r>
        <w:rPr>
          <w:rFonts w:ascii="仿宋" w:eastAsia="仿宋" w:hAnsi="仿宋" w:cs="仿宋" w:hint="eastAsia"/>
          <w:snapToGrid/>
          <w:kern w:val="2"/>
          <w:sz w:val="28"/>
          <w:szCs w:val="28"/>
          <w:lang w:eastAsia="zh-CN"/>
        </w:rPr>
        <w:t>于2025年6月24日披露的《广东天亿马信息产业股份有限公司发行股份及支付现金购买资产并募集配套资金暨关联交易预案》（下称“本次交易预案”）“重大风险提示”及“第七节 风险因素”中，详细披露了本次交易可能存在的风险因素及尚需履行的其他程序，敬请广大投资者注意投资风险。</w:t>
      </w:r>
    </w:p>
    <w:p w14:paraId="660D9BC8" w14:textId="7038939D" w:rsidR="000F5022" w:rsidRDefault="00EE225D">
      <w:pPr>
        <w:widowControl w:val="0"/>
        <w:numPr>
          <w:ilvl w:val="0"/>
          <w:numId w:val="1"/>
        </w:numPr>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截至本公告披露日，公司拟以</w:t>
      </w:r>
      <w:r>
        <w:rPr>
          <w:rFonts w:ascii="仿宋" w:eastAsia="仿宋" w:hAnsi="仿宋" w:cs="仿宋"/>
          <w:snapToGrid/>
          <w:kern w:val="2"/>
          <w:sz w:val="28"/>
          <w:szCs w:val="28"/>
          <w:lang w:eastAsia="zh-CN"/>
        </w:rPr>
        <w:t>发行股份及支付现金</w:t>
      </w:r>
      <w:r>
        <w:rPr>
          <w:rFonts w:ascii="仿宋" w:eastAsia="仿宋" w:hAnsi="仿宋" w:cs="仿宋" w:hint="eastAsia"/>
          <w:snapToGrid/>
          <w:kern w:val="2"/>
          <w:sz w:val="28"/>
          <w:szCs w:val="28"/>
          <w:lang w:eastAsia="zh-CN"/>
        </w:rPr>
        <w:t>的方式购买广东星云开物科技股份有限公司100%股权（以下简称“本次交易”）的相关议案尚需</w:t>
      </w:r>
      <w:r w:rsidR="002C1A3E">
        <w:rPr>
          <w:rFonts w:ascii="仿宋" w:eastAsia="仿宋" w:hAnsi="仿宋" w:cs="仿宋" w:hint="eastAsia"/>
          <w:snapToGrid/>
          <w:kern w:val="2"/>
          <w:sz w:val="28"/>
          <w:szCs w:val="28"/>
          <w:lang w:eastAsia="zh-CN"/>
        </w:rPr>
        <w:t>取得</w:t>
      </w:r>
      <w:r>
        <w:rPr>
          <w:rFonts w:ascii="仿宋" w:eastAsia="仿宋" w:hAnsi="仿宋" w:cs="仿宋" w:hint="eastAsia"/>
          <w:snapToGrid/>
          <w:kern w:val="2"/>
          <w:sz w:val="28"/>
          <w:szCs w:val="28"/>
          <w:lang w:eastAsia="zh-CN"/>
        </w:rPr>
        <w:t>公司股东会审议批准及相关法律法规所要求的其他可能涉及的批准或核准，能否取得上述批准以及何时最终取得批准均存在不确定性。公司将继续推进相关工作，严格按照法律、行政法规和要求及时履行信息披露义务。敬请广大投资者关注后续公告并注意投资风险。</w:t>
      </w:r>
    </w:p>
    <w:p w14:paraId="4456F7D0" w14:textId="77777777" w:rsidR="000F5022" w:rsidRDefault="00EE225D">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一、本次重大资产重组的基本情况</w:t>
      </w:r>
    </w:p>
    <w:p w14:paraId="6BA68617" w14:textId="77777777" w:rsidR="000F5022" w:rsidRDefault="00EE225D">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公司拟以</w:t>
      </w:r>
      <w:r>
        <w:rPr>
          <w:rFonts w:ascii="仿宋" w:eastAsia="仿宋" w:hAnsi="仿宋" w:cs="仿宋"/>
          <w:snapToGrid/>
          <w:kern w:val="2"/>
          <w:sz w:val="28"/>
          <w:szCs w:val="28"/>
          <w:lang w:eastAsia="zh-CN"/>
        </w:rPr>
        <w:t>发行股份及支付现金</w:t>
      </w:r>
      <w:r>
        <w:rPr>
          <w:rFonts w:ascii="仿宋" w:eastAsia="仿宋" w:hAnsi="仿宋" w:cs="仿宋" w:hint="eastAsia"/>
          <w:snapToGrid/>
          <w:kern w:val="2"/>
          <w:sz w:val="28"/>
          <w:szCs w:val="28"/>
          <w:lang w:eastAsia="zh-CN"/>
        </w:rPr>
        <w:t>的方式购买广东星云开物科技股份有限公司（以下简称“星云开物”）100%股权，并募集配套资金。本次交易完成后，星云开物将成为公司全资子公司，纳入公司合并财务报表范围。</w:t>
      </w:r>
    </w:p>
    <w:p w14:paraId="1797FC60" w14:textId="77777777" w:rsidR="000F5022" w:rsidRDefault="00EE225D">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本次交易的交易价格尚未最终确定。根据交易各方对评估作价</w:t>
      </w:r>
      <w:r>
        <w:rPr>
          <w:rFonts w:ascii="仿宋" w:eastAsia="仿宋" w:hAnsi="仿宋" w:cs="仿宋" w:hint="eastAsia"/>
          <w:snapToGrid/>
          <w:kern w:val="2"/>
          <w:sz w:val="28"/>
          <w:szCs w:val="28"/>
          <w:lang w:eastAsia="zh-CN"/>
        </w:rPr>
        <w:lastRenderedPageBreak/>
        <w:t>的初步预期和估计，本次交易将构成公司重大资产重组但不构成重组上市。</w:t>
      </w:r>
    </w:p>
    <w:p w14:paraId="276B283D" w14:textId="77777777" w:rsidR="000F5022" w:rsidRDefault="00EE225D">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鉴于本次交易部分交易对方为公司潜在关联方，且本次发行股份募集配套资金的发行对象马学沛先生为公司实际控制人，本次交易构成关联交易。</w:t>
      </w:r>
    </w:p>
    <w:p w14:paraId="157536A9" w14:textId="77777777" w:rsidR="000F5022" w:rsidRDefault="00EE225D">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二、本次交易历史披露情况</w:t>
      </w:r>
    </w:p>
    <w:p w14:paraId="20410E49" w14:textId="77777777" w:rsidR="000F5022" w:rsidRDefault="00EE225D">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经向深圳证券交易所申请，公司股票（证券简称:天亿马，证券代码:301178)自2025年6月10日开市时起开始停牌，具体内容详见公司于2025年6月10日披露的《广东天亿马信息产业股份有限公司关于筹划发行股份及支付现金购买资产并募集配套资金事项的停牌公告》(公告编号:2025-046)。</w:t>
      </w:r>
    </w:p>
    <w:p w14:paraId="59A9F58C" w14:textId="57B6FF1C" w:rsidR="000F5022" w:rsidRDefault="00EE225D">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公司于2025年6月23日召开第三届董事会第三十二次会议,审议通过了《关于&lt;广东天亿马信息产业股份有限公司发行股份及支付现金购买资产并募集配套资金暨关联交易预案&gt;及其摘要的议案》等与本次交易相关的议案，并于同日与交易对方签署附条件生效的发行股份及支付现金购买资产协议。经向深圳证券交易所申请，公司股票于2025年6月24日(星期二)开市起复牌。</w:t>
      </w:r>
    </w:p>
    <w:p w14:paraId="2B8EF0B8" w14:textId="72DFDDB8" w:rsidR="00690732" w:rsidRDefault="00690732">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公司于2025年7月24日披露了《广东天亿马信息产业股份有限公司</w:t>
      </w:r>
      <w:r w:rsidRPr="00690732">
        <w:rPr>
          <w:rFonts w:ascii="仿宋" w:eastAsia="仿宋" w:hAnsi="仿宋" w:cs="仿宋" w:hint="eastAsia"/>
          <w:snapToGrid/>
          <w:kern w:val="2"/>
          <w:sz w:val="28"/>
          <w:szCs w:val="28"/>
          <w:lang w:eastAsia="zh-CN"/>
        </w:rPr>
        <w:t>关于重大资产重组事项的进展公告</w:t>
      </w:r>
      <w:r>
        <w:rPr>
          <w:rFonts w:ascii="仿宋" w:eastAsia="仿宋" w:hAnsi="仿宋" w:cs="仿宋" w:hint="eastAsia"/>
          <w:snapToGrid/>
          <w:kern w:val="2"/>
          <w:sz w:val="28"/>
          <w:szCs w:val="28"/>
          <w:lang w:eastAsia="zh-CN"/>
        </w:rPr>
        <w:t>》（公告编号：2025-058）</w:t>
      </w:r>
      <w:r w:rsidR="00241CA1">
        <w:rPr>
          <w:rFonts w:ascii="仿宋" w:eastAsia="仿宋" w:hAnsi="仿宋" w:cs="仿宋" w:hint="eastAsia"/>
          <w:snapToGrid/>
          <w:kern w:val="2"/>
          <w:sz w:val="28"/>
          <w:szCs w:val="28"/>
          <w:lang w:eastAsia="zh-CN"/>
        </w:rPr>
        <w:t>。</w:t>
      </w:r>
    </w:p>
    <w:p w14:paraId="34D4D6C9" w14:textId="77777777" w:rsidR="00241CA1" w:rsidRDefault="00241CA1" w:rsidP="00241CA1">
      <w:pPr>
        <w:widowControl w:val="0"/>
        <w:kinsoku/>
        <w:autoSpaceDE/>
        <w:autoSpaceDN/>
        <w:adjustRightInd/>
        <w:snapToGrid/>
        <w:spacing w:line="360" w:lineRule="auto"/>
        <w:ind w:firstLineChars="200" w:firstLine="560"/>
        <w:jc w:val="both"/>
        <w:textAlignment w:val="auto"/>
        <w:rPr>
          <w:rFonts w:ascii="仿宋" w:eastAsia="仿宋" w:hAnsi="仿宋" w:cs="仿宋" w:hint="eastAsia"/>
          <w:snapToGrid/>
          <w:kern w:val="2"/>
          <w:sz w:val="28"/>
          <w:szCs w:val="28"/>
          <w:lang w:eastAsia="zh-CN"/>
        </w:rPr>
      </w:pPr>
      <w:r>
        <w:rPr>
          <w:rFonts w:ascii="仿宋" w:eastAsia="仿宋" w:hAnsi="仿宋" w:cs="仿宋" w:hint="eastAsia"/>
          <w:snapToGrid/>
          <w:kern w:val="2"/>
          <w:sz w:val="28"/>
          <w:szCs w:val="28"/>
          <w:lang w:eastAsia="zh-CN"/>
        </w:rPr>
        <w:t>具体内容详见同日在巨潮资讯网(http://www.cninfo.com.cn)上披露的相关公告及文件。</w:t>
      </w:r>
    </w:p>
    <w:p w14:paraId="6802A900" w14:textId="77777777" w:rsidR="000F5022" w:rsidRDefault="00EE225D">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三、本次交易进展情况</w:t>
      </w:r>
    </w:p>
    <w:p w14:paraId="1B8F21C8" w14:textId="77777777" w:rsidR="008D5B5D" w:rsidRDefault="00EE225D">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自本次交易预案披露以来，公司及相关各方积极推进本次交易各项工作。</w:t>
      </w:r>
      <w:r w:rsidR="008D5B5D">
        <w:rPr>
          <w:rFonts w:ascii="仿宋" w:eastAsia="仿宋" w:hAnsi="仿宋" w:cs="仿宋" w:hint="eastAsia"/>
          <w:snapToGrid/>
          <w:kern w:val="2"/>
          <w:sz w:val="28"/>
          <w:szCs w:val="28"/>
          <w:lang w:eastAsia="zh-CN"/>
        </w:rPr>
        <w:t>截至本公告披露日，本次交易涉及资产的审计、评估工作尚未完成。</w:t>
      </w:r>
    </w:p>
    <w:p w14:paraId="03B396C8" w14:textId="43D066C1" w:rsidR="000F5022" w:rsidRDefault="00EE225D">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lastRenderedPageBreak/>
        <w:t>公司将继续推进本次交易的相关工作</w:t>
      </w:r>
      <w:r w:rsidR="00B51A05">
        <w:rPr>
          <w:rFonts w:ascii="仿宋" w:eastAsia="仿宋" w:hAnsi="仿宋" w:cs="仿宋" w:hint="eastAsia"/>
          <w:snapToGrid/>
          <w:kern w:val="2"/>
          <w:sz w:val="28"/>
          <w:szCs w:val="28"/>
          <w:lang w:eastAsia="zh-CN"/>
        </w:rPr>
        <w:t>。</w:t>
      </w:r>
      <w:r w:rsidR="00730F3B">
        <w:rPr>
          <w:rFonts w:ascii="仿宋" w:eastAsia="仿宋" w:hAnsi="仿宋" w:cs="仿宋" w:hint="eastAsia"/>
          <w:snapToGrid/>
          <w:kern w:val="2"/>
          <w:sz w:val="28"/>
          <w:szCs w:val="28"/>
          <w:lang w:eastAsia="zh-CN"/>
        </w:rPr>
        <w:t>待审计、评估及尽职调查等工作完成后，公司将再次召开董事会审议本次交易相关的议案，</w:t>
      </w:r>
      <w:r>
        <w:rPr>
          <w:rFonts w:ascii="仿宋" w:eastAsia="仿宋" w:hAnsi="仿宋" w:cs="仿宋" w:hint="eastAsia"/>
          <w:snapToGrid/>
          <w:kern w:val="2"/>
          <w:sz w:val="28"/>
          <w:szCs w:val="28"/>
          <w:lang w:eastAsia="zh-CN"/>
        </w:rPr>
        <w:t>并严格按照相关法律法规的规定和要求履行信息披露义务。</w:t>
      </w:r>
    </w:p>
    <w:p w14:paraId="09C12182" w14:textId="77777777" w:rsidR="000F5022" w:rsidRDefault="00EE225D">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四、风险提示</w:t>
      </w:r>
    </w:p>
    <w:p w14:paraId="1A86E03C" w14:textId="6B777454" w:rsidR="000F5022" w:rsidRDefault="00EE225D">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本次交易尚需公司董事会再次审议及公司股东会审议通过，并经深圳证券交易所审核同意及中国证监会注册后方可正式实施。本次交易能否取得上述批准或注册，以及最终取得批准或注册的时间都存在不确定性。</w:t>
      </w:r>
    </w:p>
    <w:p w14:paraId="2D02D800" w14:textId="3E88DA48" w:rsidR="00B51A05" w:rsidRDefault="00B51A05">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公司已就本次交易的风险因素进行了充分阐述，具体内容详见《广东天亿马信息产业股份有限公司发行股份及支付现金购买资产并募集配套资金暨关联交易预案》中“重大风险提示”及“第七节 风险因素”。</w:t>
      </w:r>
    </w:p>
    <w:p w14:paraId="11851B79" w14:textId="4F63FDCD" w:rsidR="00C85C9E" w:rsidRDefault="00EE225D" w:rsidP="00C85C9E">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公司将根据相关事项的进展情况，严格按照相关法律法规的规定履行有关审批程序和信息披露义务，有关信息均以在指定信息披露媒体发布的公告为准。</w:t>
      </w:r>
      <w:r w:rsidR="00C85C9E">
        <w:rPr>
          <w:rFonts w:ascii="仿宋" w:eastAsia="仿宋" w:hAnsi="仿宋" w:cs="仿宋" w:hint="eastAsia"/>
          <w:snapToGrid/>
          <w:kern w:val="2"/>
          <w:sz w:val="28"/>
          <w:szCs w:val="28"/>
          <w:lang w:eastAsia="zh-CN"/>
        </w:rPr>
        <w:t>敬请广大投资者关注后续公告并注意投资风险。</w:t>
      </w:r>
    </w:p>
    <w:p w14:paraId="0AAC58B3" w14:textId="77777777" w:rsidR="000F5022" w:rsidRDefault="00EE225D">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特此公告。</w:t>
      </w:r>
    </w:p>
    <w:p w14:paraId="10D3778A" w14:textId="77777777" w:rsidR="000F5022" w:rsidRDefault="00EE225D">
      <w:pPr>
        <w:widowControl w:val="0"/>
        <w:kinsoku/>
        <w:autoSpaceDE/>
        <w:autoSpaceDN/>
        <w:adjustRightInd/>
        <w:snapToGrid/>
        <w:spacing w:line="360" w:lineRule="auto"/>
        <w:ind w:firstLineChars="200" w:firstLine="560"/>
        <w:jc w:val="right"/>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广东天亿马信息产业股份有限公司</w:t>
      </w:r>
    </w:p>
    <w:p w14:paraId="1B9D9891" w14:textId="77777777" w:rsidR="000F5022" w:rsidRDefault="00EE225D">
      <w:pPr>
        <w:widowControl w:val="0"/>
        <w:kinsoku/>
        <w:autoSpaceDE/>
        <w:autoSpaceDN/>
        <w:adjustRightInd/>
        <w:snapToGrid/>
        <w:spacing w:line="360" w:lineRule="auto"/>
        <w:ind w:firstLineChars="200" w:firstLine="560"/>
        <w:jc w:val="right"/>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董事会</w:t>
      </w:r>
      <w:bookmarkStart w:id="0" w:name="_GoBack"/>
      <w:bookmarkEnd w:id="0"/>
    </w:p>
    <w:p w14:paraId="07F2A555" w14:textId="0A064668" w:rsidR="000F5022" w:rsidRDefault="00EE225D">
      <w:pPr>
        <w:widowControl w:val="0"/>
        <w:kinsoku/>
        <w:autoSpaceDE/>
        <w:autoSpaceDN/>
        <w:adjustRightInd/>
        <w:snapToGrid/>
        <w:spacing w:line="360" w:lineRule="auto"/>
        <w:ind w:firstLineChars="200" w:firstLine="560"/>
        <w:jc w:val="right"/>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2025年</w:t>
      </w:r>
      <w:r w:rsidR="00862E56">
        <w:rPr>
          <w:rFonts w:ascii="仿宋" w:eastAsia="仿宋" w:hAnsi="仿宋" w:cs="仿宋" w:hint="eastAsia"/>
          <w:snapToGrid/>
          <w:kern w:val="2"/>
          <w:sz w:val="28"/>
          <w:szCs w:val="28"/>
          <w:lang w:eastAsia="zh-CN"/>
        </w:rPr>
        <w:t>8</w:t>
      </w:r>
      <w:r>
        <w:rPr>
          <w:rFonts w:ascii="仿宋" w:eastAsia="仿宋" w:hAnsi="仿宋" w:cs="仿宋" w:hint="eastAsia"/>
          <w:snapToGrid/>
          <w:kern w:val="2"/>
          <w:sz w:val="28"/>
          <w:szCs w:val="28"/>
          <w:lang w:eastAsia="zh-CN"/>
        </w:rPr>
        <w:t>月2</w:t>
      </w:r>
      <w:r w:rsidR="00862E56">
        <w:rPr>
          <w:rFonts w:ascii="仿宋" w:eastAsia="仿宋" w:hAnsi="仿宋" w:cs="仿宋" w:hint="eastAsia"/>
          <w:snapToGrid/>
          <w:kern w:val="2"/>
          <w:sz w:val="28"/>
          <w:szCs w:val="28"/>
          <w:lang w:eastAsia="zh-CN"/>
        </w:rPr>
        <w:t>3</w:t>
      </w:r>
      <w:r>
        <w:rPr>
          <w:rFonts w:ascii="仿宋" w:eastAsia="仿宋" w:hAnsi="仿宋" w:cs="仿宋" w:hint="eastAsia"/>
          <w:snapToGrid/>
          <w:kern w:val="2"/>
          <w:sz w:val="28"/>
          <w:szCs w:val="28"/>
          <w:lang w:eastAsia="zh-CN"/>
        </w:rPr>
        <w:t>日</w:t>
      </w:r>
    </w:p>
    <w:sectPr w:rsidR="000F5022">
      <w:footerReference w:type="default" r:id="rId8"/>
      <w:pgSz w:w="11907" w:h="16839"/>
      <w:pgMar w:top="1431" w:right="1730" w:bottom="1202" w:left="1785" w:header="0" w:footer="97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D0DB3B" w14:textId="77777777" w:rsidR="00710893" w:rsidRDefault="00710893">
      <w:r>
        <w:separator/>
      </w:r>
    </w:p>
  </w:endnote>
  <w:endnote w:type="continuationSeparator" w:id="0">
    <w:p w14:paraId="373DC4E7" w14:textId="77777777" w:rsidR="00710893" w:rsidRDefault="007108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PingFang SC">
    <w:altName w:val="宋体"/>
    <w:charset w:val="86"/>
    <w:family w:val="auto"/>
    <w:pitch w:val="default"/>
    <w:sig w:usb0="00000000" w:usb1="00000000" w:usb2="00000017"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47408522"/>
      <w:docPartObj>
        <w:docPartGallery w:val="AutoText"/>
      </w:docPartObj>
    </w:sdtPr>
    <w:sdtEndPr/>
    <w:sdtContent>
      <w:p w14:paraId="20E9BB6C" w14:textId="77777777" w:rsidR="000F5022" w:rsidRDefault="00EE225D">
        <w:pPr>
          <w:pStyle w:val="a5"/>
          <w:jc w:val="center"/>
        </w:pPr>
        <w:r>
          <w:fldChar w:fldCharType="begin"/>
        </w:r>
        <w:r>
          <w:instrText>PAGE   \* MERGEFORMAT</w:instrText>
        </w:r>
        <w:r>
          <w:fldChar w:fldCharType="separate"/>
        </w:r>
        <w:r w:rsidR="00862E56" w:rsidRPr="00862E56">
          <w:rPr>
            <w:noProof/>
            <w:lang w:val="zh-CN" w:eastAsia="zh-CN"/>
          </w:rPr>
          <w:t>3</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F0EEE7" w14:textId="77777777" w:rsidR="00710893" w:rsidRDefault="00710893">
      <w:r>
        <w:separator/>
      </w:r>
    </w:p>
  </w:footnote>
  <w:footnote w:type="continuationSeparator" w:id="0">
    <w:p w14:paraId="653BB377" w14:textId="77777777" w:rsidR="00710893" w:rsidRDefault="0071089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E297B6"/>
    <w:multiLevelType w:val="singleLevel"/>
    <w:tmpl w:val="41E297B6"/>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isplayBackgroundShape/>
  <w:bordersDoNotSurroundHeader/>
  <w:bordersDoNotSurroundFooter/>
  <w:defaultTabStop w:val="420"/>
  <w:noPunctuationKerning/>
  <w:characterSpacingControl w:val="doNotCompress"/>
  <w:hdrShapeDefaults>
    <o:shapedefaults v:ext="edit" spidmax="2049"/>
  </w:hdrShapeDefaults>
  <w:footnotePr>
    <w:footnote w:id="-1"/>
    <w:footnote w:id="0"/>
  </w:footnotePr>
  <w:endnotePr>
    <w:endnote w:id="-1"/>
    <w:endnote w:id="0"/>
  </w:endnotePr>
  <w:compat>
    <w:spaceForUL/>
    <w:ulTrailSpace/>
    <w:doNotExpandShiftReturn/>
    <w:doNotWrapTextWithPunct/>
    <w:doNotUseEastAsianBreakRules/>
    <w:useFELayout/>
    <w:compatSetting w:name="compatibilityMode" w:uri="http://schemas.microsoft.com/office/word" w:val="14"/>
  </w:compat>
  <w:rsids>
    <w:rsidRoot w:val="007B6D87"/>
    <w:rsid w:val="E7338B51"/>
    <w:rsid w:val="00035185"/>
    <w:rsid w:val="000545F9"/>
    <w:rsid w:val="000B39B1"/>
    <w:rsid w:val="000F5022"/>
    <w:rsid w:val="00241CA1"/>
    <w:rsid w:val="00255063"/>
    <w:rsid w:val="00266E17"/>
    <w:rsid w:val="0028307F"/>
    <w:rsid w:val="002C1A3E"/>
    <w:rsid w:val="002F3A15"/>
    <w:rsid w:val="003775C6"/>
    <w:rsid w:val="004538CB"/>
    <w:rsid w:val="005720C3"/>
    <w:rsid w:val="00600F50"/>
    <w:rsid w:val="00690732"/>
    <w:rsid w:val="006D63DE"/>
    <w:rsid w:val="006E7721"/>
    <w:rsid w:val="00710893"/>
    <w:rsid w:val="00730F3B"/>
    <w:rsid w:val="00777CDD"/>
    <w:rsid w:val="0078768E"/>
    <w:rsid w:val="007B6D87"/>
    <w:rsid w:val="007C1A77"/>
    <w:rsid w:val="00862E56"/>
    <w:rsid w:val="008640FC"/>
    <w:rsid w:val="008D5B5D"/>
    <w:rsid w:val="00A7605E"/>
    <w:rsid w:val="00A84D76"/>
    <w:rsid w:val="00A97940"/>
    <w:rsid w:val="00B14C75"/>
    <w:rsid w:val="00B51A05"/>
    <w:rsid w:val="00C85C9E"/>
    <w:rsid w:val="00CB6784"/>
    <w:rsid w:val="00CB6869"/>
    <w:rsid w:val="00DC4545"/>
    <w:rsid w:val="00E53B68"/>
    <w:rsid w:val="00EE225D"/>
    <w:rsid w:val="00FA459B"/>
    <w:rsid w:val="01086C64"/>
    <w:rsid w:val="016D588F"/>
    <w:rsid w:val="02900CBF"/>
    <w:rsid w:val="08053EFD"/>
    <w:rsid w:val="084047E3"/>
    <w:rsid w:val="085E53BC"/>
    <w:rsid w:val="0B2C0449"/>
    <w:rsid w:val="125D0492"/>
    <w:rsid w:val="135402A2"/>
    <w:rsid w:val="136F66CF"/>
    <w:rsid w:val="15D43E1B"/>
    <w:rsid w:val="16E90E79"/>
    <w:rsid w:val="1853036D"/>
    <w:rsid w:val="1908080B"/>
    <w:rsid w:val="1A3F5464"/>
    <w:rsid w:val="1CAE2016"/>
    <w:rsid w:val="1E0477E8"/>
    <w:rsid w:val="20DD55C0"/>
    <w:rsid w:val="234147C3"/>
    <w:rsid w:val="24360604"/>
    <w:rsid w:val="24523BCF"/>
    <w:rsid w:val="261D7268"/>
    <w:rsid w:val="26B75849"/>
    <w:rsid w:val="27072EEB"/>
    <w:rsid w:val="2B8A61C7"/>
    <w:rsid w:val="2B920D55"/>
    <w:rsid w:val="2BFC063C"/>
    <w:rsid w:val="318555E4"/>
    <w:rsid w:val="3AA72347"/>
    <w:rsid w:val="3F170C27"/>
    <w:rsid w:val="41F278B3"/>
    <w:rsid w:val="43755A74"/>
    <w:rsid w:val="44572601"/>
    <w:rsid w:val="4DA2439C"/>
    <w:rsid w:val="50355FCF"/>
    <w:rsid w:val="521C7446"/>
    <w:rsid w:val="552C79A0"/>
    <w:rsid w:val="56A65531"/>
    <w:rsid w:val="57F64296"/>
    <w:rsid w:val="5A9B74F7"/>
    <w:rsid w:val="5EFE6E0A"/>
    <w:rsid w:val="62856942"/>
    <w:rsid w:val="62C202DE"/>
    <w:rsid w:val="63AB76CB"/>
    <w:rsid w:val="641937E6"/>
    <w:rsid w:val="64F354E7"/>
    <w:rsid w:val="652B0805"/>
    <w:rsid w:val="6B9F6CC6"/>
    <w:rsid w:val="6C9C1458"/>
    <w:rsid w:val="6F4C607D"/>
    <w:rsid w:val="6F90296F"/>
    <w:rsid w:val="70643A4D"/>
    <w:rsid w:val="70BB40F3"/>
    <w:rsid w:val="714733C7"/>
    <w:rsid w:val="726B0EA3"/>
    <w:rsid w:val="7771789F"/>
    <w:rsid w:val="798E3ED6"/>
    <w:rsid w:val="79DBC11F"/>
    <w:rsid w:val="7BED8E92"/>
    <w:rsid w:val="7BFE1C08"/>
    <w:rsid w:val="95FFBB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footer" w:uiPriority="99"/>
    <w:lsdException w:name="caption" w:semiHidden="1" w:unhideWhenUsed="1" w:qFormat="1"/>
    <w:lsdException w:name="Title" w:qFormat="1"/>
    <w:lsdException w:name="Default Paragraph Font" w:semiHidden="1" w:uiPriority="1" w:unhideWhenUsed="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style>
  <w:style w:type="paragraph" w:styleId="a4">
    <w:name w:val="Body Text"/>
    <w:basedOn w:val="a"/>
    <w:semiHidden/>
    <w:qFormat/>
    <w:rPr>
      <w:rFonts w:ascii="PingFang SC" w:eastAsia="PingFang SC" w:hAnsi="PingFang SC" w:cs="PingFang SC"/>
      <w:sz w:val="24"/>
      <w:szCs w:val="24"/>
    </w:rPr>
  </w:style>
  <w:style w:type="paragraph" w:styleId="a5">
    <w:name w:val="footer"/>
    <w:basedOn w:val="a"/>
    <w:link w:val="Char"/>
    <w:uiPriority w:val="99"/>
    <w:pPr>
      <w:tabs>
        <w:tab w:val="center" w:pos="4153"/>
        <w:tab w:val="right" w:pos="8306"/>
      </w:tabs>
    </w:pPr>
    <w:rPr>
      <w:sz w:val="18"/>
      <w:szCs w:val="18"/>
    </w:rPr>
  </w:style>
  <w:style w:type="paragraph" w:styleId="a6">
    <w:name w:val="header"/>
    <w:basedOn w:val="a"/>
    <w:link w:val="Char0"/>
    <w:pPr>
      <w:tabs>
        <w:tab w:val="center" w:pos="4153"/>
        <w:tab w:val="right" w:pos="8306"/>
      </w:tabs>
      <w:jc w:val="center"/>
    </w:pPr>
    <w:rPr>
      <w:sz w:val="18"/>
      <w:szCs w:val="18"/>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1">
    <w:name w:val="修订1"/>
    <w:hidden/>
    <w:uiPriority w:val="99"/>
    <w:unhideWhenUsed/>
    <w:rPr>
      <w:rFonts w:ascii="Arial" w:eastAsia="Arial" w:hAnsi="Arial" w:cs="Arial"/>
      <w:snapToGrid w:val="0"/>
      <w:color w:val="000000"/>
      <w:sz w:val="21"/>
      <w:szCs w:val="21"/>
      <w:lang w:eastAsia="en-US"/>
    </w:rPr>
  </w:style>
  <w:style w:type="character" w:customStyle="1" w:styleId="Char0">
    <w:name w:val="页眉 Char"/>
    <w:basedOn w:val="a0"/>
    <w:link w:val="a6"/>
    <w:rPr>
      <w:rFonts w:eastAsia="Arial"/>
      <w:snapToGrid w:val="0"/>
      <w:color w:val="000000"/>
      <w:sz w:val="18"/>
      <w:szCs w:val="18"/>
      <w:lang w:eastAsia="en-US"/>
    </w:rPr>
  </w:style>
  <w:style w:type="character" w:customStyle="1" w:styleId="Char">
    <w:name w:val="页脚 Char"/>
    <w:basedOn w:val="a0"/>
    <w:link w:val="a5"/>
    <w:uiPriority w:val="99"/>
    <w:rPr>
      <w:rFonts w:eastAsia="Arial"/>
      <w:snapToGrid w:val="0"/>
      <w:color w:val="000000"/>
      <w:sz w:val="18"/>
      <w:szCs w:val="1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footer" w:uiPriority="99"/>
    <w:lsdException w:name="caption" w:semiHidden="1" w:unhideWhenUsed="1" w:qFormat="1"/>
    <w:lsdException w:name="Title" w:qFormat="1"/>
    <w:lsdException w:name="Default Paragraph Font" w:semiHidden="1" w:uiPriority="1" w:unhideWhenUsed="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style>
  <w:style w:type="paragraph" w:styleId="a4">
    <w:name w:val="Body Text"/>
    <w:basedOn w:val="a"/>
    <w:semiHidden/>
    <w:qFormat/>
    <w:rPr>
      <w:rFonts w:ascii="PingFang SC" w:eastAsia="PingFang SC" w:hAnsi="PingFang SC" w:cs="PingFang SC"/>
      <w:sz w:val="24"/>
      <w:szCs w:val="24"/>
    </w:rPr>
  </w:style>
  <w:style w:type="paragraph" w:styleId="a5">
    <w:name w:val="footer"/>
    <w:basedOn w:val="a"/>
    <w:link w:val="Char"/>
    <w:uiPriority w:val="99"/>
    <w:pPr>
      <w:tabs>
        <w:tab w:val="center" w:pos="4153"/>
        <w:tab w:val="right" w:pos="8306"/>
      </w:tabs>
    </w:pPr>
    <w:rPr>
      <w:sz w:val="18"/>
      <w:szCs w:val="18"/>
    </w:rPr>
  </w:style>
  <w:style w:type="paragraph" w:styleId="a6">
    <w:name w:val="header"/>
    <w:basedOn w:val="a"/>
    <w:link w:val="Char0"/>
    <w:pPr>
      <w:tabs>
        <w:tab w:val="center" w:pos="4153"/>
        <w:tab w:val="right" w:pos="8306"/>
      </w:tabs>
      <w:jc w:val="center"/>
    </w:pPr>
    <w:rPr>
      <w:sz w:val="18"/>
      <w:szCs w:val="18"/>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1">
    <w:name w:val="修订1"/>
    <w:hidden/>
    <w:uiPriority w:val="99"/>
    <w:unhideWhenUsed/>
    <w:rPr>
      <w:rFonts w:ascii="Arial" w:eastAsia="Arial" w:hAnsi="Arial" w:cs="Arial"/>
      <w:snapToGrid w:val="0"/>
      <w:color w:val="000000"/>
      <w:sz w:val="21"/>
      <w:szCs w:val="21"/>
      <w:lang w:eastAsia="en-US"/>
    </w:rPr>
  </w:style>
  <w:style w:type="character" w:customStyle="1" w:styleId="Char0">
    <w:name w:val="页眉 Char"/>
    <w:basedOn w:val="a0"/>
    <w:link w:val="a6"/>
    <w:rPr>
      <w:rFonts w:eastAsia="Arial"/>
      <w:snapToGrid w:val="0"/>
      <w:color w:val="000000"/>
      <w:sz w:val="18"/>
      <w:szCs w:val="18"/>
      <w:lang w:eastAsia="en-US"/>
    </w:rPr>
  </w:style>
  <w:style w:type="character" w:customStyle="1" w:styleId="Char">
    <w:name w:val="页脚 Char"/>
    <w:basedOn w:val="a0"/>
    <w:link w:val="a5"/>
    <w:uiPriority w:val="99"/>
    <w:rPr>
      <w:rFonts w:eastAsia="Arial"/>
      <w:snapToGrid w:val="0"/>
      <w:color w:val="00000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3</Pages>
  <Words>244</Words>
  <Characters>1397</Characters>
  <Application>Microsoft Office Word</Application>
  <DocSecurity>0</DocSecurity>
  <Lines>11</Lines>
  <Paragraphs>3</Paragraphs>
  <ScaleCrop>false</ScaleCrop>
  <Company>Microsoft</Company>
  <LinksUpToDate>false</LinksUpToDate>
  <CharactersWithSpaces>1638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松 张</dc:creator>
  <cp:lastModifiedBy>hsq</cp:lastModifiedBy>
  <cp:revision>29</cp:revision>
  <dcterms:created xsi:type="dcterms:W3CDTF">2025-06-06T22:36:00Z</dcterms:created>
  <dcterms:modified xsi:type="dcterms:W3CDTF">2025-08-22T01:11:00Z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2025-06-13T16:12:47Z</vt:filetime>
  </property>
  <property fmtid="{D5CDD505-2E9C-101B-9397-08002B2CF9AE}" pid="4" name="KSOProductBuildVer">
    <vt:lpwstr>2052-12.1.0.21915</vt:lpwstr>
  </property>
  <property fmtid="{D5CDD505-2E9C-101B-9397-08002B2CF9AE}" pid="5" name="ICV">
    <vt:lpwstr>8462723751178D370EE04B68E7A3C690_42</vt:lpwstr>
  </property>
  <property fmtid="{D5CDD505-2E9C-101B-9397-08002B2CF9AE}" pid="6" name="KSOTemplateDocerSaveRecord">
    <vt:lpwstr>eyJoZGlkIjoiYjc3NTVmODk5OWI4YTU0YmU5MTlhYzJjMjBkNzFlNmEiLCJ1c2VySWQiOiIyNDMwNTgyMjAifQ==</vt:lpwstr>
  </property>
</Properties>
</file>