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054" w:rsidRDefault="00876054" w:rsidP="00876054">
      <w:pPr>
        <w:spacing w:line="360" w:lineRule="auto"/>
        <w:jc w:val="center"/>
        <w:rPr>
          <w:rFonts w:ascii="仿宋" w:eastAsia="仿宋" w:hAnsi="仿宋" w:cs="Times New Roman"/>
          <w:sz w:val="28"/>
          <w:szCs w:val="28"/>
        </w:rPr>
      </w:pPr>
      <w:r>
        <w:rPr>
          <w:rFonts w:ascii="仿宋" w:eastAsia="仿宋" w:hAnsi="仿宋" w:cs="Times New Roman" w:hint="eastAsia"/>
          <w:sz w:val="28"/>
          <w:szCs w:val="28"/>
        </w:rPr>
        <w:t>证券代码：301178    证券简称：天亿马    公告编号：2025-</w:t>
      </w:r>
      <w:r w:rsidR="00DC699C">
        <w:rPr>
          <w:rFonts w:ascii="仿宋" w:eastAsia="仿宋" w:hAnsi="仿宋" w:cs="Times New Roman" w:hint="eastAsia"/>
          <w:sz w:val="28"/>
          <w:szCs w:val="28"/>
        </w:rPr>
        <w:t>069</w:t>
      </w:r>
    </w:p>
    <w:p w:rsidR="00876054" w:rsidRDefault="00876054" w:rsidP="00876054">
      <w:pPr>
        <w:pStyle w:val="a3"/>
        <w:spacing w:before="305" w:line="360" w:lineRule="auto"/>
        <w:jc w:val="center"/>
        <w:rPr>
          <w:rFonts w:ascii="黑体" w:eastAsia="黑体" w:hAnsi="黑体" w:cs="Times New Roman"/>
          <w:kern w:val="2"/>
          <w:sz w:val="36"/>
          <w:szCs w:val="36"/>
        </w:rPr>
      </w:pPr>
      <w:r>
        <w:rPr>
          <w:rFonts w:ascii="黑体" w:eastAsia="黑体" w:hAnsi="黑体" w:cs="Times New Roman" w:hint="eastAsia"/>
          <w:kern w:val="2"/>
          <w:sz w:val="36"/>
          <w:szCs w:val="36"/>
        </w:rPr>
        <w:t>广东天亿马信息产业股份有限公司</w:t>
      </w:r>
    </w:p>
    <w:p w:rsidR="00876054" w:rsidRDefault="00876054" w:rsidP="00876054">
      <w:pPr>
        <w:pStyle w:val="a3"/>
        <w:spacing w:before="190" w:line="360" w:lineRule="auto"/>
        <w:jc w:val="center"/>
        <w:rPr>
          <w:rFonts w:ascii="宋体" w:hAnsi="宋体"/>
          <w:b/>
          <w:bCs/>
          <w:sz w:val="30"/>
          <w:szCs w:val="30"/>
        </w:rPr>
      </w:pPr>
      <w:r>
        <w:rPr>
          <w:rFonts w:ascii="黑体" w:eastAsia="黑体" w:hAnsi="黑体" w:cs="Times New Roman" w:hint="eastAsia"/>
          <w:kern w:val="2"/>
          <w:sz w:val="36"/>
          <w:szCs w:val="36"/>
        </w:rPr>
        <w:t>第三届监事会第二十</w:t>
      </w:r>
      <w:r w:rsidR="00A52FED">
        <w:rPr>
          <w:rFonts w:ascii="黑体" w:eastAsia="黑体" w:hAnsi="黑体" w:cs="Times New Roman" w:hint="eastAsia"/>
          <w:kern w:val="2"/>
          <w:sz w:val="36"/>
          <w:szCs w:val="36"/>
        </w:rPr>
        <w:t>九</w:t>
      </w:r>
      <w:r>
        <w:rPr>
          <w:rFonts w:ascii="黑体" w:eastAsia="黑体" w:hAnsi="黑体" w:cs="Times New Roman" w:hint="eastAsia"/>
          <w:kern w:val="2"/>
          <w:sz w:val="36"/>
          <w:szCs w:val="36"/>
        </w:rPr>
        <w:t>次会议决议公告</w:t>
      </w:r>
    </w:p>
    <w:tbl>
      <w:tblPr>
        <w:tblStyle w:val="TableNormal"/>
        <w:tblW w:w="7962" w:type="dxa"/>
        <w:tblInd w:w="407"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876054" w:rsidTr="00876054">
        <w:trPr>
          <w:trHeight w:val="776"/>
        </w:trPr>
        <w:tc>
          <w:tcPr>
            <w:tcW w:w="7962" w:type="dxa"/>
            <w:tcBorders>
              <w:top w:val="single" w:sz="4" w:space="0" w:color="000000"/>
              <w:left w:val="single" w:sz="4" w:space="0" w:color="000000"/>
              <w:bottom w:val="single" w:sz="4" w:space="0" w:color="000000"/>
              <w:right w:val="single" w:sz="4" w:space="0" w:color="000000"/>
            </w:tcBorders>
            <w:hideMark/>
          </w:tcPr>
          <w:p w:rsidR="00876054" w:rsidRDefault="00876054">
            <w:pPr>
              <w:autoSpaceDN/>
              <w:spacing w:line="440" w:lineRule="exact"/>
              <w:ind w:firstLineChars="200" w:firstLine="560"/>
              <w:jc w:val="both"/>
              <w:rPr>
                <w:rFonts w:ascii="楷体" w:eastAsia="楷体" w:hAnsi="楷体" w:cs="宋体"/>
                <w:sz w:val="28"/>
                <w:szCs w:val="28"/>
              </w:rPr>
            </w:pPr>
            <w:r>
              <w:rPr>
                <w:rFonts w:ascii="楷体" w:eastAsia="楷体" w:hAnsi="楷体" w:cs="宋体" w:hint="eastAsia"/>
                <w:sz w:val="28"/>
                <w:szCs w:val="28"/>
              </w:rPr>
              <w:t>本公司及监事会全体成员保证信息披露的内容真实、准确、完整，没有虚假记载、误导性陈述或者重大遗漏。</w:t>
            </w:r>
          </w:p>
        </w:tc>
      </w:tr>
    </w:tbl>
    <w:p w:rsidR="00876054" w:rsidRDefault="00876054" w:rsidP="00876054">
      <w:pPr>
        <w:spacing w:line="360" w:lineRule="auto"/>
        <w:rPr>
          <w:rFonts w:ascii="宋体" w:hAnsi="宋体"/>
          <w:b/>
          <w:bCs/>
          <w:sz w:val="24"/>
          <w:szCs w:val="24"/>
        </w:rPr>
      </w:pPr>
      <w:r>
        <w:rPr>
          <w:rFonts w:ascii="宋体" w:hAnsi="宋体" w:hint="eastAsia"/>
          <w:b/>
          <w:bCs/>
          <w:sz w:val="24"/>
          <w:szCs w:val="24"/>
        </w:rPr>
        <w:t xml:space="preserve"> </w:t>
      </w:r>
    </w:p>
    <w:p w:rsidR="00876054" w:rsidRDefault="00876054" w:rsidP="00876054">
      <w:pPr>
        <w:pStyle w:val="a3"/>
        <w:numPr>
          <w:ilvl w:val="0"/>
          <w:numId w:val="1"/>
        </w:numPr>
        <w:spacing w:before="109" w:line="360" w:lineRule="auto"/>
        <w:ind w:left="28" w:right="62" w:firstLine="488"/>
        <w:jc w:val="both"/>
        <w:outlineLvl w:val="0"/>
        <w:rPr>
          <w:rFonts w:ascii="仿宋" w:eastAsia="仿宋" w:hAnsi="仿宋"/>
          <w:b/>
          <w:bCs/>
          <w:kern w:val="2"/>
          <w:sz w:val="28"/>
          <w:szCs w:val="28"/>
        </w:rPr>
      </w:pPr>
      <w:r>
        <w:rPr>
          <w:rFonts w:ascii="仿宋" w:eastAsia="仿宋" w:hAnsi="仿宋" w:hint="eastAsia"/>
          <w:b/>
          <w:bCs/>
          <w:kern w:val="2"/>
          <w:sz w:val="28"/>
          <w:szCs w:val="28"/>
        </w:rPr>
        <w:t>监事会会议召开情况</w:t>
      </w:r>
    </w:p>
    <w:p w:rsidR="00876054" w:rsidRDefault="00876054" w:rsidP="00876054">
      <w:pPr>
        <w:pStyle w:val="a3"/>
        <w:spacing w:before="109" w:line="360" w:lineRule="auto"/>
        <w:ind w:right="65" w:firstLineChars="200" w:firstLine="560"/>
        <w:jc w:val="both"/>
        <w:rPr>
          <w:rFonts w:ascii="仿宋" w:eastAsia="仿宋" w:hAnsi="仿宋"/>
          <w:kern w:val="2"/>
          <w:sz w:val="28"/>
          <w:szCs w:val="28"/>
        </w:rPr>
      </w:pPr>
      <w:r>
        <w:rPr>
          <w:rFonts w:ascii="仿宋" w:eastAsia="仿宋" w:hAnsi="仿宋" w:hint="eastAsia"/>
          <w:kern w:val="2"/>
          <w:sz w:val="28"/>
          <w:szCs w:val="28"/>
        </w:rPr>
        <w:t>广东天亿马信息产业股份有限公司（以下简称“公司”）第三届监事会第二十</w:t>
      </w:r>
      <w:r w:rsidR="0074210A">
        <w:rPr>
          <w:rFonts w:ascii="仿宋" w:eastAsia="仿宋" w:hAnsi="仿宋" w:hint="eastAsia"/>
          <w:kern w:val="2"/>
          <w:sz w:val="28"/>
          <w:szCs w:val="28"/>
        </w:rPr>
        <w:t>九</w:t>
      </w:r>
      <w:r>
        <w:rPr>
          <w:rFonts w:ascii="仿宋" w:eastAsia="仿宋" w:hAnsi="仿宋" w:hint="eastAsia"/>
          <w:kern w:val="2"/>
          <w:sz w:val="28"/>
          <w:szCs w:val="28"/>
        </w:rPr>
        <w:t>次会</w:t>
      </w:r>
      <w:r w:rsidRPr="00573BD3">
        <w:rPr>
          <w:rFonts w:ascii="仿宋" w:eastAsia="仿宋" w:hAnsi="仿宋" w:hint="eastAsia"/>
          <w:kern w:val="2"/>
          <w:sz w:val="28"/>
          <w:szCs w:val="28"/>
        </w:rPr>
        <w:t>议于2025年</w:t>
      </w:r>
      <w:r w:rsidR="0074210A" w:rsidRPr="00573BD3">
        <w:rPr>
          <w:rFonts w:ascii="仿宋" w:eastAsia="仿宋" w:hAnsi="仿宋" w:hint="eastAsia"/>
          <w:kern w:val="2"/>
          <w:sz w:val="28"/>
          <w:szCs w:val="28"/>
        </w:rPr>
        <w:t>8</w:t>
      </w:r>
      <w:r w:rsidRPr="00573BD3">
        <w:rPr>
          <w:rFonts w:ascii="仿宋" w:eastAsia="仿宋" w:hAnsi="仿宋" w:hint="eastAsia"/>
          <w:kern w:val="2"/>
          <w:sz w:val="28"/>
          <w:szCs w:val="28"/>
        </w:rPr>
        <w:t>月</w:t>
      </w:r>
      <w:r w:rsidR="00243FB0" w:rsidRPr="00573BD3">
        <w:rPr>
          <w:rFonts w:ascii="仿宋" w:eastAsia="仿宋" w:hAnsi="仿宋" w:hint="eastAsia"/>
          <w:kern w:val="2"/>
          <w:sz w:val="28"/>
          <w:szCs w:val="28"/>
        </w:rPr>
        <w:t>2</w:t>
      </w:r>
      <w:r w:rsidR="008E2EF0" w:rsidRPr="00573BD3">
        <w:rPr>
          <w:rFonts w:ascii="仿宋" w:eastAsia="仿宋" w:hAnsi="仿宋" w:hint="eastAsia"/>
          <w:kern w:val="2"/>
          <w:sz w:val="28"/>
          <w:szCs w:val="28"/>
        </w:rPr>
        <w:t>7</w:t>
      </w:r>
      <w:r w:rsidRPr="00573BD3">
        <w:rPr>
          <w:rFonts w:ascii="仿宋" w:eastAsia="仿宋" w:hAnsi="仿宋" w:hint="eastAsia"/>
          <w:kern w:val="2"/>
          <w:sz w:val="28"/>
          <w:szCs w:val="28"/>
        </w:rPr>
        <w:t>日</w:t>
      </w:r>
      <w:r w:rsidR="002449B2">
        <w:rPr>
          <w:rFonts w:ascii="仿宋" w:eastAsia="仿宋" w:hAnsi="仿宋" w:hint="eastAsia"/>
          <w:kern w:val="2"/>
          <w:sz w:val="28"/>
          <w:szCs w:val="28"/>
        </w:rPr>
        <w:t>下午17</w:t>
      </w:r>
      <w:r w:rsidR="00633112">
        <w:rPr>
          <w:rFonts w:ascii="仿宋" w:eastAsia="仿宋" w:hAnsi="仿宋" w:hint="eastAsia"/>
          <w:kern w:val="2"/>
          <w:sz w:val="28"/>
          <w:szCs w:val="28"/>
        </w:rPr>
        <w:t>时</w:t>
      </w:r>
      <w:bookmarkStart w:id="0" w:name="_GoBack"/>
      <w:bookmarkEnd w:id="0"/>
      <w:r w:rsidRPr="00573BD3">
        <w:rPr>
          <w:rFonts w:ascii="仿宋" w:eastAsia="仿宋" w:hAnsi="仿宋" w:hint="eastAsia"/>
          <w:kern w:val="2"/>
          <w:sz w:val="28"/>
          <w:szCs w:val="28"/>
        </w:rPr>
        <w:t>在广东省汕头市海滨路55号海逸投资大厦4楼会议室召开。本次会议应</w:t>
      </w:r>
      <w:r>
        <w:rPr>
          <w:rFonts w:ascii="仿宋" w:eastAsia="仿宋" w:hAnsi="仿宋" w:hint="eastAsia"/>
          <w:kern w:val="2"/>
          <w:sz w:val="28"/>
          <w:szCs w:val="28"/>
        </w:rPr>
        <w:t>到监事为3人，实到人数3人，董事会秘书列席会议。会议由毛晓玲女士主持，会议的召开和召集程序符合《中华人民共和国公司法》和《广东天亿马信息产业股份有限公司章程》的要求。</w:t>
      </w:r>
    </w:p>
    <w:p w:rsidR="00876054" w:rsidRDefault="00876054" w:rsidP="00876054">
      <w:pPr>
        <w:pStyle w:val="a3"/>
        <w:numPr>
          <w:ilvl w:val="0"/>
          <w:numId w:val="1"/>
        </w:numPr>
        <w:spacing w:before="109" w:line="360" w:lineRule="auto"/>
        <w:ind w:left="28" w:right="62" w:firstLine="488"/>
        <w:jc w:val="both"/>
        <w:outlineLvl w:val="0"/>
        <w:rPr>
          <w:rFonts w:ascii="仿宋" w:eastAsia="仿宋" w:hAnsi="仿宋"/>
          <w:b/>
          <w:bCs/>
          <w:kern w:val="2"/>
          <w:sz w:val="28"/>
          <w:szCs w:val="28"/>
        </w:rPr>
      </w:pPr>
      <w:r>
        <w:rPr>
          <w:rFonts w:ascii="仿宋" w:eastAsia="仿宋" w:hAnsi="仿宋" w:hint="eastAsia"/>
          <w:b/>
          <w:bCs/>
          <w:kern w:val="2"/>
          <w:sz w:val="28"/>
          <w:szCs w:val="28"/>
        </w:rPr>
        <w:t>监事会会议审议情况</w:t>
      </w:r>
    </w:p>
    <w:p w:rsidR="00876054" w:rsidRDefault="00876054" w:rsidP="00876054">
      <w:pPr>
        <w:widowControl w:val="0"/>
        <w:autoSpaceDN/>
        <w:spacing w:line="360" w:lineRule="auto"/>
        <w:ind w:firstLineChars="200" w:firstLine="560"/>
        <w:jc w:val="both"/>
        <w:rPr>
          <w:rFonts w:ascii="仿宋" w:eastAsia="仿宋" w:hAnsi="仿宋"/>
          <w:kern w:val="2"/>
          <w:sz w:val="28"/>
          <w:szCs w:val="28"/>
        </w:rPr>
      </w:pPr>
      <w:r>
        <w:rPr>
          <w:rFonts w:ascii="仿宋" w:eastAsia="仿宋" w:hAnsi="仿宋" w:hint="eastAsia"/>
          <w:kern w:val="2"/>
          <w:sz w:val="28"/>
          <w:szCs w:val="28"/>
        </w:rPr>
        <w:t>会议审议并表决通过了以下决议：</w:t>
      </w:r>
    </w:p>
    <w:p w:rsidR="00045C8E" w:rsidRPr="00045C8E" w:rsidRDefault="00876054" w:rsidP="00045C8E">
      <w:pPr>
        <w:pStyle w:val="a5"/>
        <w:spacing w:line="360" w:lineRule="auto"/>
        <w:ind w:left="420" w:firstLineChars="0" w:hanging="420"/>
        <w:outlineLvl w:val="1"/>
        <w:rPr>
          <w:rFonts w:ascii="仿宋" w:eastAsia="仿宋" w:hAnsi="仿宋"/>
          <w:b/>
          <w:color w:val="000000"/>
          <w:sz w:val="28"/>
        </w:rPr>
      </w:pPr>
      <w:r w:rsidRPr="00045C8E">
        <w:rPr>
          <w:rFonts w:ascii="仿宋" w:eastAsia="仿宋" w:hAnsi="仿宋" w:hint="eastAsia"/>
          <w:b/>
          <w:bCs/>
          <w:sz w:val="28"/>
          <w:szCs w:val="28"/>
        </w:rPr>
        <w:t>（一）</w:t>
      </w:r>
      <w:r w:rsidR="00045C8E" w:rsidRPr="00045C8E">
        <w:rPr>
          <w:rFonts w:ascii="仿宋" w:eastAsia="仿宋" w:hAnsi="仿宋" w:hint="eastAsia"/>
          <w:b/>
          <w:color w:val="000000"/>
          <w:sz w:val="28"/>
        </w:rPr>
        <w:t>会议以同意3票，反对0票，弃权0票的表决结果审议通过《关于公司&lt;202</w:t>
      </w:r>
      <w:r w:rsidR="00045C8E">
        <w:rPr>
          <w:rFonts w:ascii="仿宋" w:eastAsia="仿宋" w:hAnsi="仿宋" w:hint="eastAsia"/>
          <w:b/>
          <w:color w:val="000000"/>
          <w:sz w:val="28"/>
        </w:rPr>
        <w:t>5</w:t>
      </w:r>
      <w:r w:rsidR="00045C8E" w:rsidRPr="00045C8E">
        <w:rPr>
          <w:rFonts w:ascii="仿宋" w:eastAsia="仿宋" w:hAnsi="仿宋" w:hint="eastAsia"/>
          <w:b/>
          <w:color w:val="000000"/>
          <w:sz w:val="28"/>
        </w:rPr>
        <w:t>年半年度报告&gt;及&lt;202</w:t>
      </w:r>
      <w:r w:rsidR="00045C8E">
        <w:rPr>
          <w:rFonts w:ascii="仿宋" w:eastAsia="仿宋" w:hAnsi="仿宋" w:hint="eastAsia"/>
          <w:b/>
          <w:color w:val="000000"/>
          <w:sz w:val="28"/>
        </w:rPr>
        <w:t>5</w:t>
      </w:r>
      <w:r w:rsidR="00045C8E" w:rsidRPr="00045C8E">
        <w:rPr>
          <w:rFonts w:ascii="仿宋" w:eastAsia="仿宋" w:hAnsi="仿宋" w:hint="eastAsia"/>
          <w:b/>
          <w:color w:val="000000"/>
          <w:sz w:val="28"/>
        </w:rPr>
        <w:t>年半年度报告摘要&gt;的议案》。</w:t>
      </w:r>
    </w:p>
    <w:p w:rsidR="00045C8E" w:rsidRPr="003573A1" w:rsidRDefault="00045C8E" w:rsidP="00045C8E">
      <w:pPr>
        <w:spacing w:line="360" w:lineRule="auto"/>
        <w:ind w:firstLineChars="200" w:firstLine="560"/>
        <w:rPr>
          <w:rFonts w:ascii="仿宋" w:eastAsia="仿宋" w:hAnsi="仿宋"/>
          <w:sz w:val="28"/>
        </w:rPr>
      </w:pPr>
      <w:r w:rsidRPr="003573A1">
        <w:rPr>
          <w:rFonts w:ascii="仿宋" w:eastAsia="仿宋" w:hAnsi="仿宋" w:hint="eastAsia"/>
          <w:sz w:val="28"/>
          <w:szCs w:val="28"/>
        </w:rPr>
        <w:t>公司根据深圳证券交易所相关要求编制了《202</w:t>
      </w:r>
      <w:r>
        <w:rPr>
          <w:rFonts w:ascii="仿宋" w:eastAsia="仿宋" w:hAnsi="仿宋" w:hint="eastAsia"/>
          <w:sz w:val="28"/>
          <w:szCs w:val="28"/>
        </w:rPr>
        <w:t>5</w:t>
      </w:r>
      <w:r w:rsidRPr="003573A1">
        <w:rPr>
          <w:rFonts w:ascii="仿宋" w:eastAsia="仿宋" w:hAnsi="仿宋" w:hint="eastAsia"/>
          <w:sz w:val="28"/>
          <w:szCs w:val="28"/>
        </w:rPr>
        <w:t>年半年度报告》及《202</w:t>
      </w:r>
      <w:r>
        <w:rPr>
          <w:rFonts w:ascii="仿宋" w:eastAsia="仿宋" w:hAnsi="仿宋" w:hint="eastAsia"/>
          <w:sz w:val="28"/>
          <w:szCs w:val="28"/>
        </w:rPr>
        <w:t>5</w:t>
      </w:r>
      <w:r w:rsidRPr="003573A1">
        <w:rPr>
          <w:rFonts w:ascii="仿宋" w:eastAsia="仿宋" w:hAnsi="仿宋" w:hint="eastAsia"/>
          <w:sz w:val="28"/>
          <w:szCs w:val="28"/>
        </w:rPr>
        <w:t>年半年度报告摘要》。经审核，监事会认为：公司《202</w:t>
      </w:r>
      <w:r>
        <w:rPr>
          <w:rFonts w:ascii="仿宋" w:eastAsia="仿宋" w:hAnsi="仿宋" w:hint="eastAsia"/>
          <w:sz w:val="28"/>
          <w:szCs w:val="28"/>
        </w:rPr>
        <w:t>5</w:t>
      </w:r>
      <w:r w:rsidRPr="003573A1">
        <w:rPr>
          <w:rFonts w:ascii="仿宋" w:eastAsia="仿宋" w:hAnsi="仿宋" w:hint="eastAsia"/>
          <w:sz w:val="28"/>
          <w:szCs w:val="28"/>
        </w:rPr>
        <w:t>年半年度报告》及《202</w:t>
      </w:r>
      <w:r>
        <w:rPr>
          <w:rFonts w:ascii="仿宋" w:eastAsia="仿宋" w:hAnsi="仿宋" w:hint="eastAsia"/>
          <w:sz w:val="28"/>
          <w:szCs w:val="28"/>
        </w:rPr>
        <w:t>5</w:t>
      </w:r>
      <w:r w:rsidRPr="003573A1">
        <w:rPr>
          <w:rFonts w:ascii="仿宋" w:eastAsia="仿宋" w:hAnsi="仿宋" w:hint="eastAsia"/>
          <w:sz w:val="28"/>
          <w:szCs w:val="28"/>
        </w:rPr>
        <w:t>年半年度报告摘要》的编制和审议程序符合法律、行政法规、公司章程和公司内部管理制度的各项规定。报告及摘要的内容和格式符合深圳证券交易所的各项规定，真实地反映出公司报告期内的经营管理和财务状况，经核查未发现所包含的信息存在不符合实际的情况。</w:t>
      </w:r>
    </w:p>
    <w:p w:rsidR="00045C8E" w:rsidRPr="003573A1" w:rsidRDefault="00045C8E" w:rsidP="00045C8E">
      <w:pPr>
        <w:spacing w:line="360" w:lineRule="auto"/>
        <w:ind w:firstLineChars="200" w:firstLine="560"/>
        <w:rPr>
          <w:rFonts w:ascii="仿宋" w:eastAsia="仿宋" w:hAnsi="仿宋"/>
          <w:sz w:val="28"/>
        </w:rPr>
      </w:pPr>
      <w:r w:rsidRPr="003573A1">
        <w:rPr>
          <w:rFonts w:ascii="仿宋" w:eastAsia="仿宋" w:hAnsi="仿宋" w:hint="eastAsia"/>
          <w:sz w:val="28"/>
        </w:rPr>
        <w:lastRenderedPageBreak/>
        <w:t>具体内容详见公司同日披露于巨潮资讯网（www.cninfo.com.cn）等法定披露媒体的《广东天亿马信息产业股份有限公司202</w:t>
      </w:r>
      <w:r>
        <w:rPr>
          <w:rFonts w:ascii="仿宋" w:eastAsia="仿宋" w:hAnsi="仿宋" w:hint="eastAsia"/>
          <w:sz w:val="28"/>
        </w:rPr>
        <w:t>5</w:t>
      </w:r>
      <w:r w:rsidRPr="003573A1">
        <w:rPr>
          <w:rFonts w:ascii="仿宋" w:eastAsia="仿宋" w:hAnsi="仿宋" w:hint="eastAsia"/>
          <w:sz w:val="28"/>
        </w:rPr>
        <w:t>年半年度报告》（公告编号：202</w:t>
      </w:r>
      <w:r>
        <w:rPr>
          <w:rFonts w:ascii="仿宋" w:eastAsia="仿宋" w:hAnsi="仿宋" w:hint="eastAsia"/>
          <w:sz w:val="28"/>
        </w:rPr>
        <w:t>5</w:t>
      </w:r>
      <w:r w:rsidRPr="003573A1">
        <w:rPr>
          <w:rFonts w:ascii="仿宋" w:eastAsia="仿宋" w:hAnsi="仿宋" w:hint="eastAsia"/>
          <w:sz w:val="28"/>
        </w:rPr>
        <w:t>-</w:t>
      </w:r>
      <w:r w:rsidR="00996D77">
        <w:rPr>
          <w:rFonts w:ascii="仿宋" w:eastAsia="仿宋" w:hAnsi="仿宋" w:hint="eastAsia"/>
          <w:sz w:val="28"/>
        </w:rPr>
        <w:t>070</w:t>
      </w:r>
      <w:r w:rsidRPr="003573A1">
        <w:rPr>
          <w:rFonts w:ascii="仿宋" w:eastAsia="仿宋" w:hAnsi="仿宋" w:hint="eastAsia"/>
          <w:sz w:val="28"/>
        </w:rPr>
        <w:t>）及《广东天亿马信息产业股份有限公司202</w:t>
      </w:r>
      <w:r>
        <w:rPr>
          <w:rFonts w:ascii="仿宋" w:eastAsia="仿宋" w:hAnsi="仿宋" w:hint="eastAsia"/>
          <w:sz w:val="28"/>
        </w:rPr>
        <w:t>5</w:t>
      </w:r>
      <w:r w:rsidRPr="003573A1">
        <w:rPr>
          <w:rFonts w:ascii="仿宋" w:eastAsia="仿宋" w:hAnsi="仿宋" w:hint="eastAsia"/>
          <w:sz w:val="28"/>
        </w:rPr>
        <w:t>年半年度报告摘要》（公告编号：202</w:t>
      </w:r>
      <w:r>
        <w:rPr>
          <w:rFonts w:ascii="仿宋" w:eastAsia="仿宋" w:hAnsi="仿宋" w:hint="eastAsia"/>
          <w:sz w:val="28"/>
        </w:rPr>
        <w:t>5</w:t>
      </w:r>
      <w:r w:rsidRPr="003573A1">
        <w:rPr>
          <w:rFonts w:ascii="仿宋" w:eastAsia="仿宋" w:hAnsi="仿宋" w:hint="eastAsia"/>
          <w:sz w:val="28"/>
        </w:rPr>
        <w:t>-</w:t>
      </w:r>
      <w:r w:rsidR="00996D77">
        <w:rPr>
          <w:rFonts w:ascii="仿宋" w:eastAsia="仿宋" w:hAnsi="仿宋" w:hint="eastAsia"/>
          <w:sz w:val="28"/>
        </w:rPr>
        <w:t>071</w:t>
      </w:r>
      <w:r w:rsidRPr="003573A1">
        <w:rPr>
          <w:rFonts w:ascii="仿宋" w:eastAsia="仿宋" w:hAnsi="仿宋" w:hint="eastAsia"/>
          <w:sz w:val="28"/>
        </w:rPr>
        <w:t>）。</w:t>
      </w:r>
    </w:p>
    <w:p w:rsidR="00045C8E" w:rsidRDefault="00045C8E" w:rsidP="00045C8E">
      <w:pPr>
        <w:spacing w:line="360" w:lineRule="auto"/>
        <w:ind w:firstLineChars="200" w:firstLine="560"/>
        <w:rPr>
          <w:rFonts w:ascii="仿宋" w:eastAsia="仿宋" w:hAnsi="仿宋"/>
          <w:sz w:val="28"/>
        </w:rPr>
      </w:pPr>
      <w:r w:rsidRPr="003573A1">
        <w:rPr>
          <w:rFonts w:ascii="仿宋" w:eastAsia="仿宋" w:hAnsi="仿宋" w:hint="eastAsia"/>
          <w:sz w:val="28"/>
        </w:rPr>
        <w:t>回避表决情况：本议案不涉及回避表决情况。</w:t>
      </w:r>
    </w:p>
    <w:p w:rsidR="00045C8E" w:rsidRPr="00045C8E" w:rsidRDefault="00045C8E" w:rsidP="00045C8E">
      <w:pPr>
        <w:pStyle w:val="a5"/>
        <w:spacing w:line="360" w:lineRule="auto"/>
        <w:ind w:left="420" w:firstLineChars="0" w:hanging="420"/>
        <w:outlineLvl w:val="1"/>
        <w:rPr>
          <w:rFonts w:ascii="仿宋" w:eastAsia="仿宋" w:hAnsi="仿宋"/>
          <w:b/>
          <w:color w:val="000000"/>
          <w:sz w:val="28"/>
        </w:rPr>
      </w:pPr>
      <w:r w:rsidRPr="00045C8E">
        <w:rPr>
          <w:rFonts w:ascii="仿宋" w:eastAsia="仿宋" w:hAnsi="仿宋" w:hint="eastAsia"/>
          <w:b/>
          <w:bCs/>
          <w:sz w:val="28"/>
          <w:szCs w:val="28"/>
        </w:rPr>
        <w:t>（</w:t>
      </w:r>
      <w:r w:rsidR="002838D9">
        <w:rPr>
          <w:rFonts w:ascii="仿宋" w:eastAsia="仿宋" w:hAnsi="仿宋" w:hint="eastAsia"/>
          <w:b/>
          <w:bCs/>
          <w:sz w:val="28"/>
          <w:szCs w:val="28"/>
        </w:rPr>
        <w:t>二</w:t>
      </w:r>
      <w:r w:rsidRPr="00045C8E">
        <w:rPr>
          <w:rFonts w:ascii="仿宋" w:eastAsia="仿宋" w:hAnsi="仿宋" w:hint="eastAsia"/>
          <w:b/>
          <w:bCs/>
          <w:sz w:val="28"/>
          <w:szCs w:val="28"/>
        </w:rPr>
        <w:t>）</w:t>
      </w:r>
      <w:r w:rsidRPr="00045C8E">
        <w:rPr>
          <w:rFonts w:ascii="仿宋" w:eastAsia="仿宋" w:hAnsi="仿宋" w:hint="eastAsia"/>
          <w:b/>
          <w:color w:val="000000"/>
          <w:sz w:val="28"/>
        </w:rPr>
        <w:t>会议以同意3票，反对0票，弃权0票的表决结果审议通过《</w:t>
      </w:r>
      <w:r w:rsidR="002838D9" w:rsidRPr="002838D9">
        <w:rPr>
          <w:rFonts w:ascii="仿宋" w:eastAsia="仿宋" w:hAnsi="仿宋" w:hint="eastAsia"/>
          <w:b/>
          <w:color w:val="000000"/>
          <w:sz w:val="28"/>
        </w:rPr>
        <w:t>关于公司&lt;202</w:t>
      </w:r>
      <w:r w:rsidR="002838D9">
        <w:rPr>
          <w:rFonts w:ascii="仿宋" w:eastAsia="仿宋" w:hAnsi="仿宋" w:hint="eastAsia"/>
          <w:b/>
          <w:color w:val="000000"/>
          <w:sz w:val="28"/>
        </w:rPr>
        <w:t>5</w:t>
      </w:r>
      <w:r w:rsidR="002838D9" w:rsidRPr="002838D9">
        <w:rPr>
          <w:rFonts w:ascii="仿宋" w:eastAsia="仿宋" w:hAnsi="仿宋" w:hint="eastAsia"/>
          <w:b/>
          <w:color w:val="000000"/>
          <w:sz w:val="28"/>
        </w:rPr>
        <w:t>年半年度募集资金存放与使用情况的专项报告&gt;的议案</w:t>
      </w:r>
      <w:r w:rsidRPr="00045C8E">
        <w:rPr>
          <w:rFonts w:ascii="仿宋" w:eastAsia="仿宋" w:hAnsi="仿宋" w:hint="eastAsia"/>
          <w:b/>
          <w:color w:val="000000"/>
          <w:sz w:val="28"/>
        </w:rPr>
        <w:t>》。</w:t>
      </w:r>
    </w:p>
    <w:p w:rsidR="002838D9" w:rsidRPr="003573A1" w:rsidRDefault="002838D9" w:rsidP="002838D9">
      <w:pPr>
        <w:spacing w:line="360" w:lineRule="auto"/>
        <w:ind w:firstLineChars="200" w:firstLine="560"/>
        <w:rPr>
          <w:rFonts w:ascii="仿宋" w:eastAsia="仿宋" w:hAnsi="仿宋"/>
          <w:sz w:val="28"/>
        </w:rPr>
      </w:pPr>
      <w:r w:rsidRPr="003573A1">
        <w:rPr>
          <w:rFonts w:ascii="仿宋" w:eastAsia="仿宋" w:hAnsi="仿宋" w:hint="eastAsia"/>
          <w:sz w:val="28"/>
          <w:szCs w:val="28"/>
        </w:rPr>
        <w:t>根据《上市公司监管指引第2号——上市公司募集资金管理和使用的监管要求》和深圳证券交易所发布的《深圳证券交易所上市公司自律监管指引第2号——创业板上市公司规范运作》等有关规定，公司董事会编制了截至202</w:t>
      </w:r>
      <w:r w:rsidR="006825DC">
        <w:rPr>
          <w:rFonts w:ascii="仿宋" w:eastAsia="仿宋" w:hAnsi="仿宋" w:hint="eastAsia"/>
          <w:sz w:val="28"/>
          <w:szCs w:val="28"/>
        </w:rPr>
        <w:t>5</w:t>
      </w:r>
      <w:r w:rsidRPr="003573A1">
        <w:rPr>
          <w:rFonts w:ascii="仿宋" w:eastAsia="仿宋" w:hAnsi="仿宋" w:hint="eastAsia"/>
          <w:sz w:val="28"/>
          <w:szCs w:val="28"/>
        </w:rPr>
        <w:t>年6月30日止的募集资金存放与使用情况的专项报告。经审核，监事会认为：公司《202</w:t>
      </w:r>
      <w:r w:rsidR="006825DC">
        <w:rPr>
          <w:rFonts w:ascii="仿宋" w:eastAsia="仿宋" w:hAnsi="仿宋" w:hint="eastAsia"/>
          <w:sz w:val="28"/>
          <w:szCs w:val="28"/>
        </w:rPr>
        <w:t>5</w:t>
      </w:r>
      <w:r w:rsidRPr="003573A1">
        <w:rPr>
          <w:rFonts w:ascii="仿宋" w:eastAsia="仿宋" w:hAnsi="仿宋" w:hint="eastAsia"/>
          <w:sz w:val="28"/>
          <w:szCs w:val="28"/>
        </w:rPr>
        <w:t>年半年度募集资金存放与使用情况的专项报告》的编制符合相关法律、行政法规的规定，客观、真实地反映了公司202</w:t>
      </w:r>
      <w:r w:rsidR="006825DC">
        <w:rPr>
          <w:rFonts w:ascii="仿宋" w:eastAsia="仿宋" w:hAnsi="仿宋" w:hint="eastAsia"/>
          <w:sz w:val="28"/>
          <w:szCs w:val="28"/>
        </w:rPr>
        <w:t>5</w:t>
      </w:r>
      <w:r w:rsidRPr="003573A1">
        <w:rPr>
          <w:rFonts w:ascii="仿宋" w:eastAsia="仿宋" w:hAnsi="仿宋" w:hint="eastAsia"/>
          <w:sz w:val="28"/>
          <w:szCs w:val="28"/>
        </w:rPr>
        <w:t>年半年度募集资金的存放与使用情况。报告期内，公司募集资金的存放与使用情况符合相关要求，不存在募集资金存放和使用违规的情形。</w:t>
      </w:r>
    </w:p>
    <w:p w:rsidR="002838D9" w:rsidRPr="003573A1" w:rsidRDefault="002838D9" w:rsidP="002838D9">
      <w:pPr>
        <w:spacing w:line="360" w:lineRule="auto"/>
        <w:ind w:firstLineChars="200" w:firstLine="560"/>
        <w:rPr>
          <w:rFonts w:ascii="仿宋" w:eastAsia="仿宋" w:hAnsi="仿宋"/>
          <w:sz w:val="28"/>
        </w:rPr>
      </w:pPr>
      <w:r w:rsidRPr="003573A1">
        <w:rPr>
          <w:rFonts w:ascii="仿宋" w:eastAsia="仿宋" w:hAnsi="仿宋" w:hint="eastAsia"/>
          <w:sz w:val="28"/>
        </w:rPr>
        <w:t>具体内容详见公司同日披露于巨潮资讯网（www.cninfo.com.cn）等法定披露媒体的《</w:t>
      </w:r>
      <w:r w:rsidRPr="003573A1">
        <w:rPr>
          <w:rFonts w:ascii="仿宋" w:eastAsia="仿宋" w:hAnsi="仿宋" w:hint="eastAsia"/>
          <w:sz w:val="28"/>
          <w:szCs w:val="28"/>
        </w:rPr>
        <w:t>202</w:t>
      </w:r>
      <w:r w:rsidR="006825DC">
        <w:rPr>
          <w:rFonts w:ascii="仿宋" w:eastAsia="仿宋" w:hAnsi="仿宋" w:hint="eastAsia"/>
          <w:sz w:val="28"/>
          <w:szCs w:val="28"/>
        </w:rPr>
        <w:t>5</w:t>
      </w:r>
      <w:r w:rsidRPr="003573A1">
        <w:rPr>
          <w:rFonts w:ascii="仿宋" w:eastAsia="仿宋" w:hAnsi="仿宋" w:hint="eastAsia"/>
          <w:sz w:val="28"/>
          <w:szCs w:val="28"/>
        </w:rPr>
        <w:t>年半年度募集资金存放与使用情况的专项报告</w:t>
      </w:r>
      <w:r w:rsidRPr="003573A1">
        <w:rPr>
          <w:rFonts w:ascii="仿宋" w:eastAsia="仿宋" w:hAnsi="仿宋" w:hint="eastAsia"/>
          <w:sz w:val="28"/>
        </w:rPr>
        <w:t>》（公告编号：202</w:t>
      </w:r>
      <w:r w:rsidR="003C1C1C">
        <w:rPr>
          <w:rFonts w:ascii="仿宋" w:eastAsia="仿宋" w:hAnsi="仿宋" w:hint="eastAsia"/>
          <w:sz w:val="28"/>
        </w:rPr>
        <w:t>5</w:t>
      </w:r>
      <w:r w:rsidRPr="003573A1">
        <w:rPr>
          <w:rFonts w:ascii="仿宋" w:eastAsia="仿宋" w:hAnsi="仿宋" w:hint="eastAsia"/>
          <w:sz w:val="28"/>
        </w:rPr>
        <w:t>-</w:t>
      </w:r>
      <w:r w:rsidR="000D5A83">
        <w:rPr>
          <w:rFonts w:ascii="仿宋" w:eastAsia="仿宋" w:hAnsi="仿宋" w:hint="eastAsia"/>
          <w:sz w:val="28"/>
        </w:rPr>
        <w:t>072</w:t>
      </w:r>
      <w:r w:rsidRPr="003573A1">
        <w:rPr>
          <w:rFonts w:ascii="仿宋" w:eastAsia="仿宋" w:hAnsi="仿宋" w:hint="eastAsia"/>
          <w:sz w:val="28"/>
        </w:rPr>
        <w:t>）。</w:t>
      </w:r>
    </w:p>
    <w:p w:rsidR="002838D9" w:rsidRPr="003573A1" w:rsidRDefault="002838D9" w:rsidP="002838D9">
      <w:pPr>
        <w:spacing w:line="360" w:lineRule="auto"/>
        <w:ind w:firstLineChars="200" w:firstLine="560"/>
        <w:rPr>
          <w:rFonts w:ascii="仿宋" w:eastAsia="仿宋" w:hAnsi="仿宋"/>
          <w:sz w:val="28"/>
        </w:rPr>
      </w:pPr>
      <w:r w:rsidRPr="003573A1">
        <w:rPr>
          <w:rFonts w:ascii="仿宋" w:eastAsia="仿宋" w:hAnsi="仿宋" w:hint="eastAsia"/>
          <w:sz w:val="28"/>
        </w:rPr>
        <w:t>回避表决情况：本议案不涉及回避表决情况。</w:t>
      </w:r>
    </w:p>
    <w:p w:rsidR="00876054" w:rsidRDefault="00876054" w:rsidP="00171C1F">
      <w:pPr>
        <w:pStyle w:val="a3"/>
        <w:numPr>
          <w:ilvl w:val="0"/>
          <w:numId w:val="1"/>
        </w:numPr>
        <w:spacing w:before="109" w:line="360" w:lineRule="auto"/>
        <w:ind w:left="28" w:right="62" w:firstLine="488"/>
        <w:jc w:val="both"/>
        <w:outlineLvl w:val="0"/>
        <w:rPr>
          <w:rFonts w:ascii="仿宋" w:eastAsia="仿宋" w:hAnsi="仿宋"/>
          <w:kern w:val="2"/>
          <w:sz w:val="28"/>
          <w:szCs w:val="28"/>
        </w:rPr>
      </w:pPr>
      <w:r>
        <w:rPr>
          <w:rFonts w:ascii="仿宋" w:eastAsia="仿宋" w:hAnsi="仿宋" w:hint="eastAsia"/>
          <w:b/>
          <w:bCs/>
          <w:kern w:val="2"/>
          <w:sz w:val="28"/>
          <w:szCs w:val="28"/>
        </w:rPr>
        <w:t>备查文件</w:t>
      </w:r>
    </w:p>
    <w:p w:rsidR="00876054" w:rsidRDefault="00876054" w:rsidP="00876054">
      <w:pPr>
        <w:pStyle w:val="a3"/>
        <w:spacing w:before="109" w:line="360" w:lineRule="auto"/>
        <w:ind w:firstLineChars="200" w:firstLine="560"/>
        <w:jc w:val="both"/>
        <w:rPr>
          <w:rFonts w:ascii="仿宋" w:eastAsia="仿宋" w:hAnsi="仿宋"/>
          <w:kern w:val="2"/>
          <w:sz w:val="28"/>
          <w:szCs w:val="28"/>
        </w:rPr>
      </w:pPr>
      <w:r>
        <w:rPr>
          <w:rFonts w:ascii="仿宋" w:eastAsia="仿宋" w:hAnsi="仿宋" w:hint="eastAsia"/>
          <w:kern w:val="2"/>
          <w:sz w:val="28"/>
          <w:szCs w:val="28"/>
        </w:rPr>
        <w:t>（一）《广东天亿马信息产业股份有限公司第三届监事会第二十</w:t>
      </w:r>
      <w:r w:rsidR="00502239">
        <w:rPr>
          <w:rFonts w:ascii="仿宋" w:eastAsia="仿宋" w:hAnsi="仿宋" w:hint="eastAsia"/>
          <w:kern w:val="2"/>
          <w:sz w:val="28"/>
          <w:szCs w:val="28"/>
        </w:rPr>
        <w:t>九</w:t>
      </w:r>
      <w:r>
        <w:rPr>
          <w:rFonts w:ascii="仿宋" w:eastAsia="仿宋" w:hAnsi="仿宋" w:hint="eastAsia"/>
          <w:kern w:val="2"/>
          <w:sz w:val="28"/>
          <w:szCs w:val="28"/>
        </w:rPr>
        <w:t>次会议决议》</w:t>
      </w:r>
      <w:r w:rsidR="00114DAB">
        <w:rPr>
          <w:rFonts w:ascii="仿宋" w:eastAsia="仿宋" w:hAnsi="仿宋" w:hint="eastAsia"/>
          <w:kern w:val="2"/>
          <w:sz w:val="28"/>
          <w:szCs w:val="28"/>
        </w:rPr>
        <w:t>；</w:t>
      </w:r>
    </w:p>
    <w:p w:rsidR="00114DAB" w:rsidRDefault="00114DAB" w:rsidP="00876054">
      <w:pPr>
        <w:pStyle w:val="a3"/>
        <w:spacing w:before="109" w:line="360" w:lineRule="auto"/>
        <w:ind w:firstLineChars="200" w:firstLine="560"/>
        <w:jc w:val="both"/>
        <w:rPr>
          <w:rFonts w:ascii="仿宋" w:eastAsia="仿宋" w:hAnsi="仿宋"/>
          <w:kern w:val="2"/>
          <w:sz w:val="28"/>
          <w:szCs w:val="28"/>
        </w:rPr>
      </w:pPr>
      <w:r>
        <w:rPr>
          <w:rFonts w:ascii="仿宋" w:eastAsia="仿宋" w:hAnsi="仿宋" w:hint="eastAsia"/>
          <w:kern w:val="2"/>
          <w:sz w:val="28"/>
          <w:szCs w:val="28"/>
        </w:rPr>
        <w:lastRenderedPageBreak/>
        <w:t>（二）《广东天亿马信息产业股份有限公司监事会关于第三届监事会第二十九次会议相关事项的意见》</w:t>
      </w:r>
      <w:r w:rsidR="00876775">
        <w:rPr>
          <w:rFonts w:ascii="仿宋" w:eastAsia="仿宋" w:hAnsi="仿宋" w:hint="eastAsia"/>
          <w:kern w:val="2"/>
          <w:sz w:val="28"/>
          <w:szCs w:val="28"/>
        </w:rPr>
        <w:t>。</w:t>
      </w:r>
    </w:p>
    <w:p w:rsidR="00876054" w:rsidRDefault="00876054" w:rsidP="00876054">
      <w:pPr>
        <w:pStyle w:val="a3"/>
        <w:spacing w:line="360" w:lineRule="auto"/>
        <w:ind w:left="509"/>
        <w:rPr>
          <w:rFonts w:ascii="仿宋" w:eastAsia="仿宋" w:hAnsi="仿宋"/>
          <w:kern w:val="2"/>
          <w:sz w:val="28"/>
          <w:szCs w:val="28"/>
        </w:rPr>
      </w:pPr>
      <w:r>
        <w:rPr>
          <w:rFonts w:ascii="仿宋" w:eastAsia="仿宋" w:hAnsi="仿宋" w:hint="eastAsia"/>
          <w:kern w:val="2"/>
          <w:sz w:val="28"/>
          <w:szCs w:val="28"/>
        </w:rPr>
        <w:t>特此公告。</w:t>
      </w:r>
    </w:p>
    <w:p w:rsidR="00876054" w:rsidRDefault="00876054" w:rsidP="00876054">
      <w:pPr>
        <w:pStyle w:val="a3"/>
        <w:spacing w:line="360" w:lineRule="auto"/>
        <w:ind w:left="509"/>
        <w:jc w:val="right"/>
        <w:rPr>
          <w:rFonts w:ascii="仿宋" w:eastAsia="仿宋" w:hAnsi="仿宋"/>
          <w:kern w:val="2"/>
          <w:sz w:val="28"/>
          <w:szCs w:val="28"/>
        </w:rPr>
      </w:pPr>
      <w:r>
        <w:rPr>
          <w:rFonts w:ascii="仿宋" w:eastAsia="仿宋" w:hAnsi="仿宋" w:hint="eastAsia"/>
          <w:kern w:val="2"/>
          <w:sz w:val="28"/>
          <w:szCs w:val="28"/>
        </w:rPr>
        <w:t>广东天亿马信息产业股份有限公司</w:t>
      </w:r>
    </w:p>
    <w:p w:rsidR="00876054" w:rsidRDefault="00876054" w:rsidP="00876054">
      <w:pPr>
        <w:pStyle w:val="a3"/>
        <w:spacing w:line="360" w:lineRule="auto"/>
        <w:ind w:left="509"/>
        <w:jc w:val="right"/>
        <w:rPr>
          <w:rFonts w:ascii="仿宋" w:eastAsia="仿宋" w:hAnsi="仿宋"/>
          <w:kern w:val="2"/>
          <w:sz w:val="28"/>
          <w:szCs w:val="28"/>
        </w:rPr>
      </w:pPr>
      <w:r>
        <w:rPr>
          <w:rFonts w:ascii="仿宋" w:eastAsia="仿宋" w:hAnsi="仿宋" w:hint="eastAsia"/>
          <w:kern w:val="2"/>
          <w:sz w:val="28"/>
          <w:szCs w:val="28"/>
        </w:rPr>
        <w:t>监事会</w:t>
      </w:r>
    </w:p>
    <w:p w:rsidR="00876054" w:rsidRDefault="00876054" w:rsidP="00876054">
      <w:pPr>
        <w:pStyle w:val="a3"/>
        <w:spacing w:before="120" w:line="360" w:lineRule="auto"/>
        <w:ind w:left="5631"/>
        <w:jc w:val="right"/>
        <w:rPr>
          <w:rFonts w:ascii="仿宋" w:eastAsia="仿宋" w:hAnsi="仿宋"/>
          <w:kern w:val="2"/>
          <w:sz w:val="28"/>
          <w:szCs w:val="28"/>
        </w:rPr>
      </w:pPr>
      <w:r>
        <w:rPr>
          <w:rFonts w:ascii="仿宋" w:eastAsia="仿宋" w:hAnsi="仿宋" w:hint="eastAsia"/>
          <w:kern w:val="2"/>
          <w:sz w:val="28"/>
          <w:szCs w:val="28"/>
        </w:rPr>
        <w:t>2025年</w:t>
      </w:r>
      <w:r w:rsidR="009E0D23">
        <w:rPr>
          <w:rFonts w:ascii="仿宋" w:eastAsia="仿宋" w:hAnsi="仿宋" w:hint="eastAsia"/>
          <w:kern w:val="2"/>
          <w:sz w:val="28"/>
          <w:szCs w:val="28"/>
        </w:rPr>
        <w:t>8</w:t>
      </w:r>
      <w:r>
        <w:rPr>
          <w:rFonts w:ascii="仿宋" w:eastAsia="仿宋" w:hAnsi="仿宋" w:hint="eastAsia"/>
          <w:kern w:val="2"/>
          <w:sz w:val="28"/>
          <w:szCs w:val="28"/>
        </w:rPr>
        <w:t>月2</w:t>
      </w:r>
      <w:r w:rsidR="009E0D23">
        <w:rPr>
          <w:rFonts w:ascii="仿宋" w:eastAsia="仿宋" w:hAnsi="仿宋" w:hint="eastAsia"/>
          <w:kern w:val="2"/>
          <w:sz w:val="28"/>
          <w:szCs w:val="28"/>
        </w:rPr>
        <w:t>9</w:t>
      </w:r>
      <w:r>
        <w:rPr>
          <w:rFonts w:ascii="仿宋" w:eastAsia="仿宋" w:hAnsi="仿宋" w:hint="eastAsia"/>
          <w:kern w:val="2"/>
          <w:sz w:val="28"/>
          <w:szCs w:val="28"/>
        </w:rPr>
        <w:t>日</w:t>
      </w:r>
    </w:p>
    <w:p w:rsidR="000147EF" w:rsidRDefault="00677150"/>
    <w:sectPr w:rsidR="000147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7150" w:rsidRDefault="00677150" w:rsidP="008E2EF0">
      <w:r>
        <w:separator/>
      </w:r>
    </w:p>
  </w:endnote>
  <w:endnote w:type="continuationSeparator" w:id="0">
    <w:p w:rsidR="00677150" w:rsidRDefault="00677150" w:rsidP="008E2E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PingFang SC">
    <w:charset w:val="00"/>
    <w:family w:val="auto"/>
    <w:pitch w:val="default"/>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7150" w:rsidRDefault="00677150" w:rsidP="008E2EF0">
      <w:r>
        <w:separator/>
      </w:r>
    </w:p>
  </w:footnote>
  <w:footnote w:type="continuationSeparator" w:id="0">
    <w:p w:rsidR="00677150" w:rsidRDefault="00677150" w:rsidP="008E2EF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C34A2A"/>
    <w:multiLevelType w:val="multilevel"/>
    <w:tmpl w:val="D02CCDEE"/>
    <w:lvl w:ilvl="0">
      <w:start w:val="1"/>
      <w:numFmt w:val="chineseCounting"/>
      <w:suff w:val="nothing"/>
      <w:lvlText w:val="%1、"/>
      <w:lvlJc w:val="left"/>
      <w:pPr>
        <w:ind w:left="0" w:firstLine="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1730"/>
    <w:rsid w:val="00045C8E"/>
    <w:rsid w:val="000D5A83"/>
    <w:rsid w:val="000D6A61"/>
    <w:rsid w:val="00114DAB"/>
    <w:rsid w:val="001603A1"/>
    <w:rsid w:val="00171C1F"/>
    <w:rsid w:val="00243FB0"/>
    <w:rsid w:val="002449B2"/>
    <w:rsid w:val="00274BE6"/>
    <w:rsid w:val="002838D9"/>
    <w:rsid w:val="003C1C1C"/>
    <w:rsid w:val="00502239"/>
    <w:rsid w:val="00547DA8"/>
    <w:rsid w:val="00573BD3"/>
    <w:rsid w:val="005F091C"/>
    <w:rsid w:val="00633112"/>
    <w:rsid w:val="00677150"/>
    <w:rsid w:val="006825DC"/>
    <w:rsid w:val="006E735E"/>
    <w:rsid w:val="007306F4"/>
    <w:rsid w:val="0074210A"/>
    <w:rsid w:val="007B60A9"/>
    <w:rsid w:val="007E029A"/>
    <w:rsid w:val="00876054"/>
    <w:rsid w:val="00876775"/>
    <w:rsid w:val="008968E1"/>
    <w:rsid w:val="008D4624"/>
    <w:rsid w:val="008E2EF0"/>
    <w:rsid w:val="00912B32"/>
    <w:rsid w:val="00931730"/>
    <w:rsid w:val="00996D77"/>
    <w:rsid w:val="009E0D23"/>
    <w:rsid w:val="00A52FED"/>
    <w:rsid w:val="00AF2097"/>
    <w:rsid w:val="00BE49DC"/>
    <w:rsid w:val="00C613D7"/>
    <w:rsid w:val="00CC724F"/>
    <w:rsid w:val="00D80A93"/>
    <w:rsid w:val="00DC699C"/>
    <w:rsid w:val="00DF5742"/>
    <w:rsid w:val="00E2099D"/>
    <w:rsid w:val="00E97388"/>
    <w:rsid w:val="00EA4978"/>
    <w:rsid w:val="00EE208A"/>
    <w:rsid w:val="00F04A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6054"/>
    <w:pPr>
      <w:kinsoku w:val="0"/>
      <w:autoSpaceDE w:val="0"/>
      <w:autoSpaceDN w:val="0"/>
      <w:adjustRightInd w:val="0"/>
      <w:snapToGrid w:val="0"/>
      <w:textAlignment w:val="baseline"/>
    </w:pPr>
    <w:rPr>
      <w:rFonts w:ascii="Arial" w:eastAsia="宋体" w:hAnsi="Arial" w:cs="Arial"/>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rsid w:val="00876054"/>
    <w:rPr>
      <w:rFonts w:ascii="PingFang SC" w:hAnsi="PingFang SC" w:cs="宋体"/>
      <w:sz w:val="24"/>
      <w:szCs w:val="24"/>
    </w:rPr>
  </w:style>
  <w:style w:type="character" w:customStyle="1" w:styleId="Char">
    <w:name w:val="正文文本 Char"/>
    <w:basedOn w:val="a0"/>
    <w:link w:val="a3"/>
    <w:uiPriority w:val="99"/>
    <w:semiHidden/>
    <w:rsid w:val="00876054"/>
    <w:rPr>
      <w:rFonts w:ascii="PingFang SC" w:eastAsia="宋体" w:hAnsi="PingFang SC" w:cs="宋体"/>
      <w:color w:val="000000"/>
      <w:kern w:val="0"/>
      <w:sz w:val="24"/>
      <w:szCs w:val="24"/>
    </w:rPr>
  </w:style>
  <w:style w:type="table" w:styleId="a4">
    <w:name w:val="Table Grid"/>
    <w:basedOn w:val="a1"/>
    <w:uiPriority w:val="99"/>
    <w:unhideWhenUsed/>
    <w:rsid w:val="00876054"/>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basedOn w:val="a1"/>
    <w:rsid w:val="00876054"/>
    <w:rPr>
      <w:rFonts w:ascii="Times New Roman" w:eastAsia="Times New Roman" w:hAnsi="Times New Roman" w:cs="Times New Roman"/>
      <w:kern w:val="0"/>
      <w:sz w:val="20"/>
      <w:szCs w:val="20"/>
    </w:rPr>
    <w:tblPr>
      <w:tblInd w:w="0" w:type="dxa"/>
      <w:tblCellMar>
        <w:top w:w="0" w:type="dxa"/>
        <w:left w:w="0" w:type="dxa"/>
        <w:bottom w:w="0" w:type="dxa"/>
        <w:right w:w="0" w:type="dxa"/>
      </w:tblCellMar>
    </w:tblPr>
  </w:style>
  <w:style w:type="paragraph" w:styleId="a5">
    <w:name w:val="List Paragraph"/>
    <w:basedOn w:val="a"/>
    <w:uiPriority w:val="34"/>
    <w:qFormat/>
    <w:rsid w:val="00045C8E"/>
    <w:pPr>
      <w:widowControl w:val="0"/>
      <w:kinsoku/>
      <w:autoSpaceDE/>
      <w:autoSpaceDN/>
      <w:adjustRightInd/>
      <w:snapToGrid/>
      <w:ind w:firstLineChars="200" w:firstLine="420"/>
      <w:jc w:val="both"/>
      <w:textAlignment w:val="auto"/>
    </w:pPr>
    <w:rPr>
      <w:rFonts w:ascii="Times New Roman" w:hAnsi="Times New Roman" w:cs="Times New Roman"/>
      <w:color w:val="auto"/>
      <w:kern w:val="2"/>
      <w:szCs w:val="20"/>
    </w:rPr>
  </w:style>
  <w:style w:type="paragraph" w:styleId="a6">
    <w:name w:val="header"/>
    <w:basedOn w:val="a"/>
    <w:link w:val="Char0"/>
    <w:uiPriority w:val="99"/>
    <w:unhideWhenUsed/>
    <w:rsid w:val="008E2EF0"/>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6"/>
    <w:uiPriority w:val="99"/>
    <w:rsid w:val="008E2EF0"/>
    <w:rPr>
      <w:rFonts w:ascii="Arial" w:eastAsia="宋体" w:hAnsi="Arial" w:cs="Arial"/>
      <w:color w:val="000000"/>
      <w:kern w:val="0"/>
      <w:sz w:val="18"/>
      <w:szCs w:val="18"/>
    </w:rPr>
  </w:style>
  <w:style w:type="paragraph" w:styleId="a7">
    <w:name w:val="footer"/>
    <w:basedOn w:val="a"/>
    <w:link w:val="Char1"/>
    <w:uiPriority w:val="99"/>
    <w:unhideWhenUsed/>
    <w:rsid w:val="008E2EF0"/>
    <w:pPr>
      <w:tabs>
        <w:tab w:val="center" w:pos="4153"/>
        <w:tab w:val="right" w:pos="8306"/>
      </w:tabs>
    </w:pPr>
    <w:rPr>
      <w:sz w:val="18"/>
      <w:szCs w:val="18"/>
    </w:rPr>
  </w:style>
  <w:style w:type="character" w:customStyle="1" w:styleId="Char1">
    <w:name w:val="页脚 Char"/>
    <w:basedOn w:val="a0"/>
    <w:link w:val="a7"/>
    <w:uiPriority w:val="99"/>
    <w:rsid w:val="008E2EF0"/>
    <w:rPr>
      <w:rFonts w:ascii="Arial" w:eastAsia="宋体" w:hAnsi="Arial" w:cs="Arial"/>
      <w:color w:val="000000"/>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6054"/>
    <w:pPr>
      <w:kinsoku w:val="0"/>
      <w:autoSpaceDE w:val="0"/>
      <w:autoSpaceDN w:val="0"/>
      <w:adjustRightInd w:val="0"/>
      <w:snapToGrid w:val="0"/>
      <w:textAlignment w:val="baseline"/>
    </w:pPr>
    <w:rPr>
      <w:rFonts w:ascii="Arial" w:eastAsia="宋体" w:hAnsi="Arial" w:cs="Arial"/>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rsid w:val="00876054"/>
    <w:rPr>
      <w:rFonts w:ascii="PingFang SC" w:hAnsi="PingFang SC" w:cs="宋体"/>
      <w:sz w:val="24"/>
      <w:szCs w:val="24"/>
    </w:rPr>
  </w:style>
  <w:style w:type="character" w:customStyle="1" w:styleId="Char">
    <w:name w:val="正文文本 Char"/>
    <w:basedOn w:val="a0"/>
    <w:link w:val="a3"/>
    <w:uiPriority w:val="99"/>
    <w:semiHidden/>
    <w:rsid w:val="00876054"/>
    <w:rPr>
      <w:rFonts w:ascii="PingFang SC" w:eastAsia="宋体" w:hAnsi="PingFang SC" w:cs="宋体"/>
      <w:color w:val="000000"/>
      <w:kern w:val="0"/>
      <w:sz w:val="24"/>
      <w:szCs w:val="24"/>
    </w:rPr>
  </w:style>
  <w:style w:type="table" w:styleId="a4">
    <w:name w:val="Table Grid"/>
    <w:basedOn w:val="a1"/>
    <w:uiPriority w:val="99"/>
    <w:unhideWhenUsed/>
    <w:rsid w:val="00876054"/>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basedOn w:val="a1"/>
    <w:rsid w:val="00876054"/>
    <w:rPr>
      <w:rFonts w:ascii="Times New Roman" w:eastAsia="Times New Roman" w:hAnsi="Times New Roman" w:cs="Times New Roman"/>
      <w:kern w:val="0"/>
      <w:sz w:val="20"/>
      <w:szCs w:val="20"/>
    </w:rPr>
    <w:tblPr>
      <w:tblInd w:w="0" w:type="dxa"/>
      <w:tblCellMar>
        <w:top w:w="0" w:type="dxa"/>
        <w:left w:w="0" w:type="dxa"/>
        <w:bottom w:w="0" w:type="dxa"/>
        <w:right w:w="0" w:type="dxa"/>
      </w:tblCellMar>
    </w:tblPr>
  </w:style>
  <w:style w:type="paragraph" w:styleId="a5">
    <w:name w:val="List Paragraph"/>
    <w:basedOn w:val="a"/>
    <w:uiPriority w:val="34"/>
    <w:qFormat/>
    <w:rsid w:val="00045C8E"/>
    <w:pPr>
      <w:widowControl w:val="0"/>
      <w:kinsoku/>
      <w:autoSpaceDE/>
      <w:autoSpaceDN/>
      <w:adjustRightInd/>
      <w:snapToGrid/>
      <w:ind w:firstLineChars="200" w:firstLine="420"/>
      <w:jc w:val="both"/>
      <w:textAlignment w:val="auto"/>
    </w:pPr>
    <w:rPr>
      <w:rFonts w:ascii="Times New Roman" w:hAnsi="Times New Roman" w:cs="Times New Roman"/>
      <w:color w:val="auto"/>
      <w:kern w:val="2"/>
      <w:szCs w:val="20"/>
    </w:rPr>
  </w:style>
  <w:style w:type="paragraph" w:styleId="a6">
    <w:name w:val="header"/>
    <w:basedOn w:val="a"/>
    <w:link w:val="Char0"/>
    <w:uiPriority w:val="99"/>
    <w:unhideWhenUsed/>
    <w:rsid w:val="008E2EF0"/>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6"/>
    <w:uiPriority w:val="99"/>
    <w:rsid w:val="008E2EF0"/>
    <w:rPr>
      <w:rFonts w:ascii="Arial" w:eastAsia="宋体" w:hAnsi="Arial" w:cs="Arial"/>
      <w:color w:val="000000"/>
      <w:kern w:val="0"/>
      <w:sz w:val="18"/>
      <w:szCs w:val="18"/>
    </w:rPr>
  </w:style>
  <w:style w:type="paragraph" w:styleId="a7">
    <w:name w:val="footer"/>
    <w:basedOn w:val="a"/>
    <w:link w:val="Char1"/>
    <w:uiPriority w:val="99"/>
    <w:unhideWhenUsed/>
    <w:rsid w:val="008E2EF0"/>
    <w:pPr>
      <w:tabs>
        <w:tab w:val="center" w:pos="4153"/>
        <w:tab w:val="right" w:pos="8306"/>
      </w:tabs>
    </w:pPr>
    <w:rPr>
      <w:sz w:val="18"/>
      <w:szCs w:val="18"/>
    </w:rPr>
  </w:style>
  <w:style w:type="character" w:customStyle="1" w:styleId="Char1">
    <w:name w:val="页脚 Char"/>
    <w:basedOn w:val="a0"/>
    <w:link w:val="a7"/>
    <w:uiPriority w:val="99"/>
    <w:rsid w:val="008E2EF0"/>
    <w:rPr>
      <w:rFonts w:ascii="Arial" w:eastAsia="宋体" w:hAnsi="Arial" w:cs="Arial"/>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2880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195</Words>
  <Characters>1116</Characters>
  <Application>Microsoft Office Word</Application>
  <DocSecurity>0</DocSecurity>
  <Lines>9</Lines>
  <Paragraphs>2</Paragraphs>
  <ScaleCrop>false</ScaleCrop>
  <Company>Microsoft</Company>
  <LinksUpToDate>false</LinksUpToDate>
  <CharactersWithSpaces>1309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41</cp:revision>
  <dcterms:created xsi:type="dcterms:W3CDTF">2025-08-11T03:25:00Z</dcterms:created>
  <dcterms:modified xsi:type="dcterms:W3CDTF">2025-08-28T06:54:00Z</dcterms:modified>
</cp:coreProperties>
</file>