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3C32" w:rsidRDefault="006413B8">
      <w:pPr>
        <w:spacing w:before="2400" w:line="773" w:lineRule="exact"/>
        <w:jc w:val="center"/>
        <w:rPr>
          <w:rFonts w:ascii="Times New Roman" w:eastAsia="宋体" w:hAnsi="Times New Roman" w:cs="Times New Roman"/>
          <w:b/>
          <w:bCs/>
          <w:sz w:val="36"/>
          <w:szCs w:val="36"/>
        </w:rPr>
      </w:pPr>
      <w:r>
        <w:rPr>
          <w:rFonts w:ascii="Times New Roman" w:eastAsia="宋体" w:hAnsi="Times New Roman" w:cs="Times New Roman"/>
          <w:b/>
          <w:bCs/>
          <w:sz w:val="36"/>
          <w:szCs w:val="36"/>
        </w:rPr>
        <w:t>广东天亿马信息产业股份有限公司</w:t>
      </w:r>
    </w:p>
    <w:p w:rsidR="00CE3C32" w:rsidRDefault="006413B8">
      <w:pPr>
        <w:spacing w:before="1000" w:line="320" w:lineRule="exact"/>
        <w:jc w:val="center"/>
        <w:rPr>
          <w:rFonts w:ascii="Times New Roman" w:eastAsia="宋体" w:hAnsi="Times New Roman" w:cs="Times New Roman"/>
          <w:b/>
          <w:bCs/>
          <w:sz w:val="32"/>
          <w:szCs w:val="32"/>
        </w:rPr>
      </w:pPr>
      <w:r>
        <w:rPr>
          <w:rFonts w:ascii="Times New Roman" w:eastAsia="宋体" w:hAnsi="Times New Roman" w:cs="Times New Roman"/>
          <w:b/>
          <w:bCs/>
          <w:sz w:val="32"/>
          <w:szCs w:val="32"/>
        </w:rPr>
        <w:t>2025</w:t>
      </w:r>
      <w:r>
        <w:rPr>
          <w:rFonts w:ascii="Times New Roman" w:eastAsia="宋体" w:hAnsi="Times New Roman" w:cs="Times New Roman"/>
          <w:b/>
          <w:bCs/>
          <w:sz w:val="32"/>
          <w:szCs w:val="32"/>
        </w:rPr>
        <w:t>年半年度报告</w:t>
      </w:r>
    </w:p>
    <w:p w:rsidR="00CE3C32" w:rsidRDefault="006413B8">
      <w:pPr>
        <w:spacing w:before="1000" w:line="240" w:lineRule="exact"/>
        <w:jc w:val="center"/>
        <w:rPr>
          <w:rFonts w:ascii="Times New Roman" w:eastAsia="宋体" w:hAnsi="Times New Roman" w:cs="Times New Roman"/>
          <w:b/>
          <w:bCs/>
          <w:szCs w:val="21"/>
        </w:rPr>
      </w:pPr>
      <w:r>
        <w:rPr>
          <w:rFonts w:ascii="Times New Roman" w:eastAsia="宋体" w:hAnsi="Times New Roman" w:cs="Times New Roman"/>
          <w:b/>
          <w:bCs/>
          <w:szCs w:val="21"/>
        </w:rPr>
        <w:t>2025-070</w:t>
      </w:r>
    </w:p>
    <w:p w:rsidR="00CE3C32" w:rsidRDefault="006413B8">
      <w:pPr>
        <w:spacing w:before="1000" w:after="1000" w:line="0" w:lineRule="atLeast"/>
        <w:jc w:val="center"/>
        <w:rPr>
          <w:rFonts w:ascii="Times New Roman" w:eastAsia="宋体" w:hAnsi="Times New Roman" w:cs="Times New Roman"/>
        </w:rPr>
      </w:pPr>
      <w:r>
        <w:rPr>
          <w:rFonts w:ascii="Times New Roman" w:eastAsia="宋体" w:hAnsi="Times New Roman" w:cs="Times New Roman"/>
          <w:noProof/>
        </w:rPr>
        <w:drawing>
          <wp:inline distT="0" distB="0" distL="0" distR="0">
            <wp:extent cx="2851150" cy="160401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stretch>
                      <a:fillRect/>
                    </a:stretch>
                  </pic:blipFill>
                  <pic:spPr>
                    <a:xfrm>
                      <a:off x="0" y="0"/>
                      <a:ext cx="2877539" cy="1619190"/>
                    </a:xfrm>
                    <a:prstGeom prst="rect">
                      <a:avLst/>
                    </a:prstGeom>
                  </pic:spPr>
                </pic:pic>
              </a:graphicData>
            </a:graphic>
          </wp:inline>
        </w:drawing>
      </w:r>
    </w:p>
    <w:p w:rsidR="00CE3C32" w:rsidRDefault="006413B8">
      <w:pPr>
        <w:spacing w:before="400" w:line="320" w:lineRule="exact"/>
        <w:jc w:val="center"/>
        <w:rPr>
          <w:rFonts w:ascii="Times New Roman" w:eastAsia="宋体" w:hAnsi="Times New Roman" w:cs="Times New Roman"/>
          <w:b/>
          <w:bCs/>
          <w:sz w:val="32"/>
          <w:szCs w:val="32"/>
        </w:rPr>
      </w:pPr>
      <w:r>
        <w:rPr>
          <w:rFonts w:ascii="Times New Roman" w:eastAsia="宋体" w:hAnsi="Times New Roman" w:cs="Times New Roman" w:hint="eastAsia"/>
          <w:b/>
          <w:bCs/>
          <w:sz w:val="32"/>
          <w:szCs w:val="32"/>
        </w:rPr>
        <w:t>2025</w:t>
      </w:r>
      <w:r>
        <w:rPr>
          <w:rFonts w:ascii="Times New Roman" w:eastAsia="宋体" w:hAnsi="Times New Roman" w:cs="Times New Roman" w:hint="eastAsia"/>
          <w:b/>
          <w:bCs/>
          <w:sz w:val="32"/>
          <w:szCs w:val="32"/>
        </w:rPr>
        <w:t>年</w:t>
      </w:r>
      <w:r>
        <w:rPr>
          <w:rFonts w:ascii="Times New Roman" w:eastAsia="宋体" w:hAnsi="Times New Roman" w:cs="Times New Roman" w:hint="eastAsia"/>
          <w:b/>
          <w:bCs/>
          <w:sz w:val="32"/>
          <w:szCs w:val="32"/>
        </w:rPr>
        <w:t>8</w:t>
      </w:r>
      <w:r>
        <w:rPr>
          <w:rFonts w:ascii="Times New Roman" w:eastAsia="宋体" w:hAnsi="Times New Roman" w:cs="Times New Roman" w:hint="eastAsia"/>
          <w:b/>
          <w:bCs/>
          <w:sz w:val="32"/>
          <w:szCs w:val="32"/>
        </w:rPr>
        <w:t>月</w:t>
      </w:r>
    </w:p>
    <w:p w:rsidR="00CE3C32" w:rsidRDefault="006413B8">
      <w:pPr>
        <w:rPr>
          <w:rFonts w:ascii="Times New Roman" w:hAnsi="Times New Roman" w:cs="Times New Roman"/>
        </w:rPr>
      </w:pPr>
      <w:r>
        <w:rPr>
          <w:rFonts w:ascii="Times New Roman" w:hAnsi="Times New Roman" w:cs="Times New Roman"/>
        </w:rPr>
        <w:br w:type="page"/>
      </w:r>
    </w:p>
    <w:p w:rsidR="00CE3C32" w:rsidRDefault="006413B8">
      <w:pPr>
        <w:pStyle w:val="headingh1"/>
        <w:spacing w:before="340" w:after="330" w:line="773" w:lineRule="exact"/>
        <w:jc w:val="center"/>
        <w:rPr>
          <w:rFonts w:ascii="Times New Roman" w:eastAsia="宋体" w:hAnsi="Times New Roman" w:cs="Times New Roman"/>
          <w:b/>
          <w:bCs/>
          <w:sz w:val="32"/>
          <w:szCs w:val="32"/>
        </w:rPr>
      </w:pPr>
      <w:bookmarkStart w:id="0" w:name="_Toc988889"/>
      <w:r>
        <w:rPr>
          <w:rFonts w:ascii="Times New Roman" w:eastAsia="宋体" w:hAnsi="Times New Roman" w:cs="Times New Roman"/>
          <w:b/>
          <w:bCs/>
          <w:sz w:val="32"/>
          <w:szCs w:val="32"/>
        </w:rPr>
        <w:lastRenderedPageBreak/>
        <w:t>第一节</w:t>
      </w:r>
      <w:r>
        <w:rPr>
          <w:rFonts w:ascii="Times New Roman" w:eastAsia="宋体" w:hAnsi="Times New Roman" w:cs="Times New Roman"/>
          <w:b/>
          <w:bCs/>
          <w:sz w:val="32"/>
          <w:szCs w:val="32"/>
        </w:rPr>
        <w:t xml:space="preserve"> </w:t>
      </w:r>
      <w:r>
        <w:rPr>
          <w:rFonts w:ascii="Times New Roman" w:eastAsia="宋体" w:hAnsi="Times New Roman" w:cs="Times New Roman"/>
          <w:b/>
          <w:bCs/>
          <w:sz w:val="32"/>
          <w:szCs w:val="32"/>
        </w:rPr>
        <w:t>重要提示、目录和释义</w:t>
      </w:r>
      <w:bookmarkEnd w:id="0"/>
    </w:p>
    <w:p w:rsidR="00CE3C32" w:rsidRDefault="006413B8" w:rsidP="000C21FB">
      <w:pPr>
        <w:spacing w:before="40" w:after="40" w:line="560" w:lineRule="exact"/>
        <w:ind w:firstLineChars="200" w:firstLine="562"/>
        <w:rPr>
          <w:rFonts w:ascii="Times New Roman" w:eastAsia="宋体" w:hAnsi="Times New Roman" w:cs="Times New Roman"/>
          <w:b/>
          <w:bCs/>
          <w:sz w:val="28"/>
          <w:szCs w:val="28"/>
        </w:rPr>
      </w:pPr>
      <w:r>
        <w:rPr>
          <w:rFonts w:ascii="Times New Roman" w:eastAsia="宋体" w:hAnsi="Times New Roman" w:cs="Times New Roman"/>
          <w:b/>
          <w:bCs/>
          <w:sz w:val="28"/>
          <w:szCs w:val="28"/>
        </w:rPr>
        <w:t>公司董事会、监事会及董事、监事、高级管理人员保证半年度报告内容的真实、准确、完整，不存在虚假记载、误导性陈述或者重大遗漏，并承担个别和连带的法律责任。</w:t>
      </w:r>
    </w:p>
    <w:p w:rsidR="00CE3C32" w:rsidRDefault="006413B8" w:rsidP="000C21FB">
      <w:pPr>
        <w:spacing w:line="560" w:lineRule="exact"/>
        <w:ind w:firstLineChars="200" w:firstLine="562"/>
        <w:rPr>
          <w:rFonts w:ascii="Times New Roman" w:eastAsia="宋体" w:hAnsi="Times New Roman" w:cs="Times New Roman"/>
          <w:b/>
          <w:bCs/>
          <w:sz w:val="28"/>
          <w:szCs w:val="28"/>
        </w:rPr>
      </w:pPr>
      <w:r>
        <w:rPr>
          <w:rFonts w:ascii="Times New Roman" w:eastAsia="宋体" w:hAnsi="Times New Roman" w:cs="Times New Roman"/>
          <w:b/>
          <w:bCs/>
          <w:sz w:val="28"/>
          <w:szCs w:val="28"/>
        </w:rPr>
        <w:t>公司负责人林明玲、主管会计工作负责人陈焕盛及会计机构负责人</w:t>
      </w:r>
      <w:r>
        <w:rPr>
          <w:rFonts w:ascii="Times New Roman" w:eastAsia="宋体" w:hAnsi="Times New Roman" w:cs="Times New Roman" w:hint="eastAsia"/>
          <w:b/>
          <w:bCs/>
          <w:sz w:val="28"/>
          <w:szCs w:val="28"/>
        </w:rPr>
        <w:t>（</w:t>
      </w:r>
      <w:r>
        <w:rPr>
          <w:rFonts w:ascii="Times New Roman" w:eastAsia="宋体" w:hAnsi="Times New Roman" w:cs="Times New Roman"/>
          <w:b/>
          <w:bCs/>
          <w:sz w:val="28"/>
          <w:szCs w:val="28"/>
        </w:rPr>
        <w:t>会计主管人员</w:t>
      </w:r>
      <w:r>
        <w:rPr>
          <w:rFonts w:ascii="Times New Roman" w:eastAsia="宋体" w:hAnsi="Times New Roman" w:cs="Times New Roman" w:hint="eastAsia"/>
          <w:b/>
          <w:bCs/>
          <w:sz w:val="28"/>
          <w:szCs w:val="28"/>
        </w:rPr>
        <w:t>）</w:t>
      </w:r>
      <w:r>
        <w:rPr>
          <w:rFonts w:ascii="Times New Roman" w:eastAsia="宋体" w:hAnsi="Times New Roman" w:cs="Times New Roman"/>
          <w:b/>
          <w:bCs/>
          <w:sz w:val="28"/>
          <w:szCs w:val="28"/>
        </w:rPr>
        <w:t>赖宏伟声明：保证本半年度报告中财务报告的真实、准确、完整。</w:t>
      </w:r>
    </w:p>
    <w:p w:rsidR="00CE3C32" w:rsidRDefault="006413B8" w:rsidP="000C21FB">
      <w:pPr>
        <w:spacing w:line="560" w:lineRule="exact"/>
        <w:ind w:firstLineChars="200" w:firstLine="562"/>
        <w:rPr>
          <w:rFonts w:ascii="Times New Roman" w:eastAsia="宋体" w:hAnsi="Times New Roman" w:cs="Times New Roman"/>
          <w:b/>
          <w:bCs/>
          <w:sz w:val="28"/>
          <w:szCs w:val="28"/>
        </w:rPr>
      </w:pPr>
      <w:r>
        <w:rPr>
          <w:rFonts w:ascii="Times New Roman" w:eastAsia="宋体" w:hAnsi="Times New Roman" w:cs="Times New Roman"/>
          <w:b/>
          <w:bCs/>
          <w:sz w:val="28"/>
          <w:szCs w:val="28"/>
        </w:rPr>
        <w:t>所有董事均已出席了审议本次半年报的董事会会议。</w:t>
      </w:r>
    </w:p>
    <w:p w:rsidR="00CE3C32" w:rsidRDefault="006413B8">
      <w:pPr>
        <w:pStyle w:val="a6"/>
        <w:spacing w:beforeAutospacing="0" w:afterAutospacing="0" w:line="560" w:lineRule="atLeast"/>
        <w:ind w:firstLine="480"/>
        <w:rPr>
          <w:rFonts w:ascii="Times New Roman" w:hAnsi="Times New Roman" w:cs="Times New Roman"/>
          <w:b/>
          <w:bCs/>
          <w:sz w:val="28"/>
          <w:szCs w:val="28"/>
        </w:rPr>
      </w:pPr>
      <w:r>
        <w:rPr>
          <w:rFonts w:ascii="Times New Roman" w:hAnsi="Times New Roman" w:cs="Times New Roman"/>
          <w:b/>
          <w:bCs/>
          <w:sz w:val="28"/>
          <w:szCs w:val="28"/>
        </w:rPr>
        <w:t>本公司在本报告第三节</w:t>
      </w:r>
      <w:r>
        <w:rPr>
          <w:rFonts w:ascii="Times New Roman" w:hAnsi="Times New Roman" w:cs="Times New Roman"/>
          <w:b/>
          <w:bCs/>
          <w:sz w:val="28"/>
          <w:szCs w:val="28"/>
        </w:rPr>
        <w:t>“</w:t>
      </w:r>
      <w:r>
        <w:rPr>
          <w:rFonts w:ascii="Times New Roman" w:hAnsi="Times New Roman" w:cs="Times New Roman"/>
          <w:b/>
          <w:bCs/>
          <w:sz w:val="28"/>
          <w:szCs w:val="28"/>
        </w:rPr>
        <w:t>管理层讨论与分析</w:t>
      </w:r>
      <w:r>
        <w:rPr>
          <w:rFonts w:ascii="Times New Roman" w:hAnsi="Times New Roman" w:cs="Times New Roman"/>
          <w:b/>
          <w:bCs/>
          <w:sz w:val="28"/>
          <w:szCs w:val="28"/>
        </w:rPr>
        <w:t>”</w:t>
      </w:r>
      <w:r>
        <w:rPr>
          <w:rFonts w:ascii="Times New Roman" w:hAnsi="Times New Roman" w:cs="Times New Roman"/>
          <w:b/>
          <w:bCs/>
          <w:sz w:val="28"/>
          <w:szCs w:val="28"/>
        </w:rPr>
        <w:t>之</w:t>
      </w:r>
      <w:r>
        <w:rPr>
          <w:rFonts w:ascii="Times New Roman" w:hAnsi="Times New Roman" w:cs="Times New Roman"/>
          <w:b/>
          <w:bCs/>
          <w:sz w:val="28"/>
          <w:szCs w:val="28"/>
        </w:rPr>
        <w:t>“</w:t>
      </w:r>
      <w:r>
        <w:rPr>
          <w:rFonts w:ascii="Times New Roman" w:hAnsi="Times New Roman" w:cs="Times New Roman"/>
          <w:b/>
          <w:bCs/>
          <w:sz w:val="28"/>
          <w:szCs w:val="28"/>
        </w:rPr>
        <w:t>十、公司面临的风险和应对措施</w:t>
      </w:r>
      <w:r>
        <w:rPr>
          <w:rFonts w:ascii="Times New Roman" w:hAnsi="Times New Roman" w:cs="Times New Roman"/>
          <w:b/>
          <w:bCs/>
          <w:sz w:val="28"/>
          <w:szCs w:val="28"/>
        </w:rPr>
        <w:t>”</w:t>
      </w:r>
      <w:r>
        <w:rPr>
          <w:rFonts w:ascii="Times New Roman" w:hAnsi="Times New Roman" w:cs="Times New Roman"/>
          <w:b/>
          <w:bCs/>
          <w:sz w:val="28"/>
          <w:szCs w:val="28"/>
        </w:rPr>
        <w:t>描述了公司未来经营中可能存在的风险和应对措施，敬请广大投资者予以关注，注意投资风险。</w:t>
      </w:r>
    </w:p>
    <w:p w:rsidR="00CE3C32" w:rsidRDefault="006413B8" w:rsidP="000C21FB">
      <w:pPr>
        <w:spacing w:line="560" w:lineRule="exact"/>
        <w:ind w:firstLineChars="200" w:firstLine="562"/>
        <w:rPr>
          <w:rFonts w:ascii="Times New Roman" w:eastAsia="宋体" w:hAnsi="Times New Roman" w:cs="Times New Roman"/>
          <w:b/>
          <w:bCs/>
          <w:sz w:val="28"/>
          <w:szCs w:val="28"/>
        </w:rPr>
      </w:pPr>
      <w:r>
        <w:rPr>
          <w:rFonts w:ascii="Times New Roman" w:eastAsia="宋体" w:hAnsi="Times New Roman" w:cs="Times New Roman"/>
          <w:b/>
          <w:bCs/>
          <w:sz w:val="28"/>
          <w:szCs w:val="28"/>
        </w:rPr>
        <w:t>公司计划不派发现金红利，不送红股，不以公积金转增股本。</w:t>
      </w:r>
    </w:p>
    <w:p w:rsidR="00CE3C32" w:rsidRDefault="006413B8">
      <w:pPr>
        <w:rPr>
          <w:rFonts w:ascii="Times New Roman" w:hAnsi="Times New Roman" w:cs="Times New Roman"/>
        </w:rPr>
      </w:pPr>
      <w:r>
        <w:rPr>
          <w:rFonts w:ascii="Times New Roman" w:hAnsi="Times New Roman" w:cs="Times New Roman"/>
        </w:rPr>
        <w:br w:type="page"/>
      </w:r>
    </w:p>
    <w:p w:rsidR="00CE3C32" w:rsidRDefault="006413B8">
      <w:pPr>
        <w:spacing w:line="720" w:lineRule="exact"/>
        <w:jc w:val="center"/>
        <w:rPr>
          <w:rFonts w:ascii="Times New Roman" w:eastAsia="宋体" w:hAnsi="Times New Roman" w:cs="Times New Roman"/>
          <w:b/>
          <w:bCs/>
          <w:sz w:val="36"/>
          <w:szCs w:val="36"/>
        </w:rPr>
      </w:pPr>
      <w:r>
        <w:rPr>
          <w:rFonts w:ascii="Times New Roman" w:eastAsia="宋体" w:hAnsi="Times New Roman" w:cs="Times New Roman"/>
          <w:b/>
          <w:bCs/>
          <w:sz w:val="36"/>
          <w:szCs w:val="36"/>
        </w:rPr>
        <w:lastRenderedPageBreak/>
        <w:t>目录</w:t>
      </w:r>
    </w:p>
    <w:p w:rsidR="00CE3C32" w:rsidRDefault="006413B8">
      <w:pPr>
        <w:pStyle w:val="1"/>
        <w:tabs>
          <w:tab w:val="left" w:leader="dot" w:pos="9469"/>
        </w:tabs>
        <w:rPr>
          <w:rFonts w:ascii="Times New Roman" w:hAnsi="Times New Roman" w:cs="Times New Roman"/>
          <w:noProof/>
        </w:rPr>
      </w:pPr>
      <w:r>
        <w:rPr>
          <w:rFonts w:ascii="Times New Roman" w:hAnsi="Times New Roman" w:cs="Times New Roman"/>
        </w:rPr>
        <w:fldChar w:fldCharType="begin"/>
      </w:r>
      <w:r>
        <w:rPr>
          <w:rFonts w:ascii="Times New Roman" w:hAnsi="Times New Roman" w:cs="Times New Roman"/>
        </w:rPr>
        <w:instrText xml:space="preserve"> </w:instrText>
      </w:r>
      <w:r>
        <w:rPr>
          <w:rFonts w:ascii="Times New Roman" w:eastAsia="宋体" w:hAnsi="Times New Roman" w:cs="Times New Roman"/>
        </w:rPr>
        <w:instrText>TOC \o "1-2" \h \z \u</w:instrText>
      </w:r>
      <w:r>
        <w:rPr>
          <w:rFonts w:ascii="Times New Roman" w:hAnsi="Times New Roman" w:cs="Times New Roman"/>
        </w:rPr>
        <w:instrText xml:space="preserve"> </w:instrText>
      </w:r>
      <w:r>
        <w:rPr>
          <w:rFonts w:ascii="Times New Roman" w:hAnsi="Times New Roman" w:cs="Times New Roman"/>
        </w:rPr>
        <w:fldChar w:fldCharType="separate"/>
      </w:r>
      <w:hyperlink w:anchor="_Toc988889" w:history="1">
        <w:r>
          <w:rPr>
            <w:rFonts w:ascii="Times New Roman" w:eastAsia="宋体" w:hAnsi="Times New Roman" w:cs="Times New Roman"/>
            <w:b/>
            <w:bCs/>
            <w:noProof/>
            <w:sz w:val="24"/>
          </w:rPr>
          <w:t>第一节</w:t>
        </w:r>
        <w:r>
          <w:rPr>
            <w:rFonts w:ascii="Times New Roman" w:eastAsia="宋体" w:hAnsi="Times New Roman" w:cs="Times New Roman"/>
            <w:b/>
            <w:bCs/>
            <w:noProof/>
            <w:sz w:val="24"/>
          </w:rPr>
          <w:t xml:space="preserve"> </w:t>
        </w:r>
        <w:r>
          <w:rPr>
            <w:rFonts w:ascii="Times New Roman" w:eastAsia="宋体" w:hAnsi="Times New Roman" w:cs="Times New Roman"/>
            <w:b/>
            <w:bCs/>
            <w:noProof/>
            <w:sz w:val="24"/>
          </w:rPr>
          <w:t>重要提示、目录和释义</w:t>
        </w:r>
        <w:r>
          <w:rPr>
            <w:rFonts w:ascii="Times New Roman" w:hAnsi="Times New Roman" w:cs="Times New Roman"/>
            <w:noProof/>
          </w:rPr>
          <w:tab/>
        </w:r>
        <w:r>
          <w:rPr>
            <w:rFonts w:ascii="Times New Roman" w:hAnsi="Times New Roman" w:cs="Times New Roman"/>
            <w:noProof/>
          </w:rPr>
          <w:fldChar w:fldCharType="begin"/>
        </w:r>
        <w:r>
          <w:rPr>
            <w:rFonts w:ascii="Times New Roman" w:hAnsi="Times New Roman" w:cs="Times New Roman"/>
            <w:noProof/>
          </w:rPr>
          <w:instrText xml:space="preserve"> PAGEREF _Toc988889 \h </w:instrText>
        </w:r>
        <w:r>
          <w:rPr>
            <w:rFonts w:ascii="Times New Roman" w:hAnsi="Times New Roman" w:cs="Times New Roman"/>
            <w:noProof/>
          </w:rPr>
        </w:r>
        <w:r>
          <w:rPr>
            <w:rFonts w:ascii="Times New Roman" w:hAnsi="Times New Roman" w:cs="Times New Roman"/>
            <w:noProof/>
          </w:rPr>
          <w:fldChar w:fldCharType="separate"/>
        </w:r>
        <w:r w:rsidR="00846D13">
          <w:rPr>
            <w:rFonts w:ascii="Times New Roman" w:hAnsi="Times New Roman" w:cs="Times New Roman"/>
            <w:noProof/>
          </w:rPr>
          <w:t>2</w:t>
        </w:r>
        <w:r>
          <w:rPr>
            <w:rFonts w:ascii="Times New Roman" w:hAnsi="Times New Roman" w:cs="Times New Roman"/>
            <w:noProof/>
          </w:rPr>
          <w:fldChar w:fldCharType="end"/>
        </w:r>
      </w:hyperlink>
    </w:p>
    <w:p w:rsidR="00CE3C32" w:rsidRDefault="002A1B21">
      <w:pPr>
        <w:pStyle w:val="1"/>
        <w:tabs>
          <w:tab w:val="left" w:leader="dot" w:pos="9469"/>
        </w:tabs>
        <w:rPr>
          <w:rFonts w:ascii="Times New Roman" w:hAnsi="Times New Roman" w:cs="Times New Roman"/>
          <w:noProof/>
        </w:rPr>
      </w:pPr>
      <w:hyperlink w:anchor="_Toc988890" w:history="1">
        <w:r w:rsidR="006413B8">
          <w:rPr>
            <w:rFonts w:ascii="Times New Roman" w:eastAsia="宋体" w:hAnsi="Times New Roman" w:cs="Times New Roman"/>
            <w:b/>
            <w:bCs/>
            <w:noProof/>
            <w:sz w:val="24"/>
          </w:rPr>
          <w:t>第二节</w:t>
        </w:r>
        <w:r w:rsidR="006413B8">
          <w:rPr>
            <w:rFonts w:ascii="Times New Roman" w:eastAsia="宋体" w:hAnsi="Times New Roman" w:cs="Times New Roman"/>
            <w:b/>
            <w:bCs/>
            <w:noProof/>
            <w:sz w:val="24"/>
          </w:rPr>
          <w:t xml:space="preserve"> </w:t>
        </w:r>
        <w:r w:rsidR="006413B8">
          <w:rPr>
            <w:rFonts w:ascii="Times New Roman" w:eastAsia="宋体" w:hAnsi="Times New Roman" w:cs="Times New Roman"/>
            <w:b/>
            <w:bCs/>
            <w:noProof/>
            <w:sz w:val="24"/>
          </w:rPr>
          <w:t>公司简介和主要财务指标</w:t>
        </w:r>
        <w:r w:rsidR="006413B8">
          <w:rPr>
            <w:rFonts w:ascii="Times New Roman" w:hAnsi="Times New Roman" w:cs="Times New Roman"/>
            <w:noProof/>
          </w:rPr>
          <w:tab/>
        </w:r>
        <w:r w:rsidR="006413B8">
          <w:rPr>
            <w:rFonts w:ascii="Times New Roman" w:hAnsi="Times New Roman" w:cs="Times New Roman"/>
            <w:noProof/>
          </w:rPr>
          <w:fldChar w:fldCharType="begin"/>
        </w:r>
        <w:r w:rsidR="006413B8">
          <w:rPr>
            <w:rFonts w:ascii="Times New Roman" w:hAnsi="Times New Roman" w:cs="Times New Roman"/>
            <w:noProof/>
          </w:rPr>
          <w:instrText xml:space="preserve"> PAGEREF _Toc988890 \h </w:instrText>
        </w:r>
        <w:r w:rsidR="006413B8">
          <w:rPr>
            <w:rFonts w:ascii="Times New Roman" w:hAnsi="Times New Roman" w:cs="Times New Roman"/>
            <w:noProof/>
          </w:rPr>
        </w:r>
        <w:r w:rsidR="006413B8">
          <w:rPr>
            <w:rFonts w:ascii="Times New Roman" w:hAnsi="Times New Roman" w:cs="Times New Roman"/>
            <w:noProof/>
          </w:rPr>
          <w:fldChar w:fldCharType="separate"/>
        </w:r>
        <w:r w:rsidR="00846D13">
          <w:rPr>
            <w:rFonts w:ascii="Times New Roman" w:hAnsi="Times New Roman" w:cs="Times New Roman"/>
            <w:noProof/>
          </w:rPr>
          <w:t>7</w:t>
        </w:r>
        <w:r w:rsidR="006413B8">
          <w:rPr>
            <w:rFonts w:ascii="Times New Roman" w:hAnsi="Times New Roman" w:cs="Times New Roman"/>
            <w:noProof/>
          </w:rPr>
          <w:fldChar w:fldCharType="end"/>
        </w:r>
      </w:hyperlink>
    </w:p>
    <w:p w:rsidR="00CE3C32" w:rsidRDefault="002A1B21">
      <w:pPr>
        <w:pStyle w:val="1"/>
        <w:tabs>
          <w:tab w:val="left" w:leader="dot" w:pos="9469"/>
        </w:tabs>
        <w:rPr>
          <w:rFonts w:ascii="Times New Roman" w:hAnsi="Times New Roman" w:cs="Times New Roman"/>
          <w:noProof/>
        </w:rPr>
      </w:pPr>
      <w:hyperlink w:anchor="_Toc988902" w:history="1">
        <w:r w:rsidR="006413B8">
          <w:rPr>
            <w:rFonts w:ascii="Times New Roman" w:eastAsia="宋体" w:hAnsi="Times New Roman" w:cs="Times New Roman"/>
            <w:b/>
            <w:bCs/>
            <w:noProof/>
            <w:sz w:val="24"/>
          </w:rPr>
          <w:t>第三节</w:t>
        </w:r>
        <w:r w:rsidR="006413B8">
          <w:rPr>
            <w:rFonts w:ascii="Times New Roman" w:eastAsia="宋体" w:hAnsi="Times New Roman" w:cs="Times New Roman"/>
            <w:b/>
            <w:bCs/>
            <w:noProof/>
            <w:sz w:val="24"/>
          </w:rPr>
          <w:t xml:space="preserve"> </w:t>
        </w:r>
        <w:r w:rsidR="006413B8">
          <w:rPr>
            <w:rFonts w:ascii="Times New Roman" w:eastAsia="宋体" w:hAnsi="Times New Roman" w:cs="Times New Roman"/>
            <w:b/>
            <w:bCs/>
            <w:noProof/>
            <w:sz w:val="24"/>
          </w:rPr>
          <w:t>管理层讨论与分析</w:t>
        </w:r>
        <w:r w:rsidR="006413B8">
          <w:rPr>
            <w:rFonts w:ascii="Times New Roman" w:hAnsi="Times New Roman" w:cs="Times New Roman"/>
            <w:noProof/>
          </w:rPr>
          <w:tab/>
        </w:r>
        <w:r w:rsidR="006413B8">
          <w:rPr>
            <w:rFonts w:ascii="Times New Roman" w:hAnsi="Times New Roman" w:cs="Times New Roman"/>
            <w:noProof/>
          </w:rPr>
          <w:fldChar w:fldCharType="begin"/>
        </w:r>
        <w:r w:rsidR="006413B8">
          <w:rPr>
            <w:rFonts w:ascii="Times New Roman" w:hAnsi="Times New Roman" w:cs="Times New Roman"/>
            <w:noProof/>
          </w:rPr>
          <w:instrText xml:space="preserve"> PAGEREF _Toc988902 \h </w:instrText>
        </w:r>
        <w:r w:rsidR="006413B8">
          <w:rPr>
            <w:rFonts w:ascii="Times New Roman" w:hAnsi="Times New Roman" w:cs="Times New Roman"/>
            <w:noProof/>
          </w:rPr>
        </w:r>
        <w:r w:rsidR="006413B8">
          <w:rPr>
            <w:rFonts w:ascii="Times New Roman" w:hAnsi="Times New Roman" w:cs="Times New Roman"/>
            <w:noProof/>
          </w:rPr>
          <w:fldChar w:fldCharType="separate"/>
        </w:r>
        <w:r w:rsidR="00846D13">
          <w:rPr>
            <w:rFonts w:ascii="Times New Roman" w:hAnsi="Times New Roman" w:cs="Times New Roman"/>
            <w:noProof/>
          </w:rPr>
          <w:t>10</w:t>
        </w:r>
        <w:r w:rsidR="006413B8">
          <w:rPr>
            <w:rFonts w:ascii="Times New Roman" w:hAnsi="Times New Roman" w:cs="Times New Roman"/>
            <w:noProof/>
          </w:rPr>
          <w:fldChar w:fldCharType="end"/>
        </w:r>
      </w:hyperlink>
    </w:p>
    <w:p w:rsidR="00CE3C32" w:rsidRDefault="002A1B21">
      <w:pPr>
        <w:pStyle w:val="1"/>
        <w:tabs>
          <w:tab w:val="left" w:leader="dot" w:pos="9469"/>
        </w:tabs>
        <w:rPr>
          <w:rFonts w:ascii="Times New Roman" w:hAnsi="Times New Roman" w:cs="Times New Roman"/>
          <w:noProof/>
        </w:rPr>
      </w:pPr>
      <w:hyperlink w:anchor="_Toc988934" w:history="1">
        <w:r w:rsidR="006413B8">
          <w:rPr>
            <w:rFonts w:ascii="Times New Roman" w:eastAsia="宋体" w:hAnsi="Times New Roman" w:cs="Times New Roman"/>
            <w:b/>
            <w:bCs/>
            <w:noProof/>
            <w:sz w:val="24"/>
          </w:rPr>
          <w:t>第四节</w:t>
        </w:r>
        <w:r w:rsidR="006413B8">
          <w:rPr>
            <w:rFonts w:ascii="Times New Roman" w:eastAsia="宋体" w:hAnsi="Times New Roman" w:cs="Times New Roman"/>
            <w:b/>
            <w:bCs/>
            <w:noProof/>
            <w:sz w:val="24"/>
          </w:rPr>
          <w:t xml:space="preserve"> </w:t>
        </w:r>
        <w:r w:rsidR="006413B8">
          <w:rPr>
            <w:rFonts w:ascii="Times New Roman" w:eastAsia="宋体" w:hAnsi="Times New Roman" w:cs="Times New Roman"/>
            <w:b/>
            <w:bCs/>
            <w:noProof/>
            <w:sz w:val="24"/>
          </w:rPr>
          <w:t>公司治理、环境和社会</w:t>
        </w:r>
        <w:r w:rsidR="006413B8">
          <w:rPr>
            <w:rFonts w:ascii="Times New Roman" w:hAnsi="Times New Roman" w:cs="Times New Roman"/>
            <w:noProof/>
          </w:rPr>
          <w:tab/>
        </w:r>
        <w:r w:rsidR="006413B8">
          <w:rPr>
            <w:rFonts w:ascii="Times New Roman" w:hAnsi="Times New Roman" w:cs="Times New Roman"/>
            <w:noProof/>
          </w:rPr>
          <w:fldChar w:fldCharType="begin"/>
        </w:r>
        <w:r w:rsidR="006413B8">
          <w:rPr>
            <w:rFonts w:ascii="Times New Roman" w:hAnsi="Times New Roman" w:cs="Times New Roman"/>
            <w:noProof/>
          </w:rPr>
          <w:instrText xml:space="preserve"> PAGEREF _Toc988934 \h </w:instrText>
        </w:r>
        <w:r w:rsidR="006413B8">
          <w:rPr>
            <w:rFonts w:ascii="Times New Roman" w:hAnsi="Times New Roman" w:cs="Times New Roman"/>
            <w:noProof/>
          </w:rPr>
        </w:r>
        <w:r w:rsidR="006413B8">
          <w:rPr>
            <w:rFonts w:ascii="Times New Roman" w:hAnsi="Times New Roman" w:cs="Times New Roman"/>
            <w:noProof/>
          </w:rPr>
          <w:fldChar w:fldCharType="separate"/>
        </w:r>
        <w:r w:rsidR="00846D13">
          <w:rPr>
            <w:rFonts w:ascii="Times New Roman" w:hAnsi="Times New Roman" w:cs="Times New Roman"/>
            <w:noProof/>
          </w:rPr>
          <w:t>32</w:t>
        </w:r>
        <w:r w:rsidR="006413B8">
          <w:rPr>
            <w:rFonts w:ascii="Times New Roman" w:hAnsi="Times New Roman" w:cs="Times New Roman"/>
            <w:noProof/>
          </w:rPr>
          <w:fldChar w:fldCharType="end"/>
        </w:r>
      </w:hyperlink>
    </w:p>
    <w:p w:rsidR="00CE3C32" w:rsidRDefault="002A1B21">
      <w:pPr>
        <w:pStyle w:val="1"/>
        <w:tabs>
          <w:tab w:val="left" w:leader="dot" w:pos="9469"/>
        </w:tabs>
        <w:rPr>
          <w:rFonts w:ascii="Times New Roman" w:hAnsi="Times New Roman" w:cs="Times New Roman"/>
          <w:noProof/>
        </w:rPr>
      </w:pPr>
      <w:hyperlink w:anchor="_Toc988943" w:history="1">
        <w:r w:rsidR="006413B8">
          <w:rPr>
            <w:rFonts w:ascii="Times New Roman" w:eastAsia="宋体" w:hAnsi="Times New Roman" w:cs="Times New Roman"/>
            <w:b/>
            <w:bCs/>
            <w:noProof/>
            <w:sz w:val="24"/>
          </w:rPr>
          <w:t>第五节</w:t>
        </w:r>
        <w:r w:rsidR="006413B8">
          <w:rPr>
            <w:rFonts w:ascii="Times New Roman" w:eastAsia="宋体" w:hAnsi="Times New Roman" w:cs="Times New Roman"/>
            <w:b/>
            <w:bCs/>
            <w:noProof/>
            <w:sz w:val="24"/>
          </w:rPr>
          <w:t xml:space="preserve"> </w:t>
        </w:r>
        <w:r w:rsidR="006413B8">
          <w:rPr>
            <w:rFonts w:ascii="Times New Roman" w:eastAsia="宋体" w:hAnsi="Times New Roman" w:cs="Times New Roman"/>
            <w:b/>
            <w:bCs/>
            <w:noProof/>
            <w:sz w:val="24"/>
          </w:rPr>
          <w:t>重要事项</w:t>
        </w:r>
        <w:r w:rsidR="006413B8">
          <w:rPr>
            <w:rFonts w:ascii="Times New Roman" w:hAnsi="Times New Roman" w:cs="Times New Roman"/>
            <w:noProof/>
          </w:rPr>
          <w:tab/>
        </w:r>
        <w:r w:rsidR="006413B8">
          <w:rPr>
            <w:rFonts w:ascii="Times New Roman" w:hAnsi="Times New Roman" w:cs="Times New Roman"/>
            <w:noProof/>
          </w:rPr>
          <w:fldChar w:fldCharType="begin"/>
        </w:r>
        <w:r w:rsidR="006413B8">
          <w:rPr>
            <w:rFonts w:ascii="Times New Roman" w:hAnsi="Times New Roman" w:cs="Times New Roman"/>
            <w:noProof/>
          </w:rPr>
          <w:instrText xml:space="preserve"> PAGEREF _Toc988943 \h </w:instrText>
        </w:r>
        <w:r w:rsidR="006413B8">
          <w:rPr>
            <w:rFonts w:ascii="Times New Roman" w:hAnsi="Times New Roman" w:cs="Times New Roman"/>
            <w:noProof/>
          </w:rPr>
        </w:r>
        <w:r w:rsidR="006413B8">
          <w:rPr>
            <w:rFonts w:ascii="Times New Roman" w:hAnsi="Times New Roman" w:cs="Times New Roman"/>
            <w:noProof/>
          </w:rPr>
          <w:fldChar w:fldCharType="separate"/>
        </w:r>
        <w:r w:rsidR="00846D13">
          <w:rPr>
            <w:rFonts w:ascii="Times New Roman" w:hAnsi="Times New Roman" w:cs="Times New Roman"/>
            <w:noProof/>
          </w:rPr>
          <w:t>36</w:t>
        </w:r>
        <w:r w:rsidR="006413B8">
          <w:rPr>
            <w:rFonts w:ascii="Times New Roman" w:hAnsi="Times New Roman" w:cs="Times New Roman"/>
            <w:noProof/>
          </w:rPr>
          <w:fldChar w:fldCharType="end"/>
        </w:r>
      </w:hyperlink>
    </w:p>
    <w:p w:rsidR="00CE3C32" w:rsidRDefault="002A1B21">
      <w:pPr>
        <w:pStyle w:val="1"/>
        <w:tabs>
          <w:tab w:val="left" w:leader="dot" w:pos="9469"/>
        </w:tabs>
        <w:rPr>
          <w:rFonts w:ascii="Times New Roman" w:hAnsi="Times New Roman" w:cs="Times New Roman"/>
          <w:noProof/>
        </w:rPr>
      </w:pPr>
      <w:hyperlink w:anchor="_Toc988972" w:history="1">
        <w:r w:rsidR="006413B8">
          <w:rPr>
            <w:rFonts w:ascii="Times New Roman" w:eastAsia="宋体" w:hAnsi="Times New Roman" w:cs="Times New Roman"/>
            <w:b/>
            <w:bCs/>
            <w:noProof/>
            <w:sz w:val="24"/>
          </w:rPr>
          <w:t>第六节</w:t>
        </w:r>
        <w:r w:rsidR="006413B8">
          <w:rPr>
            <w:rFonts w:ascii="Times New Roman" w:eastAsia="宋体" w:hAnsi="Times New Roman" w:cs="Times New Roman"/>
            <w:b/>
            <w:bCs/>
            <w:noProof/>
            <w:sz w:val="24"/>
          </w:rPr>
          <w:t xml:space="preserve"> </w:t>
        </w:r>
        <w:r w:rsidR="006413B8">
          <w:rPr>
            <w:rFonts w:ascii="Times New Roman" w:eastAsia="宋体" w:hAnsi="Times New Roman" w:cs="Times New Roman"/>
            <w:b/>
            <w:bCs/>
            <w:noProof/>
            <w:sz w:val="24"/>
          </w:rPr>
          <w:t>股份变动及股东情况</w:t>
        </w:r>
        <w:r w:rsidR="006413B8">
          <w:rPr>
            <w:rFonts w:ascii="Times New Roman" w:hAnsi="Times New Roman" w:cs="Times New Roman"/>
            <w:noProof/>
          </w:rPr>
          <w:tab/>
        </w:r>
        <w:r w:rsidR="006413B8">
          <w:rPr>
            <w:rFonts w:ascii="Times New Roman" w:hAnsi="Times New Roman" w:cs="Times New Roman"/>
            <w:noProof/>
          </w:rPr>
          <w:fldChar w:fldCharType="begin"/>
        </w:r>
        <w:r w:rsidR="006413B8">
          <w:rPr>
            <w:rFonts w:ascii="Times New Roman" w:hAnsi="Times New Roman" w:cs="Times New Roman"/>
            <w:noProof/>
          </w:rPr>
          <w:instrText xml:space="preserve"> PAGEREF _Toc988972 \h </w:instrText>
        </w:r>
        <w:r w:rsidR="006413B8">
          <w:rPr>
            <w:rFonts w:ascii="Times New Roman" w:hAnsi="Times New Roman" w:cs="Times New Roman"/>
            <w:noProof/>
          </w:rPr>
        </w:r>
        <w:r w:rsidR="006413B8">
          <w:rPr>
            <w:rFonts w:ascii="Times New Roman" w:hAnsi="Times New Roman" w:cs="Times New Roman"/>
            <w:noProof/>
          </w:rPr>
          <w:fldChar w:fldCharType="separate"/>
        </w:r>
        <w:r w:rsidR="00846D13">
          <w:rPr>
            <w:rFonts w:ascii="Times New Roman" w:hAnsi="Times New Roman" w:cs="Times New Roman"/>
            <w:noProof/>
          </w:rPr>
          <w:t>43</w:t>
        </w:r>
        <w:r w:rsidR="006413B8">
          <w:rPr>
            <w:rFonts w:ascii="Times New Roman" w:hAnsi="Times New Roman" w:cs="Times New Roman"/>
            <w:noProof/>
          </w:rPr>
          <w:fldChar w:fldCharType="end"/>
        </w:r>
      </w:hyperlink>
    </w:p>
    <w:p w:rsidR="00CE3C32" w:rsidRDefault="002A1B21">
      <w:pPr>
        <w:pStyle w:val="1"/>
        <w:tabs>
          <w:tab w:val="left" w:leader="dot" w:pos="9469"/>
        </w:tabs>
        <w:rPr>
          <w:rFonts w:ascii="Times New Roman" w:hAnsi="Times New Roman" w:cs="Times New Roman"/>
          <w:noProof/>
        </w:rPr>
      </w:pPr>
      <w:hyperlink w:anchor="_Toc988981" w:history="1">
        <w:r w:rsidR="006413B8">
          <w:rPr>
            <w:rFonts w:ascii="Times New Roman" w:eastAsia="宋体" w:hAnsi="Times New Roman" w:cs="Times New Roman"/>
            <w:b/>
            <w:bCs/>
            <w:noProof/>
            <w:sz w:val="24"/>
          </w:rPr>
          <w:t>第七节</w:t>
        </w:r>
        <w:r w:rsidR="006413B8">
          <w:rPr>
            <w:rFonts w:ascii="Times New Roman" w:eastAsia="宋体" w:hAnsi="Times New Roman" w:cs="Times New Roman"/>
            <w:b/>
            <w:bCs/>
            <w:noProof/>
            <w:sz w:val="24"/>
          </w:rPr>
          <w:t xml:space="preserve"> </w:t>
        </w:r>
        <w:r w:rsidR="006413B8">
          <w:rPr>
            <w:rFonts w:ascii="Times New Roman" w:eastAsia="宋体" w:hAnsi="Times New Roman" w:cs="Times New Roman"/>
            <w:b/>
            <w:bCs/>
            <w:noProof/>
            <w:sz w:val="24"/>
          </w:rPr>
          <w:t>债券相关情况</w:t>
        </w:r>
        <w:r w:rsidR="006413B8">
          <w:rPr>
            <w:rFonts w:ascii="Times New Roman" w:hAnsi="Times New Roman" w:cs="Times New Roman"/>
            <w:noProof/>
          </w:rPr>
          <w:tab/>
        </w:r>
        <w:r w:rsidR="006413B8">
          <w:rPr>
            <w:rFonts w:ascii="Times New Roman" w:hAnsi="Times New Roman" w:cs="Times New Roman"/>
            <w:noProof/>
          </w:rPr>
          <w:fldChar w:fldCharType="begin"/>
        </w:r>
        <w:r w:rsidR="006413B8">
          <w:rPr>
            <w:rFonts w:ascii="Times New Roman" w:hAnsi="Times New Roman" w:cs="Times New Roman"/>
            <w:noProof/>
          </w:rPr>
          <w:instrText xml:space="preserve"> PAGEREF _Toc988981 \h </w:instrText>
        </w:r>
        <w:r w:rsidR="006413B8">
          <w:rPr>
            <w:rFonts w:ascii="Times New Roman" w:hAnsi="Times New Roman" w:cs="Times New Roman"/>
            <w:noProof/>
          </w:rPr>
        </w:r>
        <w:r w:rsidR="006413B8">
          <w:rPr>
            <w:rFonts w:ascii="Times New Roman" w:hAnsi="Times New Roman" w:cs="Times New Roman"/>
            <w:noProof/>
          </w:rPr>
          <w:fldChar w:fldCharType="separate"/>
        </w:r>
        <w:r w:rsidR="00846D13">
          <w:rPr>
            <w:rFonts w:ascii="Times New Roman" w:hAnsi="Times New Roman" w:cs="Times New Roman"/>
            <w:noProof/>
          </w:rPr>
          <w:t>50</w:t>
        </w:r>
        <w:r w:rsidR="006413B8">
          <w:rPr>
            <w:rFonts w:ascii="Times New Roman" w:hAnsi="Times New Roman" w:cs="Times New Roman"/>
            <w:noProof/>
          </w:rPr>
          <w:fldChar w:fldCharType="end"/>
        </w:r>
      </w:hyperlink>
    </w:p>
    <w:p w:rsidR="00CE3C32" w:rsidRDefault="002A1B21">
      <w:pPr>
        <w:pStyle w:val="1"/>
        <w:tabs>
          <w:tab w:val="left" w:leader="dot" w:pos="9469"/>
        </w:tabs>
        <w:rPr>
          <w:rFonts w:ascii="Times New Roman" w:hAnsi="Times New Roman" w:cs="Times New Roman"/>
        </w:rPr>
      </w:pPr>
      <w:hyperlink w:anchor="_Toc988982" w:history="1">
        <w:r w:rsidR="006413B8">
          <w:rPr>
            <w:rFonts w:ascii="Times New Roman" w:eastAsia="宋体" w:hAnsi="Times New Roman" w:cs="Times New Roman"/>
            <w:b/>
            <w:bCs/>
            <w:noProof/>
            <w:sz w:val="24"/>
          </w:rPr>
          <w:t>第八节</w:t>
        </w:r>
        <w:r w:rsidR="006413B8">
          <w:rPr>
            <w:rFonts w:ascii="Times New Roman" w:eastAsia="宋体" w:hAnsi="Times New Roman" w:cs="Times New Roman"/>
            <w:b/>
            <w:bCs/>
            <w:noProof/>
            <w:sz w:val="24"/>
          </w:rPr>
          <w:t xml:space="preserve"> </w:t>
        </w:r>
        <w:r w:rsidR="006413B8">
          <w:rPr>
            <w:rFonts w:ascii="Times New Roman" w:eastAsia="宋体" w:hAnsi="Times New Roman" w:cs="Times New Roman"/>
            <w:b/>
            <w:bCs/>
            <w:noProof/>
            <w:sz w:val="24"/>
          </w:rPr>
          <w:t>财务报告</w:t>
        </w:r>
        <w:r w:rsidR="006413B8">
          <w:rPr>
            <w:rFonts w:ascii="Times New Roman" w:hAnsi="Times New Roman" w:cs="Times New Roman"/>
            <w:noProof/>
          </w:rPr>
          <w:tab/>
        </w:r>
        <w:r w:rsidR="006413B8">
          <w:rPr>
            <w:rFonts w:ascii="Times New Roman" w:hAnsi="Times New Roman" w:cs="Times New Roman"/>
            <w:noProof/>
          </w:rPr>
          <w:fldChar w:fldCharType="begin"/>
        </w:r>
        <w:r w:rsidR="006413B8">
          <w:rPr>
            <w:rFonts w:ascii="Times New Roman" w:hAnsi="Times New Roman" w:cs="Times New Roman"/>
            <w:noProof/>
          </w:rPr>
          <w:instrText xml:space="preserve"> PAGEREF _Toc988982 \h </w:instrText>
        </w:r>
        <w:r w:rsidR="006413B8">
          <w:rPr>
            <w:rFonts w:ascii="Times New Roman" w:hAnsi="Times New Roman" w:cs="Times New Roman"/>
            <w:noProof/>
          </w:rPr>
        </w:r>
        <w:r w:rsidR="006413B8">
          <w:rPr>
            <w:rFonts w:ascii="Times New Roman" w:hAnsi="Times New Roman" w:cs="Times New Roman"/>
            <w:noProof/>
          </w:rPr>
          <w:fldChar w:fldCharType="separate"/>
        </w:r>
        <w:r w:rsidR="00846D13">
          <w:rPr>
            <w:rFonts w:ascii="Times New Roman" w:hAnsi="Times New Roman" w:cs="Times New Roman"/>
            <w:noProof/>
          </w:rPr>
          <w:t>51</w:t>
        </w:r>
        <w:r w:rsidR="006413B8">
          <w:rPr>
            <w:rFonts w:ascii="Times New Roman" w:hAnsi="Times New Roman" w:cs="Times New Roman"/>
            <w:noProof/>
          </w:rPr>
          <w:fldChar w:fldCharType="end"/>
        </w:r>
      </w:hyperlink>
      <w:r w:rsidR="006413B8">
        <w:rPr>
          <w:rFonts w:ascii="Times New Roman" w:hAnsi="Times New Roman" w:cs="Times New Roman"/>
        </w:rPr>
        <w:fldChar w:fldCharType="end"/>
      </w:r>
    </w:p>
    <w:p w:rsidR="00CE3C32" w:rsidRDefault="006413B8">
      <w:pPr>
        <w:rPr>
          <w:rFonts w:ascii="Times New Roman" w:hAnsi="Times New Roman" w:cs="Times New Roman"/>
        </w:rPr>
      </w:pPr>
      <w:r>
        <w:rPr>
          <w:rFonts w:ascii="Times New Roman" w:hAnsi="Times New Roman" w:cs="Times New Roman"/>
        </w:rPr>
        <w:br w:type="page"/>
      </w:r>
    </w:p>
    <w:p w:rsidR="00CE3C32" w:rsidRDefault="006413B8">
      <w:pPr>
        <w:spacing w:line="640" w:lineRule="exact"/>
        <w:jc w:val="center"/>
        <w:rPr>
          <w:rFonts w:ascii="Times New Roman" w:eastAsia="宋体" w:hAnsi="Times New Roman" w:cs="Times New Roman"/>
          <w:b/>
          <w:bCs/>
          <w:sz w:val="32"/>
          <w:szCs w:val="32"/>
        </w:rPr>
      </w:pPr>
      <w:r>
        <w:rPr>
          <w:rFonts w:ascii="Times New Roman" w:eastAsia="宋体" w:hAnsi="Times New Roman" w:cs="Times New Roman"/>
          <w:b/>
          <w:bCs/>
          <w:sz w:val="32"/>
          <w:szCs w:val="32"/>
        </w:rPr>
        <w:lastRenderedPageBreak/>
        <w:t>备查文件目录</w:t>
      </w:r>
    </w:p>
    <w:p w:rsidR="00CE3C32" w:rsidRDefault="006413B8">
      <w:pPr>
        <w:pStyle w:val="a6"/>
        <w:spacing w:beforeLines="50" w:before="156" w:beforeAutospacing="0" w:afterLines="50" w:after="156" w:afterAutospacing="0" w:line="360" w:lineRule="auto"/>
        <w:ind w:firstLine="408"/>
        <w:rPr>
          <w:rFonts w:ascii="Times New Roman" w:eastAsiaTheme="majorEastAsia" w:hAnsi="Times New Roman" w:cs="Times New Roman"/>
        </w:rPr>
      </w:pPr>
      <w:r>
        <w:rPr>
          <w:rFonts w:ascii="Times New Roman" w:eastAsiaTheme="majorEastAsia" w:hAnsi="Times New Roman" w:cs="Times New Roman"/>
        </w:rPr>
        <w:t>（一）载有公司负责人、主管会计工作负责人、会计机构负责人（会计主管人员）签名并盖章的财务报表；</w:t>
      </w:r>
    </w:p>
    <w:p w:rsidR="00CE3C32" w:rsidRDefault="006413B8">
      <w:pPr>
        <w:pStyle w:val="a6"/>
        <w:spacing w:beforeLines="50" w:before="156" w:beforeAutospacing="0" w:afterLines="50" w:after="156" w:afterAutospacing="0" w:line="360" w:lineRule="auto"/>
        <w:ind w:firstLine="408"/>
        <w:rPr>
          <w:rFonts w:ascii="Times New Roman" w:eastAsiaTheme="majorEastAsia" w:hAnsi="Times New Roman" w:cs="Times New Roman"/>
        </w:rPr>
      </w:pPr>
      <w:r>
        <w:rPr>
          <w:rFonts w:ascii="Times New Roman" w:eastAsiaTheme="majorEastAsia" w:hAnsi="Times New Roman" w:cs="Times New Roman"/>
        </w:rPr>
        <w:t>（二）报告期内公开披露过的所有公司文件的正本及公告的原稿；</w:t>
      </w:r>
    </w:p>
    <w:p w:rsidR="00CE3C32" w:rsidRDefault="006413B8">
      <w:pPr>
        <w:pStyle w:val="a6"/>
        <w:spacing w:beforeLines="50" w:before="156" w:beforeAutospacing="0" w:afterLines="50" w:after="156" w:afterAutospacing="0" w:line="360" w:lineRule="auto"/>
        <w:ind w:firstLine="408"/>
        <w:rPr>
          <w:rFonts w:ascii="Times New Roman" w:eastAsiaTheme="majorEastAsia" w:hAnsi="Times New Roman" w:cs="Times New Roman"/>
        </w:rPr>
      </w:pPr>
      <w:r>
        <w:rPr>
          <w:rFonts w:ascii="Times New Roman" w:eastAsiaTheme="majorEastAsia" w:hAnsi="Times New Roman" w:cs="Times New Roman"/>
        </w:rPr>
        <w:t>（三）其他备查文件。</w:t>
      </w:r>
    </w:p>
    <w:p w:rsidR="00CE3C32" w:rsidRDefault="006413B8">
      <w:pPr>
        <w:rPr>
          <w:rFonts w:ascii="Times New Roman" w:hAnsi="Times New Roman" w:cs="Times New Roman"/>
        </w:rPr>
      </w:pPr>
      <w:r>
        <w:rPr>
          <w:rFonts w:ascii="Times New Roman" w:hAnsi="Times New Roman" w:cs="Times New Roman"/>
        </w:rPr>
        <w:br w:type="page"/>
      </w:r>
    </w:p>
    <w:p w:rsidR="00CE3C32" w:rsidRDefault="006413B8">
      <w:pPr>
        <w:spacing w:before="40" w:after="40" w:line="640" w:lineRule="exact"/>
        <w:jc w:val="center"/>
        <w:rPr>
          <w:rFonts w:ascii="Times New Roman" w:eastAsia="宋体" w:hAnsi="Times New Roman" w:cs="Times New Roman"/>
          <w:b/>
          <w:bCs/>
          <w:sz w:val="32"/>
          <w:szCs w:val="32"/>
        </w:rPr>
      </w:pPr>
      <w:r>
        <w:rPr>
          <w:rFonts w:ascii="Times New Roman" w:eastAsia="宋体" w:hAnsi="Times New Roman" w:cs="Times New Roman"/>
          <w:b/>
          <w:bCs/>
          <w:sz w:val="32"/>
          <w:szCs w:val="32"/>
        </w:rPr>
        <w:lastRenderedPageBreak/>
        <w:t>释义</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319"/>
        <w:gridCol w:w="1000"/>
        <w:gridCol w:w="4320"/>
      </w:tblGrid>
      <w:tr w:rsidR="00CE3C32">
        <w:trPr>
          <w:trHeight w:val="240"/>
          <w:tblHeader/>
        </w:trPr>
        <w:tc>
          <w:tcPr>
            <w:tcW w:w="43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释义项</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释义内容</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公司、本公司、本集团、天亿马、天亿马股份</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广东天亿马信息产业股份有限公司及合并范围内子公司</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母公司、股份公司</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广东天亿马信息产业股份有限公司</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互联精英</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深圳市互联精英信息技术有限公司</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香港天亿马</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天亿马（香港）信息产业有限公司</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广州天亿马</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广州市天亿马信息技术有限公司</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天亿马技术</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天亿马信息技术有限公司</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天亿马科技</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广东天亿马信息科技有限公司</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天亿马数字产业</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广东天亿马数字产业有限公司</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天亿马数字能源</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广东天亿马数字能源有限公司</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广图粤科</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广图粤科（广州）科技有限公司</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翼启数据</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广东翼启数据产业有限公司（曾用名：广东翼启计算机软件开发有限公司）</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路创科技</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广州路创轨道科技有限公司</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股东会</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广东天亿马信息产业股份有限公司股东会</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董事会</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广东天亿马信息产业股份有限公司董事会</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监事会</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广东天亿马信息产业股份有限公司监事会</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三会</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股份公司股东会、董事会、监事会</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高级管理人员</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公司总经理、副总经理、董事会秘书、财务总监（财务负责人）</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三会议事规则</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股份公司《股东会议事规则》《董事会议事规则》《监事会议事规则》</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《公司法》</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《中华人民共和国公司法》</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《证券法》</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《中华人民共和国证券法》</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《公司章程》</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最近一次经公司股东会批准的现行有效的章程</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五矿证券</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五矿证券有限公司</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报告期、本期</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日至</w:t>
            </w: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6</w:t>
            </w:r>
            <w:r>
              <w:rPr>
                <w:rFonts w:ascii="Times New Roman" w:eastAsia="宋体" w:hAnsi="Times New Roman" w:cs="Times New Roman"/>
                <w:sz w:val="18"/>
                <w:szCs w:val="18"/>
              </w:rPr>
              <w:t>月</w:t>
            </w:r>
            <w:r>
              <w:rPr>
                <w:rFonts w:ascii="Times New Roman" w:eastAsia="宋体" w:hAnsi="Times New Roman" w:cs="Times New Roman"/>
                <w:sz w:val="18"/>
                <w:szCs w:val="18"/>
              </w:rPr>
              <w:t>30</w:t>
            </w:r>
            <w:r>
              <w:rPr>
                <w:rFonts w:ascii="Times New Roman" w:eastAsia="宋体" w:hAnsi="Times New Roman" w:cs="Times New Roman"/>
                <w:sz w:val="18"/>
                <w:szCs w:val="18"/>
              </w:rPr>
              <w:t>日</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上年同期、上期</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2024</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日至</w:t>
            </w:r>
            <w:r>
              <w:rPr>
                <w:rFonts w:ascii="Times New Roman" w:eastAsia="宋体" w:hAnsi="Times New Roman" w:cs="Times New Roman"/>
                <w:sz w:val="18"/>
                <w:szCs w:val="18"/>
              </w:rPr>
              <w:t>2024</w:t>
            </w:r>
            <w:r>
              <w:rPr>
                <w:rFonts w:ascii="Times New Roman" w:eastAsia="宋体" w:hAnsi="Times New Roman" w:cs="Times New Roman"/>
                <w:sz w:val="18"/>
                <w:szCs w:val="18"/>
              </w:rPr>
              <w:t>年</w:t>
            </w:r>
            <w:r>
              <w:rPr>
                <w:rFonts w:ascii="Times New Roman" w:eastAsia="宋体" w:hAnsi="Times New Roman" w:cs="Times New Roman"/>
                <w:sz w:val="18"/>
                <w:szCs w:val="18"/>
              </w:rPr>
              <w:t>6</w:t>
            </w:r>
            <w:r>
              <w:rPr>
                <w:rFonts w:ascii="Times New Roman" w:eastAsia="宋体" w:hAnsi="Times New Roman" w:cs="Times New Roman"/>
                <w:sz w:val="18"/>
                <w:szCs w:val="18"/>
              </w:rPr>
              <w:t>月</w:t>
            </w:r>
            <w:r>
              <w:rPr>
                <w:rFonts w:ascii="Times New Roman" w:eastAsia="宋体" w:hAnsi="Times New Roman" w:cs="Times New Roman"/>
                <w:sz w:val="18"/>
                <w:szCs w:val="18"/>
              </w:rPr>
              <w:t>30</w:t>
            </w:r>
            <w:r>
              <w:rPr>
                <w:rFonts w:ascii="Times New Roman" w:eastAsia="宋体" w:hAnsi="Times New Roman" w:cs="Times New Roman"/>
                <w:sz w:val="18"/>
                <w:szCs w:val="18"/>
              </w:rPr>
              <w:t>日</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上年期末</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2024</w:t>
            </w:r>
            <w:r>
              <w:rPr>
                <w:rFonts w:ascii="Times New Roman" w:eastAsia="宋体" w:hAnsi="Times New Roman" w:cs="Times New Roman"/>
                <w:sz w:val="18"/>
                <w:szCs w:val="18"/>
              </w:rPr>
              <w:t>年</w:t>
            </w:r>
            <w:r>
              <w:rPr>
                <w:rFonts w:ascii="Times New Roman" w:eastAsia="宋体" w:hAnsi="Times New Roman" w:cs="Times New Roman"/>
                <w:sz w:val="18"/>
                <w:szCs w:val="18"/>
              </w:rPr>
              <w:t>6</w:t>
            </w:r>
            <w:r>
              <w:rPr>
                <w:rFonts w:ascii="Times New Roman" w:eastAsia="宋体" w:hAnsi="Times New Roman" w:cs="Times New Roman"/>
                <w:sz w:val="18"/>
                <w:szCs w:val="18"/>
              </w:rPr>
              <w:t>月</w:t>
            </w:r>
            <w:r>
              <w:rPr>
                <w:rFonts w:ascii="Times New Roman" w:eastAsia="宋体" w:hAnsi="Times New Roman" w:cs="Times New Roman"/>
                <w:sz w:val="18"/>
                <w:szCs w:val="18"/>
              </w:rPr>
              <w:t>30</w:t>
            </w:r>
            <w:r>
              <w:rPr>
                <w:rFonts w:ascii="Times New Roman" w:eastAsia="宋体" w:hAnsi="Times New Roman" w:cs="Times New Roman"/>
                <w:sz w:val="18"/>
                <w:szCs w:val="18"/>
              </w:rPr>
              <w:t>日</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期初、报告期初、本报告期初</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期末、报告期末、本报告期末</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6</w:t>
            </w:r>
            <w:r>
              <w:rPr>
                <w:rFonts w:ascii="Times New Roman" w:eastAsia="宋体" w:hAnsi="Times New Roman" w:cs="Times New Roman"/>
                <w:sz w:val="18"/>
                <w:szCs w:val="18"/>
              </w:rPr>
              <w:t>月</w:t>
            </w:r>
            <w:r>
              <w:rPr>
                <w:rFonts w:ascii="Times New Roman" w:eastAsia="宋体" w:hAnsi="Times New Roman" w:cs="Times New Roman"/>
                <w:sz w:val="18"/>
                <w:szCs w:val="18"/>
              </w:rPr>
              <w:t>30</w:t>
            </w:r>
            <w:r>
              <w:rPr>
                <w:rFonts w:ascii="Times New Roman" w:eastAsia="宋体" w:hAnsi="Times New Roman" w:cs="Times New Roman"/>
                <w:sz w:val="18"/>
                <w:szCs w:val="18"/>
              </w:rPr>
              <w:t>日</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元、万元</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人民币元、人民币万元</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智慧城市</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运用物联网、云计算、大数据、空间地理信息集成等新一代信息技术，促进城市规划、建设、管理和服务智慧化的新理念和新模式</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智慧政务</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运用云计算、大数据、物联网、人工智能等技术，通过监测、整合、分析、智能响应，实现各职能部门的各种资源的高度整合，提高政府的业务办理和管理效率</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智慧教育</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即教育信息化，是指在教育管理、教育教学和教育科研等教育领域全面深入地运用现代信息技术来促进教育改革与发展的过程</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智慧医疗</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通过大数据、物联网、云计算等技术，建立健康档案医疗信息平台，达到患者与医务人员、医疗机构、医疗设备之间的互动，实现数据化、标准化和</w:t>
            </w:r>
            <w:r>
              <w:rPr>
                <w:rFonts w:ascii="Times New Roman" w:eastAsia="宋体" w:hAnsi="Times New Roman" w:cs="Times New Roman"/>
                <w:sz w:val="18"/>
                <w:szCs w:val="18"/>
              </w:rPr>
              <w:lastRenderedPageBreak/>
              <w:t>智能化管理目的，从而提高医疗品质、效率与效益的新型医疗模式</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解决方案</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涵盖</w:t>
            </w:r>
            <w:r>
              <w:rPr>
                <w:rFonts w:ascii="Times New Roman" w:eastAsia="宋体" w:hAnsi="Times New Roman" w:cs="Times New Roman"/>
                <w:sz w:val="18"/>
                <w:szCs w:val="18"/>
              </w:rPr>
              <w:t>IT</w:t>
            </w:r>
            <w:r>
              <w:rPr>
                <w:rFonts w:ascii="Times New Roman" w:eastAsia="宋体" w:hAnsi="Times New Roman" w:cs="Times New Roman"/>
                <w:sz w:val="18"/>
                <w:szCs w:val="18"/>
              </w:rPr>
              <w:t>基础设施建设、系统集成、软件开发及系统运行维护等系列服务，使整套系统能够实现特定的业务功能，满足客户业务需求的服务</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信息系统集成</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根据客户的具体业务需求，将硬件平台、安全机制、操作系统、工具软件以及为客户需求定制开发的应用软件，集成为具有优良性价比的计算机信息系统工程</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物联网</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即物物相连的互联网，是通过射频识别（</w:t>
            </w:r>
            <w:r>
              <w:rPr>
                <w:rFonts w:ascii="Times New Roman" w:eastAsia="宋体" w:hAnsi="Times New Roman" w:cs="Times New Roman"/>
                <w:sz w:val="18"/>
                <w:szCs w:val="18"/>
              </w:rPr>
              <w:t>RFID</w:t>
            </w:r>
            <w:r>
              <w:rPr>
                <w:rFonts w:ascii="Times New Roman" w:eastAsia="宋体" w:hAnsi="Times New Roman" w:cs="Times New Roman"/>
                <w:sz w:val="18"/>
                <w:szCs w:val="18"/>
              </w:rPr>
              <w:t>）、红外感应器、全球定位系统、激光扫描等信息传感设备，按约定的协议，把任何物品与互联网连接起来，进行信息交换和通讯，以实现智能化识别、定位、跟踪、监控和管理的一种网络</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云计算</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是一种按使用量付费的模式，这种模式提供可用的、便捷的、按需的网络访问，进入可配置的计算资源共享池（资源包括网络，服务器，存储，应用软件，服务），这些资源能够被快速提供，只需投入很少的管理工作，或与服务供应商进行很少的交互</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大数据</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一种规模大到在获取、存储、管理、分析方面大大超出了传统数据库软件工具能力范围的数据集合，具有海量的数据规模、快速的数据流转、多样的数据类型和价值密度低四大特征</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GIS</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地理信息系统，是</w:t>
            </w:r>
            <w:r>
              <w:rPr>
                <w:rFonts w:ascii="Times New Roman" w:eastAsia="宋体" w:hAnsi="Times New Roman" w:cs="Times New Roman"/>
                <w:sz w:val="18"/>
                <w:szCs w:val="18"/>
              </w:rPr>
              <w:t>Geographic Information System</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的缩写，是以地理空间数据库为基础，在计算机软硬件的支持下，对地理空间信息进行采集、存储、检索、显示和分析的综合性技术系统</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人工智能</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研究、开发用于模拟、延伸和扩展人的智能的理论、方法、技术及应用系统的一门新的技术学科</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5G</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全球第五代移动通信系统，是</w:t>
            </w:r>
            <w:r>
              <w:rPr>
                <w:rFonts w:ascii="Times New Roman" w:eastAsia="宋体" w:hAnsi="Times New Roman" w:cs="Times New Roman"/>
                <w:sz w:val="18"/>
                <w:szCs w:val="18"/>
              </w:rPr>
              <w:t>fifth-generation</w:t>
            </w:r>
            <w:r>
              <w:rPr>
                <w:rFonts w:ascii="Times New Roman" w:eastAsia="宋体" w:hAnsi="Times New Roman" w:cs="Times New Roman"/>
                <w:sz w:val="18"/>
                <w:szCs w:val="18"/>
              </w:rPr>
              <w:t>的缩写，指移动电话系统第五代，也是</w:t>
            </w:r>
            <w:r>
              <w:rPr>
                <w:rFonts w:ascii="Times New Roman" w:eastAsia="宋体" w:hAnsi="Times New Roman" w:cs="Times New Roman"/>
                <w:sz w:val="18"/>
                <w:szCs w:val="18"/>
              </w:rPr>
              <w:t xml:space="preserve">4G </w:t>
            </w:r>
            <w:r>
              <w:rPr>
                <w:rFonts w:ascii="Times New Roman" w:eastAsia="宋体" w:hAnsi="Times New Roman" w:cs="Times New Roman"/>
                <w:sz w:val="18"/>
                <w:szCs w:val="18"/>
              </w:rPr>
              <w:t>的延伸</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3D WebGL</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是</w:t>
            </w:r>
            <w:r>
              <w:rPr>
                <w:rFonts w:ascii="Times New Roman" w:eastAsia="宋体" w:hAnsi="Times New Roman" w:cs="Times New Roman"/>
                <w:sz w:val="18"/>
                <w:szCs w:val="18"/>
              </w:rPr>
              <w:t xml:space="preserve">3D Web Graphics Library </w:t>
            </w:r>
            <w:r>
              <w:rPr>
                <w:rFonts w:ascii="Times New Roman" w:eastAsia="宋体" w:hAnsi="Times New Roman" w:cs="Times New Roman"/>
                <w:sz w:val="18"/>
                <w:szCs w:val="18"/>
              </w:rPr>
              <w:t>的缩写，是一种三维绘图技术，该技术基于</w:t>
            </w:r>
            <w:r>
              <w:rPr>
                <w:rFonts w:ascii="Times New Roman" w:eastAsia="宋体" w:hAnsi="Times New Roman" w:cs="Times New Roman"/>
                <w:sz w:val="18"/>
                <w:szCs w:val="18"/>
              </w:rPr>
              <w:t xml:space="preserve"> Cesium </w:t>
            </w:r>
            <w:r>
              <w:rPr>
                <w:rFonts w:ascii="Times New Roman" w:eastAsia="宋体" w:hAnsi="Times New Roman" w:cs="Times New Roman"/>
                <w:sz w:val="18"/>
                <w:szCs w:val="18"/>
              </w:rPr>
              <w:t>开源框架，面向</w:t>
            </w:r>
            <w:r>
              <w:rPr>
                <w:rFonts w:ascii="Times New Roman" w:eastAsia="宋体" w:hAnsi="Times New Roman" w:cs="Times New Roman"/>
                <w:sz w:val="18"/>
                <w:szCs w:val="18"/>
              </w:rPr>
              <w:t xml:space="preserve"> HTML 5</w:t>
            </w:r>
            <w:r>
              <w:rPr>
                <w:rFonts w:ascii="Times New Roman" w:eastAsia="宋体" w:hAnsi="Times New Roman" w:cs="Times New Roman"/>
                <w:sz w:val="18"/>
                <w:szCs w:val="18"/>
              </w:rPr>
              <w:t>的三维应用开发，能快速构建内容丰富、响应迅速、体验流畅的三维场景与模型</w:t>
            </w:r>
          </w:p>
        </w:tc>
      </w:tr>
      <w:tr w:rsidR="00CE3C32">
        <w:trPr>
          <w:trHeight w:val="240"/>
        </w:trPr>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SCADA</w:t>
            </w:r>
          </w:p>
        </w:tc>
        <w:tc>
          <w:tcPr>
            <w:tcW w:w="100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w:t>
            </w:r>
          </w:p>
        </w:tc>
        <w:tc>
          <w:tcPr>
            <w:tcW w:w="43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Supervisory Control and Data Acquisition</w:t>
            </w:r>
            <w:r>
              <w:rPr>
                <w:rFonts w:ascii="Times New Roman" w:eastAsia="宋体" w:hAnsi="Times New Roman" w:cs="Times New Roman"/>
                <w:sz w:val="18"/>
                <w:szCs w:val="18"/>
              </w:rPr>
              <w:t>，数据采集与监视控制系统，以计算机为基础的</w:t>
            </w:r>
            <w:r>
              <w:rPr>
                <w:rFonts w:ascii="Times New Roman" w:eastAsia="宋体" w:hAnsi="Times New Roman" w:cs="Times New Roman"/>
                <w:sz w:val="18"/>
                <w:szCs w:val="18"/>
              </w:rPr>
              <w:t>DCS</w:t>
            </w:r>
            <w:r>
              <w:rPr>
                <w:rFonts w:ascii="Times New Roman" w:eastAsia="宋体" w:hAnsi="Times New Roman" w:cs="Times New Roman"/>
                <w:sz w:val="18"/>
                <w:szCs w:val="18"/>
              </w:rPr>
              <w:t>与电力自动化监控系统，广泛应用于电力、冶金、石油、化工、燃气、铁路等领域的数据采集与监视控制以及过程控制等诸多领域</w:t>
            </w:r>
          </w:p>
        </w:tc>
      </w:tr>
    </w:tbl>
    <w:p w:rsidR="00CE3C32" w:rsidRDefault="006413B8">
      <w:pPr>
        <w:rPr>
          <w:rFonts w:ascii="Times New Roman" w:hAnsi="Times New Roman" w:cs="Times New Roman"/>
        </w:rPr>
      </w:pPr>
      <w:r>
        <w:rPr>
          <w:rFonts w:ascii="Times New Roman" w:hAnsi="Times New Roman" w:cs="Times New Roman"/>
        </w:rPr>
        <w:br w:type="page"/>
      </w:r>
    </w:p>
    <w:p w:rsidR="00CE3C32" w:rsidRDefault="006413B8">
      <w:pPr>
        <w:pStyle w:val="headingh1"/>
        <w:spacing w:before="340" w:after="330" w:line="773" w:lineRule="exact"/>
        <w:jc w:val="center"/>
        <w:rPr>
          <w:rFonts w:ascii="Times New Roman" w:eastAsia="宋体" w:hAnsi="Times New Roman" w:cs="Times New Roman"/>
          <w:b/>
          <w:bCs/>
          <w:sz w:val="32"/>
          <w:szCs w:val="32"/>
        </w:rPr>
      </w:pPr>
      <w:bookmarkStart w:id="1" w:name="_Toc988890"/>
      <w:r>
        <w:rPr>
          <w:rFonts w:ascii="Times New Roman" w:eastAsia="宋体" w:hAnsi="Times New Roman" w:cs="Times New Roman"/>
          <w:b/>
          <w:bCs/>
          <w:sz w:val="32"/>
          <w:szCs w:val="32"/>
        </w:rPr>
        <w:lastRenderedPageBreak/>
        <w:t>第二节</w:t>
      </w:r>
      <w:r>
        <w:rPr>
          <w:rFonts w:ascii="Times New Roman" w:eastAsia="宋体" w:hAnsi="Times New Roman" w:cs="Times New Roman"/>
          <w:b/>
          <w:bCs/>
          <w:sz w:val="32"/>
          <w:szCs w:val="32"/>
        </w:rPr>
        <w:t xml:space="preserve"> </w:t>
      </w:r>
      <w:r>
        <w:rPr>
          <w:rFonts w:ascii="Times New Roman" w:eastAsia="宋体" w:hAnsi="Times New Roman" w:cs="Times New Roman"/>
          <w:b/>
          <w:bCs/>
          <w:sz w:val="32"/>
          <w:szCs w:val="32"/>
        </w:rPr>
        <w:t>公司简介和主要财务指标</w:t>
      </w:r>
      <w:bookmarkEnd w:id="1"/>
    </w:p>
    <w:p w:rsidR="00CE3C32" w:rsidRDefault="006413B8">
      <w:pPr>
        <w:pStyle w:val="2"/>
        <w:spacing w:before="300" w:after="300" w:line="320" w:lineRule="exact"/>
        <w:rPr>
          <w:rFonts w:ascii="Times New Roman" w:eastAsia="宋体" w:hAnsi="Times New Roman" w:cs="Times New Roman"/>
          <w:b/>
          <w:bCs/>
          <w:sz w:val="24"/>
          <w:szCs w:val="24"/>
        </w:rPr>
      </w:pPr>
      <w:bookmarkStart w:id="2" w:name="_Toc988891"/>
      <w:r>
        <w:rPr>
          <w:rFonts w:ascii="Times New Roman" w:eastAsia="宋体" w:hAnsi="Times New Roman" w:cs="Times New Roman"/>
          <w:b/>
          <w:bCs/>
          <w:sz w:val="24"/>
          <w:szCs w:val="24"/>
        </w:rPr>
        <w:t>一、公司简介</w:t>
      </w:r>
      <w:bookmarkEnd w:id="2"/>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股票简称</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股票代码</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301178</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变更前的股票简称（如有）</w:t>
            </w:r>
          </w:p>
        </w:tc>
        <w:tc>
          <w:tcPr>
            <w:tcW w:w="7229" w:type="dxa"/>
            <w:gridSpan w:val="3"/>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股票上市证券交易所</w:t>
            </w:r>
          </w:p>
        </w:tc>
        <w:tc>
          <w:tcPr>
            <w:tcW w:w="7229" w:type="dxa"/>
            <w:gridSpan w:val="3"/>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深圳证券交易所</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公司的中文名称</w:t>
            </w:r>
          </w:p>
        </w:tc>
        <w:tc>
          <w:tcPr>
            <w:tcW w:w="7229" w:type="dxa"/>
            <w:gridSpan w:val="3"/>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广东天亿马信息产业股份有限公司</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公司的中文简称（如有）</w:t>
            </w:r>
          </w:p>
        </w:tc>
        <w:tc>
          <w:tcPr>
            <w:tcW w:w="7229" w:type="dxa"/>
            <w:gridSpan w:val="3"/>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公司的外文名称（如有）</w:t>
            </w:r>
          </w:p>
        </w:tc>
        <w:tc>
          <w:tcPr>
            <w:tcW w:w="7229" w:type="dxa"/>
            <w:gridSpan w:val="3"/>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Guangdong TianYiMa Information Industry Co., Ltd.</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公司的外文名称缩写（如有）</w:t>
            </w:r>
          </w:p>
        </w:tc>
        <w:tc>
          <w:tcPr>
            <w:tcW w:w="7229" w:type="dxa"/>
            <w:gridSpan w:val="3"/>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TYM</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公司的法定代表人</w:t>
            </w:r>
          </w:p>
        </w:tc>
        <w:tc>
          <w:tcPr>
            <w:tcW w:w="7229" w:type="dxa"/>
            <w:gridSpan w:val="3"/>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林明玲</w:t>
            </w:r>
          </w:p>
        </w:tc>
      </w:tr>
    </w:tbl>
    <w:p w:rsidR="00CE3C32" w:rsidRDefault="006413B8">
      <w:pPr>
        <w:pStyle w:val="2"/>
        <w:spacing w:before="300" w:after="300" w:line="320" w:lineRule="exact"/>
        <w:rPr>
          <w:rFonts w:ascii="Times New Roman" w:eastAsia="宋体" w:hAnsi="Times New Roman" w:cs="Times New Roman"/>
          <w:b/>
          <w:bCs/>
          <w:sz w:val="24"/>
          <w:szCs w:val="24"/>
        </w:rPr>
      </w:pPr>
      <w:bookmarkStart w:id="3" w:name="_Toc988892"/>
      <w:r>
        <w:rPr>
          <w:rFonts w:ascii="Times New Roman" w:eastAsia="宋体" w:hAnsi="Times New Roman" w:cs="Times New Roman"/>
          <w:b/>
          <w:bCs/>
          <w:sz w:val="24"/>
          <w:szCs w:val="24"/>
        </w:rPr>
        <w:t>二、联系人和联系方式</w:t>
      </w:r>
      <w:bookmarkEnd w:id="3"/>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董事会秘书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证券事务代表</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姓名</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曹维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黄舒倩</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联系地址</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广东省汕头市海滨路</w:t>
            </w:r>
            <w:r>
              <w:rPr>
                <w:rFonts w:ascii="Times New Roman" w:eastAsia="宋体" w:hAnsi="Times New Roman" w:cs="Times New Roman"/>
                <w:sz w:val="18"/>
                <w:szCs w:val="18"/>
              </w:rPr>
              <w:t xml:space="preserve"> 55 </w:t>
            </w:r>
            <w:r>
              <w:rPr>
                <w:rFonts w:ascii="Times New Roman" w:eastAsia="宋体" w:hAnsi="Times New Roman" w:cs="Times New Roman"/>
                <w:sz w:val="18"/>
                <w:szCs w:val="18"/>
              </w:rPr>
              <w:t>号海逸投资大厦</w:t>
            </w:r>
            <w:r>
              <w:rPr>
                <w:rFonts w:ascii="Times New Roman" w:eastAsia="宋体" w:hAnsi="Times New Roman" w:cs="Times New Roman"/>
                <w:sz w:val="18"/>
                <w:szCs w:val="18"/>
              </w:rPr>
              <w:t xml:space="preserve"> 4-5 </w:t>
            </w:r>
            <w:r>
              <w:rPr>
                <w:rFonts w:ascii="Times New Roman" w:eastAsia="宋体" w:hAnsi="Times New Roman" w:cs="Times New Roman"/>
                <w:sz w:val="18"/>
                <w:szCs w:val="18"/>
              </w:rPr>
              <w:t>楼</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广东省汕头市海滨路</w:t>
            </w:r>
            <w:r>
              <w:rPr>
                <w:rFonts w:ascii="Times New Roman" w:eastAsia="宋体" w:hAnsi="Times New Roman" w:cs="Times New Roman"/>
                <w:sz w:val="18"/>
                <w:szCs w:val="18"/>
              </w:rPr>
              <w:t xml:space="preserve"> 55 </w:t>
            </w:r>
            <w:r>
              <w:rPr>
                <w:rFonts w:ascii="Times New Roman" w:eastAsia="宋体" w:hAnsi="Times New Roman" w:cs="Times New Roman"/>
                <w:sz w:val="18"/>
                <w:szCs w:val="18"/>
              </w:rPr>
              <w:t>号海逸投资大厦</w:t>
            </w:r>
            <w:r>
              <w:rPr>
                <w:rFonts w:ascii="Times New Roman" w:eastAsia="宋体" w:hAnsi="Times New Roman" w:cs="Times New Roman"/>
                <w:sz w:val="18"/>
                <w:szCs w:val="18"/>
              </w:rPr>
              <w:t xml:space="preserve"> 4-5 </w:t>
            </w:r>
            <w:r>
              <w:rPr>
                <w:rFonts w:ascii="Times New Roman" w:eastAsia="宋体" w:hAnsi="Times New Roman" w:cs="Times New Roman"/>
                <w:sz w:val="18"/>
                <w:szCs w:val="18"/>
              </w:rPr>
              <w:t>楼</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电话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0754-88880666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0754-88880666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传真</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0754-88983999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0754-88983999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电子信箱</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Securities@tym.com.cn</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Securities@tym.com.cn</w:t>
            </w:r>
          </w:p>
        </w:tc>
      </w:tr>
    </w:tbl>
    <w:p w:rsidR="00CE3C32" w:rsidRDefault="006413B8">
      <w:pPr>
        <w:pStyle w:val="2"/>
        <w:spacing w:before="300" w:after="300" w:line="320" w:lineRule="exact"/>
        <w:rPr>
          <w:rFonts w:ascii="Times New Roman" w:eastAsia="宋体" w:hAnsi="Times New Roman" w:cs="Times New Roman"/>
          <w:b/>
          <w:bCs/>
          <w:sz w:val="24"/>
          <w:szCs w:val="24"/>
        </w:rPr>
      </w:pPr>
      <w:bookmarkStart w:id="4" w:name="_Toc988893"/>
      <w:r>
        <w:rPr>
          <w:rFonts w:ascii="Times New Roman" w:eastAsia="宋体" w:hAnsi="Times New Roman" w:cs="Times New Roman"/>
          <w:b/>
          <w:bCs/>
          <w:sz w:val="24"/>
          <w:szCs w:val="24"/>
        </w:rPr>
        <w:t>三、其他情况</w:t>
      </w:r>
      <w:bookmarkEnd w:id="4"/>
    </w:p>
    <w:p w:rsidR="00CE3C32" w:rsidRDefault="006413B8">
      <w:pPr>
        <w:pStyle w:val="3"/>
        <w:spacing w:line="280" w:lineRule="exact"/>
        <w:jc w:val="left"/>
        <w:rPr>
          <w:rFonts w:ascii="Times New Roman" w:hAnsi="Times New Roman" w:cs="Times New Roman"/>
          <w:b/>
          <w:bCs/>
        </w:rPr>
      </w:pPr>
      <w:bookmarkStart w:id="5" w:name="_Toc988894"/>
      <w:r>
        <w:rPr>
          <w:rFonts w:ascii="Times New Roman" w:hAnsi="Times New Roman" w:cs="Times New Roman"/>
          <w:b/>
          <w:bCs/>
        </w:rPr>
        <w:t>1</w:t>
      </w:r>
      <w:r>
        <w:rPr>
          <w:rFonts w:ascii="Times New Roman" w:hAnsi="Times New Roman" w:cs="Times New Roman"/>
          <w:b/>
          <w:bCs/>
        </w:rPr>
        <w:t>、公司联系方式</w:t>
      </w:r>
      <w:bookmarkEnd w:id="5"/>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公司注册地址、公司办公地址及其邮政编码、公司网址、电子信箱等在报告期是否变化</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公司注册地址、公司办公地址及其邮政编码、公司网址、电子信箱等在报告期无变化，具体可参见</w:t>
      </w:r>
      <w:r>
        <w:rPr>
          <w:rFonts w:ascii="Times New Roman" w:eastAsia="宋体" w:hAnsi="Times New Roman" w:cs="Times New Roman"/>
          <w:sz w:val="18"/>
          <w:szCs w:val="18"/>
        </w:rPr>
        <w:t>2024</w:t>
      </w:r>
      <w:r>
        <w:rPr>
          <w:rFonts w:ascii="Times New Roman" w:eastAsia="宋体" w:hAnsi="Times New Roman" w:cs="Times New Roman"/>
          <w:sz w:val="18"/>
          <w:szCs w:val="18"/>
        </w:rPr>
        <w:t>年年报。</w:t>
      </w:r>
    </w:p>
    <w:p w:rsidR="00CE3C32" w:rsidRDefault="006413B8">
      <w:pPr>
        <w:pStyle w:val="3"/>
        <w:spacing w:line="280" w:lineRule="exact"/>
        <w:jc w:val="left"/>
        <w:rPr>
          <w:rFonts w:ascii="Times New Roman" w:hAnsi="Times New Roman" w:cs="Times New Roman"/>
          <w:b/>
          <w:bCs/>
        </w:rPr>
      </w:pPr>
      <w:bookmarkStart w:id="6" w:name="_Toc988895"/>
      <w:r>
        <w:rPr>
          <w:rFonts w:ascii="Times New Roman" w:hAnsi="Times New Roman" w:cs="Times New Roman"/>
          <w:b/>
          <w:bCs/>
        </w:rPr>
        <w:t>2</w:t>
      </w:r>
      <w:r>
        <w:rPr>
          <w:rFonts w:ascii="Times New Roman" w:hAnsi="Times New Roman" w:cs="Times New Roman"/>
          <w:b/>
          <w:bCs/>
        </w:rPr>
        <w:t>、信息披露及备置地点</w:t>
      </w:r>
      <w:bookmarkEnd w:id="6"/>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信息披露及备置地点在报告期是否变化</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公司披露半年度报告的证券交易所网站和媒体名称及网址，公司半年度报告备置地在报告期无变化，具体可参见</w:t>
      </w:r>
      <w:r>
        <w:rPr>
          <w:rFonts w:ascii="Times New Roman" w:eastAsia="宋体" w:hAnsi="Times New Roman" w:cs="Times New Roman"/>
          <w:sz w:val="18"/>
          <w:szCs w:val="18"/>
        </w:rPr>
        <w:t>2024</w:t>
      </w:r>
      <w:r>
        <w:rPr>
          <w:rFonts w:ascii="Times New Roman" w:eastAsia="宋体" w:hAnsi="Times New Roman" w:cs="Times New Roman"/>
          <w:sz w:val="18"/>
          <w:szCs w:val="18"/>
        </w:rPr>
        <w:t>年年报。</w:t>
      </w:r>
    </w:p>
    <w:p w:rsidR="00CE3C32" w:rsidRDefault="006413B8">
      <w:pPr>
        <w:pStyle w:val="3"/>
        <w:spacing w:line="280" w:lineRule="exact"/>
        <w:jc w:val="left"/>
        <w:rPr>
          <w:rFonts w:ascii="Times New Roman" w:hAnsi="Times New Roman" w:cs="Times New Roman"/>
          <w:b/>
          <w:bCs/>
        </w:rPr>
      </w:pPr>
      <w:bookmarkStart w:id="7" w:name="_Toc988896"/>
      <w:r>
        <w:rPr>
          <w:rFonts w:ascii="Times New Roman" w:hAnsi="Times New Roman" w:cs="Times New Roman"/>
          <w:b/>
          <w:bCs/>
        </w:rPr>
        <w:t>3</w:t>
      </w:r>
      <w:r>
        <w:rPr>
          <w:rFonts w:ascii="Times New Roman" w:hAnsi="Times New Roman" w:cs="Times New Roman"/>
          <w:b/>
          <w:bCs/>
        </w:rPr>
        <w:t>、注册变更情况</w:t>
      </w:r>
      <w:bookmarkEnd w:id="7"/>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注册情况在报告期是否变更情况</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公司注册情况在报告期无变化，具体可参见</w:t>
      </w:r>
      <w:r>
        <w:rPr>
          <w:rFonts w:ascii="Times New Roman" w:eastAsia="宋体" w:hAnsi="Times New Roman" w:cs="Times New Roman"/>
          <w:sz w:val="18"/>
          <w:szCs w:val="18"/>
        </w:rPr>
        <w:t>2024</w:t>
      </w:r>
      <w:r>
        <w:rPr>
          <w:rFonts w:ascii="Times New Roman" w:eastAsia="宋体" w:hAnsi="Times New Roman" w:cs="Times New Roman"/>
          <w:sz w:val="18"/>
          <w:szCs w:val="18"/>
        </w:rPr>
        <w:t>年年报。</w:t>
      </w:r>
    </w:p>
    <w:p w:rsidR="00CE3C32" w:rsidRDefault="006413B8">
      <w:pPr>
        <w:pStyle w:val="2"/>
        <w:spacing w:before="300" w:after="300" w:line="320" w:lineRule="exact"/>
        <w:rPr>
          <w:rFonts w:ascii="Times New Roman" w:eastAsia="宋体" w:hAnsi="Times New Roman" w:cs="Times New Roman"/>
          <w:b/>
          <w:bCs/>
          <w:sz w:val="24"/>
          <w:szCs w:val="24"/>
        </w:rPr>
      </w:pPr>
      <w:bookmarkStart w:id="8" w:name="_Toc988897"/>
      <w:r>
        <w:rPr>
          <w:rFonts w:ascii="Times New Roman" w:eastAsia="宋体" w:hAnsi="Times New Roman" w:cs="Times New Roman"/>
          <w:b/>
          <w:bCs/>
          <w:sz w:val="24"/>
          <w:szCs w:val="24"/>
        </w:rPr>
        <w:lastRenderedPageBreak/>
        <w:t>四、主要会计数据和财务指标</w:t>
      </w:r>
      <w:bookmarkEnd w:id="8"/>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公司是否需追溯调整或重述以前年度会计数据</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是</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否</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本报告期</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上年同期</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本报告期比上年同期增减</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营业收入（元）</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145,629,526.57</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89,214,406.37</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63.24%</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归属于上市公司股东的净利润（元）</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6,059,068.30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-11,729,023.47</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151.66%</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归属于上市公司股东的扣除非经常性损益的净利润（元）</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7,179,708.32</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-10,310,198.38</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169.64%</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经营活动产生的现金流量净额（元）</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-16,382,921.61</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-61,821,520.43</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73.50%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基本每股收益（元</w:t>
            </w:r>
            <w:r>
              <w:rPr>
                <w:rFonts w:ascii="Times New Roman" w:eastAsia="宋体" w:hAnsi="Times New Roman" w:cs="Times New Roman"/>
                <w:sz w:val="18"/>
                <w:szCs w:val="18"/>
              </w:rPr>
              <w:t>/</w:t>
            </w:r>
            <w:r>
              <w:rPr>
                <w:rFonts w:ascii="Times New Roman" w:eastAsia="宋体" w:hAnsi="Times New Roman" w:cs="Times New Roman"/>
                <w:sz w:val="18"/>
                <w:szCs w:val="18"/>
              </w:rPr>
              <w:t>股）</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0.0903</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-0.1764</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151.19%</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稀释每股收益（元</w:t>
            </w:r>
            <w:r>
              <w:rPr>
                <w:rFonts w:ascii="Times New Roman" w:eastAsia="宋体" w:hAnsi="Times New Roman" w:cs="Times New Roman"/>
                <w:sz w:val="18"/>
                <w:szCs w:val="18"/>
              </w:rPr>
              <w:t>/</w:t>
            </w:r>
            <w:r>
              <w:rPr>
                <w:rFonts w:ascii="Times New Roman" w:eastAsia="宋体" w:hAnsi="Times New Roman" w:cs="Times New Roman"/>
                <w:sz w:val="18"/>
                <w:szCs w:val="18"/>
              </w:rPr>
              <w:t>股）</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0.0902</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-0.1768</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151.02%</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加权平均净资产收益率</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0.79%</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-1.44%</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2.23%</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本报告期末</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上年度末</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本报告期末比上年度末增减</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总资产（元）</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1,439,369,397.40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1,333,766,753.86</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7.92%</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归属于上市公司股东的净资产（元）</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769,941,246.80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758,250,167.43</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1.54%</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扣除股份支付影响后的净利润</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本报告期</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扣除股份支付影响后的净利润（元）</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11,742,986.75</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公司报告期末至半年度报告披露日股本是否因发行新股、增发、配股、股权激励行权、回购等原因发生变化且影响所有者权益金额</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是</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否</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支付的优先股股利</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支付的永续债利息（元）</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用最新股本计算的全面摊薄每股收益（元</w:t>
            </w:r>
            <w:r>
              <w:rPr>
                <w:rFonts w:ascii="Times New Roman" w:eastAsia="宋体" w:hAnsi="Times New Roman" w:cs="Times New Roman"/>
                <w:sz w:val="18"/>
                <w:szCs w:val="18"/>
              </w:rPr>
              <w:t>/</w:t>
            </w:r>
            <w:r>
              <w:rPr>
                <w:rFonts w:ascii="Times New Roman" w:eastAsia="宋体" w:hAnsi="Times New Roman" w:cs="Times New Roman"/>
                <w:sz w:val="18"/>
                <w:szCs w:val="18"/>
              </w:rPr>
              <w:t>股）</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0.0906</w:t>
            </w:r>
          </w:p>
        </w:tc>
      </w:tr>
    </w:tbl>
    <w:p w:rsidR="00CE3C32" w:rsidRDefault="006413B8">
      <w:pPr>
        <w:pStyle w:val="2"/>
        <w:spacing w:before="300" w:after="300" w:line="320" w:lineRule="exact"/>
        <w:rPr>
          <w:rFonts w:ascii="Times New Roman" w:eastAsia="宋体" w:hAnsi="Times New Roman" w:cs="Times New Roman"/>
          <w:b/>
          <w:bCs/>
          <w:sz w:val="24"/>
          <w:szCs w:val="24"/>
        </w:rPr>
      </w:pPr>
      <w:bookmarkStart w:id="9" w:name="_Toc988898"/>
      <w:r>
        <w:rPr>
          <w:rFonts w:ascii="Times New Roman" w:eastAsia="宋体" w:hAnsi="Times New Roman" w:cs="Times New Roman"/>
          <w:b/>
          <w:bCs/>
          <w:sz w:val="24"/>
          <w:szCs w:val="24"/>
        </w:rPr>
        <w:t>五、境内外会计准则下会计数据差异</w:t>
      </w:r>
      <w:bookmarkEnd w:id="9"/>
    </w:p>
    <w:p w:rsidR="00CE3C32" w:rsidRDefault="006413B8">
      <w:pPr>
        <w:pStyle w:val="3"/>
        <w:spacing w:line="280" w:lineRule="exact"/>
        <w:jc w:val="left"/>
        <w:rPr>
          <w:rFonts w:ascii="Times New Roman" w:hAnsi="Times New Roman" w:cs="Times New Roman"/>
          <w:b/>
          <w:bCs/>
        </w:rPr>
      </w:pPr>
      <w:bookmarkStart w:id="10" w:name="_Toc988899"/>
      <w:r>
        <w:rPr>
          <w:rFonts w:ascii="Times New Roman" w:hAnsi="Times New Roman" w:cs="Times New Roman"/>
          <w:b/>
          <w:bCs/>
        </w:rPr>
        <w:t>1</w:t>
      </w:r>
      <w:r>
        <w:rPr>
          <w:rFonts w:ascii="Times New Roman" w:hAnsi="Times New Roman" w:cs="Times New Roman"/>
          <w:b/>
          <w:bCs/>
        </w:rPr>
        <w:t>、同时按照国际会计准则与按照中国会计准则披露的财务报告中净利润和净资产差异情况</w:t>
      </w:r>
      <w:bookmarkEnd w:id="10"/>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公司报告期不存在按照国际会计准则与按照中国会计准则披露的财务报告中净利润和净资产差异情况。</w:t>
      </w:r>
    </w:p>
    <w:p w:rsidR="00CE3C32" w:rsidRDefault="006413B8">
      <w:pPr>
        <w:pStyle w:val="3"/>
        <w:spacing w:line="280" w:lineRule="exact"/>
        <w:jc w:val="left"/>
        <w:rPr>
          <w:rFonts w:ascii="Times New Roman" w:hAnsi="Times New Roman" w:cs="Times New Roman"/>
          <w:b/>
          <w:bCs/>
        </w:rPr>
      </w:pPr>
      <w:bookmarkStart w:id="11" w:name="_Toc988900"/>
      <w:r>
        <w:rPr>
          <w:rFonts w:ascii="Times New Roman" w:hAnsi="Times New Roman" w:cs="Times New Roman"/>
          <w:b/>
          <w:bCs/>
        </w:rPr>
        <w:t>2</w:t>
      </w:r>
      <w:r>
        <w:rPr>
          <w:rFonts w:ascii="Times New Roman" w:hAnsi="Times New Roman" w:cs="Times New Roman"/>
          <w:b/>
          <w:bCs/>
        </w:rPr>
        <w:t>、同时按照境外会计准则与按照中国会计准则披露的财务报告中净利润和净资产差异情况</w:t>
      </w:r>
      <w:bookmarkEnd w:id="11"/>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公司报告期不存在按照境外会计准则与按照中国会计准则披露的财务报告中净利润和净资产差异情况。</w:t>
      </w:r>
    </w:p>
    <w:p w:rsidR="00CE3C32" w:rsidRDefault="006413B8">
      <w:pPr>
        <w:pStyle w:val="2"/>
        <w:spacing w:before="300" w:after="300" w:line="320" w:lineRule="exact"/>
        <w:rPr>
          <w:rFonts w:ascii="Times New Roman" w:eastAsia="宋体" w:hAnsi="Times New Roman" w:cs="Times New Roman"/>
          <w:b/>
          <w:bCs/>
          <w:sz w:val="24"/>
          <w:szCs w:val="24"/>
        </w:rPr>
      </w:pPr>
      <w:bookmarkStart w:id="12" w:name="_Toc988901"/>
      <w:r>
        <w:rPr>
          <w:rFonts w:ascii="Times New Roman" w:eastAsia="宋体" w:hAnsi="Times New Roman" w:cs="Times New Roman"/>
          <w:b/>
          <w:bCs/>
          <w:sz w:val="24"/>
          <w:szCs w:val="24"/>
        </w:rPr>
        <w:t>六、非经常性损益项目及金额</w:t>
      </w:r>
      <w:bookmarkEnd w:id="12"/>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lastRenderedPageBreak/>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说明</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非流动性资产处置损益（包括已计提资产减值准备的冲销部分）</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-327,415.04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计入当期损益的政府补助（与公司正常经营业务密切相关、符合国家政策规定、按照确定的标准享有、对公司损益产生持续影响的政府补助除外）</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7,093.45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除上述各项之外的其他营业外收入和支出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-1,034,195.78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其他符合非经常性损益定义的损益项目</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40,975.70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减：所得税影响额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-196,453.18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少数股东权益影响额（税后）</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3,551.53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-1,120,640.02</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其他符合非经常性损益定义的损益项目的具体情况：</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公司不存在其他符合非经常性损益定义的损益项目的具体情况。</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将《公开发行证券的公司信息披露解释性公告第</w:t>
      </w:r>
      <w:r>
        <w:rPr>
          <w:rFonts w:ascii="Times New Roman" w:eastAsia="宋体" w:hAnsi="Times New Roman" w:cs="Times New Roman"/>
          <w:sz w:val="18"/>
          <w:szCs w:val="18"/>
        </w:rPr>
        <w:t>1</w:t>
      </w:r>
      <w:r>
        <w:rPr>
          <w:rFonts w:ascii="Times New Roman" w:eastAsia="宋体" w:hAnsi="Times New Roman" w:cs="Times New Roman"/>
          <w:sz w:val="18"/>
          <w:szCs w:val="18"/>
        </w:rPr>
        <w:t>号</w:t>
      </w:r>
      <w:r>
        <w:rPr>
          <w:rFonts w:ascii="Times New Roman" w:eastAsia="宋体" w:hAnsi="Times New Roman" w:cs="Times New Roman"/>
          <w:sz w:val="18"/>
          <w:szCs w:val="18"/>
        </w:rPr>
        <w:t>——</w:t>
      </w:r>
      <w:r>
        <w:rPr>
          <w:rFonts w:ascii="Times New Roman" w:eastAsia="宋体" w:hAnsi="Times New Roman" w:cs="Times New Roman"/>
          <w:sz w:val="18"/>
          <w:szCs w:val="18"/>
        </w:rPr>
        <w:t>非经常性损益》中列举的非经常性损益项目界定为经常性损益项目的情况说明</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公司不存在将《公开发行证券的公司信息披露解释性公告第</w:t>
      </w:r>
      <w:r>
        <w:rPr>
          <w:rFonts w:ascii="Times New Roman" w:eastAsia="宋体" w:hAnsi="Times New Roman" w:cs="Times New Roman"/>
          <w:sz w:val="18"/>
          <w:szCs w:val="18"/>
        </w:rPr>
        <w:t>1</w:t>
      </w:r>
      <w:r>
        <w:rPr>
          <w:rFonts w:ascii="Times New Roman" w:eastAsia="宋体" w:hAnsi="Times New Roman" w:cs="Times New Roman"/>
          <w:sz w:val="18"/>
          <w:szCs w:val="18"/>
        </w:rPr>
        <w:t>号</w:t>
      </w:r>
      <w:r>
        <w:rPr>
          <w:rFonts w:ascii="Times New Roman" w:eastAsia="宋体" w:hAnsi="Times New Roman" w:cs="Times New Roman"/>
          <w:sz w:val="18"/>
          <w:szCs w:val="18"/>
        </w:rPr>
        <w:t>——</w:t>
      </w:r>
      <w:r>
        <w:rPr>
          <w:rFonts w:ascii="Times New Roman" w:eastAsia="宋体" w:hAnsi="Times New Roman" w:cs="Times New Roman"/>
          <w:sz w:val="18"/>
          <w:szCs w:val="18"/>
        </w:rPr>
        <w:t>非经常性损益》中列举的非经常性损益项目界定为经常性损益的项目的情形。</w:t>
      </w:r>
    </w:p>
    <w:p w:rsidR="00CE3C32" w:rsidRDefault="006413B8">
      <w:pPr>
        <w:rPr>
          <w:rFonts w:ascii="Times New Roman" w:hAnsi="Times New Roman" w:cs="Times New Roman"/>
        </w:rPr>
      </w:pPr>
      <w:r>
        <w:rPr>
          <w:rFonts w:ascii="Times New Roman" w:hAnsi="Times New Roman" w:cs="Times New Roman"/>
        </w:rPr>
        <w:br w:type="page"/>
      </w:r>
    </w:p>
    <w:p w:rsidR="00CE3C32" w:rsidRDefault="006413B8">
      <w:pPr>
        <w:pStyle w:val="headingh1"/>
        <w:spacing w:before="340" w:after="330" w:line="773" w:lineRule="exact"/>
        <w:jc w:val="center"/>
        <w:rPr>
          <w:rFonts w:ascii="Times New Roman" w:eastAsia="宋体" w:hAnsi="Times New Roman" w:cs="Times New Roman"/>
          <w:b/>
          <w:bCs/>
          <w:sz w:val="32"/>
          <w:szCs w:val="32"/>
        </w:rPr>
      </w:pPr>
      <w:bookmarkStart w:id="13" w:name="_Toc988902"/>
      <w:r>
        <w:rPr>
          <w:rFonts w:ascii="Times New Roman" w:eastAsia="宋体" w:hAnsi="Times New Roman" w:cs="Times New Roman"/>
          <w:b/>
          <w:bCs/>
          <w:sz w:val="32"/>
          <w:szCs w:val="32"/>
        </w:rPr>
        <w:lastRenderedPageBreak/>
        <w:t>第三节</w:t>
      </w:r>
      <w:r>
        <w:rPr>
          <w:rFonts w:ascii="Times New Roman" w:eastAsia="宋体" w:hAnsi="Times New Roman" w:cs="Times New Roman"/>
          <w:b/>
          <w:bCs/>
          <w:sz w:val="32"/>
          <w:szCs w:val="32"/>
        </w:rPr>
        <w:t xml:space="preserve"> </w:t>
      </w:r>
      <w:r>
        <w:rPr>
          <w:rFonts w:ascii="Times New Roman" w:eastAsia="宋体" w:hAnsi="Times New Roman" w:cs="Times New Roman"/>
          <w:b/>
          <w:bCs/>
          <w:sz w:val="32"/>
          <w:szCs w:val="32"/>
        </w:rPr>
        <w:t>管理层讨论与分析</w:t>
      </w:r>
      <w:bookmarkEnd w:id="13"/>
    </w:p>
    <w:p w:rsidR="00CE3C32" w:rsidRDefault="006413B8">
      <w:pPr>
        <w:pStyle w:val="2"/>
        <w:spacing w:before="300" w:after="300" w:line="320" w:lineRule="exact"/>
        <w:rPr>
          <w:rFonts w:ascii="Times New Roman" w:eastAsia="宋体" w:hAnsi="Times New Roman" w:cs="Times New Roman"/>
          <w:b/>
          <w:bCs/>
          <w:sz w:val="24"/>
          <w:szCs w:val="24"/>
        </w:rPr>
      </w:pPr>
      <w:bookmarkStart w:id="14" w:name="_Toc988903"/>
      <w:r>
        <w:rPr>
          <w:rFonts w:ascii="Times New Roman" w:eastAsia="宋体" w:hAnsi="Times New Roman" w:cs="Times New Roman"/>
          <w:b/>
          <w:bCs/>
          <w:sz w:val="24"/>
          <w:szCs w:val="24"/>
        </w:rPr>
        <w:t>一、报告期内公司从事的主要业务</w:t>
      </w:r>
      <w:bookmarkEnd w:id="14"/>
    </w:p>
    <w:p w:rsidR="00CE3C32" w:rsidRDefault="006413B8" w:rsidP="000C21FB">
      <w:pPr>
        <w:pStyle w:val="a6"/>
        <w:adjustRightInd w:val="0"/>
        <w:snapToGrid w:val="0"/>
        <w:spacing w:beforeLines="50" w:before="156" w:beforeAutospacing="0" w:afterLines="50" w:after="156" w:afterAutospacing="0"/>
        <w:ind w:firstLineChars="200" w:firstLine="482"/>
        <w:jc w:val="both"/>
        <w:rPr>
          <w:rStyle w:val="a7"/>
        </w:rPr>
      </w:pPr>
      <w:r>
        <w:rPr>
          <w:rStyle w:val="a7"/>
          <w:rFonts w:hint="eastAsia"/>
        </w:rPr>
        <w:t>（一）概述</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eastAsiaTheme="majorEastAsia" w:hAnsi="Times New Roman" w:cs="Times New Roman"/>
          <w:sz w:val="21"/>
          <w:szCs w:val="21"/>
        </w:rPr>
      </w:pPr>
      <w:r>
        <w:rPr>
          <w:rFonts w:ascii="Times New Roman" w:eastAsiaTheme="majorEastAsia" w:hAnsi="Times New Roman" w:cs="Times New Roman"/>
          <w:sz w:val="21"/>
          <w:szCs w:val="21"/>
        </w:rPr>
        <w:t>2025</w:t>
      </w:r>
      <w:r>
        <w:rPr>
          <w:rFonts w:ascii="Times New Roman" w:eastAsiaTheme="majorEastAsia" w:hAnsi="Times New Roman" w:cs="Times New Roman"/>
          <w:sz w:val="21"/>
          <w:szCs w:val="21"/>
        </w:rPr>
        <w:t>年是公司转型之年。围绕</w:t>
      </w:r>
      <w:r>
        <w:rPr>
          <w:rFonts w:ascii="Times New Roman" w:eastAsiaTheme="majorEastAsia" w:hAnsi="Times New Roman" w:cs="Times New Roman"/>
          <w:sz w:val="21"/>
          <w:szCs w:val="21"/>
        </w:rPr>
        <w:t>“</w:t>
      </w:r>
      <w:r>
        <w:rPr>
          <w:rFonts w:ascii="Times New Roman" w:eastAsiaTheme="majorEastAsia" w:hAnsi="Times New Roman" w:cs="Times New Roman"/>
          <w:sz w:val="21"/>
          <w:szCs w:val="21"/>
        </w:rPr>
        <w:t>转型、提质</w:t>
      </w:r>
      <w:r>
        <w:rPr>
          <w:rFonts w:ascii="Times New Roman" w:eastAsiaTheme="majorEastAsia" w:hAnsi="Times New Roman" w:cs="Times New Roman"/>
          <w:sz w:val="21"/>
          <w:szCs w:val="21"/>
        </w:rPr>
        <w:t>”</w:t>
      </w:r>
      <w:r>
        <w:rPr>
          <w:rFonts w:ascii="Times New Roman" w:eastAsiaTheme="majorEastAsia" w:hAnsi="Times New Roman" w:cs="Times New Roman"/>
          <w:sz w:val="21"/>
          <w:szCs w:val="21"/>
        </w:rPr>
        <w:t>的战略总目标，公司坚持内生增长和外延并购相结合，紧抓</w:t>
      </w:r>
      <w:r>
        <w:rPr>
          <w:rFonts w:ascii="Times New Roman" w:eastAsiaTheme="majorEastAsia" w:hAnsi="Times New Roman" w:cs="Times New Roman"/>
          <w:sz w:val="21"/>
          <w:szCs w:val="21"/>
        </w:rPr>
        <w:t>“</w:t>
      </w:r>
      <w:r>
        <w:rPr>
          <w:rFonts w:ascii="Times New Roman" w:eastAsiaTheme="majorEastAsia" w:hAnsi="Times New Roman" w:cs="Times New Roman"/>
          <w:sz w:val="21"/>
          <w:szCs w:val="21"/>
        </w:rPr>
        <w:t>数字经济</w:t>
      </w:r>
      <w:r>
        <w:rPr>
          <w:rFonts w:ascii="Times New Roman" w:eastAsiaTheme="majorEastAsia" w:hAnsi="Times New Roman" w:cs="Times New Roman"/>
          <w:sz w:val="21"/>
          <w:szCs w:val="21"/>
        </w:rPr>
        <w:t>”</w:t>
      </w:r>
      <w:r>
        <w:rPr>
          <w:rFonts w:ascii="Times New Roman" w:eastAsiaTheme="majorEastAsia" w:hAnsi="Times New Roman" w:cs="Times New Roman"/>
          <w:sz w:val="21"/>
          <w:szCs w:val="21"/>
        </w:rPr>
        <w:t>发展机遇，积极发展算力服务、数据要素等新路径，持续培育企业数字化等领域的增长新动能，加强资本运作并购力度，快速稳步推进公司业务提质、转型。</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eastAsiaTheme="majorEastAsia" w:hAnsi="Times New Roman" w:cs="Times New Roman"/>
          <w:sz w:val="21"/>
          <w:szCs w:val="21"/>
        </w:rPr>
      </w:pPr>
      <w:r>
        <w:rPr>
          <w:rFonts w:ascii="Times New Roman" w:eastAsiaTheme="majorEastAsia" w:hAnsi="Times New Roman" w:cs="Times New Roman"/>
          <w:sz w:val="21"/>
          <w:szCs w:val="21"/>
        </w:rPr>
        <w:t>报告期内，公司战略转型取得初步成效，公司业务结构明显改善，营业收入和净利润双增长，经营成果显著。</w:t>
      </w:r>
      <w:r>
        <w:rPr>
          <w:rFonts w:ascii="Times New Roman" w:eastAsiaTheme="majorEastAsia" w:hAnsi="Times New Roman" w:cs="Times New Roman"/>
          <w:sz w:val="21"/>
          <w:szCs w:val="21"/>
        </w:rPr>
        <w:t>2025</w:t>
      </w:r>
      <w:r>
        <w:rPr>
          <w:rFonts w:ascii="Times New Roman" w:eastAsiaTheme="majorEastAsia" w:hAnsi="Times New Roman" w:cs="Times New Roman"/>
          <w:sz w:val="21"/>
          <w:szCs w:val="21"/>
        </w:rPr>
        <w:t>年上半年，公司实现营业收入</w:t>
      </w:r>
      <w:r>
        <w:rPr>
          <w:rFonts w:ascii="Times New Roman" w:eastAsiaTheme="majorEastAsia" w:hAnsi="Times New Roman" w:cs="Times New Roman"/>
          <w:sz w:val="21"/>
          <w:szCs w:val="21"/>
        </w:rPr>
        <w:t>1.46</w:t>
      </w:r>
      <w:r>
        <w:rPr>
          <w:rFonts w:ascii="Times New Roman" w:eastAsiaTheme="majorEastAsia" w:hAnsi="Times New Roman" w:cs="Times New Roman"/>
          <w:sz w:val="21"/>
          <w:szCs w:val="21"/>
        </w:rPr>
        <w:t>亿元，同比增加</w:t>
      </w:r>
      <w:r>
        <w:rPr>
          <w:rFonts w:ascii="Times New Roman" w:eastAsiaTheme="majorEastAsia" w:hAnsi="Times New Roman" w:cs="Times New Roman"/>
          <w:sz w:val="21"/>
          <w:szCs w:val="21"/>
        </w:rPr>
        <w:t>63.24%</w:t>
      </w:r>
      <w:r>
        <w:rPr>
          <w:rFonts w:ascii="Times New Roman" w:eastAsiaTheme="majorEastAsia" w:hAnsi="Times New Roman" w:cs="Times New Roman"/>
          <w:sz w:val="21"/>
          <w:szCs w:val="21"/>
        </w:rPr>
        <w:t>；实现归属母公司净利润</w:t>
      </w:r>
      <w:r>
        <w:rPr>
          <w:rFonts w:ascii="Times New Roman" w:eastAsiaTheme="majorEastAsia" w:hAnsi="Times New Roman" w:cs="Times New Roman"/>
          <w:sz w:val="21"/>
          <w:szCs w:val="21"/>
        </w:rPr>
        <w:t>605.91</w:t>
      </w:r>
      <w:r>
        <w:rPr>
          <w:rFonts w:ascii="Times New Roman" w:eastAsiaTheme="majorEastAsia" w:hAnsi="Times New Roman" w:cs="Times New Roman"/>
          <w:sz w:val="21"/>
          <w:szCs w:val="21"/>
        </w:rPr>
        <w:t>万元，扭亏为盈。公司经营业绩同比大幅增长主要系前期布局的算力服务、企业数字化等业务本期增长所致。报告期内，公司企业数字化业务取得突破，新签多个国有大中型企业软件开发项目，整体实现收入</w:t>
      </w:r>
      <w:r>
        <w:rPr>
          <w:rFonts w:ascii="Times New Roman" w:eastAsiaTheme="majorEastAsia" w:hAnsi="Times New Roman" w:cs="Times New Roman"/>
          <w:sz w:val="21"/>
          <w:szCs w:val="21"/>
        </w:rPr>
        <w:t>4,345.21</w:t>
      </w:r>
      <w:r>
        <w:rPr>
          <w:rFonts w:ascii="Times New Roman" w:eastAsiaTheme="majorEastAsia" w:hAnsi="Times New Roman" w:cs="Times New Roman"/>
          <w:sz w:val="21"/>
          <w:szCs w:val="21"/>
        </w:rPr>
        <w:t>万元，同比增长</w:t>
      </w:r>
      <w:r>
        <w:rPr>
          <w:rFonts w:ascii="Times New Roman" w:eastAsiaTheme="majorEastAsia" w:hAnsi="Times New Roman" w:cs="Times New Roman"/>
          <w:sz w:val="21"/>
          <w:szCs w:val="21"/>
        </w:rPr>
        <w:t>126.37%</w:t>
      </w:r>
      <w:r>
        <w:rPr>
          <w:rFonts w:ascii="Times New Roman" w:eastAsiaTheme="majorEastAsia" w:hAnsi="Times New Roman" w:cs="Times New Roman"/>
          <w:sz w:val="21"/>
          <w:szCs w:val="21"/>
        </w:rPr>
        <w:t>。算力服务方面，公司持续关注并加大投入。</w:t>
      </w:r>
      <w:r>
        <w:rPr>
          <w:rFonts w:ascii="Times New Roman" w:eastAsiaTheme="majorEastAsia" w:hAnsi="Times New Roman" w:cs="Times New Roman"/>
          <w:sz w:val="21"/>
          <w:szCs w:val="21"/>
        </w:rPr>
        <w:t>2</w:t>
      </w:r>
      <w:r>
        <w:rPr>
          <w:rFonts w:ascii="Times New Roman" w:eastAsiaTheme="majorEastAsia" w:hAnsi="Times New Roman" w:cs="Times New Roman"/>
          <w:sz w:val="21"/>
          <w:szCs w:val="21"/>
        </w:rPr>
        <w:t>月深圳算力集群服务项目交付使用，报告期内实现收入</w:t>
      </w:r>
      <w:r>
        <w:rPr>
          <w:rFonts w:ascii="Times New Roman" w:eastAsiaTheme="majorEastAsia" w:hAnsi="Times New Roman" w:cs="Times New Roman"/>
          <w:sz w:val="21"/>
          <w:szCs w:val="21"/>
        </w:rPr>
        <w:t>3,007.53</w:t>
      </w:r>
      <w:r>
        <w:rPr>
          <w:rFonts w:ascii="Times New Roman" w:eastAsiaTheme="majorEastAsia" w:hAnsi="Times New Roman" w:cs="Times New Roman"/>
          <w:sz w:val="21"/>
          <w:szCs w:val="21"/>
        </w:rPr>
        <w:t>万元，毛利率</w:t>
      </w:r>
      <w:r>
        <w:rPr>
          <w:rFonts w:ascii="Times New Roman" w:eastAsiaTheme="majorEastAsia" w:hAnsi="Times New Roman" w:cs="Times New Roman"/>
          <w:sz w:val="21"/>
          <w:szCs w:val="21"/>
        </w:rPr>
        <w:t>46.48%</w:t>
      </w:r>
      <w:r>
        <w:rPr>
          <w:rFonts w:ascii="Times New Roman" w:eastAsiaTheme="majorEastAsia" w:hAnsi="Times New Roman" w:cs="Times New Roman"/>
          <w:sz w:val="21"/>
          <w:szCs w:val="21"/>
        </w:rPr>
        <w:t>；</w:t>
      </w:r>
      <w:r>
        <w:rPr>
          <w:rFonts w:ascii="Times New Roman" w:eastAsiaTheme="majorEastAsia" w:hAnsi="Times New Roman" w:cs="Times New Roman"/>
          <w:sz w:val="21"/>
          <w:szCs w:val="21"/>
        </w:rPr>
        <w:t>8</w:t>
      </w:r>
      <w:r>
        <w:rPr>
          <w:rFonts w:ascii="Times New Roman" w:eastAsiaTheme="majorEastAsia" w:hAnsi="Times New Roman" w:cs="Times New Roman"/>
          <w:sz w:val="21"/>
          <w:szCs w:val="21"/>
        </w:rPr>
        <w:t>月签署了某国产算力项目，合同期</w:t>
      </w:r>
      <w:r>
        <w:rPr>
          <w:rFonts w:ascii="Times New Roman" w:eastAsiaTheme="majorEastAsia" w:hAnsi="Times New Roman" w:cs="Times New Roman"/>
          <w:sz w:val="21"/>
          <w:szCs w:val="21"/>
        </w:rPr>
        <w:t>3</w:t>
      </w:r>
      <w:r>
        <w:rPr>
          <w:rFonts w:ascii="Times New Roman" w:eastAsiaTheme="majorEastAsia" w:hAnsi="Times New Roman" w:cs="Times New Roman"/>
          <w:sz w:val="21"/>
          <w:szCs w:val="21"/>
        </w:rPr>
        <w:t>年，合同金额</w:t>
      </w:r>
      <w:r>
        <w:rPr>
          <w:rFonts w:ascii="Times New Roman" w:eastAsiaTheme="majorEastAsia" w:hAnsi="Times New Roman" w:cs="Times New Roman"/>
          <w:sz w:val="21"/>
          <w:szCs w:val="21"/>
        </w:rPr>
        <w:t>5,781.6</w:t>
      </w:r>
      <w:r>
        <w:rPr>
          <w:rFonts w:ascii="Times New Roman" w:eastAsiaTheme="majorEastAsia" w:hAnsi="Times New Roman" w:cs="Times New Roman"/>
          <w:sz w:val="21"/>
          <w:szCs w:val="21"/>
        </w:rPr>
        <w:t>万元。算力服务、企业数字化等新业务为公司业务质量提升和业绩持续增长打下了坚实基础。</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eastAsiaTheme="majorEastAsia" w:hAnsi="Times New Roman" w:cs="Times New Roman"/>
          <w:sz w:val="21"/>
          <w:szCs w:val="21"/>
        </w:rPr>
      </w:pPr>
      <w:r>
        <w:rPr>
          <w:rFonts w:ascii="Times New Roman" w:eastAsiaTheme="majorEastAsia" w:hAnsi="Times New Roman" w:cs="Times New Roman"/>
          <w:sz w:val="21"/>
          <w:szCs w:val="21"/>
        </w:rPr>
        <w:t>报告期内，公司以</w:t>
      </w:r>
      <w:r>
        <w:rPr>
          <w:rFonts w:ascii="Times New Roman" w:eastAsiaTheme="majorEastAsia" w:hAnsi="Times New Roman" w:cs="Times New Roman"/>
          <w:sz w:val="21"/>
          <w:szCs w:val="21"/>
        </w:rPr>
        <w:t>“</w:t>
      </w:r>
      <w:r>
        <w:rPr>
          <w:rFonts w:ascii="Times New Roman" w:eastAsiaTheme="majorEastAsia" w:hAnsi="Times New Roman" w:cs="Times New Roman"/>
          <w:sz w:val="21"/>
          <w:szCs w:val="21"/>
        </w:rPr>
        <w:t>防风险、保稳健、促发展</w:t>
      </w:r>
      <w:r>
        <w:rPr>
          <w:rFonts w:ascii="Times New Roman" w:eastAsiaTheme="majorEastAsia" w:hAnsi="Times New Roman" w:cs="Times New Roman"/>
          <w:sz w:val="21"/>
          <w:szCs w:val="21"/>
        </w:rPr>
        <w:t>”</w:t>
      </w:r>
      <w:r>
        <w:rPr>
          <w:rFonts w:ascii="Times New Roman" w:eastAsiaTheme="majorEastAsia" w:hAnsi="Times New Roman" w:cs="Times New Roman"/>
          <w:sz w:val="21"/>
          <w:szCs w:val="21"/>
        </w:rPr>
        <w:t>为目标，改善管理质量，提升经营效益。</w:t>
      </w:r>
      <w:r>
        <w:rPr>
          <w:rFonts w:ascii="Times New Roman" w:eastAsiaTheme="majorEastAsia" w:hAnsi="Times New Roman" w:cs="Times New Roman"/>
          <w:sz w:val="21"/>
          <w:szCs w:val="21"/>
        </w:rPr>
        <w:t>2025</w:t>
      </w:r>
      <w:r>
        <w:rPr>
          <w:rFonts w:ascii="Times New Roman" w:eastAsiaTheme="majorEastAsia" w:hAnsi="Times New Roman" w:cs="Times New Roman"/>
          <w:sz w:val="21"/>
          <w:szCs w:val="21"/>
        </w:rPr>
        <w:t>年上半年，公司加强预算过程控制，销售费用支出</w:t>
      </w:r>
      <w:r>
        <w:rPr>
          <w:rFonts w:ascii="Times New Roman" w:eastAsiaTheme="majorEastAsia" w:hAnsi="Times New Roman" w:cs="Times New Roman"/>
          <w:sz w:val="21"/>
          <w:szCs w:val="21"/>
        </w:rPr>
        <w:t>1017.98</w:t>
      </w:r>
      <w:r>
        <w:rPr>
          <w:rFonts w:ascii="Times New Roman" w:eastAsiaTheme="majorEastAsia" w:hAnsi="Times New Roman" w:cs="Times New Roman"/>
          <w:sz w:val="21"/>
          <w:szCs w:val="21"/>
        </w:rPr>
        <w:t>万元，同比下降</w:t>
      </w:r>
      <w:r>
        <w:rPr>
          <w:rFonts w:ascii="Times New Roman" w:eastAsiaTheme="majorEastAsia" w:hAnsi="Times New Roman" w:cs="Times New Roman"/>
          <w:sz w:val="21"/>
          <w:szCs w:val="21"/>
        </w:rPr>
        <w:t>15.92%</w:t>
      </w:r>
      <w:r>
        <w:rPr>
          <w:rFonts w:ascii="Times New Roman" w:eastAsiaTheme="majorEastAsia" w:hAnsi="Times New Roman" w:cs="Times New Roman"/>
          <w:sz w:val="21"/>
          <w:szCs w:val="21"/>
        </w:rPr>
        <w:t>；管理费用支出</w:t>
      </w:r>
      <w:r>
        <w:rPr>
          <w:rFonts w:ascii="Times New Roman" w:eastAsiaTheme="majorEastAsia" w:hAnsi="Times New Roman" w:cs="Times New Roman"/>
          <w:sz w:val="21"/>
          <w:szCs w:val="21"/>
        </w:rPr>
        <w:t>1604.16</w:t>
      </w:r>
      <w:r>
        <w:rPr>
          <w:rFonts w:ascii="Times New Roman" w:eastAsiaTheme="majorEastAsia" w:hAnsi="Times New Roman" w:cs="Times New Roman"/>
          <w:sz w:val="21"/>
          <w:szCs w:val="21"/>
        </w:rPr>
        <w:t>万元</w:t>
      </w:r>
      <w:r>
        <w:rPr>
          <w:rFonts w:ascii="Times New Roman" w:eastAsiaTheme="majorEastAsia" w:hAnsi="Times New Roman" w:cs="Times New Roman"/>
          <w:sz w:val="21"/>
          <w:szCs w:val="21"/>
        </w:rPr>
        <w:t>,</w:t>
      </w:r>
      <w:r>
        <w:rPr>
          <w:rFonts w:ascii="Times New Roman" w:eastAsiaTheme="majorEastAsia" w:hAnsi="Times New Roman" w:cs="Times New Roman"/>
          <w:sz w:val="21"/>
          <w:szCs w:val="21"/>
        </w:rPr>
        <w:t>同比下降</w:t>
      </w:r>
      <w:r>
        <w:rPr>
          <w:rFonts w:ascii="Times New Roman" w:eastAsiaTheme="majorEastAsia" w:hAnsi="Times New Roman" w:cs="Times New Roman"/>
          <w:sz w:val="21"/>
          <w:szCs w:val="21"/>
        </w:rPr>
        <w:t>8.22%</w:t>
      </w:r>
      <w:r>
        <w:rPr>
          <w:rFonts w:ascii="Times New Roman" w:eastAsiaTheme="majorEastAsia" w:hAnsi="Times New Roman" w:cs="Times New Roman"/>
          <w:sz w:val="21"/>
          <w:szCs w:val="21"/>
        </w:rPr>
        <w:t>；研发投入</w:t>
      </w:r>
      <w:r>
        <w:rPr>
          <w:rFonts w:ascii="Times New Roman" w:eastAsiaTheme="majorEastAsia" w:hAnsi="Times New Roman" w:cs="Times New Roman"/>
          <w:sz w:val="21"/>
          <w:szCs w:val="21"/>
        </w:rPr>
        <w:t>853.37</w:t>
      </w:r>
      <w:r>
        <w:rPr>
          <w:rFonts w:ascii="Times New Roman" w:eastAsiaTheme="majorEastAsia" w:hAnsi="Times New Roman" w:cs="Times New Roman"/>
          <w:sz w:val="21"/>
          <w:szCs w:val="21"/>
        </w:rPr>
        <w:t>万元，保持稳定；上半年公司加强回款管控，经营现金流同比有较大改善。</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eastAsiaTheme="majorEastAsia" w:hAnsi="Times New Roman" w:cs="Times New Roman"/>
          <w:sz w:val="21"/>
          <w:szCs w:val="21"/>
        </w:rPr>
      </w:pPr>
      <w:r>
        <w:rPr>
          <w:rFonts w:ascii="Times New Roman" w:eastAsiaTheme="majorEastAsia" w:hAnsi="Times New Roman" w:cs="Times New Roman"/>
          <w:sz w:val="21"/>
          <w:szCs w:val="21"/>
        </w:rPr>
        <w:t>上半年，公司充分利用上市公司平台和资源优势，加强资本运作力度，推动外延并购。</w:t>
      </w:r>
      <w:r>
        <w:rPr>
          <w:rFonts w:ascii="Times New Roman" w:eastAsiaTheme="majorEastAsia" w:hAnsi="Times New Roman" w:cs="Times New Roman"/>
          <w:sz w:val="21"/>
          <w:szCs w:val="21"/>
        </w:rPr>
        <w:t>6</w:t>
      </w:r>
      <w:r>
        <w:rPr>
          <w:rFonts w:ascii="Times New Roman" w:eastAsiaTheme="majorEastAsia" w:hAnsi="Times New Roman" w:cs="Times New Roman"/>
          <w:sz w:val="21"/>
          <w:szCs w:val="21"/>
        </w:rPr>
        <w:t>月</w:t>
      </w:r>
      <w:r>
        <w:rPr>
          <w:rFonts w:ascii="Times New Roman" w:eastAsiaTheme="majorEastAsia" w:hAnsi="Times New Roman" w:cs="Times New Roman"/>
          <w:sz w:val="21"/>
          <w:szCs w:val="21"/>
        </w:rPr>
        <w:t>24</w:t>
      </w:r>
      <w:r>
        <w:rPr>
          <w:rFonts w:ascii="Times New Roman" w:eastAsiaTheme="majorEastAsia" w:hAnsi="Times New Roman" w:cs="Times New Roman"/>
          <w:sz w:val="21"/>
          <w:szCs w:val="21"/>
        </w:rPr>
        <w:t>日，公司披露了筹划发行股份及支付现金并购星云开物</w:t>
      </w:r>
      <w:r>
        <w:rPr>
          <w:rFonts w:ascii="Times New Roman" w:eastAsiaTheme="majorEastAsia" w:hAnsi="Times New Roman" w:cs="Times New Roman"/>
          <w:sz w:val="21"/>
          <w:szCs w:val="21"/>
        </w:rPr>
        <w:t>100%</w:t>
      </w:r>
      <w:r>
        <w:rPr>
          <w:rFonts w:ascii="Times New Roman" w:eastAsiaTheme="majorEastAsia" w:hAnsi="Times New Roman" w:cs="Times New Roman"/>
          <w:sz w:val="21"/>
          <w:szCs w:val="21"/>
        </w:rPr>
        <w:t>股权并配套募集资金暨关联交易预案。星云开物系智能自助设备数字化服务提供商，为国家级专精特新</w:t>
      </w:r>
      <w:r>
        <w:rPr>
          <w:rFonts w:ascii="Times New Roman" w:eastAsiaTheme="majorEastAsia" w:hAnsi="Times New Roman" w:cs="Times New Roman"/>
          <w:sz w:val="21"/>
          <w:szCs w:val="21"/>
        </w:rPr>
        <w:t>“</w:t>
      </w:r>
      <w:r>
        <w:rPr>
          <w:rFonts w:ascii="Times New Roman" w:eastAsiaTheme="majorEastAsia" w:hAnsi="Times New Roman" w:cs="Times New Roman"/>
          <w:sz w:val="21"/>
          <w:szCs w:val="21"/>
        </w:rPr>
        <w:t>小巨人</w:t>
      </w:r>
      <w:r>
        <w:rPr>
          <w:rFonts w:ascii="Times New Roman" w:eastAsiaTheme="majorEastAsia" w:hAnsi="Times New Roman" w:cs="Times New Roman"/>
          <w:sz w:val="21"/>
          <w:szCs w:val="21"/>
        </w:rPr>
        <w:t>”</w:t>
      </w:r>
      <w:r>
        <w:rPr>
          <w:rFonts w:ascii="Times New Roman" w:eastAsiaTheme="majorEastAsia" w:hAnsi="Times New Roman" w:cs="Times New Roman"/>
          <w:sz w:val="21"/>
          <w:szCs w:val="21"/>
        </w:rPr>
        <w:t>企业，专注于提供</w:t>
      </w:r>
      <w:r>
        <w:rPr>
          <w:rFonts w:ascii="Times New Roman" w:eastAsiaTheme="majorEastAsia" w:hAnsi="Times New Roman" w:cs="Times New Roman"/>
          <w:sz w:val="21"/>
          <w:szCs w:val="21"/>
        </w:rPr>
        <w:t xml:space="preserve">“IoT </w:t>
      </w:r>
      <w:r>
        <w:rPr>
          <w:rFonts w:ascii="Times New Roman" w:eastAsiaTheme="majorEastAsia" w:hAnsi="Times New Roman" w:cs="Times New Roman"/>
          <w:sz w:val="21"/>
          <w:szCs w:val="21"/>
        </w:rPr>
        <w:t>智能硬件</w:t>
      </w:r>
      <w:r>
        <w:rPr>
          <w:rFonts w:ascii="Times New Roman" w:eastAsiaTheme="majorEastAsia" w:hAnsi="Times New Roman" w:cs="Times New Roman"/>
          <w:sz w:val="21"/>
          <w:szCs w:val="21"/>
        </w:rPr>
        <w:t xml:space="preserve">+SaaS </w:t>
      </w:r>
      <w:r>
        <w:rPr>
          <w:rFonts w:ascii="Times New Roman" w:eastAsiaTheme="majorEastAsia" w:hAnsi="Times New Roman" w:cs="Times New Roman"/>
          <w:sz w:val="21"/>
          <w:szCs w:val="21"/>
        </w:rPr>
        <w:t>云平台</w:t>
      </w:r>
      <w:r>
        <w:rPr>
          <w:rFonts w:ascii="Times New Roman" w:eastAsiaTheme="majorEastAsia" w:hAnsi="Times New Roman" w:cs="Times New Roman"/>
          <w:sz w:val="21"/>
          <w:szCs w:val="21"/>
        </w:rPr>
        <w:t>”</w:t>
      </w:r>
      <w:r>
        <w:rPr>
          <w:rFonts w:ascii="Times New Roman" w:eastAsiaTheme="majorEastAsia" w:hAnsi="Times New Roman" w:cs="Times New Roman"/>
          <w:sz w:val="21"/>
          <w:szCs w:val="21"/>
        </w:rPr>
        <w:t>一体化解决方案，拥有专利</w:t>
      </w:r>
      <w:r>
        <w:rPr>
          <w:rFonts w:ascii="Times New Roman" w:eastAsiaTheme="majorEastAsia" w:hAnsi="Times New Roman" w:cs="Times New Roman"/>
          <w:sz w:val="21"/>
          <w:szCs w:val="21"/>
        </w:rPr>
        <w:t>157</w:t>
      </w:r>
      <w:r>
        <w:rPr>
          <w:rFonts w:ascii="Times New Roman" w:eastAsiaTheme="majorEastAsia" w:hAnsi="Times New Roman" w:cs="Times New Roman"/>
          <w:sz w:val="21"/>
          <w:szCs w:val="21"/>
        </w:rPr>
        <w:t>项，其中发明专利</w:t>
      </w:r>
      <w:r>
        <w:rPr>
          <w:rFonts w:ascii="Times New Roman" w:eastAsiaTheme="majorEastAsia" w:hAnsi="Times New Roman" w:cs="Times New Roman"/>
          <w:sz w:val="21"/>
          <w:szCs w:val="21"/>
        </w:rPr>
        <w:t>62</w:t>
      </w:r>
      <w:r>
        <w:rPr>
          <w:rFonts w:ascii="Times New Roman" w:eastAsiaTheme="majorEastAsia" w:hAnsi="Times New Roman" w:cs="Times New Roman"/>
          <w:sz w:val="21"/>
          <w:szCs w:val="21"/>
        </w:rPr>
        <w:t>项。公司与星云开物同属软件和信息技术服务业，双方在产业链布局、技术研发、市场拓展、产品迭代等方面具有很强的互补和协同效应。本次合作有利于提升公司在智能自助设备数字化服务的研发能力，完善产业链布局，扩大产品应用场景及客户多元化需求，能够从整体改善和提升公司的持续盈利能力和核心竞争力。该事项尚需公司股东会及相关部门批准，存在不确定性，请投资者注意投资风险。</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eastAsiaTheme="majorEastAsia" w:hAnsi="Times New Roman" w:cs="Times New Roman"/>
          <w:sz w:val="21"/>
          <w:szCs w:val="21"/>
        </w:rPr>
      </w:pPr>
      <w:r>
        <w:rPr>
          <w:rFonts w:ascii="Times New Roman" w:eastAsiaTheme="majorEastAsia" w:hAnsi="Times New Roman" w:cs="Times New Roman"/>
          <w:sz w:val="21"/>
          <w:szCs w:val="21"/>
        </w:rPr>
        <w:t>公司需遵守《深圳证券交易所上市公司自律监管指引第</w:t>
      </w:r>
      <w:r>
        <w:rPr>
          <w:rFonts w:ascii="Times New Roman" w:eastAsiaTheme="majorEastAsia" w:hAnsi="Times New Roman" w:cs="Times New Roman"/>
          <w:sz w:val="21"/>
          <w:szCs w:val="21"/>
        </w:rPr>
        <w:t>3</w:t>
      </w:r>
      <w:r>
        <w:rPr>
          <w:rFonts w:ascii="Times New Roman" w:eastAsiaTheme="majorEastAsia" w:hAnsi="Times New Roman" w:cs="Times New Roman"/>
          <w:sz w:val="21"/>
          <w:szCs w:val="21"/>
        </w:rPr>
        <w:t>号</w:t>
      </w:r>
      <w:r>
        <w:rPr>
          <w:rFonts w:ascii="Times New Roman" w:eastAsiaTheme="majorEastAsia" w:hAnsi="Times New Roman" w:cs="Times New Roman"/>
          <w:sz w:val="21"/>
          <w:szCs w:val="21"/>
        </w:rPr>
        <w:t>——</w:t>
      </w:r>
      <w:r>
        <w:rPr>
          <w:rFonts w:ascii="Times New Roman" w:eastAsiaTheme="majorEastAsia" w:hAnsi="Times New Roman" w:cs="Times New Roman"/>
          <w:sz w:val="21"/>
          <w:szCs w:val="21"/>
        </w:rPr>
        <w:t>行业信息披露》中的</w:t>
      </w:r>
      <w:r>
        <w:rPr>
          <w:rFonts w:asciiTheme="majorEastAsia" w:eastAsiaTheme="majorEastAsia" w:hAnsiTheme="majorEastAsia" w:cstheme="majorEastAsia" w:hint="eastAsia"/>
          <w:sz w:val="21"/>
          <w:szCs w:val="21"/>
        </w:rPr>
        <w:t>“软件与信息技术服务业”</w:t>
      </w:r>
      <w:r>
        <w:rPr>
          <w:rFonts w:ascii="Times New Roman" w:eastAsiaTheme="majorEastAsia" w:hAnsi="Times New Roman" w:cs="Times New Roman"/>
          <w:sz w:val="21"/>
          <w:szCs w:val="21"/>
        </w:rPr>
        <w:t>的披露要求</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（二）行业发展情况</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根据中国证券监督管理委员会《上市公司行业分类指引》及深圳证券交易所发布的《深圳证券交易所上市公司自律指引第</w:t>
      </w:r>
      <w:r>
        <w:rPr>
          <w:rFonts w:ascii="Times New Roman" w:hAnsi="Times New Roman" w:cs="Times New Roman"/>
          <w:sz w:val="21"/>
          <w:szCs w:val="21"/>
        </w:rPr>
        <w:t>3</w:t>
      </w:r>
      <w:r>
        <w:rPr>
          <w:rFonts w:ascii="Times New Roman" w:hAnsi="Times New Roman" w:cs="Times New Roman"/>
          <w:sz w:val="21"/>
          <w:szCs w:val="21"/>
        </w:rPr>
        <w:t>号</w:t>
      </w:r>
      <w:r>
        <w:rPr>
          <w:rFonts w:ascii="Times New Roman" w:hAnsi="Times New Roman" w:cs="Times New Roman"/>
          <w:sz w:val="21"/>
          <w:szCs w:val="21"/>
        </w:rPr>
        <w:t>——</w:t>
      </w:r>
      <w:r>
        <w:rPr>
          <w:rFonts w:ascii="Times New Roman" w:hAnsi="Times New Roman" w:cs="Times New Roman"/>
          <w:sz w:val="21"/>
          <w:szCs w:val="21"/>
        </w:rPr>
        <w:t>行业信息披露》，公司所属行业为软件和信息技术服务业。公司主营业务聚焦于政务、教育、企业、轨道交通等城市数字化建设领域，涉猎智慧能源等领域。</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1.</w:t>
      </w:r>
      <w:r>
        <w:rPr>
          <w:rStyle w:val="a7"/>
          <w:rFonts w:ascii="Times New Roman" w:hAnsi="Times New Roman" w:cs="Times New Roman"/>
          <w:sz w:val="21"/>
          <w:szCs w:val="21"/>
        </w:rPr>
        <w:t>软件和信息技术服务行业</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信息技术应用创新产业（即信创产业）涵盖芯片、存储器、整机等基础设施制造、基础软件研发、应用软件研发以及信息安全等四大领域，是数字经济的战略性核心产业。其中，软件是数字中国建设的关键支撑角色，其发展状况直接关系到现代产业体系构建的速度与质量。</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2025</w:t>
      </w:r>
      <w:r>
        <w:rPr>
          <w:rFonts w:ascii="Times New Roman" w:hAnsi="Times New Roman" w:cs="Times New Roman"/>
          <w:sz w:val="21"/>
          <w:szCs w:val="21"/>
        </w:rPr>
        <w:t>年上半年，软件和信息技术服务业整体呈现出极为良好的发展态势。我国软件业务收入达到</w:t>
      </w:r>
      <w:r>
        <w:rPr>
          <w:rFonts w:ascii="Times New Roman" w:hAnsi="Times New Roman" w:cs="Times New Roman"/>
          <w:sz w:val="21"/>
          <w:szCs w:val="21"/>
        </w:rPr>
        <w:t>70,585</w:t>
      </w:r>
      <w:r>
        <w:rPr>
          <w:rFonts w:ascii="Times New Roman" w:hAnsi="Times New Roman" w:cs="Times New Roman"/>
          <w:sz w:val="21"/>
          <w:szCs w:val="21"/>
        </w:rPr>
        <w:t>亿元，同比增长</w:t>
      </w:r>
      <w:r>
        <w:rPr>
          <w:rFonts w:ascii="Times New Roman" w:hAnsi="Times New Roman" w:cs="Times New Roman"/>
          <w:sz w:val="21"/>
          <w:szCs w:val="21"/>
        </w:rPr>
        <w:t>11.9%</w:t>
      </w:r>
      <w:r>
        <w:rPr>
          <w:rFonts w:ascii="Times New Roman" w:hAnsi="Times New Roman" w:cs="Times New Roman"/>
          <w:sz w:val="21"/>
          <w:szCs w:val="21"/>
        </w:rPr>
        <w:t>，增长动力强劲。利润方面，上半年软件业利润总额为</w:t>
      </w:r>
      <w:r>
        <w:rPr>
          <w:rFonts w:ascii="Times New Roman" w:hAnsi="Times New Roman" w:cs="Times New Roman"/>
          <w:sz w:val="21"/>
          <w:szCs w:val="21"/>
        </w:rPr>
        <w:t>8,581</w:t>
      </w:r>
      <w:r>
        <w:rPr>
          <w:rFonts w:ascii="Times New Roman" w:hAnsi="Times New Roman" w:cs="Times New Roman"/>
          <w:sz w:val="21"/>
          <w:szCs w:val="21"/>
        </w:rPr>
        <w:t>亿元，同比增长</w:t>
      </w:r>
      <w:r>
        <w:rPr>
          <w:rFonts w:ascii="Times New Roman" w:hAnsi="Times New Roman" w:cs="Times New Roman"/>
          <w:sz w:val="21"/>
          <w:szCs w:val="21"/>
        </w:rPr>
        <w:t>12.0%</w:t>
      </w:r>
      <w:r>
        <w:rPr>
          <w:rFonts w:ascii="Times New Roman" w:hAnsi="Times New Roman" w:cs="Times New Roman"/>
          <w:sz w:val="21"/>
          <w:szCs w:val="21"/>
        </w:rPr>
        <w:t>，实现了收入与利润的双位数增长，行业发展质效同步提升。软件产品收入在上半年达</w:t>
      </w:r>
      <w:r>
        <w:rPr>
          <w:rFonts w:ascii="Times New Roman" w:hAnsi="Times New Roman" w:cs="Times New Roman"/>
          <w:sz w:val="21"/>
          <w:szCs w:val="21"/>
        </w:rPr>
        <w:t>15,441</w:t>
      </w:r>
      <w:r>
        <w:rPr>
          <w:rFonts w:ascii="Times New Roman" w:hAnsi="Times New Roman" w:cs="Times New Roman"/>
          <w:sz w:val="21"/>
          <w:szCs w:val="21"/>
        </w:rPr>
        <w:t>亿元，同比增长</w:t>
      </w:r>
      <w:r>
        <w:rPr>
          <w:rFonts w:ascii="Times New Roman" w:hAnsi="Times New Roman" w:cs="Times New Roman"/>
          <w:sz w:val="21"/>
          <w:szCs w:val="21"/>
        </w:rPr>
        <w:t>10.6%</w:t>
      </w:r>
      <w:r>
        <w:rPr>
          <w:rFonts w:ascii="Times New Roman" w:hAnsi="Times New Roman" w:cs="Times New Roman"/>
          <w:sz w:val="21"/>
          <w:szCs w:val="21"/>
        </w:rPr>
        <w:t>，为行业的稳健运行提供了有力支撑。信息技术服务收入依然是行业增长的核心驱</w:t>
      </w:r>
      <w:r>
        <w:rPr>
          <w:rFonts w:ascii="Times New Roman" w:hAnsi="Times New Roman" w:cs="Times New Roman"/>
          <w:sz w:val="21"/>
          <w:szCs w:val="21"/>
        </w:rPr>
        <w:lastRenderedPageBreak/>
        <w:t>动力，上半年收入达</w:t>
      </w:r>
      <w:r>
        <w:rPr>
          <w:rFonts w:ascii="Times New Roman" w:hAnsi="Times New Roman" w:cs="Times New Roman"/>
          <w:sz w:val="21"/>
          <w:szCs w:val="21"/>
        </w:rPr>
        <w:t>48,362</w:t>
      </w:r>
      <w:r>
        <w:rPr>
          <w:rFonts w:ascii="Times New Roman" w:hAnsi="Times New Roman" w:cs="Times New Roman"/>
          <w:sz w:val="21"/>
          <w:szCs w:val="21"/>
        </w:rPr>
        <w:t>亿元，同比增长</w:t>
      </w:r>
      <w:r>
        <w:rPr>
          <w:rFonts w:ascii="Times New Roman" w:hAnsi="Times New Roman" w:cs="Times New Roman"/>
          <w:sz w:val="21"/>
          <w:szCs w:val="21"/>
        </w:rPr>
        <w:t>12.9%</w:t>
      </w:r>
      <w:r>
        <w:rPr>
          <w:rFonts w:ascii="Times New Roman" w:hAnsi="Times New Roman" w:cs="Times New Roman"/>
          <w:sz w:val="21"/>
          <w:szCs w:val="21"/>
        </w:rPr>
        <w:t>；其中，云计算和大数据服务共实现收入</w:t>
      </w:r>
      <w:r>
        <w:rPr>
          <w:rFonts w:ascii="Times New Roman" w:hAnsi="Times New Roman" w:cs="Times New Roman"/>
          <w:sz w:val="21"/>
          <w:szCs w:val="21"/>
        </w:rPr>
        <w:t>7,434</w:t>
      </w:r>
      <w:r>
        <w:rPr>
          <w:rFonts w:ascii="Times New Roman" w:hAnsi="Times New Roman" w:cs="Times New Roman"/>
          <w:sz w:val="21"/>
          <w:szCs w:val="21"/>
        </w:rPr>
        <w:t>亿元，同比增长</w:t>
      </w:r>
      <w:r>
        <w:rPr>
          <w:rFonts w:ascii="Times New Roman" w:hAnsi="Times New Roman" w:cs="Times New Roman"/>
          <w:sz w:val="21"/>
          <w:szCs w:val="21"/>
        </w:rPr>
        <w:t>12.1%</w:t>
      </w:r>
      <w:r>
        <w:rPr>
          <w:rFonts w:ascii="Times New Roman" w:hAnsi="Times New Roman" w:cs="Times New Roman"/>
          <w:sz w:val="21"/>
          <w:szCs w:val="21"/>
        </w:rPr>
        <w:t>，占信息技术服务收入的</w:t>
      </w:r>
      <w:r>
        <w:rPr>
          <w:rFonts w:ascii="Times New Roman" w:hAnsi="Times New Roman" w:cs="Times New Roman"/>
          <w:sz w:val="21"/>
          <w:szCs w:val="21"/>
        </w:rPr>
        <w:t>15.4%</w:t>
      </w:r>
      <w:r>
        <w:rPr>
          <w:rFonts w:ascii="Times New Roman" w:hAnsi="Times New Roman" w:cs="Times New Roman"/>
          <w:sz w:val="21"/>
          <w:szCs w:val="21"/>
        </w:rPr>
        <w:t>。</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步入</w:t>
      </w:r>
      <w:r>
        <w:rPr>
          <w:rFonts w:ascii="Times New Roman" w:hAnsi="Times New Roman" w:cs="Times New Roman"/>
          <w:sz w:val="21"/>
          <w:szCs w:val="21"/>
        </w:rPr>
        <w:t>2025</w:t>
      </w:r>
      <w:r>
        <w:rPr>
          <w:rFonts w:ascii="Times New Roman" w:hAnsi="Times New Roman" w:cs="Times New Roman"/>
          <w:sz w:val="21"/>
          <w:szCs w:val="21"/>
        </w:rPr>
        <w:t>年，数字化转型呈现出加速态势，各地相关政策不断细化并深入落实。随着各行业数字化程度的不断加深，信息技术需求已从基础信息化建设，逐步向深度融合与智能化应用转变。各行各业对信息技术的需求增加为信创产业提供了广阔的市场空间，为企业提供了新的增长点和发展机遇，有助于构建更加安全、可靠和高效的数字基础设施，为中国经济的高质量发展注入新的活力。</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2.</w:t>
      </w:r>
      <w:r>
        <w:rPr>
          <w:rStyle w:val="a7"/>
          <w:rFonts w:ascii="Times New Roman" w:hAnsi="Times New Roman" w:cs="Times New Roman"/>
          <w:sz w:val="21"/>
          <w:szCs w:val="21"/>
        </w:rPr>
        <w:t>智慧城市行业</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智慧城市作为数字时代城市发展的高级形态，通过系统化整合物联网、云计算、人工智能等新一代信息技术，构建起覆盖规划、建设、管理全生命周期的智能生态系统。其核心在于构建</w:t>
      </w:r>
      <w:r>
        <w:rPr>
          <w:rFonts w:ascii="Times New Roman" w:hAnsi="Times New Roman" w:cs="Times New Roman" w:hint="eastAsia"/>
          <w:sz w:val="21"/>
          <w:szCs w:val="21"/>
        </w:rPr>
        <w:t>“</w:t>
      </w:r>
      <w:r>
        <w:rPr>
          <w:rFonts w:ascii="Times New Roman" w:hAnsi="Times New Roman" w:cs="Times New Roman"/>
          <w:sz w:val="21"/>
          <w:szCs w:val="21"/>
        </w:rPr>
        <w:t>感</w:t>
      </w:r>
      <w:r>
        <w:rPr>
          <w:rFonts w:ascii="Times New Roman" w:hAnsi="Times New Roman" w:cs="Times New Roman"/>
          <w:sz w:val="21"/>
          <w:szCs w:val="21"/>
        </w:rPr>
        <w:t>-</w:t>
      </w:r>
      <w:r>
        <w:rPr>
          <w:rFonts w:ascii="Times New Roman" w:hAnsi="Times New Roman" w:cs="Times New Roman"/>
          <w:sz w:val="21"/>
          <w:szCs w:val="21"/>
        </w:rPr>
        <w:t>传</w:t>
      </w:r>
      <w:r>
        <w:rPr>
          <w:rFonts w:ascii="Times New Roman" w:hAnsi="Times New Roman" w:cs="Times New Roman"/>
          <w:sz w:val="21"/>
          <w:szCs w:val="21"/>
        </w:rPr>
        <w:t>-</w:t>
      </w:r>
      <w:r>
        <w:rPr>
          <w:rFonts w:ascii="Times New Roman" w:hAnsi="Times New Roman" w:cs="Times New Roman"/>
          <w:sz w:val="21"/>
          <w:szCs w:val="21"/>
        </w:rPr>
        <w:t>知</w:t>
      </w:r>
      <w:r>
        <w:rPr>
          <w:rFonts w:ascii="Times New Roman" w:hAnsi="Times New Roman" w:cs="Times New Roman"/>
          <w:sz w:val="21"/>
          <w:szCs w:val="21"/>
        </w:rPr>
        <w:t>-</w:t>
      </w:r>
      <w:r>
        <w:rPr>
          <w:rFonts w:ascii="Times New Roman" w:hAnsi="Times New Roman" w:cs="Times New Roman"/>
          <w:sz w:val="21"/>
          <w:szCs w:val="21"/>
        </w:rPr>
        <w:t>用</w:t>
      </w:r>
      <w:r>
        <w:rPr>
          <w:rFonts w:ascii="Times New Roman" w:hAnsi="Times New Roman" w:cs="Times New Roman" w:hint="eastAsia"/>
          <w:sz w:val="21"/>
          <w:szCs w:val="21"/>
        </w:rPr>
        <w:t>”</w:t>
      </w:r>
      <w:r>
        <w:rPr>
          <w:rFonts w:ascii="Times New Roman" w:hAnsi="Times New Roman" w:cs="Times New Roman"/>
          <w:sz w:val="21"/>
          <w:szCs w:val="21"/>
        </w:rPr>
        <w:t>的完整技术链条：前端部署千万级智能传感设备实时采集城市运行数据，通过边缘计算节点实现本地化数据预处理，依托</w:t>
      </w:r>
      <w:r>
        <w:rPr>
          <w:rFonts w:ascii="Times New Roman" w:hAnsi="Times New Roman" w:cs="Times New Roman"/>
          <w:sz w:val="21"/>
          <w:szCs w:val="21"/>
        </w:rPr>
        <w:t>5G/6G</w:t>
      </w:r>
      <w:r>
        <w:rPr>
          <w:rFonts w:ascii="Times New Roman" w:hAnsi="Times New Roman" w:cs="Times New Roman"/>
          <w:sz w:val="21"/>
          <w:szCs w:val="21"/>
        </w:rPr>
        <w:t>通信网络实现全域数据高速传输，借助城市大脑平台进行多维度数据分析与决策支持，最终形成虚实融合的城市治理新模式。</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2025</w:t>
      </w:r>
      <w:r>
        <w:rPr>
          <w:rFonts w:ascii="Times New Roman" w:hAnsi="Times New Roman" w:cs="Times New Roman"/>
          <w:sz w:val="21"/>
          <w:szCs w:val="21"/>
        </w:rPr>
        <w:t>年，中央城市工作会议部署城市工作重点任务时，着重提出要</w:t>
      </w:r>
      <w:r>
        <w:rPr>
          <w:rFonts w:hint="eastAsia"/>
          <w:sz w:val="21"/>
          <w:szCs w:val="21"/>
        </w:rPr>
        <w:t>“着力建设便捷高效的智慧城市”</w:t>
      </w:r>
      <w:r>
        <w:rPr>
          <w:rFonts w:ascii="Times New Roman" w:hAnsi="Times New Roman" w:cs="Times New Roman"/>
          <w:sz w:val="21"/>
          <w:szCs w:val="21"/>
        </w:rPr>
        <w:t>，在</w:t>
      </w:r>
      <w:r>
        <w:rPr>
          <w:rFonts w:hint="eastAsia"/>
          <w:sz w:val="21"/>
          <w:szCs w:val="21"/>
        </w:rPr>
        <w:t>“建设创新、宜居、美丽、韧性、文明、智慧的现代化人民城市”总体</w:t>
      </w:r>
      <w:r>
        <w:rPr>
          <w:rFonts w:ascii="Times New Roman" w:hAnsi="Times New Roman" w:cs="Times New Roman"/>
          <w:sz w:val="21"/>
          <w:szCs w:val="21"/>
        </w:rPr>
        <w:t>目标下，强调推动智慧城市建设在理念、模式、手段上的系统创新，这为各地智慧城市建设提供了宏观指引与方向调整。</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从地方层面来看，多省份积极响应并出台细化方案。</w:t>
      </w:r>
      <w:r>
        <w:rPr>
          <w:rFonts w:ascii="Times New Roman" w:hAnsi="Times New Roman" w:cs="Times New Roman"/>
          <w:sz w:val="21"/>
          <w:szCs w:val="21"/>
        </w:rPr>
        <w:t>2025</w:t>
      </w:r>
      <w:r>
        <w:rPr>
          <w:rFonts w:ascii="Times New Roman" w:hAnsi="Times New Roman" w:cs="Times New Roman"/>
          <w:sz w:val="21"/>
          <w:szCs w:val="21"/>
        </w:rPr>
        <w:t>年</w:t>
      </w:r>
      <w:r>
        <w:rPr>
          <w:rFonts w:ascii="Times New Roman" w:hAnsi="Times New Roman" w:cs="Times New Roman"/>
          <w:sz w:val="21"/>
          <w:szCs w:val="21"/>
        </w:rPr>
        <w:t>4</w:t>
      </w:r>
      <w:r>
        <w:rPr>
          <w:rFonts w:ascii="Times New Roman" w:hAnsi="Times New Roman" w:cs="Times New Roman"/>
          <w:sz w:val="21"/>
          <w:szCs w:val="21"/>
        </w:rPr>
        <w:t>月，江苏省数据局等部门印发《江苏省深化智慧城市发展推进城市全域数字化转型的实施方案（</w:t>
      </w:r>
      <w:r>
        <w:rPr>
          <w:rFonts w:ascii="Times New Roman" w:hAnsi="Times New Roman" w:cs="Times New Roman"/>
          <w:sz w:val="21"/>
          <w:szCs w:val="21"/>
        </w:rPr>
        <w:t>2025-2027</w:t>
      </w:r>
      <w:r>
        <w:rPr>
          <w:rFonts w:ascii="Times New Roman" w:hAnsi="Times New Roman" w:cs="Times New Roman"/>
          <w:sz w:val="21"/>
          <w:szCs w:val="21"/>
        </w:rPr>
        <w:t>年）》。</w:t>
      </w:r>
      <w:r>
        <w:rPr>
          <w:rFonts w:ascii="Times New Roman" w:hAnsi="Times New Roman" w:cs="Times New Roman"/>
          <w:sz w:val="21"/>
          <w:szCs w:val="21"/>
        </w:rPr>
        <w:t>2025</w:t>
      </w:r>
      <w:r>
        <w:rPr>
          <w:rFonts w:ascii="Times New Roman" w:hAnsi="Times New Roman" w:cs="Times New Roman"/>
          <w:sz w:val="21"/>
          <w:szCs w:val="21"/>
        </w:rPr>
        <w:t>年</w:t>
      </w:r>
      <w:r>
        <w:rPr>
          <w:rFonts w:ascii="Times New Roman" w:hAnsi="Times New Roman" w:cs="Times New Roman"/>
          <w:sz w:val="21"/>
          <w:szCs w:val="21"/>
        </w:rPr>
        <w:t>7</w:t>
      </w:r>
      <w:r>
        <w:rPr>
          <w:rFonts w:ascii="Times New Roman" w:hAnsi="Times New Roman" w:cs="Times New Roman"/>
          <w:sz w:val="21"/>
          <w:szCs w:val="21"/>
        </w:rPr>
        <w:t>月，河南省发展和改革委员会等部门印发《河南省深化智慧城市发展推进城市全域数字化转型实施方案（</w:t>
      </w:r>
      <w:r>
        <w:rPr>
          <w:rFonts w:ascii="Times New Roman" w:hAnsi="Times New Roman" w:cs="Times New Roman"/>
          <w:sz w:val="21"/>
          <w:szCs w:val="21"/>
        </w:rPr>
        <w:t>2025—2027</w:t>
      </w:r>
      <w:r>
        <w:rPr>
          <w:rFonts w:ascii="Times New Roman" w:hAnsi="Times New Roman" w:cs="Times New Roman"/>
          <w:sz w:val="21"/>
          <w:szCs w:val="21"/>
        </w:rPr>
        <w:t>年）》。到</w:t>
      </w:r>
      <w:r>
        <w:rPr>
          <w:rFonts w:ascii="Times New Roman" w:hAnsi="Times New Roman" w:cs="Times New Roman"/>
          <w:sz w:val="21"/>
          <w:szCs w:val="21"/>
        </w:rPr>
        <w:t>2027</w:t>
      </w:r>
      <w:r>
        <w:rPr>
          <w:rFonts w:ascii="Times New Roman" w:hAnsi="Times New Roman" w:cs="Times New Roman"/>
          <w:sz w:val="21"/>
          <w:szCs w:val="21"/>
        </w:rPr>
        <w:t>年，要基本构建系统完备的城市全域数字化转型推进体系，数字经济发展动能充分释放，数据要素市场化配置改革持续深化，培育一批典型应用场景和解决方案，形成一批适数化制度创新成果。这些政策从国家宏观导向到地方具体执行方案，层层推进，不断完善智慧城市与城市全域数字化转型的政策体系，为后续建设工作提供了有力的政策支撑与执行依据。</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公司智慧城市业务主要涵盖企业数字化、教育、轨道交通等领域，各细分行业发展情况如下：</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）企业数字化</w:t>
      </w:r>
    </w:p>
    <w:p w:rsidR="00CE3C32" w:rsidRDefault="006413B8">
      <w:pPr>
        <w:pStyle w:val="a6"/>
        <w:adjustRightInd w:val="0"/>
        <w:snapToGrid w:val="0"/>
        <w:spacing w:beforeLines="50" w:before="156" w:beforeAutospacing="0" w:afterLines="50" w:after="156" w:afterAutospacing="0"/>
        <w:ind w:firstLineChars="200" w:firstLine="420"/>
        <w:rPr>
          <w:rFonts w:ascii="Times New Roman" w:hAnsi="Times New Roman" w:cs="Times New Roman"/>
        </w:rPr>
      </w:pPr>
      <w:r>
        <w:rPr>
          <w:rFonts w:ascii="Times New Roman" w:hAnsi="Times New Roman" w:cs="Times New Roman"/>
          <w:sz w:val="21"/>
          <w:szCs w:val="21"/>
        </w:rPr>
        <w:t>企业数字化是通过数字技术对传统业务模式、流程及管理体系的系统性变革，以实现降本增效、提升竞争力的过程。自《中小企业数字化转型指南》印发以来，钢铁行业、原材料工业、制造业等行业接连出台企业数字化转型实施指南，坚持问题导向，明确转型方向和目标，健全标准体系，完善服务支撑，加强转型保障。企业数字化正从局部优化向全局重构演进，成为驱动实体经济高质量发展的核心引擎。</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在这一行业趋势下，公司积极顺应数字化浪潮，业务结构实现关键转变，逐步加大对企业级市场的布局与拓展，凭借在数字技术领域的积累，成功打开企业数字化服务新局面，实现企业数字化业务收入突破。</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w:t>
      </w:r>
      <w:r>
        <w:rPr>
          <w:rFonts w:ascii="Times New Roman" w:hAnsi="Times New Roman" w:cs="Times New Roman"/>
          <w:sz w:val="21"/>
          <w:szCs w:val="21"/>
        </w:rPr>
        <w:t>2</w:t>
      </w:r>
      <w:r>
        <w:rPr>
          <w:rFonts w:ascii="Times New Roman" w:hAnsi="Times New Roman" w:cs="Times New Roman"/>
          <w:sz w:val="21"/>
          <w:szCs w:val="21"/>
        </w:rPr>
        <w:t>）智慧政务</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智慧政务是运用云计算、大数据、物联网、人工智能等技术，重构政府组织架构、业务流程、管理模式，推动数字经济、数字社会、数字生态的高质量发展的政府信息化新阶段。</w:t>
      </w:r>
      <w:r>
        <w:rPr>
          <w:rFonts w:ascii="Times New Roman" w:hAnsi="Times New Roman" w:cs="Times New Roman"/>
          <w:sz w:val="21"/>
          <w:szCs w:val="21"/>
        </w:rPr>
        <w:t>2024</w:t>
      </w:r>
      <w:r>
        <w:rPr>
          <w:rFonts w:ascii="Times New Roman" w:hAnsi="Times New Roman" w:cs="Times New Roman"/>
          <w:sz w:val="21"/>
          <w:szCs w:val="21"/>
        </w:rPr>
        <w:t>年发改委等多部门联合发布的《关于深化智慧城市发展推进城市全域数字化转型的指导意见》，为智慧政务持续注入发展动力，明确了迈向</w:t>
      </w:r>
      <w:r>
        <w:rPr>
          <w:rFonts w:ascii="Times New Roman" w:hAnsi="Times New Roman" w:cs="Times New Roman"/>
          <w:sz w:val="21"/>
          <w:szCs w:val="21"/>
        </w:rPr>
        <w:t>2027</w:t>
      </w:r>
      <w:r>
        <w:rPr>
          <w:rFonts w:ascii="Times New Roman" w:hAnsi="Times New Roman" w:cs="Times New Roman"/>
          <w:sz w:val="21"/>
          <w:szCs w:val="21"/>
        </w:rPr>
        <w:t>年、</w:t>
      </w:r>
      <w:r>
        <w:rPr>
          <w:rFonts w:ascii="Times New Roman" w:hAnsi="Times New Roman" w:cs="Times New Roman"/>
          <w:sz w:val="21"/>
          <w:szCs w:val="21"/>
        </w:rPr>
        <w:t>2030</w:t>
      </w:r>
      <w:r>
        <w:rPr>
          <w:rFonts w:ascii="Times New Roman" w:hAnsi="Times New Roman" w:cs="Times New Roman"/>
          <w:sz w:val="21"/>
          <w:szCs w:val="21"/>
        </w:rPr>
        <w:t>年目标的方向。</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在技术层面，国产开源大模型快速崛起，大幅降低了人工智能在政务领域的应用成本，催生出丰富应用场景。大模型技术重塑政务服务模式，在智能办公、政务服务、社会治理等方面潜力巨大。</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在此背景下，智慧政务行业在政策推动与技术革新的双重驱动下蓬勃发展。</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w:t>
      </w:r>
      <w:r>
        <w:rPr>
          <w:rFonts w:ascii="Times New Roman" w:hAnsi="Times New Roman" w:cs="Times New Roman"/>
          <w:sz w:val="21"/>
          <w:szCs w:val="21"/>
        </w:rPr>
        <w:t>3</w:t>
      </w:r>
      <w:r>
        <w:rPr>
          <w:rFonts w:ascii="Times New Roman" w:hAnsi="Times New Roman" w:cs="Times New Roman"/>
          <w:sz w:val="21"/>
          <w:szCs w:val="21"/>
        </w:rPr>
        <w:t>）智慧教育</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智慧教育服务是以智慧校园整体规划、设计、建设和运维为目标，综合应用云计算、物联网、大数据、移动互联、虚拟现实、人工智能等新一代信息技术，为客户提供包括咨询服务、规划设计、软件研</w:t>
      </w:r>
      <w:r>
        <w:rPr>
          <w:rFonts w:ascii="Times New Roman" w:hAnsi="Times New Roman" w:cs="Times New Roman"/>
          <w:sz w:val="21"/>
          <w:szCs w:val="21"/>
        </w:rPr>
        <w:lastRenderedPageBreak/>
        <w:t>发、硬件配套、系统集成和运维外包在内的整体服务方案，并在教育模式创新、专业与课程建设、教育资源和教育空间开发等信息技术与教育教学深度融合方面开展持续研究和应用。</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2025</w:t>
      </w:r>
      <w:r>
        <w:rPr>
          <w:rFonts w:ascii="Times New Roman" w:hAnsi="Times New Roman" w:cs="Times New Roman"/>
          <w:sz w:val="21"/>
          <w:szCs w:val="21"/>
        </w:rPr>
        <w:t>年</w:t>
      </w:r>
      <w:r>
        <w:rPr>
          <w:rFonts w:ascii="Times New Roman" w:hAnsi="Times New Roman" w:cs="Times New Roman"/>
          <w:sz w:val="21"/>
          <w:szCs w:val="21"/>
        </w:rPr>
        <w:t>1</w:t>
      </w:r>
      <w:r>
        <w:rPr>
          <w:rFonts w:ascii="Times New Roman" w:hAnsi="Times New Roman" w:cs="Times New Roman"/>
          <w:sz w:val="21"/>
          <w:szCs w:val="21"/>
        </w:rPr>
        <w:t>月，国务院印发的《教育强国建设规划纲要（</w:t>
      </w:r>
      <w:r>
        <w:rPr>
          <w:rFonts w:ascii="Times New Roman" w:hAnsi="Times New Roman" w:cs="Times New Roman"/>
          <w:sz w:val="21"/>
          <w:szCs w:val="21"/>
        </w:rPr>
        <w:t>2024-2035</w:t>
      </w:r>
      <w:r>
        <w:rPr>
          <w:rFonts w:ascii="Times New Roman" w:hAnsi="Times New Roman" w:cs="Times New Roman"/>
          <w:sz w:val="21"/>
          <w:szCs w:val="21"/>
        </w:rPr>
        <w:t>年）》提出，要</w:t>
      </w:r>
      <w:r>
        <w:rPr>
          <w:rFonts w:ascii="Times New Roman" w:hAnsi="Times New Roman" w:cs="Times New Roman"/>
          <w:sz w:val="21"/>
          <w:szCs w:val="21"/>
        </w:rPr>
        <w:t>“</w:t>
      </w:r>
      <w:r>
        <w:rPr>
          <w:rFonts w:ascii="Times New Roman" w:hAnsi="Times New Roman" w:cs="Times New Roman"/>
          <w:sz w:val="21"/>
          <w:szCs w:val="21"/>
        </w:rPr>
        <w:t>建设学习型社会，以教育数字化开辟发展新赛道、塑造发展新优势</w:t>
      </w:r>
      <w:r>
        <w:rPr>
          <w:rFonts w:ascii="Times New Roman" w:hAnsi="Times New Roman" w:cs="Times New Roman"/>
          <w:sz w:val="21"/>
          <w:szCs w:val="21"/>
        </w:rPr>
        <w:t>”</w:t>
      </w:r>
      <w:r>
        <w:rPr>
          <w:rFonts w:ascii="Times New Roman" w:hAnsi="Times New Roman" w:cs="Times New Roman"/>
          <w:sz w:val="21"/>
          <w:szCs w:val="21"/>
        </w:rPr>
        <w:t>，为智慧教育行业锚定了清晰的发展方向。教育部同步发布的《中国智慧教育白皮书》，明确将</w:t>
      </w:r>
      <w:r>
        <w:rPr>
          <w:rFonts w:ascii="Times New Roman" w:hAnsi="Times New Roman" w:cs="Times New Roman"/>
          <w:sz w:val="21"/>
          <w:szCs w:val="21"/>
        </w:rPr>
        <w:t>2025</w:t>
      </w:r>
      <w:r>
        <w:rPr>
          <w:rFonts w:ascii="Times New Roman" w:hAnsi="Times New Roman" w:cs="Times New Roman"/>
          <w:sz w:val="21"/>
          <w:szCs w:val="21"/>
        </w:rPr>
        <w:t>年定义为</w:t>
      </w:r>
      <w:r>
        <w:rPr>
          <w:rFonts w:ascii="Times New Roman" w:hAnsi="Times New Roman" w:cs="Times New Roman"/>
          <w:sz w:val="21"/>
          <w:szCs w:val="21"/>
        </w:rPr>
        <w:t>“</w:t>
      </w:r>
      <w:r>
        <w:rPr>
          <w:rFonts w:ascii="Times New Roman" w:hAnsi="Times New Roman" w:cs="Times New Roman"/>
          <w:sz w:val="21"/>
          <w:szCs w:val="21"/>
        </w:rPr>
        <w:t>智慧教育元年</w:t>
      </w:r>
      <w:r>
        <w:rPr>
          <w:rFonts w:ascii="Times New Roman" w:hAnsi="Times New Roman" w:cs="Times New Roman"/>
          <w:sz w:val="21"/>
          <w:szCs w:val="21"/>
        </w:rPr>
        <w:t>”</w:t>
      </w:r>
      <w:r>
        <w:rPr>
          <w:rFonts w:ascii="Times New Roman" w:hAnsi="Times New Roman" w:cs="Times New Roman"/>
          <w:sz w:val="21"/>
          <w:szCs w:val="21"/>
        </w:rPr>
        <w:t>，标志着行业进入规模化落地的关键阶段。国家智慧教育平台已构建起</w:t>
      </w:r>
      <w:r>
        <w:rPr>
          <w:rFonts w:ascii="Times New Roman" w:hAnsi="Times New Roman" w:cs="Times New Roman"/>
          <w:sz w:val="21"/>
          <w:szCs w:val="21"/>
        </w:rPr>
        <w:t>“</w:t>
      </w:r>
      <w:r>
        <w:rPr>
          <w:rFonts w:ascii="Times New Roman" w:hAnsi="Times New Roman" w:cs="Times New Roman"/>
          <w:sz w:val="21"/>
          <w:szCs w:val="21"/>
        </w:rPr>
        <w:t>四横五纵</w:t>
      </w:r>
      <w:r>
        <w:rPr>
          <w:rFonts w:ascii="Times New Roman" w:hAnsi="Times New Roman" w:cs="Times New Roman"/>
          <w:sz w:val="21"/>
          <w:szCs w:val="21"/>
        </w:rPr>
        <w:t>”</w:t>
      </w:r>
      <w:r>
        <w:rPr>
          <w:rFonts w:ascii="Times New Roman" w:hAnsi="Times New Roman" w:cs="Times New Roman"/>
          <w:sz w:val="21"/>
          <w:szCs w:val="21"/>
        </w:rPr>
        <w:t>的资源供给体系，深度整合基础教育、职业教育、高等教育等多领域平台资源，实现跨区域、跨学段的互联互通与高效共享，为教育数字化转型提供了坚实的平台支撑。</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未来，随着教育数字化转型的实施，教育对信息化建设需求不断升级，教育信息化行业将会迎来更广阔的市场空间。</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）智慧轨道交通</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在</w:t>
      </w:r>
      <w:r>
        <w:rPr>
          <w:rFonts w:ascii="Times New Roman" w:hAnsi="Times New Roman" w:cs="Times New Roman"/>
          <w:sz w:val="21"/>
          <w:szCs w:val="21"/>
        </w:rPr>
        <w:t>“</w:t>
      </w:r>
      <w:r>
        <w:rPr>
          <w:rFonts w:ascii="Times New Roman" w:hAnsi="Times New Roman" w:cs="Times New Roman"/>
          <w:sz w:val="21"/>
          <w:szCs w:val="21"/>
        </w:rPr>
        <w:t>十四五</w:t>
      </w:r>
      <w:r>
        <w:rPr>
          <w:rFonts w:ascii="Times New Roman" w:hAnsi="Times New Roman" w:cs="Times New Roman"/>
          <w:sz w:val="21"/>
          <w:szCs w:val="21"/>
        </w:rPr>
        <w:t>”</w:t>
      </w:r>
      <w:r>
        <w:rPr>
          <w:rFonts w:ascii="Times New Roman" w:hAnsi="Times New Roman" w:cs="Times New Roman"/>
          <w:sz w:val="21"/>
          <w:szCs w:val="21"/>
        </w:rPr>
        <w:t>规划收官之际，我国轨道交通领域向现代化加速迈进，成果斐然。</w:t>
      </w:r>
      <w:r>
        <w:rPr>
          <w:rFonts w:ascii="Times New Roman" w:hAnsi="Times New Roman" w:cs="Times New Roman"/>
          <w:sz w:val="21"/>
          <w:szCs w:val="21"/>
        </w:rPr>
        <w:t>2025</w:t>
      </w:r>
      <w:r>
        <w:rPr>
          <w:rFonts w:ascii="Times New Roman" w:hAnsi="Times New Roman" w:cs="Times New Roman"/>
          <w:sz w:val="21"/>
          <w:szCs w:val="21"/>
        </w:rPr>
        <w:t>年</w:t>
      </w:r>
      <w:r>
        <w:rPr>
          <w:rFonts w:ascii="Times New Roman" w:hAnsi="Times New Roman" w:cs="Times New Roman"/>
          <w:sz w:val="21"/>
          <w:szCs w:val="21"/>
        </w:rPr>
        <w:t>7</w:t>
      </w:r>
      <w:r>
        <w:rPr>
          <w:rFonts w:ascii="Times New Roman" w:hAnsi="Times New Roman" w:cs="Times New Roman"/>
          <w:sz w:val="21"/>
          <w:szCs w:val="21"/>
        </w:rPr>
        <w:t>月国务院新闻办发布，</w:t>
      </w:r>
      <w:r>
        <w:rPr>
          <w:rFonts w:ascii="Times New Roman" w:hAnsi="Times New Roman" w:cs="Times New Roman"/>
          <w:sz w:val="21"/>
          <w:szCs w:val="21"/>
        </w:rPr>
        <w:t>“</w:t>
      </w:r>
      <w:r>
        <w:rPr>
          <w:rFonts w:ascii="Times New Roman" w:hAnsi="Times New Roman" w:cs="Times New Roman"/>
          <w:sz w:val="21"/>
          <w:szCs w:val="21"/>
        </w:rPr>
        <w:t>八纵八横</w:t>
      </w:r>
      <w:r>
        <w:rPr>
          <w:rFonts w:ascii="Times New Roman" w:hAnsi="Times New Roman" w:cs="Times New Roman"/>
          <w:sz w:val="21"/>
          <w:szCs w:val="21"/>
        </w:rPr>
        <w:t>”</w:t>
      </w:r>
      <w:r>
        <w:rPr>
          <w:rFonts w:ascii="Times New Roman" w:hAnsi="Times New Roman" w:cs="Times New Roman"/>
          <w:sz w:val="21"/>
          <w:szCs w:val="21"/>
        </w:rPr>
        <w:t>高铁网建设已完成</w:t>
      </w:r>
      <w:r>
        <w:rPr>
          <w:rFonts w:ascii="Times New Roman" w:hAnsi="Times New Roman" w:cs="Times New Roman"/>
          <w:sz w:val="21"/>
          <w:szCs w:val="21"/>
        </w:rPr>
        <w:t>81.5%</w:t>
      </w:r>
      <w:r>
        <w:rPr>
          <w:rFonts w:ascii="Times New Roman" w:hAnsi="Times New Roman" w:cs="Times New Roman"/>
          <w:sz w:val="21"/>
          <w:szCs w:val="21"/>
        </w:rPr>
        <w:t>，高铁营业里程攀升至</w:t>
      </w:r>
      <w:r>
        <w:rPr>
          <w:rFonts w:ascii="Times New Roman" w:hAnsi="Times New Roman" w:cs="Times New Roman"/>
          <w:sz w:val="21"/>
          <w:szCs w:val="21"/>
        </w:rPr>
        <w:t>4.8</w:t>
      </w:r>
      <w:r>
        <w:rPr>
          <w:rFonts w:ascii="Times New Roman" w:hAnsi="Times New Roman" w:cs="Times New Roman"/>
          <w:sz w:val="21"/>
          <w:szCs w:val="21"/>
        </w:rPr>
        <w:t>万公里，占全球高铁总里程</w:t>
      </w:r>
      <w:r>
        <w:rPr>
          <w:rFonts w:ascii="Times New Roman" w:hAnsi="Times New Roman" w:cs="Times New Roman"/>
          <w:sz w:val="21"/>
          <w:szCs w:val="21"/>
        </w:rPr>
        <w:t>70%</w:t>
      </w:r>
      <w:r>
        <w:rPr>
          <w:rFonts w:ascii="Times New Roman" w:hAnsi="Times New Roman" w:cs="Times New Roman"/>
          <w:sz w:val="21"/>
          <w:szCs w:val="21"/>
        </w:rPr>
        <w:t>以上，覆盖全国</w:t>
      </w:r>
      <w:r>
        <w:rPr>
          <w:rFonts w:ascii="Times New Roman" w:hAnsi="Times New Roman" w:cs="Times New Roman"/>
          <w:sz w:val="21"/>
          <w:szCs w:val="21"/>
        </w:rPr>
        <w:t>97%</w:t>
      </w:r>
      <w:r>
        <w:rPr>
          <w:rFonts w:ascii="Times New Roman" w:hAnsi="Times New Roman" w:cs="Times New Roman"/>
          <w:sz w:val="21"/>
          <w:szCs w:val="21"/>
        </w:rPr>
        <w:t>的</w:t>
      </w:r>
      <w:r>
        <w:rPr>
          <w:rFonts w:ascii="Times New Roman" w:hAnsi="Times New Roman" w:cs="Times New Roman"/>
          <w:sz w:val="21"/>
          <w:szCs w:val="21"/>
        </w:rPr>
        <w:t>50</w:t>
      </w:r>
      <w:r>
        <w:rPr>
          <w:rFonts w:ascii="Times New Roman" w:hAnsi="Times New Roman" w:cs="Times New Roman"/>
          <w:sz w:val="21"/>
          <w:szCs w:val="21"/>
        </w:rPr>
        <w:t>万人口以上城市，实现全国</w:t>
      </w:r>
      <w:r>
        <w:rPr>
          <w:rFonts w:ascii="Times New Roman" w:hAnsi="Times New Roman" w:cs="Times New Roman"/>
          <w:sz w:val="21"/>
          <w:szCs w:val="21"/>
        </w:rPr>
        <w:t>19</w:t>
      </w:r>
      <w:r>
        <w:rPr>
          <w:rFonts w:ascii="Times New Roman" w:hAnsi="Times New Roman" w:cs="Times New Roman"/>
          <w:sz w:val="21"/>
          <w:szCs w:val="21"/>
        </w:rPr>
        <w:t>个主要城市群高铁全部连通。在政策驱动与技术创新的双重引擎下，轨道交通行业提供了较大的市场空间和发展动力。</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3.</w:t>
      </w:r>
      <w:r>
        <w:rPr>
          <w:rStyle w:val="a7"/>
          <w:rFonts w:ascii="Times New Roman" w:hAnsi="Times New Roman" w:cs="Times New Roman"/>
          <w:sz w:val="21"/>
          <w:szCs w:val="21"/>
        </w:rPr>
        <w:t>信创行业概况</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2025</w:t>
      </w:r>
      <w:r>
        <w:rPr>
          <w:rFonts w:ascii="Times New Roman" w:hAnsi="Times New Roman" w:cs="Times New Roman"/>
          <w:sz w:val="21"/>
          <w:szCs w:val="21"/>
        </w:rPr>
        <w:t>年，信创行业在国家战略驱动与市场需求牵引下蓬勃发展，核心目标是实现信息技术自主可控，保障国家信息安全，摆脱对国外技术的依赖，构建属于我国的自主信息技术体系。</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从</w:t>
      </w:r>
      <w:r>
        <w:rPr>
          <w:rFonts w:ascii="Times New Roman" w:hAnsi="Times New Roman" w:cs="Times New Roman"/>
          <w:sz w:val="21"/>
          <w:szCs w:val="21"/>
        </w:rPr>
        <w:t>2023</w:t>
      </w:r>
      <w:r>
        <w:rPr>
          <w:rFonts w:ascii="Times New Roman" w:hAnsi="Times New Roman" w:cs="Times New Roman"/>
          <w:sz w:val="21"/>
          <w:szCs w:val="21"/>
        </w:rPr>
        <w:t>年下发的</w:t>
      </w:r>
      <w:r>
        <w:rPr>
          <w:rFonts w:ascii="Times New Roman" w:hAnsi="Times New Roman" w:cs="Times New Roman"/>
          <w:sz w:val="21"/>
          <w:szCs w:val="21"/>
        </w:rPr>
        <w:t>79</w:t>
      </w:r>
      <w:r>
        <w:rPr>
          <w:rFonts w:ascii="Times New Roman" w:hAnsi="Times New Roman" w:cs="Times New Roman"/>
          <w:sz w:val="21"/>
          <w:szCs w:val="21"/>
        </w:rPr>
        <w:t>号文明确，到</w:t>
      </w:r>
      <w:r>
        <w:rPr>
          <w:rFonts w:ascii="Times New Roman" w:hAnsi="Times New Roman" w:cs="Times New Roman"/>
          <w:sz w:val="21"/>
          <w:szCs w:val="21"/>
        </w:rPr>
        <w:t>2027</w:t>
      </w:r>
      <w:r>
        <w:rPr>
          <w:rFonts w:ascii="Times New Roman" w:hAnsi="Times New Roman" w:cs="Times New Roman"/>
          <w:sz w:val="21"/>
          <w:szCs w:val="21"/>
        </w:rPr>
        <w:t>年央企国企需</w:t>
      </w:r>
      <w:r>
        <w:rPr>
          <w:rFonts w:ascii="Times New Roman" w:hAnsi="Times New Roman" w:cs="Times New Roman"/>
          <w:sz w:val="21"/>
          <w:szCs w:val="21"/>
        </w:rPr>
        <w:t>100%</w:t>
      </w:r>
      <w:r>
        <w:rPr>
          <w:rFonts w:ascii="Times New Roman" w:hAnsi="Times New Roman" w:cs="Times New Roman"/>
          <w:sz w:val="21"/>
          <w:szCs w:val="21"/>
        </w:rPr>
        <w:t>完成信创替代，覆盖芯片、基础软件等关键领域，为行业发展提供了明确的推进节点与方向。</w:t>
      </w:r>
      <w:r>
        <w:rPr>
          <w:rFonts w:ascii="Times New Roman" w:hAnsi="Times New Roman" w:cs="Times New Roman"/>
          <w:sz w:val="21"/>
          <w:szCs w:val="21"/>
        </w:rPr>
        <w:t>2025</w:t>
      </w:r>
      <w:r>
        <w:rPr>
          <w:rFonts w:ascii="Times New Roman" w:hAnsi="Times New Roman" w:cs="Times New Roman"/>
          <w:sz w:val="21"/>
          <w:szCs w:val="21"/>
        </w:rPr>
        <w:t>年</w:t>
      </w:r>
      <w:r>
        <w:rPr>
          <w:rFonts w:ascii="Times New Roman" w:hAnsi="Times New Roman" w:cs="Times New Roman"/>
          <w:sz w:val="21"/>
          <w:szCs w:val="21"/>
        </w:rPr>
        <w:t>3</w:t>
      </w:r>
      <w:r>
        <w:rPr>
          <w:rFonts w:ascii="Times New Roman" w:hAnsi="Times New Roman" w:cs="Times New Roman"/>
          <w:sz w:val="21"/>
          <w:szCs w:val="21"/>
        </w:rPr>
        <w:t>月，北京经开区发布《关于加快建设开源开放信创产业高地的若干措施》，计划到</w:t>
      </w:r>
      <w:r>
        <w:rPr>
          <w:rFonts w:ascii="Times New Roman" w:hAnsi="Times New Roman" w:cs="Times New Roman"/>
          <w:sz w:val="21"/>
          <w:szCs w:val="21"/>
        </w:rPr>
        <w:t>2027</w:t>
      </w:r>
      <w:r>
        <w:rPr>
          <w:rFonts w:ascii="Times New Roman" w:hAnsi="Times New Roman" w:cs="Times New Roman"/>
          <w:sz w:val="21"/>
          <w:szCs w:val="21"/>
        </w:rPr>
        <w:t>年，实现信创产业市场主体数量与营收规模倍增，集聚</w:t>
      </w:r>
      <w:r>
        <w:rPr>
          <w:rFonts w:ascii="Times New Roman" w:hAnsi="Times New Roman" w:cs="Times New Roman"/>
          <w:sz w:val="21"/>
          <w:szCs w:val="21"/>
        </w:rPr>
        <w:t>1000</w:t>
      </w:r>
      <w:r>
        <w:rPr>
          <w:rFonts w:ascii="Times New Roman" w:hAnsi="Times New Roman" w:cs="Times New Roman"/>
          <w:sz w:val="21"/>
          <w:szCs w:val="21"/>
        </w:rPr>
        <w:t>家优质企业，收入规模突破</w:t>
      </w:r>
      <w:r>
        <w:rPr>
          <w:rFonts w:ascii="Times New Roman" w:hAnsi="Times New Roman" w:cs="Times New Roman"/>
          <w:sz w:val="21"/>
          <w:szCs w:val="21"/>
        </w:rPr>
        <w:t>1000</w:t>
      </w:r>
      <w:r>
        <w:rPr>
          <w:rFonts w:ascii="Times New Roman" w:hAnsi="Times New Roman" w:cs="Times New Roman"/>
          <w:sz w:val="21"/>
          <w:szCs w:val="21"/>
        </w:rPr>
        <w:t>亿元，全力打造千亿级信创产业集群，同时实现关键核心技术新突破，打造</w:t>
      </w:r>
      <w:r>
        <w:rPr>
          <w:rFonts w:ascii="Times New Roman" w:hAnsi="Times New Roman" w:cs="Times New Roman"/>
          <w:sz w:val="21"/>
          <w:szCs w:val="21"/>
        </w:rPr>
        <w:t>50</w:t>
      </w:r>
      <w:r>
        <w:rPr>
          <w:rFonts w:ascii="Times New Roman" w:hAnsi="Times New Roman" w:cs="Times New Roman"/>
          <w:sz w:val="21"/>
          <w:szCs w:val="21"/>
        </w:rPr>
        <w:t>项标志性解决方案。各地方政府也纷纷出台补贴、奖励等政策，促进信创产业落地与发展。</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从市场规模看，信创产业潜力巨大。数字中国建设峰会数据显示，</w:t>
      </w:r>
      <w:r>
        <w:rPr>
          <w:rFonts w:ascii="Times New Roman" w:hAnsi="Times New Roman" w:cs="Times New Roman"/>
          <w:sz w:val="21"/>
          <w:szCs w:val="21"/>
        </w:rPr>
        <w:t>2024</w:t>
      </w:r>
      <w:r>
        <w:rPr>
          <w:rFonts w:ascii="Times New Roman" w:hAnsi="Times New Roman" w:cs="Times New Roman"/>
          <w:sz w:val="21"/>
          <w:szCs w:val="21"/>
        </w:rPr>
        <w:t>年我国信创产业规模突破</w:t>
      </w:r>
      <w:r>
        <w:rPr>
          <w:rFonts w:ascii="Times New Roman" w:hAnsi="Times New Roman" w:cs="Times New Roman"/>
          <w:sz w:val="21"/>
          <w:szCs w:val="21"/>
        </w:rPr>
        <w:t>1.5</w:t>
      </w:r>
      <w:r>
        <w:rPr>
          <w:rFonts w:ascii="Times New Roman" w:hAnsi="Times New Roman" w:cs="Times New Roman"/>
          <w:sz w:val="21"/>
          <w:szCs w:val="21"/>
        </w:rPr>
        <w:t>万亿元，近五年复合增长率超</w:t>
      </w:r>
      <w:r>
        <w:rPr>
          <w:rFonts w:ascii="Times New Roman" w:hAnsi="Times New Roman" w:cs="Times New Roman"/>
          <w:sz w:val="21"/>
          <w:szCs w:val="21"/>
        </w:rPr>
        <w:t>30%</w:t>
      </w:r>
      <w:r>
        <w:rPr>
          <w:rFonts w:ascii="Times New Roman" w:hAnsi="Times New Roman" w:cs="Times New Roman"/>
          <w:sz w:val="21"/>
          <w:szCs w:val="21"/>
        </w:rPr>
        <w:t>，预计</w:t>
      </w:r>
      <w:r>
        <w:rPr>
          <w:rFonts w:ascii="Times New Roman" w:hAnsi="Times New Roman" w:cs="Times New Roman"/>
          <w:sz w:val="21"/>
          <w:szCs w:val="21"/>
        </w:rPr>
        <w:t>2025</w:t>
      </w:r>
      <w:r>
        <w:rPr>
          <w:rFonts w:ascii="Times New Roman" w:hAnsi="Times New Roman" w:cs="Times New Roman"/>
          <w:sz w:val="21"/>
          <w:szCs w:val="21"/>
        </w:rPr>
        <w:t>年将突破</w:t>
      </w:r>
      <w:r>
        <w:rPr>
          <w:rFonts w:ascii="Times New Roman" w:hAnsi="Times New Roman" w:cs="Times New Roman"/>
          <w:sz w:val="21"/>
          <w:szCs w:val="21"/>
        </w:rPr>
        <w:t>2</w:t>
      </w:r>
      <w:r>
        <w:rPr>
          <w:rFonts w:ascii="Times New Roman" w:hAnsi="Times New Roman" w:cs="Times New Roman"/>
          <w:sz w:val="21"/>
          <w:szCs w:val="21"/>
        </w:rPr>
        <w:t>万亿元。</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4.</w:t>
      </w:r>
      <w:r>
        <w:rPr>
          <w:rStyle w:val="a7"/>
          <w:rFonts w:ascii="Times New Roman" w:hAnsi="Times New Roman" w:cs="Times New Roman"/>
          <w:sz w:val="21"/>
          <w:szCs w:val="21"/>
        </w:rPr>
        <w:t>算力服务行业</w:t>
      </w:r>
    </w:p>
    <w:p w:rsidR="00CE3C32" w:rsidRDefault="006413B8">
      <w:pPr>
        <w:pStyle w:val="a6"/>
        <w:adjustRightInd w:val="0"/>
        <w:snapToGrid w:val="0"/>
        <w:spacing w:beforeLines="50" w:before="156" w:beforeAutospacing="0" w:afterLines="50" w:after="156" w:afterAutospacing="0"/>
        <w:ind w:firstLineChars="200" w:firstLine="420"/>
        <w:rPr>
          <w:rFonts w:ascii="Times New Roman" w:hAnsi="Times New Roman" w:cs="Times New Roman"/>
        </w:rPr>
      </w:pPr>
      <w:r>
        <w:rPr>
          <w:rFonts w:ascii="Times New Roman" w:hAnsi="Times New Roman" w:cs="Times New Roman"/>
          <w:sz w:val="21"/>
          <w:szCs w:val="21"/>
        </w:rPr>
        <w:t>算力产业以计算力、存储力和运载力为核心要素，通过智能算力中心等基础设施向社会提供算力资源，是数字经济的核心生产力。在</w:t>
      </w:r>
      <w:r>
        <w:rPr>
          <w:rFonts w:hint="eastAsia"/>
          <w:sz w:val="21"/>
          <w:szCs w:val="21"/>
        </w:rPr>
        <w:t>“人</w:t>
      </w:r>
      <w:r>
        <w:rPr>
          <w:rFonts w:ascii="Times New Roman" w:hAnsi="Times New Roman" w:cs="Times New Roman"/>
          <w:sz w:val="21"/>
          <w:szCs w:val="21"/>
        </w:rPr>
        <w:t>工智能</w:t>
      </w:r>
      <w:r>
        <w:rPr>
          <w:rFonts w:ascii="Times New Roman" w:hAnsi="Times New Roman" w:cs="Times New Roman"/>
          <w:sz w:val="21"/>
          <w:szCs w:val="21"/>
        </w:rPr>
        <w:t>+</w:t>
      </w:r>
      <w:r>
        <w:rPr>
          <w:rFonts w:hint="eastAsia"/>
          <w:sz w:val="21"/>
          <w:szCs w:val="21"/>
        </w:rPr>
        <w:t>”行</w:t>
      </w:r>
      <w:r>
        <w:rPr>
          <w:rFonts w:ascii="Times New Roman" w:hAnsi="Times New Roman" w:cs="Times New Roman"/>
          <w:sz w:val="21"/>
          <w:szCs w:val="21"/>
        </w:rPr>
        <w:t>动、</w:t>
      </w:r>
      <w:r>
        <w:rPr>
          <w:rFonts w:hint="eastAsia"/>
          <w:sz w:val="21"/>
          <w:szCs w:val="21"/>
        </w:rPr>
        <w:t>“东数西算”工</w:t>
      </w:r>
      <w:r>
        <w:rPr>
          <w:rFonts w:ascii="Times New Roman" w:hAnsi="Times New Roman" w:cs="Times New Roman"/>
          <w:sz w:val="21"/>
          <w:szCs w:val="21"/>
        </w:rPr>
        <w:t>程等政策引领下，加之</w:t>
      </w:r>
      <w:r>
        <w:rPr>
          <w:rFonts w:ascii="Times New Roman" w:hAnsi="Times New Roman" w:cs="Times New Roman"/>
          <w:sz w:val="21"/>
          <w:szCs w:val="21"/>
        </w:rPr>
        <w:t>AI</w:t>
      </w:r>
      <w:r>
        <w:rPr>
          <w:rFonts w:ascii="Times New Roman" w:hAnsi="Times New Roman" w:cs="Times New Roman"/>
          <w:sz w:val="21"/>
          <w:szCs w:val="21"/>
        </w:rPr>
        <w:t>技术迭代及大模型应用创新驱动智能算力需求激增，智能算力中心市场规模快速扩张，市场分层竞争加剧。作为信创产业的核心支撑，算力产业正迎来技术突破与生态重构的双重机遇。</w:t>
      </w:r>
      <w:r>
        <w:rPr>
          <w:rFonts w:ascii="Times New Roman" w:hAnsi="Times New Roman" w:cs="Times New Roman" w:hint="eastAsia"/>
          <w:sz w:val="21"/>
          <w:szCs w:val="21"/>
        </w:rPr>
        <w:t>国家发展改革委</w:t>
      </w:r>
      <w:r>
        <w:rPr>
          <w:rFonts w:ascii="Times New Roman" w:hAnsi="Times New Roman" w:cs="Times New Roman"/>
          <w:sz w:val="21"/>
          <w:szCs w:val="21"/>
        </w:rPr>
        <w:t>明确要求加速国产芯片、服务器等硬件技术攻关，推动</w:t>
      </w:r>
      <w:r>
        <w:rPr>
          <w:rFonts w:ascii="Times New Roman" w:hAnsi="Times New Roman" w:cs="Times New Roman"/>
          <w:sz w:val="21"/>
          <w:szCs w:val="21"/>
        </w:rPr>
        <w:t>AI</w:t>
      </w:r>
      <w:r>
        <w:rPr>
          <w:rFonts w:ascii="Times New Roman" w:hAnsi="Times New Roman" w:cs="Times New Roman"/>
          <w:sz w:val="21"/>
          <w:szCs w:val="21"/>
        </w:rPr>
        <w:t>大模型在金融风控、智能客服等场景的落地应用，形成</w:t>
      </w:r>
      <w:r>
        <w:rPr>
          <w:rFonts w:ascii="Times New Roman" w:hAnsi="Times New Roman" w:cs="Times New Roman"/>
          <w:sz w:val="21"/>
          <w:szCs w:val="21"/>
        </w:rPr>
        <w:t>“</w:t>
      </w:r>
      <w:r>
        <w:rPr>
          <w:rFonts w:ascii="Times New Roman" w:hAnsi="Times New Roman" w:cs="Times New Roman"/>
          <w:sz w:val="21"/>
          <w:szCs w:val="21"/>
        </w:rPr>
        <w:t>硬件国产化</w:t>
      </w:r>
      <w:r>
        <w:rPr>
          <w:rFonts w:ascii="Times New Roman" w:hAnsi="Times New Roman" w:cs="Times New Roman"/>
          <w:sz w:val="21"/>
          <w:szCs w:val="21"/>
        </w:rPr>
        <w:t>—</w:t>
      </w:r>
      <w:r>
        <w:rPr>
          <w:rFonts w:ascii="Times New Roman" w:hAnsi="Times New Roman" w:cs="Times New Roman"/>
          <w:sz w:val="21"/>
          <w:szCs w:val="21"/>
        </w:rPr>
        <w:t>软件适配</w:t>
      </w:r>
      <w:r>
        <w:rPr>
          <w:rFonts w:ascii="Times New Roman" w:hAnsi="Times New Roman" w:cs="Times New Roman"/>
          <w:sz w:val="21"/>
          <w:szCs w:val="21"/>
        </w:rPr>
        <w:t>—</w:t>
      </w:r>
      <w:r>
        <w:rPr>
          <w:rFonts w:ascii="Times New Roman" w:hAnsi="Times New Roman" w:cs="Times New Roman"/>
          <w:sz w:val="21"/>
          <w:szCs w:val="21"/>
        </w:rPr>
        <w:t>场景创新</w:t>
      </w:r>
      <w:r>
        <w:rPr>
          <w:rFonts w:ascii="Times New Roman" w:hAnsi="Times New Roman" w:cs="Times New Roman"/>
          <w:sz w:val="21"/>
          <w:szCs w:val="21"/>
        </w:rPr>
        <w:t>”</w:t>
      </w:r>
      <w:r>
        <w:rPr>
          <w:rFonts w:ascii="Times New Roman" w:hAnsi="Times New Roman" w:cs="Times New Roman"/>
          <w:sz w:val="21"/>
          <w:szCs w:val="21"/>
        </w:rPr>
        <w:t>的闭环生态。据平安证券</w:t>
      </w:r>
      <w:r>
        <w:rPr>
          <w:rFonts w:ascii="Times New Roman" w:hAnsi="Times New Roman" w:cs="Times New Roman"/>
          <w:sz w:val="21"/>
          <w:szCs w:val="21"/>
        </w:rPr>
        <w:t>2025</w:t>
      </w:r>
      <w:r>
        <w:rPr>
          <w:rFonts w:ascii="Times New Roman" w:hAnsi="Times New Roman" w:cs="Times New Roman"/>
          <w:sz w:val="21"/>
          <w:szCs w:val="21"/>
        </w:rPr>
        <w:t>年行业研究报告测算，</w:t>
      </w:r>
      <w:r>
        <w:rPr>
          <w:rFonts w:ascii="Times New Roman" w:hAnsi="Times New Roman" w:cs="Times New Roman"/>
          <w:sz w:val="21"/>
          <w:szCs w:val="21"/>
        </w:rPr>
        <w:t>2024</w:t>
      </w:r>
      <w:r>
        <w:rPr>
          <w:rFonts w:ascii="Times New Roman" w:hAnsi="Times New Roman" w:cs="Times New Roman"/>
          <w:sz w:val="21"/>
          <w:szCs w:val="21"/>
        </w:rPr>
        <w:t>至</w:t>
      </w:r>
      <w:r>
        <w:rPr>
          <w:rFonts w:ascii="Times New Roman" w:hAnsi="Times New Roman" w:cs="Times New Roman"/>
          <w:sz w:val="21"/>
          <w:szCs w:val="21"/>
        </w:rPr>
        <w:t>2028</w:t>
      </w:r>
      <w:r>
        <w:rPr>
          <w:rFonts w:ascii="Times New Roman" w:hAnsi="Times New Roman" w:cs="Times New Roman"/>
          <w:sz w:val="21"/>
          <w:szCs w:val="21"/>
        </w:rPr>
        <w:t>年信创</w:t>
      </w:r>
      <w:r>
        <w:rPr>
          <w:rFonts w:ascii="Times New Roman" w:hAnsi="Times New Roman" w:cs="Times New Roman"/>
          <w:sz w:val="21"/>
          <w:szCs w:val="21"/>
        </w:rPr>
        <w:t>PC</w:t>
      </w:r>
      <w:r>
        <w:rPr>
          <w:rFonts w:ascii="Times New Roman" w:hAnsi="Times New Roman" w:cs="Times New Roman"/>
          <w:sz w:val="21"/>
          <w:szCs w:val="21"/>
        </w:rPr>
        <w:t>与服务器市场规模将突破</w:t>
      </w:r>
      <w:r>
        <w:rPr>
          <w:rFonts w:ascii="Times New Roman" w:hAnsi="Times New Roman" w:cs="Times New Roman"/>
          <w:sz w:val="21"/>
          <w:szCs w:val="21"/>
        </w:rPr>
        <w:t>4,000</w:t>
      </w:r>
      <w:r>
        <w:rPr>
          <w:rFonts w:ascii="Times New Roman" w:hAnsi="Times New Roman" w:cs="Times New Roman"/>
          <w:sz w:val="21"/>
          <w:szCs w:val="21"/>
        </w:rPr>
        <w:t>亿元，带动算力基础设施投资年均增长超</w:t>
      </w:r>
      <w:r>
        <w:rPr>
          <w:rFonts w:ascii="Times New Roman" w:hAnsi="Times New Roman" w:cs="Times New Roman"/>
          <w:sz w:val="21"/>
          <w:szCs w:val="21"/>
        </w:rPr>
        <w:t>25%</w:t>
      </w:r>
      <w:r>
        <w:rPr>
          <w:rFonts w:ascii="Times New Roman" w:hAnsi="Times New Roman" w:cs="Times New Roman"/>
          <w:sz w:val="21"/>
          <w:szCs w:val="21"/>
        </w:rPr>
        <w:t>。</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5.</w:t>
      </w:r>
      <w:r>
        <w:rPr>
          <w:rStyle w:val="a7"/>
          <w:rFonts w:ascii="Times New Roman" w:hAnsi="Times New Roman" w:cs="Times New Roman"/>
          <w:sz w:val="21"/>
          <w:szCs w:val="21"/>
        </w:rPr>
        <w:t>智慧能源行业</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智慧能源行业旨在通过数字化、智能化技术，对电力、煤炭、油气等传统能源进行升级改造，提升能源利用效率，推动能源产业向清洁低碳、安全高效方向转型。其核心特征为智能高效、广泛互联、清洁低碳，以</w:t>
      </w:r>
      <w:r>
        <w:rPr>
          <w:rFonts w:ascii="Times New Roman" w:hAnsi="Times New Roman" w:cs="Times New Roman" w:hint="eastAsia"/>
          <w:sz w:val="21"/>
          <w:szCs w:val="21"/>
        </w:rPr>
        <w:t>“</w:t>
      </w:r>
      <w:r>
        <w:rPr>
          <w:rFonts w:ascii="Times New Roman" w:hAnsi="Times New Roman" w:cs="Times New Roman"/>
          <w:sz w:val="21"/>
          <w:szCs w:val="21"/>
        </w:rPr>
        <w:t>互联网</w:t>
      </w: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sz w:val="21"/>
          <w:szCs w:val="21"/>
        </w:rPr>
        <w:t>的能源服务作为主要管理方式。</w:t>
      </w:r>
      <w:r>
        <w:rPr>
          <w:rFonts w:ascii="Times New Roman" w:hAnsi="Times New Roman" w:cs="Times New Roman"/>
          <w:sz w:val="21"/>
          <w:szCs w:val="21"/>
        </w:rPr>
        <w:t>2025</w:t>
      </w:r>
      <w:r>
        <w:rPr>
          <w:rFonts w:ascii="Times New Roman" w:hAnsi="Times New Roman" w:cs="Times New Roman"/>
          <w:sz w:val="21"/>
          <w:szCs w:val="21"/>
        </w:rPr>
        <w:t>年</w:t>
      </w:r>
      <w:r>
        <w:rPr>
          <w:rFonts w:ascii="Times New Roman" w:hAnsi="Times New Roman" w:cs="Times New Roman"/>
          <w:sz w:val="21"/>
          <w:szCs w:val="21"/>
        </w:rPr>
        <w:t>1</w:t>
      </w:r>
      <w:r>
        <w:rPr>
          <w:rFonts w:ascii="Times New Roman" w:hAnsi="Times New Roman" w:cs="Times New Roman"/>
          <w:sz w:val="21"/>
          <w:szCs w:val="21"/>
        </w:rPr>
        <w:t>月，国家能源局印发《关于</w:t>
      </w:r>
      <w:r>
        <w:rPr>
          <w:rFonts w:ascii="Times New Roman" w:hAnsi="Times New Roman" w:cs="Times New Roman"/>
          <w:sz w:val="21"/>
          <w:szCs w:val="21"/>
        </w:rPr>
        <w:t>2025</w:t>
      </w:r>
      <w:r>
        <w:rPr>
          <w:rFonts w:ascii="Times New Roman" w:hAnsi="Times New Roman" w:cs="Times New Roman"/>
          <w:sz w:val="21"/>
          <w:szCs w:val="21"/>
        </w:rPr>
        <w:t>年新能源上网电价政策的通知》，明确光伏电站标杆上网电价保持稳定，分布式光伏全额收购政策延续，进一步保障行业收益确定性。</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（三）主要业务</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公司致力于融合应用物联网、大数据、云计算、</w:t>
      </w:r>
      <w:r>
        <w:rPr>
          <w:rFonts w:ascii="Times New Roman" w:hAnsi="Times New Roman" w:cs="Times New Roman"/>
          <w:sz w:val="21"/>
          <w:szCs w:val="21"/>
        </w:rPr>
        <w:t>GIS</w:t>
      </w:r>
      <w:r>
        <w:rPr>
          <w:rFonts w:ascii="Times New Roman" w:hAnsi="Times New Roman" w:cs="Times New Roman"/>
          <w:sz w:val="21"/>
          <w:szCs w:val="21"/>
        </w:rPr>
        <w:t>、人工智能等新一代信息技术，为客户提供项目总体规划、方案设计、软件研发、项目实施及运维服务一体化的信息技术解决方案。公司业务从服务类</w:t>
      </w:r>
      <w:r>
        <w:rPr>
          <w:rFonts w:ascii="Times New Roman" w:hAnsi="Times New Roman" w:cs="Times New Roman"/>
          <w:sz w:val="21"/>
          <w:szCs w:val="21"/>
        </w:rPr>
        <w:lastRenderedPageBreak/>
        <w:t>型上可划分为信息系统集成服务、软件开发及技术服务、信息设备销售、信息系统运维服务、算力服务，具体如下：</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1.</w:t>
      </w:r>
      <w:r>
        <w:rPr>
          <w:rStyle w:val="a7"/>
          <w:rFonts w:ascii="Times New Roman" w:hAnsi="Times New Roman" w:cs="Times New Roman"/>
          <w:sz w:val="21"/>
          <w:szCs w:val="21"/>
        </w:rPr>
        <w:t>信息系统集成服务</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信息系统集成服务系公司的主要业务。公司提供的信息系统集成服务，以客户的应用需求为出发点，在合理规划的基础上，综合应用各种信息技术，通过软件系统定制、硬件平台搭建等，将各个分离的软硬件设备连接成为一个完整、可靠、经济有效的整体，使之能彼此协调工作，完成信息系统平台构建，满足客户使用需求。</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2.</w:t>
      </w:r>
      <w:r>
        <w:rPr>
          <w:rStyle w:val="a7"/>
          <w:rFonts w:ascii="Times New Roman" w:hAnsi="Times New Roman" w:cs="Times New Roman"/>
          <w:sz w:val="21"/>
          <w:szCs w:val="21"/>
        </w:rPr>
        <w:t>软件开发及技术服务</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软件开发及技术服务系公司的核心业务。公司依托深圳、汕头两地研发中心及子公司互联精英，聚焦于智慧城市领域，持续投入和创新，在政务、教育、医疗、轨道交通等领域开发了一系列产品和解决方案，同时可为客户特定需求提供定制化产品开发服务。</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3.</w:t>
      </w:r>
      <w:r>
        <w:rPr>
          <w:rStyle w:val="a7"/>
          <w:rFonts w:ascii="Times New Roman" w:hAnsi="Times New Roman" w:cs="Times New Roman"/>
          <w:sz w:val="21"/>
          <w:szCs w:val="21"/>
        </w:rPr>
        <w:t>信息系统运维服务</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信息系统运维服务系公司的传统业务，公司建立了专业服务团队和统一服务平台，打造形成专业信息系统运维服务模式，可为客户提供包括信息系统集成项目维保服务、驻点运维服务、企业客户</w:t>
      </w:r>
      <w:r>
        <w:rPr>
          <w:rFonts w:ascii="Times New Roman" w:hAnsi="Times New Roman" w:cs="Times New Roman"/>
          <w:sz w:val="21"/>
          <w:szCs w:val="21"/>
        </w:rPr>
        <w:t>IT</w:t>
      </w:r>
      <w:r>
        <w:rPr>
          <w:rFonts w:ascii="Times New Roman" w:hAnsi="Times New Roman" w:cs="Times New Roman"/>
          <w:sz w:val="21"/>
          <w:szCs w:val="21"/>
        </w:rPr>
        <w:t>运营运维服务等。</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4.</w:t>
      </w:r>
      <w:r>
        <w:rPr>
          <w:rStyle w:val="a7"/>
          <w:rFonts w:ascii="Times New Roman" w:hAnsi="Times New Roman" w:cs="Times New Roman"/>
          <w:sz w:val="21"/>
          <w:szCs w:val="21"/>
        </w:rPr>
        <w:t>信息设备销售</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信息设备销售业务主要系公司在提供信息技术服务的过程中，充分利用所积累的供应商资源为客户提供信息设备供货服务。</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5.</w:t>
      </w:r>
      <w:r>
        <w:rPr>
          <w:rStyle w:val="a7"/>
          <w:rFonts w:ascii="Times New Roman" w:hAnsi="Times New Roman" w:cs="Times New Roman"/>
          <w:sz w:val="21"/>
          <w:szCs w:val="21"/>
        </w:rPr>
        <w:t>算力服务</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算力服务主要系根据客户需求提供智能算力整体服务，服务内容涵盖提供算力设备进行组网调试，调度并提供算力资源，以及提供设备及线路维护、运行监控、故障处理、系统更新加固、现场驻点及巡检等后续维保服务。</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（四）主要产品及其用途</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凭借多年在信息技术领域积累的丰富经验，公司以核心技术和关键应用为基础，聚焦智慧政务、智慧教育及智慧医疗等智慧城市数字化建设领域，持续提升智慧城市解决方案服务能力，同时拓展轨道交通、数字能源等领域的研发、建设。公司在智慧城市各细分领域已形成系列典型解决方案，广泛服务于公检法、交通、教育、医疗卫生、铁路公司等政府部门、事业单位及企业客户。具体如下：</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1.</w:t>
      </w:r>
      <w:r>
        <w:rPr>
          <w:rStyle w:val="a7"/>
          <w:rFonts w:ascii="Times New Roman" w:hAnsi="Times New Roman" w:cs="Times New Roman"/>
          <w:sz w:val="21"/>
          <w:szCs w:val="21"/>
        </w:rPr>
        <w:t>基层社会治理网格化解决方案</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天亿马基层社会治理网格化平台，创新运用</w:t>
      </w:r>
      <w:r>
        <w:rPr>
          <w:rFonts w:ascii="Times New Roman" w:hAnsi="Times New Roman" w:cs="Times New Roman"/>
          <w:sz w:val="21"/>
          <w:szCs w:val="21"/>
        </w:rPr>
        <w:t>“</w:t>
      </w:r>
      <w:r>
        <w:rPr>
          <w:rFonts w:ascii="Times New Roman" w:hAnsi="Times New Roman" w:cs="Times New Roman"/>
          <w:sz w:val="21"/>
          <w:szCs w:val="21"/>
        </w:rPr>
        <w:t>五治融合</w:t>
      </w:r>
      <w:r>
        <w:rPr>
          <w:rFonts w:ascii="Times New Roman" w:hAnsi="Times New Roman" w:cs="Times New Roman"/>
          <w:sz w:val="21"/>
          <w:szCs w:val="21"/>
        </w:rPr>
        <w:t>”</w:t>
      </w:r>
      <w:r>
        <w:rPr>
          <w:rFonts w:ascii="Times New Roman" w:hAnsi="Times New Roman" w:cs="Times New Roman"/>
          <w:sz w:val="21"/>
          <w:szCs w:val="21"/>
        </w:rPr>
        <w:t>理念，把辖区划分成若干个管理网格，通过采集基础数据和地理空间信息，把人、地等基础数据纳入网格中进行管理，从而提升基层治理精细化、科学化水平。通过移动端公众应用，畅通民意渠道，及时反映社情民意，可及早预防和化解影响社会和谐稳定的因素，提升群众的幸福感和满意度。通过平台可快速响应和处置社会问题，规范社会治理流程，提高行政效能，强化干部队伍素质和作风建设。在湖南株洲市、广东汕头等地均已有项目落地实施。</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2.</w:t>
      </w:r>
      <w:r>
        <w:rPr>
          <w:rStyle w:val="a7"/>
          <w:rFonts w:ascii="Times New Roman" w:hAnsi="Times New Roman" w:cs="Times New Roman"/>
          <w:sz w:val="21"/>
          <w:szCs w:val="21"/>
        </w:rPr>
        <w:t>社会市域治理解决方案</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w:t>
      </w:r>
      <w:r>
        <w:rPr>
          <w:rFonts w:ascii="Times New Roman" w:hAnsi="Times New Roman" w:cs="Times New Roman"/>
          <w:sz w:val="21"/>
          <w:szCs w:val="21"/>
        </w:rPr>
        <w:t>市域社会治理解决方案</w:t>
      </w:r>
      <w:r>
        <w:rPr>
          <w:rFonts w:ascii="Times New Roman" w:hAnsi="Times New Roman" w:cs="Times New Roman"/>
          <w:sz w:val="21"/>
          <w:szCs w:val="21"/>
        </w:rPr>
        <w:t>”</w:t>
      </w:r>
      <w:r>
        <w:rPr>
          <w:rFonts w:ascii="Times New Roman" w:hAnsi="Times New Roman" w:cs="Times New Roman"/>
          <w:sz w:val="21"/>
          <w:szCs w:val="21"/>
        </w:rPr>
        <w:t>以设区市为主要治理载体，以治理理念现代化、治理体系现代化、治理能力现代化为重点内容，加快提升社会治理的社会化、法治化、智能化、专业化水平的发展过程。在市域范围内形成有效整合社会各方资源、动员社会各方力量参与的共建、共治、共享的社会治理格局；将大数据、云计算、人工智能等现代智慧技术融入治理全过程，打造出集约高效、精确精细的市域社会治理体系。社会市域治理解决方案在贵州铜仁、海南三亚等地均已有项目落地实施。</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3.</w:t>
      </w:r>
      <w:r>
        <w:rPr>
          <w:rStyle w:val="a7"/>
          <w:rFonts w:ascii="Times New Roman" w:hAnsi="Times New Roman" w:cs="Times New Roman"/>
          <w:sz w:val="21"/>
          <w:szCs w:val="21"/>
        </w:rPr>
        <w:t>数字乡村解决方案</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lastRenderedPageBreak/>
        <w:t>天亿马数字乡村解决方案积极响应国家政策要求，结合地域实际，以规划完善乡村机制体制为指引、以更好地服务乡村振兴工作为主旨、以乡</w:t>
      </w:r>
      <w:r>
        <w:rPr>
          <w:rFonts w:hint="eastAsia"/>
          <w:sz w:val="21"/>
          <w:szCs w:val="21"/>
        </w:rPr>
        <w:t>村“五大振兴”为</w:t>
      </w:r>
      <w:r>
        <w:rPr>
          <w:rFonts w:ascii="Times New Roman" w:hAnsi="Times New Roman" w:cs="Times New Roman"/>
          <w:sz w:val="21"/>
          <w:szCs w:val="21"/>
        </w:rPr>
        <w:t>结果导向，重视乡村产业建设、紧抓乡村治理、强化民生服务，坚持可持续、可复制、可扩展的建设原则，致力解决乡村信息孤岛、提高乡村种植科技、加快乡村产业融合、改善乡村人居环境、强化乡村治理效能，打造具有时代性、先进性、地域特色的综合性数字乡村应用集群。数字乡村解决方案适用乡村数据总览、乡村振兴要素信息管理、乡村治理等乡村基层治理中丰富场景，已实施山西省党建引领数字乡村平台、河北省涞源县数字乡村项目。</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4.</w:t>
      </w:r>
      <w:r>
        <w:rPr>
          <w:rStyle w:val="a7"/>
          <w:rFonts w:ascii="Times New Roman" w:hAnsi="Times New Roman" w:cs="Times New Roman"/>
          <w:sz w:val="21"/>
          <w:szCs w:val="21"/>
        </w:rPr>
        <w:t>智慧社区解决方案</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天亿马智慧社区解决方案将社区内的管理、治理、服务融为一体，以信息化的手段形成全新的智慧社区建设模式，实现多网融合、多元融合、多要素融合，为社区生活构建全方位、多元化、智能化的社区服务体系，适用于社区综合管理、居民服务零距</w:t>
      </w:r>
      <w:r w:rsidR="000C21FB">
        <w:rPr>
          <w:rFonts w:ascii="Times New Roman" w:hAnsi="Times New Roman" w:cs="Times New Roman"/>
          <w:sz w:val="21"/>
          <w:szCs w:val="21"/>
        </w:rPr>
        <w:t>离场景，已实施建成北京天宫院街道社区基层治理数据平台、吉林省松</w:t>
      </w:r>
      <w:r w:rsidR="000C21FB">
        <w:rPr>
          <w:rFonts w:ascii="Times New Roman" w:hAnsi="Times New Roman" w:cs="Times New Roman" w:hint="eastAsia"/>
          <w:sz w:val="21"/>
          <w:szCs w:val="21"/>
        </w:rPr>
        <w:t>原</w:t>
      </w:r>
      <w:r>
        <w:rPr>
          <w:rFonts w:ascii="Times New Roman" w:hAnsi="Times New Roman" w:cs="Times New Roman"/>
          <w:sz w:val="21"/>
          <w:szCs w:val="21"/>
        </w:rPr>
        <w:t>市乾安县智慧社区平台、河南省鹤壁市淇滨区智慧社区平台、惠州市某街道办社会综合治理网格化系统。</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5.</w:t>
      </w:r>
      <w:r>
        <w:rPr>
          <w:rStyle w:val="a7"/>
          <w:rFonts w:ascii="Times New Roman" w:hAnsi="Times New Roman" w:cs="Times New Roman"/>
          <w:sz w:val="21"/>
          <w:szCs w:val="21"/>
        </w:rPr>
        <w:t>政务服务一体化全场景解决方案</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天亿马政务服务全场景一体化解决方案，以办事前、办事中、办事后的逻辑主线，全场景分析企业和群众在政务服务中存在的办事堵点难点问题和需求，通过线上和线下全面的服务方式，一体化提升政务服务能力。解决方案坚持以人民为中心，聚焦解决企业和群众反映强烈的办事难点；坚持系统观念，推动政务服务与事前事中事后监管有机衔接；坚持公平可及，为老年人、残疾人等特殊群体提供高质量政务服务。已实施建成汕头市一体化政务服务能力提升项目、青岛市市南区自助查询申报服务终端系统。</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6.</w:t>
      </w:r>
      <w:r>
        <w:rPr>
          <w:rStyle w:val="a7"/>
          <w:rFonts w:ascii="Times New Roman" w:hAnsi="Times New Roman" w:cs="Times New Roman"/>
          <w:sz w:val="21"/>
          <w:szCs w:val="21"/>
        </w:rPr>
        <w:t>数据要素全链条一站式解决方案</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天亿马数据要素全链条一站式解决方案的核心是社会数据</w:t>
      </w:r>
      <w:r>
        <w:rPr>
          <w:rFonts w:ascii="Times New Roman" w:hAnsi="Times New Roman" w:cs="Times New Roman"/>
          <w:sz w:val="21"/>
          <w:szCs w:val="21"/>
        </w:rPr>
        <w:t>+</w:t>
      </w:r>
      <w:r>
        <w:rPr>
          <w:rFonts w:ascii="Times New Roman" w:hAnsi="Times New Roman" w:cs="Times New Roman"/>
          <w:sz w:val="21"/>
          <w:szCs w:val="21"/>
        </w:rPr>
        <w:t>公共数据的融合利用，推动政企的数据治理能力，提升精准治理能力。解决方案的内容包括：数据资源普查治理服务、本体数据治理系统、数据可视化系统、数据资源管理服务系统、数据确权登记及资产管理系统、数据资产入表一站式服务系统等内容。已实施</w:t>
      </w:r>
      <w:r>
        <w:rPr>
          <w:rFonts w:ascii="Times New Roman" w:hAnsi="Times New Roman" w:cs="Times New Roman"/>
          <w:sz w:val="21"/>
          <w:szCs w:val="21"/>
        </w:rPr>
        <w:t>“</w:t>
      </w:r>
      <w:r>
        <w:rPr>
          <w:rFonts w:ascii="Times New Roman" w:hAnsi="Times New Roman" w:cs="Times New Roman"/>
          <w:sz w:val="21"/>
          <w:szCs w:val="21"/>
        </w:rPr>
        <w:t>小镇大脑</w:t>
      </w:r>
      <w:r>
        <w:rPr>
          <w:rFonts w:ascii="Times New Roman" w:hAnsi="Times New Roman" w:cs="Times New Roman"/>
          <w:sz w:val="21"/>
          <w:szCs w:val="21"/>
        </w:rPr>
        <w:t>”</w:t>
      </w:r>
      <w:r>
        <w:rPr>
          <w:rFonts w:ascii="Times New Roman" w:hAnsi="Times New Roman" w:cs="Times New Roman"/>
          <w:sz w:val="21"/>
          <w:szCs w:val="21"/>
        </w:rPr>
        <w:t>产业监管平台及</w:t>
      </w:r>
      <w:r>
        <w:rPr>
          <w:rFonts w:ascii="Times New Roman" w:hAnsi="Times New Roman" w:cs="Times New Roman"/>
          <w:sz w:val="21"/>
          <w:szCs w:val="21"/>
        </w:rPr>
        <w:t>“</w:t>
      </w:r>
      <w:r>
        <w:rPr>
          <w:rFonts w:ascii="Times New Roman" w:hAnsi="Times New Roman" w:cs="Times New Roman"/>
          <w:sz w:val="21"/>
          <w:szCs w:val="21"/>
        </w:rPr>
        <w:t>养殖户经营健康指数</w:t>
      </w:r>
      <w:r>
        <w:rPr>
          <w:rFonts w:ascii="Times New Roman" w:hAnsi="Times New Roman" w:cs="Times New Roman"/>
          <w:sz w:val="21"/>
          <w:szCs w:val="21"/>
        </w:rPr>
        <w:t>”</w:t>
      </w:r>
      <w:r>
        <w:rPr>
          <w:rFonts w:ascii="Times New Roman" w:hAnsi="Times New Roman" w:cs="Times New Roman"/>
          <w:sz w:val="21"/>
          <w:szCs w:val="21"/>
        </w:rPr>
        <w:t>数据产品和某学院数据资源普查治理服务。</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7.</w:t>
      </w:r>
      <w:r>
        <w:rPr>
          <w:rStyle w:val="a7"/>
          <w:rFonts w:ascii="Times New Roman" w:hAnsi="Times New Roman" w:cs="Times New Roman"/>
          <w:sz w:val="21"/>
          <w:szCs w:val="21"/>
        </w:rPr>
        <w:t>轨道交通无人值守解决方案</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铁路牵引供电系统稳定、可靠运行是铁路发展的重要保障。落实技术创新、优化升级，促进科技成果转化，坚持降成本、补短板，开展铁路供变电所智慧化建设，实现科学诊断、准确决策、智能运维、故障隐患事前预警亦是大势所趋。天亿马在铁路供电领域聚焦牵引变电所运营现状及业务发展需求，推出轨道交通无人值守平台解决方案。</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轨道交通无人值守平台基于人工智能、物联网、大数据等技术，以数据全景化、调度协同化、作业自动化、决策智能化为基本要求，对供电设备巡检、视频监控、环境监测、安全防范、火灾报警、远程控制、</w:t>
      </w:r>
      <w:r>
        <w:rPr>
          <w:rFonts w:ascii="Times New Roman" w:hAnsi="Times New Roman" w:cs="Times New Roman"/>
          <w:sz w:val="21"/>
          <w:szCs w:val="21"/>
        </w:rPr>
        <w:t>SCADA</w:t>
      </w:r>
      <w:r>
        <w:rPr>
          <w:rFonts w:ascii="Times New Roman" w:hAnsi="Times New Roman" w:cs="Times New Roman"/>
          <w:sz w:val="21"/>
          <w:szCs w:val="21"/>
        </w:rPr>
        <w:t>联动等进行高度集成和一体化布局，为铁路牵引变电所集中监控和智能运维赋能，切实保障牵引供电安全与稳定，有效提升运维效率，并大大降低人员管理及设备维护成本。该方案已成功应用于平溪变电所智能辅助监控系统、杭黄高铁</w:t>
      </w:r>
      <w:r>
        <w:rPr>
          <w:rFonts w:ascii="Times New Roman" w:hAnsi="Times New Roman" w:cs="Times New Roman"/>
          <w:sz w:val="21"/>
          <w:szCs w:val="21"/>
        </w:rPr>
        <w:t>——</w:t>
      </w:r>
      <w:r>
        <w:rPr>
          <w:rFonts w:ascii="Times New Roman" w:hAnsi="Times New Roman" w:cs="Times New Roman"/>
          <w:sz w:val="21"/>
          <w:szCs w:val="21"/>
        </w:rPr>
        <w:t>富阳牵引变电所项目建设。</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8.</w:t>
      </w:r>
      <w:r>
        <w:rPr>
          <w:rStyle w:val="a7"/>
          <w:rFonts w:ascii="Times New Roman" w:hAnsi="Times New Roman" w:cs="Times New Roman"/>
          <w:sz w:val="21"/>
          <w:szCs w:val="21"/>
        </w:rPr>
        <w:t>轨道交通资产管理解决方案</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天亿马轨道交通资产管理解决方案，依据国内外数据治理规范体系，基于自有的多源异构数据融合技术，运用数据治理，结合物联网、大数据、人工智能，从理顺各级组织权责开始，建立相应制度、标准、工具，融合多维度数据，涵盖监控、度量、发现问题、处理问题，完善优化的全流程，端到端的形成</w:t>
      </w:r>
      <w:r>
        <w:rPr>
          <w:rFonts w:ascii="Times New Roman" w:hAnsi="Times New Roman" w:cs="Times New Roman"/>
          <w:sz w:val="21"/>
          <w:szCs w:val="21"/>
        </w:rPr>
        <w:t>PDCA</w:t>
      </w:r>
      <w:r>
        <w:rPr>
          <w:rFonts w:ascii="Times New Roman" w:hAnsi="Times New Roman" w:cs="Times New Roman"/>
          <w:sz w:val="21"/>
          <w:szCs w:val="21"/>
        </w:rPr>
        <w:t>持续改进闭环，方便管理者高效地进行运营管理决策，发挥资产最大效益，降低管理成本，为运营管理工作</w:t>
      </w:r>
      <w:r>
        <w:rPr>
          <w:rFonts w:ascii="Times New Roman" w:hAnsi="Times New Roman" w:cs="Times New Roman"/>
          <w:sz w:val="21"/>
          <w:szCs w:val="21"/>
        </w:rPr>
        <w:t>“</w:t>
      </w:r>
      <w:r>
        <w:rPr>
          <w:rFonts w:ascii="Times New Roman" w:hAnsi="Times New Roman" w:cs="Times New Roman"/>
          <w:sz w:val="21"/>
          <w:szCs w:val="21"/>
        </w:rPr>
        <w:t>破局突围</w:t>
      </w:r>
      <w:r>
        <w:rPr>
          <w:rFonts w:ascii="Times New Roman" w:hAnsi="Times New Roman" w:cs="Times New Roman"/>
          <w:sz w:val="21"/>
          <w:szCs w:val="21"/>
        </w:rPr>
        <w:t>”</w:t>
      </w:r>
      <w:r>
        <w:rPr>
          <w:rFonts w:ascii="Times New Roman" w:hAnsi="Times New Roman" w:cs="Times New Roman"/>
          <w:sz w:val="21"/>
          <w:szCs w:val="21"/>
        </w:rPr>
        <w:t>提供核心驱动力。该方案已成功应用于上海申通地铁资产巡视管理系统项目。</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（五）经营模式</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1.</w:t>
      </w:r>
      <w:r>
        <w:rPr>
          <w:rStyle w:val="a7"/>
          <w:rFonts w:ascii="Times New Roman" w:hAnsi="Times New Roman" w:cs="Times New Roman"/>
          <w:sz w:val="21"/>
          <w:szCs w:val="21"/>
        </w:rPr>
        <w:t>销售模式</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公司主要采用直销业务模式，直接承接业主方项目，深度理解、快速响应客户的定制化服务需求，提供项目总体规划、方案设计、软件研发、项目实施及运维服务一体化的信息系统解决方案。同时，</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lastRenderedPageBreak/>
        <w:t>为拓展市场空间、发挥公司自有产品和专业技术服务优势，公司部分业务系作为产品或服务供应商参与到其他系统集成商承接的项目，共同为业主方的信息化建设服务。</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公司通过建设由政企事业部、产品事业部及各地分、子公司组成的营销服务体系，建立规范化的客户管理制度，及时响应客户需求，提升服务的效率和质量。</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2.</w:t>
      </w:r>
      <w:r>
        <w:rPr>
          <w:rStyle w:val="a7"/>
          <w:rFonts w:ascii="Times New Roman" w:hAnsi="Times New Roman" w:cs="Times New Roman"/>
          <w:sz w:val="21"/>
          <w:szCs w:val="21"/>
        </w:rPr>
        <w:t>采购模式</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公司采购主要采用</w:t>
      </w:r>
      <w:r>
        <w:rPr>
          <w:rFonts w:ascii="Times New Roman" w:hAnsi="Times New Roman" w:cs="Times New Roman"/>
          <w:sz w:val="21"/>
          <w:szCs w:val="21"/>
        </w:rPr>
        <w:t>“</w:t>
      </w:r>
      <w:r>
        <w:rPr>
          <w:rFonts w:ascii="Times New Roman" w:hAnsi="Times New Roman" w:cs="Times New Roman"/>
          <w:sz w:val="21"/>
          <w:szCs w:val="21"/>
        </w:rPr>
        <w:t>以销定采</w:t>
      </w:r>
      <w:r>
        <w:rPr>
          <w:rFonts w:ascii="Times New Roman" w:hAnsi="Times New Roman" w:cs="Times New Roman"/>
          <w:sz w:val="21"/>
          <w:szCs w:val="21"/>
        </w:rPr>
        <w:t>”“</w:t>
      </w:r>
      <w:r>
        <w:rPr>
          <w:rFonts w:ascii="Times New Roman" w:hAnsi="Times New Roman" w:cs="Times New Roman"/>
          <w:sz w:val="21"/>
          <w:szCs w:val="21"/>
        </w:rPr>
        <w:t>按需采购</w:t>
      </w:r>
      <w:r>
        <w:rPr>
          <w:rFonts w:ascii="Times New Roman" w:hAnsi="Times New Roman" w:cs="Times New Roman"/>
          <w:sz w:val="21"/>
          <w:szCs w:val="21"/>
        </w:rPr>
        <w:t>”</w:t>
      </w:r>
      <w:r>
        <w:rPr>
          <w:rFonts w:ascii="Times New Roman" w:hAnsi="Times New Roman" w:cs="Times New Roman"/>
          <w:sz w:val="21"/>
          <w:szCs w:val="21"/>
        </w:rPr>
        <w:t>的模式，即根据项目实施的实际需求提出采购申请，采购部集中采购相应产品或服务。</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公司建立了《供应商管理流程》以规范供应商筛选、引进和考核管理，提高供应质量。</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3.</w:t>
      </w:r>
      <w:r>
        <w:rPr>
          <w:rStyle w:val="a7"/>
          <w:rFonts w:ascii="Times New Roman" w:hAnsi="Times New Roman" w:cs="Times New Roman"/>
          <w:sz w:val="21"/>
          <w:szCs w:val="21"/>
        </w:rPr>
        <w:t>项目实施模式</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公司主要采用</w:t>
      </w:r>
      <w:r>
        <w:rPr>
          <w:rFonts w:hint="eastAsia"/>
          <w:sz w:val="21"/>
          <w:szCs w:val="21"/>
        </w:rPr>
        <w:t>“以销定产”模</w:t>
      </w:r>
      <w:r>
        <w:rPr>
          <w:rFonts w:ascii="Times New Roman" w:hAnsi="Times New Roman" w:cs="Times New Roman"/>
          <w:sz w:val="21"/>
          <w:szCs w:val="21"/>
        </w:rPr>
        <w:t>式，根据项目合同要求组织合同实施，提供相应的产品和服务。</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4.</w:t>
      </w:r>
      <w:r>
        <w:rPr>
          <w:rStyle w:val="a7"/>
          <w:rFonts w:ascii="Times New Roman" w:hAnsi="Times New Roman" w:cs="Times New Roman"/>
          <w:sz w:val="21"/>
          <w:szCs w:val="21"/>
        </w:rPr>
        <w:t>研发模式</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公司研发采用以自主研发为主的模式，同时为了提高研发的效率和效果，部分研发任务委托具有相应研发能力的专业单位进行研发公司设立研发中心，组建专业的研发团队，形成每一个新产品立项、需求可行性分析、制订项目任务书和技术开发计划、组织系统设计、安排原型设计与编码、进行产品测试、试运行、培训、编制操作手册、准备验收资料、组织验收交付、发布产品和申请著作权等全过程管理模式。</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5.</w:t>
      </w:r>
      <w:r>
        <w:rPr>
          <w:rStyle w:val="a7"/>
          <w:rFonts w:ascii="Times New Roman" w:hAnsi="Times New Roman" w:cs="Times New Roman"/>
          <w:sz w:val="21"/>
          <w:szCs w:val="21"/>
        </w:rPr>
        <w:t>收费模式</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公司项目通常采用依照项目的合同签订、初验、终验、质保期满等关键节点收取不同比例合同金额的收费模式。依照项目不同施工节点支付进度款是行业主流习惯，少数项目因为政府财政资金安排等原因也会采用分期付款的方式，公司收费模式与当前市场行情一致。</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6.</w:t>
      </w:r>
      <w:r>
        <w:rPr>
          <w:rStyle w:val="a7"/>
          <w:rFonts w:ascii="Times New Roman" w:hAnsi="Times New Roman" w:cs="Times New Roman"/>
          <w:sz w:val="21"/>
          <w:szCs w:val="21"/>
        </w:rPr>
        <w:t>盈利模式</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公司专注为政务、教育、医疗、轨道交通等领域客户的信息化建设提供解决方案、软硬件产品和专业服务，以招投标方式或商务洽谈方式获取客户项目合同或产品销售合同，履行合同约定，按合同向客户收取相关产品或服务的费用，实现收入与利润。</w:t>
      </w:r>
    </w:p>
    <w:p w:rsidR="00CE3C32" w:rsidRDefault="006413B8">
      <w:pPr>
        <w:pStyle w:val="a6"/>
        <w:adjustRightInd w:val="0"/>
        <w:snapToGrid w:val="0"/>
        <w:spacing w:beforeLines="50" w:before="156" w:beforeAutospacing="0" w:afterLines="50" w:after="156" w:afterAutospacing="0"/>
        <w:ind w:firstLineChars="200" w:firstLine="420"/>
        <w:rPr>
          <w:rFonts w:ascii="Times New Roman" w:hAnsi="Times New Roman" w:cs="Times New Roman"/>
        </w:rPr>
      </w:pPr>
      <w:r>
        <w:rPr>
          <w:rFonts w:ascii="Times New Roman" w:hAnsi="Times New Roman" w:cs="Times New Roman"/>
          <w:sz w:val="21"/>
          <w:szCs w:val="21"/>
        </w:rPr>
        <w:t>公司需遵守《深圳证券交易所上市公司自律监管指引第</w:t>
      </w:r>
      <w:r>
        <w:rPr>
          <w:rFonts w:ascii="Times New Roman" w:hAnsi="Times New Roman" w:cs="Times New Roman"/>
          <w:sz w:val="21"/>
          <w:szCs w:val="21"/>
        </w:rPr>
        <w:t>3</w:t>
      </w:r>
      <w:r>
        <w:rPr>
          <w:rFonts w:ascii="Times New Roman" w:hAnsi="Times New Roman" w:cs="Times New Roman"/>
          <w:sz w:val="21"/>
          <w:szCs w:val="21"/>
        </w:rPr>
        <w:t>号</w:t>
      </w:r>
      <w:r>
        <w:rPr>
          <w:rFonts w:ascii="Times New Roman" w:hAnsi="Times New Roman" w:cs="Times New Roman"/>
          <w:sz w:val="21"/>
          <w:szCs w:val="21"/>
        </w:rPr>
        <w:t>——</w:t>
      </w:r>
      <w:r>
        <w:rPr>
          <w:rFonts w:ascii="Times New Roman" w:hAnsi="Times New Roman" w:cs="Times New Roman"/>
          <w:sz w:val="21"/>
          <w:szCs w:val="21"/>
        </w:rPr>
        <w:t>行业信息披露》中的</w:t>
      </w:r>
      <w:r>
        <w:rPr>
          <w:rFonts w:ascii="Times New Roman" w:hAnsi="Times New Roman" w:cs="Times New Roman"/>
          <w:sz w:val="21"/>
          <w:szCs w:val="21"/>
        </w:rPr>
        <w:t>“</w:t>
      </w:r>
      <w:r>
        <w:rPr>
          <w:rFonts w:ascii="Times New Roman" w:hAnsi="Times New Roman" w:cs="Times New Roman"/>
          <w:sz w:val="21"/>
          <w:szCs w:val="21"/>
        </w:rPr>
        <w:t>软件与信息技术服务业</w:t>
      </w:r>
      <w:r>
        <w:rPr>
          <w:rFonts w:ascii="Times New Roman" w:hAnsi="Times New Roman" w:cs="Times New Roman"/>
          <w:sz w:val="21"/>
          <w:szCs w:val="21"/>
        </w:rPr>
        <w:t>”</w:t>
      </w:r>
      <w:r>
        <w:rPr>
          <w:rFonts w:ascii="Times New Roman" w:hAnsi="Times New Roman" w:cs="Times New Roman"/>
          <w:sz w:val="21"/>
          <w:szCs w:val="21"/>
        </w:rPr>
        <w:t>的披露要求</w:t>
      </w:r>
    </w:p>
    <w:p w:rsidR="00CE3C32" w:rsidRDefault="006413B8" w:rsidP="000C21FB">
      <w:pPr>
        <w:pStyle w:val="a6"/>
        <w:adjustRightInd w:val="0"/>
        <w:snapToGrid w:val="0"/>
        <w:spacing w:beforeLines="50" w:before="156" w:beforeAutospacing="0" w:afterLines="50" w:after="156" w:afterAutospacing="0"/>
        <w:ind w:firstLineChars="200" w:firstLine="422"/>
        <w:jc w:val="both"/>
        <w:rPr>
          <w:rFonts w:ascii="Times New Roman" w:hAnsi="Times New Roman" w:cs="Times New Roman"/>
        </w:rPr>
      </w:pPr>
      <w:r>
        <w:rPr>
          <w:rStyle w:val="a7"/>
          <w:rFonts w:ascii="Times New Roman" w:hAnsi="Times New Roman" w:cs="Times New Roman"/>
          <w:sz w:val="21"/>
          <w:szCs w:val="21"/>
        </w:rPr>
        <w:t>（六）公司产品或服务的市场地位</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根据工信部发布的《</w:t>
      </w:r>
      <w:r>
        <w:rPr>
          <w:rFonts w:ascii="Times New Roman" w:hAnsi="Times New Roman" w:cs="Times New Roman"/>
          <w:sz w:val="21"/>
          <w:szCs w:val="21"/>
        </w:rPr>
        <w:t>2025</w:t>
      </w:r>
      <w:r>
        <w:rPr>
          <w:rFonts w:ascii="Times New Roman" w:hAnsi="Times New Roman" w:cs="Times New Roman"/>
          <w:sz w:val="21"/>
          <w:szCs w:val="21"/>
        </w:rPr>
        <w:t>年上半年软件业经济运行情况》，全国软件和信息技术服务业上半年运作态势良好，收入稳健扩张，质量效益同步提升，累计完成软件业务收入</w:t>
      </w:r>
      <w:r>
        <w:rPr>
          <w:rFonts w:ascii="Times New Roman" w:hAnsi="Times New Roman" w:cs="Times New Roman"/>
          <w:sz w:val="21"/>
          <w:szCs w:val="21"/>
        </w:rPr>
        <w:t>70,585</w:t>
      </w:r>
      <w:r>
        <w:rPr>
          <w:rFonts w:ascii="Times New Roman" w:hAnsi="Times New Roman" w:cs="Times New Roman"/>
          <w:sz w:val="21"/>
          <w:szCs w:val="21"/>
        </w:rPr>
        <w:t>亿元，同比增长</w:t>
      </w:r>
      <w:r>
        <w:rPr>
          <w:rFonts w:ascii="Times New Roman" w:hAnsi="Times New Roman" w:cs="Times New Roman"/>
          <w:sz w:val="21"/>
          <w:szCs w:val="21"/>
        </w:rPr>
        <w:t>11.9%</w:t>
      </w:r>
      <w:r>
        <w:rPr>
          <w:rFonts w:ascii="Times New Roman" w:hAnsi="Times New Roman" w:cs="Times New Roman"/>
          <w:sz w:val="21"/>
          <w:szCs w:val="21"/>
        </w:rPr>
        <w:t>，利润总额达到</w:t>
      </w:r>
      <w:r>
        <w:rPr>
          <w:rFonts w:ascii="Times New Roman" w:hAnsi="Times New Roman" w:cs="Times New Roman"/>
          <w:sz w:val="21"/>
          <w:szCs w:val="21"/>
        </w:rPr>
        <w:t>8,581</w:t>
      </w:r>
      <w:r>
        <w:rPr>
          <w:rFonts w:ascii="Times New Roman" w:hAnsi="Times New Roman" w:cs="Times New Roman"/>
          <w:sz w:val="21"/>
          <w:szCs w:val="21"/>
        </w:rPr>
        <w:t>亿元，同比增长</w:t>
      </w:r>
      <w:r>
        <w:rPr>
          <w:rFonts w:ascii="Times New Roman" w:hAnsi="Times New Roman" w:cs="Times New Roman"/>
          <w:sz w:val="21"/>
          <w:szCs w:val="21"/>
        </w:rPr>
        <w:t>12.0%</w:t>
      </w:r>
      <w:r>
        <w:rPr>
          <w:rFonts w:ascii="Times New Roman" w:hAnsi="Times New Roman" w:cs="Times New Roman"/>
          <w:sz w:val="21"/>
          <w:szCs w:val="21"/>
        </w:rPr>
        <w:t>。</w:t>
      </w:r>
    </w:p>
    <w:p w:rsidR="00CE3C32" w:rsidRDefault="006413B8">
      <w:pPr>
        <w:pStyle w:val="a6"/>
        <w:adjustRightInd w:val="0"/>
        <w:snapToGrid w:val="0"/>
        <w:spacing w:beforeLines="50" w:before="156" w:beforeAutospacing="0" w:afterLines="50" w:after="156" w:afterAutospacing="0"/>
        <w:ind w:firstLineChars="200" w:firstLine="420"/>
        <w:jc w:val="both"/>
        <w:rPr>
          <w:rFonts w:ascii="Times New Roman" w:hAnsi="Times New Roman" w:cs="Times New Roman"/>
        </w:rPr>
      </w:pPr>
      <w:r>
        <w:rPr>
          <w:rFonts w:ascii="Times New Roman" w:hAnsi="Times New Roman" w:cs="Times New Roman"/>
          <w:sz w:val="21"/>
          <w:szCs w:val="21"/>
        </w:rPr>
        <w:t>当前我国信息技术服务行业企业数量较多，市场集中度不高，竞争较为激烈。行业内企业多以面向某一种类或某个特定领域的客户提供解决方案，大型综合类企业较少。公司深耕信息技术领域二十多年，一直致力于融合物联网、大数据、云计算、人工智能等新一代信息技术，形成了产品研发、信息技术解决方案和信息系统运维服务三大核心业务板块，掌握了数字孪生构建与应用、政务大模型技术与应用、政务大数据分析与挖掘、图像超分与识别、跨平台高性能音视频通讯、统一数据集成、智能人机交互、智能报表、可视化工作流、低代码应用开发十大核心技术能力，持续创新并落地了基层社会治理网格化、市域社会治理、数字乡村、智慧社区、政务服务全场景一体化、数据要素全链条一站式、轨道交通无人值守、轨道交通资产巡视八大核心解决方案。目前公司自有产品已在国内</w:t>
      </w:r>
      <w:r>
        <w:rPr>
          <w:rFonts w:ascii="Times New Roman" w:hAnsi="Times New Roman" w:cs="Times New Roman"/>
          <w:sz w:val="21"/>
          <w:szCs w:val="21"/>
        </w:rPr>
        <w:t>20</w:t>
      </w:r>
      <w:r>
        <w:rPr>
          <w:rFonts w:ascii="Times New Roman" w:hAnsi="Times New Roman" w:cs="Times New Roman"/>
          <w:sz w:val="21"/>
          <w:szCs w:val="21"/>
        </w:rPr>
        <w:t>多个省份成功落地超过</w:t>
      </w:r>
      <w:r>
        <w:rPr>
          <w:rFonts w:ascii="Times New Roman" w:hAnsi="Times New Roman" w:cs="Times New Roman"/>
          <w:sz w:val="21"/>
          <w:szCs w:val="21"/>
        </w:rPr>
        <w:t>1,000</w:t>
      </w:r>
      <w:r>
        <w:rPr>
          <w:rFonts w:ascii="Times New Roman" w:hAnsi="Times New Roman" w:cs="Times New Roman"/>
          <w:sz w:val="21"/>
          <w:szCs w:val="21"/>
        </w:rPr>
        <w:t>个案例，服务于各级党政部门、企事业单位，得到了广大客户的充分肯定和一致好评，在基层社会治理细分领域处于国内领先地位，在全国有一定的市场竞争力。</w:t>
      </w:r>
      <w:r w:rsidR="00AE2278">
        <w:rPr>
          <w:rFonts w:ascii="Times New Roman" w:hAnsi="Times New Roman" w:cs="Times New Roman"/>
          <w:sz w:val="21"/>
          <w:szCs w:val="21"/>
        </w:rPr>
        <w:t>公司投资建设的位于深圳的算力集群服务项目，项目总算力规模达</w:t>
      </w:r>
      <w:r w:rsidR="00AE2278">
        <w:rPr>
          <w:rFonts w:ascii="Times New Roman" w:hAnsi="Times New Roman" w:cs="Times New Roman"/>
          <w:sz w:val="21"/>
          <w:szCs w:val="21"/>
        </w:rPr>
        <w:t>1000P@FP16</w:t>
      </w:r>
      <w:r w:rsidR="00AE2278">
        <w:rPr>
          <w:rFonts w:ascii="Times New Roman" w:hAnsi="Times New Roman" w:cs="Times New Roman"/>
          <w:sz w:val="21"/>
          <w:szCs w:val="21"/>
        </w:rPr>
        <w:t>，为首个落地深圳的国内头部大模型算力底座</w:t>
      </w:r>
      <w:r w:rsidR="00AE2278">
        <w:rPr>
          <w:rFonts w:ascii="Times New Roman" w:hAnsi="Times New Roman" w:cs="Times New Roman" w:hint="eastAsia"/>
          <w:sz w:val="21"/>
          <w:szCs w:val="21"/>
        </w:rPr>
        <w:t>。</w:t>
      </w:r>
      <w:bookmarkStart w:id="15" w:name="_GoBack"/>
      <w:bookmarkEnd w:id="15"/>
    </w:p>
    <w:p w:rsidR="00CE3C32" w:rsidRDefault="006413B8">
      <w:pPr>
        <w:pStyle w:val="2"/>
        <w:spacing w:before="300" w:after="300" w:line="320" w:lineRule="exact"/>
        <w:rPr>
          <w:rFonts w:ascii="Times New Roman" w:eastAsia="宋体" w:hAnsi="Times New Roman" w:cs="Times New Roman"/>
          <w:b/>
          <w:bCs/>
          <w:sz w:val="24"/>
          <w:szCs w:val="24"/>
        </w:rPr>
      </w:pPr>
      <w:bookmarkStart w:id="16" w:name="_Toc988904"/>
      <w:r>
        <w:rPr>
          <w:rFonts w:ascii="Times New Roman" w:eastAsia="宋体" w:hAnsi="Times New Roman" w:cs="Times New Roman"/>
          <w:b/>
          <w:bCs/>
          <w:sz w:val="24"/>
          <w:szCs w:val="24"/>
        </w:rPr>
        <w:lastRenderedPageBreak/>
        <w:t>二、核心竞争力分析</w:t>
      </w:r>
      <w:bookmarkEnd w:id="16"/>
    </w:p>
    <w:p w:rsidR="00CE3C32" w:rsidRDefault="006413B8">
      <w:pPr>
        <w:pStyle w:val="a6"/>
        <w:spacing w:beforeLines="50" w:before="156" w:beforeAutospacing="0" w:afterLines="50" w:after="156" w:afterAutospacing="0"/>
        <w:ind w:firstLine="482"/>
        <w:jc w:val="both"/>
        <w:rPr>
          <w:rFonts w:ascii="Times New Roman" w:hAnsi="Times New Roman" w:cs="Times New Roman"/>
        </w:rPr>
      </w:pPr>
      <w:r>
        <w:rPr>
          <w:rStyle w:val="a7"/>
          <w:rFonts w:ascii="Times New Roman" w:hAnsi="Times New Roman" w:cs="Times New Roman"/>
          <w:sz w:val="21"/>
          <w:szCs w:val="21"/>
        </w:rPr>
        <w:t>（一）研发创新优势</w:t>
      </w:r>
    </w:p>
    <w:p w:rsidR="00CE3C32" w:rsidRDefault="006413B8">
      <w:pPr>
        <w:pStyle w:val="a6"/>
        <w:spacing w:beforeLines="50" w:before="156" w:beforeAutospacing="0" w:afterLines="50" w:after="156" w:afterAutospacing="0"/>
        <w:ind w:firstLine="480"/>
        <w:jc w:val="both"/>
        <w:rPr>
          <w:rFonts w:ascii="Times New Roman" w:hAnsi="Times New Roman" w:cs="Times New Roman"/>
        </w:rPr>
      </w:pPr>
      <w:r>
        <w:rPr>
          <w:rFonts w:ascii="Times New Roman" w:hAnsi="Times New Roman" w:cs="Times New Roman"/>
          <w:sz w:val="21"/>
          <w:szCs w:val="21"/>
        </w:rPr>
        <w:t>公司始终秉承</w:t>
      </w:r>
      <w:r>
        <w:rPr>
          <w:rFonts w:hint="eastAsia"/>
          <w:sz w:val="21"/>
          <w:szCs w:val="21"/>
        </w:rPr>
        <w:t>“技术缔造价值”的</w:t>
      </w:r>
      <w:r>
        <w:rPr>
          <w:rFonts w:ascii="Times New Roman" w:hAnsi="Times New Roman" w:cs="Times New Roman"/>
          <w:sz w:val="21"/>
          <w:szCs w:val="21"/>
        </w:rPr>
        <w:t>核心理念，坚持以研发创新作为驱动公司业务持续发展的核心动力。公司及子公司互联精英被认定为国家高新技术企业，已建立由汕头研发中心、深圳研发中心和子公司互联精英组成的研发体系，充分利用深圳、汕头两地的研发创新人才和资源，培养形成了一支创新能力强的研发和技术服务团队。</w:t>
      </w:r>
    </w:p>
    <w:p w:rsidR="00CE3C32" w:rsidRDefault="006413B8">
      <w:pPr>
        <w:pStyle w:val="a6"/>
        <w:spacing w:beforeLines="50" w:before="156" w:beforeAutospacing="0" w:afterLines="50" w:after="156" w:afterAutospacing="0"/>
        <w:ind w:firstLine="480"/>
        <w:jc w:val="both"/>
        <w:rPr>
          <w:rFonts w:ascii="Times New Roman" w:hAnsi="Times New Roman" w:cs="Times New Roman"/>
        </w:rPr>
      </w:pPr>
      <w:r>
        <w:rPr>
          <w:rFonts w:ascii="Times New Roman" w:hAnsi="Times New Roman" w:cs="Times New Roman"/>
          <w:sz w:val="21"/>
          <w:szCs w:val="21"/>
        </w:rPr>
        <w:t>公司建设有广东省科学技术厅、广东省发展和改革委员会、广东省经济和信息化委员会评定的</w:t>
      </w:r>
      <w:r>
        <w:rPr>
          <w:rFonts w:hint="eastAsia"/>
          <w:sz w:val="21"/>
          <w:szCs w:val="21"/>
        </w:rPr>
        <w:t>“</w:t>
      </w:r>
      <w:r>
        <w:rPr>
          <w:rFonts w:ascii="Times New Roman" w:hAnsi="Times New Roman" w:cs="Times New Roman"/>
          <w:sz w:val="21"/>
          <w:szCs w:val="21"/>
        </w:rPr>
        <w:t>广东省工程技术研究开发中心</w:t>
      </w:r>
      <w:r>
        <w:rPr>
          <w:rFonts w:hint="eastAsia"/>
          <w:sz w:val="21"/>
          <w:szCs w:val="21"/>
        </w:rPr>
        <w:t>”</w:t>
      </w:r>
      <w:r>
        <w:rPr>
          <w:rFonts w:ascii="Times New Roman" w:hAnsi="Times New Roman" w:cs="Times New Roman"/>
          <w:sz w:val="21"/>
          <w:szCs w:val="21"/>
        </w:rPr>
        <w:t>。截至</w:t>
      </w:r>
      <w:r>
        <w:rPr>
          <w:rFonts w:ascii="Times New Roman" w:hAnsi="Times New Roman" w:cs="Times New Roman"/>
          <w:sz w:val="21"/>
          <w:szCs w:val="21"/>
        </w:rPr>
        <w:t>2025</w:t>
      </w:r>
      <w:r>
        <w:rPr>
          <w:rFonts w:ascii="Times New Roman" w:hAnsi="Times New Roman" w:cs="Times New Roman"/>
          <w:sz w:val="21"/>
          <w:szCs w:val="21"/>
        </w:rPr>
        <w:t>年</w:t>
      </w:r>
      <w:r>
        <w:rPr>
          <w:rFonts w:ascii="Times New Roman" w:hAnsi="Times New Roman" w:cs="Times New Roman"/>
          <w:sz w:val="21"/>
          <w:szCs w:val="21"/>
        </w:rPr>
        <w:t>6</w:t>
      </w:r>
      <w:r>
        <w:rPr>
          <w:rFonts w:ascii="Times New Roman" w:hAnsi="Times New Roman" w:cs="Times New Roman"/>
          <w:sz w:val="21"/>
          <w:szCs w:val="21"/>
        </w:rPr>
        <w:t>月</w:t>
      </w:r>
      <w:r>
        <w:rPr>
          <w:rFonts w:ascii="Times New Roman" w:hAnsi="Times New Roman" w:cs="Times New Roman"/>
          <w:sz w:val="21"/>
          <w:szCs w:val="21"/>
        </w:rPr>
        <w:t>30</w:t>
      </w:r>
      <w:r>
        <w:rPr>
          <w:rFonts w:ascii="Times New Roman" w:hAnsi="Times New Roman" w:cs="Times New Roman"/>
          <w:sz w:val="21"/>
          <w:szCs w:val="21"/>
        </w:rPr>
        <w:t>日，公司拥有</w:t>
      </w:r>
      <w:r>
        <w:rPr>
          <w:rFonts w:ascii="Times New Roman" w:hAnsi="Times New Roman" w:cs="Times New Roman"/>
          <w:sz w:val="21"/>
          <w:szCs w:val="21"/>
        </w:rPr>
        <w:t>383</w:t>
      </w:r>
      <w:r>
        <w:rPr>
          <w:rFonts w:ascii="Times New Roman" w:hAnsi="Times New Roman" w:cs="Times New Roman"/>
          <w:sz w:val="21"/>
          <w:szCs w:val="21"/>
        </w:rPr>
        <w:t>项计算机软件著作权，取得</w:t>
      </w:r>
      <w:r>
        <w:rPr>
          <w:rFonts w:ascii="Times New Roman" w:hAnsi="Times New Roman" w:cs="Times New Roman"/>
          <w:sz w:val="21"/>
          <w:szCs w:val="21"/>
        </w:rPr>
        <w:t>9</w:t>
      </w:r>
      <w:r>
        <w:rPr>
          <w:rFonts w:ascii="Times New Roman" w:hAnsi="Times New Roman" w:cs="Times New Roman"/>
          <w:sz w:val="21"/>
          <w:szCs w:val="21"/>
        </w:rPr>
        <w:t>项专利。</w:t>
      </w:r>
    </w:p>
    <w:p w:rsidR="00CE3C32" w:rsidRDefault="006413B8">
      <w:pPr>
        <w:pStyle w:val="a6"/>
        <w:spacing w:beforeLines="50" w:before="156" w:beforeAutospacing="0" w:afterLines="50" w:after="156" w:afterAutospacing="0"/>
        <w:ind w:firstLine="482"/>
        <w:jc w:val="both"/>
        <w:rPr>
          <w:rFonts w:ascii="Times New Roman" w:hAnsi="Times New Roman" w:cs="Times New Roman"/>
        </w:rPr>
      </w:pPr>
      <w:r>
        <w:rPr>
          <w:rStyle w:val="a7"/>
          <w:rFonts w:ascii="Times New Roman" w:hAnsi="Times New Roman" w:cs="Times New Roman"/>
          <w:sz w:val="21"/>
          <w:szCs w:val="21"/>
        </w:rPr>
        <w:t>（二）核心技术能力</w:t>
      </w:r>
    </w:p>
    <w:p w:rsidR="00CE3C32" w:rsidRDefault="006413B8">
      <w:pPr>
        <w:pStyle w:val="a6"/>
        <w:spacing w:beforeLines="50" w:before="156" w:beforeAutospacing="0" w:afterLines="50" w:after="156" w:afterAutospacing="0"/>
        <w:ind w:firstLine="480"/>
        <w:jc w:val="both"/>
        <w:rPr>
          <w:rFonts w:ascii="Times New Roman" w:hAnsi="Times New Roman" w:cs="Times New Roman"/>
        </w:rPr>
      </w:pPr>
      <w:r>
        <w:rPr>
          <w:rFonts w:ascii="Times New Roman" w:hAnsi="Times New Roman" w:cs="Times New Roman"/>
          <w:sz w:val="21"/>
          <w:szCs w:val="21"/>
        </w:rPr>
        <w:t>公司及时跟进并应用物联网、云计算、</w:t>
      </w:r>
      <w:r>
        <w:rPr>
          <w:rFonts w:ascii="Times New Roman" w:hAnsi="Times New Roman" w:cs="Times New Roman"/>
          <w:sz w:val="21"/>
          <w:szCs w:val="21"/>
        </w:rPr>
        <w:t>GIS</w:t>
      </w:r>
      <w:r>
        <w:rPr>
          <w:rFonts w:ascii="Times New Roman" w:hAnsi="Times New Roman" w:cs="Times New Roman"/>
          <w:sz w:val="21"/>
          <w:szCs w:val="21"/>
        </w:rPr>
        <w:t>、人工智能交互等最新关键技术，掌握了数字孪生构建与应用、政务大模型技术与应用、政务大数据分析与挖掘、图像超分与识别、跨平台高性能音视频通讯、统一数据集成、智能人机交互、智能报表、可视化工作流、低代码应用开发十大核心技术能力，持续创新并落地了基层社会治理网格化、市域社会治理、数字乡村、智慧社区、政务服务全场景一体化、数据要素全链条一站式、轨道交通无人值守、轨道交通资产巡视八大核心解决方案，打造天亿马智慧城市生态圈。</w:t>
      </w:r>
    </w:p>
    <w:p w:rsidR="00CE3C32" w:rsidRDefault="006413B8">
      <w:pPr>
        <w:pStyle w:val="a6"/>
        <w:spacing w:beforeLines="50" w:before="156" w:beforeAutospacing="0" w:afterLines="50" w:after="156" w:afterAutospacing="0"/>
        <w:ind w:firstLine="482"/>
        <w:jc w:val="both"/>
        <w:rPr>
          <w:rFonts w:ascii="Times New Roman" w:hAnsi="Times New Roman" w:cs="Times New Roman"/>
        </w:rPr>
      </w:pPr>
      <w:r>
        <w:rPr>
          <w:rStyle w:val="a7"/>
          <w:rFonts w:ascii="Times New Roman" w:hAnsi="Times New Roman" w:cs="Times New Roman"/>
          <w:sz w:val="21"/>
          <w:szCs w:val="21"/>
        </w:rPr>
        <w:t>（三）项目经验优势</w:t>
      </w:r>
    </w:p>
    <w:p w:rsidR="00CE3C32" w:rsidRDefault="006413B8">
      <w:pPr>
        <w:pStyle w:val="a6"/>
        <w:spacing w:beforeLines="50" w:before="156" w:beforeAutospacing="0" w:afterLines="50" w:after="156" w:afterAutospacing="0"/>
        <w:ind w:firstLine="480"/>
        <w:jc w:val="both"/>
        <w:rPr>
          <w:rFonts w:ascii="Times New Roman" w:hAnsi="Times New Roman" w:cs="Times New Roman"/>
        </w:rPr>
      </w:pPr>
      <w:r>
        <w:rPr>
          <w:rFonts w:ascii="Times New Roman" w:hAnsi="Times New Roman" w:cs="Times New Roman"/>
          <w:sz w:val="21"/>
          <w:szCs w:val="21"/>
        </w:rPr>
        <w:t>公司在信息技术服务领域深耕二十多年，对客户需求具有深刻的理解，具备丰厚的行业沉淀和积累，在智慧政务、智慧教育、智慧医疗、轨道交通等领域已在国内</w:t>
      </w:r>
      <w:r>
        <w:rPr>
          <w:rFonts w:ascii="Times New Roman" w:hAnsi="Times New Roman" w:cs="Times New Roman"/>
          <w:sz w:val="21"/>
          <w:szCs w:val="21"/>
        </w:rPr>
        <w:t>20</w:t>
      </w:r>
      <w:r>
        <w:rPr>
          <w:rFonts w:ascii="Times New Roman" w:hAnsi="Times New Roman" w:cs="Times New Roman"/>
          <w:sz w:val="21"/>
          <w:szCs w:val="21"/>
        </w:rPr>
        <w:t>多个省份成功落地超过</w:t>
      </w:r>
      <w:r>
        <w:rPr>
          <w:rFonts w:ascii="Times New Roman" w:hAnsi="Times New Roman" w:cs="Times New Roman"/>
          <w:sz w:val="21"/>
          <w:szCs w:val="21"/>
        </w:rPr>
        <w:t>1,000</w:t>
      </w:r>
      <w:r>
        <w:rPr>
          <w:rFonts w:ascii="Times New Roman" w:hAnsi="Times New Roman" w:cs="Times New Roman"/>
          <w:sz w:val="21"/>
          <w:szCs w:val="21"/>
        </w:rPr>
        <w:t>个案例。丰富的项目实践为公司积累了各类型项目的实施经验，培养了技术、研发和项目实施团队，持续提升公司对客户需求的理解和服务水平，有利于公司保持良好的客户关系和增强拓展业务、承接项目的竞争力。</w:t>
      </w:r>
    </w:p>
    <w:p w:rsidR="00CE3C32" w:rsidRDefault="006413B8">
      <w:pPr>
        <w:pStyle w:val="a6"/>
        <w:spacing w:beforeLines="50" w:before="156" w:beforeAutospacing="0" w:afterLines="50" w:after="156" w:afterAutospacing="0"/>
        <w:ind w:firstLine="482"/>
        <w:jc w:val="both"/>
        <w:rPr>
          <w:rFonts w:ascii="Times New Roman" w:hAnsi="Times New Roman" w:cs="Times New Roman"/>
        </w:rPr>
      </w:pPr>
      <w:r>
        <w:rPr>
          <w:rStyle w:val="a7"/>
          <w:rFonts w:ascii="Times New Roman" w:hAnsi="Times New Roman" w:cs="Times New Roman"/>
          <w:sz w:val="21"/>
          <w:szCs w:val="21"/>
        </w:rPr>
        <w:t>（四）服务优势</w:t>
      </w:r>
    </w:p>
    <w:p w:rsidR="00CE3C32" w:rsidRDefault="006413B8">
      <w:pPr>
        <w:pStyle w:val="a6"/>
        <w:spacing w:beforeLines="50" w:before="156" w:beforeAutospacing="0" w:afterLines="50" w:after="156" w:afterAutospacing="0"/>
        <w:ind w:firstLine="480"/>
        <w:jc w:val="both"/>
        <w:rPr>
          <w:rFonts w:ascii="Times New Roman" w:hAnsi="Times New Roman" w:cs="Times New Roman"/>
        </w:rPr>
      </w:pPr>
      <w:r>
        <w:rPr>
          <w:rFonts w:ascii="Times New Roman" w:hAnsi="Times New Roman" w:cs="Times New Roman"/>
          <w:sz w:val="21"/>
          <w:szCs w:val="21"/>
        </w:rPr>
        <w:t>公司坚持</w:t>
      </w:r>
      <w:r>
        <w:rPr>
          <w:rFonts w:hint="eastAsia"/>
          <w:sz w:val="21"/>
          <w:szCs w:val="21"/>
        </w:rPr>
        <w:t>“技</w:t>
      </w:r>
      <w:r>
        <w:rPr>
          <w:rFonts w:ascii="Times New Roman" w:hAnsi="Times New Roman" w:cs="Times New Roman"/>
          <w:sz w:val="21"/>
          <w:szCs w:val="21"/>
        </w:rPr>
        <w:t>术</w:t>
      </w:r>
      <w:r>
        <w:rPr>
          <w:rFonts w:ascii="Times New Roman" w:hAnsi="Times New Roman" w:cs="Times New Roman"/>
          <w:sz w:val="21"/>
          <w:szCs w:val="21"/>
        </w:rPr>
        <w:t>+</w:t>
      </w:r>
      <w:r>
        <w:rPr>
          <w:rFonts w:ascii="Times New Roman" w:hAnsi="Times New Roman" w:cs="Times New Roman"/>
          <w:sz w:val="21"/>
          <w:szCs w:val="21"/>
        </w:rPr>
        <w:t>服</w:t>
      </w:r>
      <w:r>
        <w:rPr>
          <w:rFonts w:hint="eastAsia"/>
          <w:sz w:val="21"/>
          <w:szCs w:val="21"/>
        </w:rPr>
        <w:t>务”的经</w:t>
      </w:r>
      <w:r>
        <w:rPr>
          <w:rFonts w:ascii="Times New Roman" w:hAnsi="Times New Roman" w:cs="Times New Roman"/>
          <w:sz w:val="21"/>
          <w:szCs w:val="21"/>
        </w:rPr>
        <w:t>营理念，为客户提供全面高效的服务，持续提升客户服务质量，赢得客户的认可和口碑。</w:t>
      </w:r>
    </w:p>
    <w:p w:rsidR="00CE3C32" w:rsidRDefault="006413B8">
      <w:pPr>
        <w:pStyle w:val="a6"/>
        <w:spacing w:beforeLines="50" w:before="156" w:beforeAutospacing="0" w:afterLines="50" w:after="156" w:afterAutospacing="0"/>
        <w:ind w:firstLine="480"/>
        <w:jc w:val="both"/>
        <w:rPr>
          <w:rFonts w:ascii="Times New Roman" w:hAnsi="Times New Roman" w:cs="Times New Roman"/>
        </w:rPr>
      </w:pPr>
      <w:r>
        <w:rPr>
          <w:rFonts w:ascii="Times New Roman" w:hAnsi="Times New Roman" w:cs="Times New Roman"/>
          <w:sz w:val="21"/>
          <w:szCs w:val="21"/>
        </w:rPr>
        <w:t>公司现已建立专业化的项目实施和技术服务团队，打造全面专业的服务和技术支持。公司在广州、深圳、海南、重庆和香港等地设立分子公司，为区域客户提供本地化的技术服务，加深并扩展与客户多个层面的联系。公司建立了标准化的服务体系，紧跟客户需求变化创新服务模式，提升服务交付能力，及时高效地响应客户需求，持续完善服务质量。</w:t>
      </w:r>
    </w:p>
    <w:p w:rsidR="00CE3C32" w:rsidRDefault="006413B8">
      <w:pPr>
        <w:pStyle w:val="a6"/>
        <w:spacing w:beforeLines="50" w:before="156" w:beforeAutospacing="0" w:afterLines="50" w:after="156" w:afterAutospacing="0"/>
        <w:ind w:firstLine="482"/>
        <w:jc w:val="both"/>
        <w:rPr>
          <w:rFonts w:ascii="Times New Roman" w:hAnsi="Times New Roman" w:cs="Times New Roman"/>
        </w:rPr>
      </w:pPr>
      <w:r>
        <w:rPr>
          <w:rStyle w:val="a7"/>
          <w:rFonts w:ascii="Times New Roman" w:hAnsi="Times New Roman" w:cs="Times New Roman"/>
          <w:sz w:val="21"/>
          <w:szCs w:val="21"/>
        </w:rPr>
        <w:t>（五）人才优势</w:t>
      </w:r>
    </w:p>
    <w:p w:rsidR="00CE3C32" w:rsidRDefault="006413B8">
      <w:pPr>
        <w:pStyle w:val="a6"/>
        <w:spacing w:beforeLines="50" w:before="156" w:beforeAutospacing="0" w:afterLines="50" w:after="156" w:afterAutospacing="0"/>
        <w:ind w:firstLine="480"/>
        <w:jc w:val="both"/>
        <w:rPr>
          <w:rFonts w:ascii="Times New Roman" w:hAnsi="Times New Roman" w:cs="Times New Roman"/>
        </w:rPr>
      </w:pPr>
      <w:r>
        <w:rPr>
          <w:rFonts w:ascii="Times New Roman" w:hAnsi="Times New Roman" w:cs="Times New Roman"/>
          <w:sz w:val="21"/>
          <w:szCs w:val="21"/>
        </w:rPr>
        <w:t>作为轻资产企业，人力资源是公司核心资源。公司自成立以来一直注重人才队伍的建设，把尊重人才、重视人才和激励人才放在最突出的地位。公司建立了科学合理的人才培养及选拔机制，推进战略绩效管理模式。公司管理团队大部分成员在公司服务超过</w:t>
      </w:r>
      <w:r>
        <w:rPr>
          <w:rFonts w:ascii="Times New Roman" w:hAnsi="Times New Roman" w:cs="Times New Roman"/>
          <w:sz w:val="21"/>
          <w:szCs w:val="21"/>
        </w:rPr>
        <w:t>10</w:t>
      </w:r>
      <w:r>
        <w:rPr>
          <w:rFonts w:ascii="Times New Roman" w:hAnsi="Times New Roman" w:cs="Times New Roman"/>
          <w:sz w:val="21"/>
          <w:szCs w:val="21"/>
        </w:rPr>
        <w:t>年及以上，在智慧城市建设相关领域具备多年的沉淀和积累，对前沿技术、产品升级和行业发展动态具有清晰的认识，对客户需求变化具备深刻的理解，能够较好的把握公司业务发展方向。</w:t>
      </w:r>
    </w:p>
    <w:p w:rsidR="00CE3C32" w:rsidRDefault="006413B8">
      <w:pPr>
        <w:pStyle w:val="a6"/>
        <w:spacing w:beforeLines="50" w:before="156" w:beforeAutospacing="0" w:afterLines="50" w:after="156" w:afterAutospacing="0"/>
        <w:ind w:firstLine="480"/>
        <w:jc w:val="both"/>
        <w:rPr>
          <w:rFonts w:ascii="Times New Roman" w:hAnsi="Times New Roman" w:cs="Times New Roman"/>
        </w:rPr>
      </w:pPr>
      <w:r>
        <w:rPr>
          <w:rFonts w:ascii="Times New Roman" w:hAnsi="Times New Roman" w:cs="Times New Roman"/>
          <w:sz w:val="21"/>
          <w:szCs w:val="21"/>
        </w:rPr>
        <w:t>通过健全人力资源开发和管理制度，完善培训、薪酬、绩效和激励机制，加大人才引进和培养力度，公司建立了一支专业的研发和项目实施团队。截至报告期末，公司共有研发人员</w:t>
      </w:r>
      <w:r>
        <w:rPr>
          <w:rFonts w:ascii="Times New Roman" w:hAnsi="Times New Roman" w:cs="Times New Roman"/>
          <w:sz w:val="21"/>
          <w:szCs w:val="21"/>
        </w:rPr>
        <w:t>101</w:t>
      </w:r>
      <w:r>
        <w:rPr>
          <w:rFonts w:ascii="Times New Roman" w:hAnsi="Times New Roman" w:cs="Times New Roman"/>
          <w:sz w:val="21"/>
          <w:szCs w:val="21"/>
        </w:rPr>
        <w:t>人、项目实施</w:t>
      </w:r>
      <w:r>
        <w:rPr>
          <w:rFonts w:ascii="Times New Roman" w:hAnsi="Times New Roman" w:cs="Times New Roman"/>
          <w:sz w:val="21"/>
          <w:szCs w:val="21"/>
        </w:rPr>
        <w:lastRenderedPageBreak/>
        <w:t>人员</w:t>
      </w:r>
      <w:r>
        <w:rPr>
          <w:rFonts w:ascii="Times New Roman" w:hAnsi="Times New Roman" w:cs="Times New Roman"/>
          <w:sz w:val="21"/>
          <w:szCs w:val="21"/>
        </w:rPr>
        <w:t>97</w:t>
      </w:r>
      <w:r>
        <w:rPr>
          <w:rFonts w:ascii="Times New Roman" w:hAnsi="Times New Roman" w:cs="Times New Roman"/>
          <w:sz w:val="21"/>
          <w:szCs w:val="21"/>
        </w:rPr>
        <w:t>人，分别占员工总人数比例的</w:t>
      </w:r>
      <w:r>
        <w:rPr>
          <w:rFonts w:ascii="Times New Roman" w:hAnsi="Times New Roman" w:cs="Times New Roman"/>
          <w:sz w:val="21"/>
          <w:szCs w:val="21"/>
        </w:rPr>
        <w:t>29.11%</w:t>
      </w:r>
      <w:r>
        <w:rPr>
          <w:rFonts w:ascii="Times New Roman" w:hAnsi="Times New Roman" w:cs="Times New Roman"/>
          <w:sz w:val="21"/>
          <w:szCs w:val="21"/>
        </w:rPr>
        <w:t>、</w:t>
      </w:r>
      <w:r>
        <w:rPr>
          <w:rFonts w:ascii="Times New Roman" w:hAnsi="Times New Roman" w:cs="Times New Roman"/>
          <w:sz w:val="21"/>
          <w:szCs w:val="21"/>
        </w:rPr>
        <w:t>27.95%</w:t>
      </w:r>
      <w:r>
        <w:rPr>
          <w:rFonts w:ascii="Times New Roman" w:hAnsi="Times New Roman" w:cs="Times New Roman"/>
          <w:sz w:val="21"/>
          <w:szCs w:val="21"/>
        </w:rPr>
        <w:t>，是公司产品和技术创新、业务持续发展的骨干力量。</w:t>
      </w:r>
    </w:p>
    <w:p w:rsidR="00CE3C32" w:rsidRDefault="006413B8">
      <w:pPr>
        <w:pStyle w:val="a6"/>
        <w:spacing w:beforeLines="50" w:before="156" w:beforeAutospacing="0" w:afterLines="50" w:after="156" w:afterAutospacing="0"/>
        <w:ind w:firstLine="482"/>
        <w:jc w:val="both"/>
        <w:rPr>
          <w:rFonts w:ascii="Times New Roman" w:hAnsi="Times New Roman" w:cs="Times New Roman"/>
        </w:rPr>
      </w:pPr>
      <w:r>
        <w:rPr>
          <w:rStyle w:val="a7"/>
          <w:rFonts w:ascii="Times New Roman" w:hAnsi="Times New Roman" w:cs="Times New Roman"/>
          <w:sz w:val="21"/>
          <w:szCs w:val="21"/>
        </w:rPr>
        <w:t>（六）资质优势</w:t>
      </w:r>
    </w:p>
    <w:p w:rsidR="00CE3C32" w:rsidRDefault="006413B8">
      <w:pPr>
        <w:pStyle w:val="a6"/>
        <w:spacing w:beforeLines="50" w:before="156" w:beforeAutospacing="0" w:afterLines="50" w:after="156" w:afterAutospacing="0"/>
        <w:ind w:firstLine="480"/>
        <w:jc w:val="both"/>
        <w:rPr>
          <w:rFonts w:ascii="Times New Roman" w:hAnsi="Times New Roman" w:cs="Times New Roman"/>
        </w:rPr>
      </w:pPr>
      <w:r>
        <w:rPr>
          <w:rFonts w:ascii="Times New Roman" w:hAnsi="Times New Roman" w:cs="Times New Roman"/>
          <w:sz w:val="21"/>
          <w:szCs w:val="21"/>
        </w:rPr>
        <w:t>公司所处行业实行资质认证，拥有完整、高级别资质的企业在满足客户多样化需求和项目承接上具备较强的竞争优势。</w:t>
      </w:r>
    </w:p>
    <w:p w:rsidR="00CE3C32" w:rsidRDefault="006413B8">
      <w:pPr>
        <w:pStyle w:val="a6"/>
        <w:spacing w:beforeLines="50" w:before="156" w:beforeAutospacing="0" w:afterLines="50" w:after="156" w:afterAutospacing="0"/>
        <w:ind w:firstLine="480"/>
        <w:jc w:val="both"/>
        <w:rPr>
          <w:rFonts w:ascii="Times New Roman" w:hAnsi="Times New Roman" w:cs="Times New Roman"/>
        </w:rPr>
      </w:pPr>
      <w:r>
        <w:rPr>
          <w:rFonts w:ascii="Times New Roman" w:hAnsi="Times New Roman" w:cs="Times New Roman"/>
          <w:sz w:val="21"/>
          <w:szCs w:val="21"/>
        </w:rPr>
        <w:t>经过多年业务发展和技术积累，公司已成为行业内资质体系较齐全且级别较高的企业之一，目前已拥有了电子与智能化工程专业承包一级、广东省安全技术防范企业设计施工维护能力评价等级（一级）、</w:t>
      </w:r>
      <w:r>
        <w:rPr>
          <w:rFonts w:ascii="Times New Roman" w:hAnsi="Times New Roman" w:cs="Times New Roman"/>
          <w:sz w:val="21"/>
          <w:szCs w:val="21"/>
        </w:rPr>
        <w:t>CMMI3</w:t>
      </w:r>
      <w:r>
        <w:rPr>
          <w:rFonts w:ascii="Times New Roman" w:hAnsi="Times New Roman" w:cs="Times New Roman"/>
          <w:sz w:val="21"/>
          <w:szCs w:val="21"/>
        </w:rPr>
        <w:t>（软件能力成熟度模型集成）、广东省数据经纪人、建筑机电安装工程专业承包二级、建筑装修装饰工程专业承包二级等业务开展必要的资质证书，被认定为国家高新技术企业、广东省专精特新中小企业、汕头市中小企业数字化转型城市试点数字化牵引单位。上述资质的取得系公司整体业务实力的体现，使公司在竞标和承接各类相关业务时具备较强的竞争优势。</w:t>
      </w:r>
    </w:p>
    <w:p w:rsidR="00CE3C32" w:rsidRDefault="006413B8">
      <w:pPr>
        <w:pStyle w:val="a6"/>
        <w:spacing w:beforeLines="50" w:before="156" w:beforeAutospacing="0" w:afterLines="50" w:after="156" w:afterAutospacing="0"/>
        <w:ind w:firstLine="482"/>
        <w:jc w:val="both"/>
        <w:rPr>
          <w:rFonts w:ascii="Times New Roman" w:hAnsi="Times New Roman" w:cs="Times New Roman"/>
        </w:rPr>
      </w:pPr>
      <w:r>
        <w:rPr>
          <w:rStyle w:val="a7"/>
          <w:rFonts w:ascii="Times New Roman" w:hAnsi="Times New Roman" w:cs="Times New Roman"/>
          <w:sz w:val="21"/>
          <w:szCs w:val="21"/>
        </w:rPr>
        <w:t>（七）品牌优势</w:t>
      </w:r>
    </w:p>
    <w:p w:rsidR="00CE3C32" w:rsidRDefault="006413B8">
      <w:pPr>
        <w:pStyle w:val="a6"/>
        <w:spacing w:beforeLines="50" w:before="156" w:beforeAutospacing="0" w:afterLines="50" w:after="156" w:afterAutospacing="0"/>
        <w:ind w:firstLine="480"/>
        <w:jc w:val="both"/>
        <w:rPr>
          <w:rFonts w:ascii="Times New Roman" w:hAnsi="Times New Roman" w:cs="Times New Roman"/>
        </w:rPr>
      </w:pPr>
      <w:r>
        <w:rPr>
          <w:rFonts w:ascii="Times New Roman" w:hAnsi="Times New Roman" w:cs="Times New Roman"/>
          <w:sz w:val="21"/>
          <w:szCs w:val="21"/>
        </w:rPr>
        <w:t>公司成立二十多年来，一直坚守深耕信息技术服务行业，积累了丰富的项目实施经验和客户资源，在项目实施质量、技术能力和服务水平等方面获得了客户的广泛认可，积累了良好的口碑。</w:t>
      </w:r>
    </w:p>
    <w:p w:rsidR="00CE3C32" w:rsidRDefault="006413B8">
      <w:pPr>
        <w:pStyle w:val="2"/>
        <w:spacing w:before="300" w:after="300" w:line="320" w:lineRule="exact"/>
        <w:rPr>
          <w:rFonts w:ascii="Times New Roman" w:eastAsia="宋体" w:hAnsi="Times New Roman" w:cs="Times New Roman"/>
          <w:b/>
          <w:bCs/>
          <w:sz w:val="24"/>
          <w:szCs w:val="24"/>
        </w:rPr>
      </w:pPr>
      <w:bookmarkStart w:id="17" w:name="_Toc988905"/>
      <w:r>
        <w:rPr>
          <w:rFonts w:ascii="Times New Roman" w:eastAsia="宋体" w:hAnsi="Times New Roman" w:cs="Times New Roman"/>
          <w:b/>
          <w:bCs/>
          <w:sz w:val="24"/>
          <w:szCs w:val="24"/>
        </w:rPr>
        <w:t>三、主营业务分析</w:t>
      </w:r>
      <w:bookmarkEnd w:id="17"/>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概述</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参见</w:t>
      </w:r>
      <w:r>
        <w:rPr>
          <w:rFonts w:ascii="Times New Roman" w:eastAsia="宋体" w:hAnsi="Times New Roman" w:cs="Times New Roman"/>
          <w:sz w:val="18"/>
          <w:szCs w:val="18"/>
        </w:rPr>
        <w:t>“</w:t>
      </w:r>
      <w:r>
        <w:rPr>
          <w:rFonts w:ascii="Times New Roman" w:eastAsia="宋体" w:hAnsi="Times New Roman" w:cs="Times New Roman"/>
          <w:sz w:val="18"/>
          <w:szCs w:val="18"/>
        </w:rPr>
        <w:t>一、报告期内公司从事的主要业务</w:t>
      </w:r>
      <w:r>
        <w:rPr>
          <w:rFonts w:ascii="Times New Roman" w:eastAsia="宋体" w:hAnsi="Times New Roman" w:cs="Times New Roman"/>
          <w:sz w:val="18"/>
          <w:szCs w:val="18"/>
        </w:rPr>
        <w:t>”</w:t>
      </w:r>
      <w:r>
        <w:rPr>
          <w:rFonts w:ascii="Times New Roman" w:eastAsia="宋体" w:hAnsi="Times New Roman" w:cs="Times New Roman"/>
          <w:sz w:val="18"/>
          <w:szCs w:val="18"/>
        </w:rPr>
        <w:t>相关内容。</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主要财务数据同比变动情况</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blHeader/>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本报告期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上年同期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同比增减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变动原因</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营业收入</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145,629,526.57</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89,214,406.37</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63.24%</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主要系前期布局的算力及新能源电力等项目在本期达到预定可使用状态，新增的算力服务和新能源电力产生的收入引起营业收入同比增长。</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营业成本</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101,465,019.80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71,975,011.29</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40.97%</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主要系报告期内新增算力服务及新能源电力等业务收入增加，相对应的业务成本增加所致。</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销售费用</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10,179,827.29</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12,106,662.83</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-15.92%</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管理费用</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16,041,559.50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17,478,466.54</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-8.22%</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财务费用</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4,904,157.24</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-3,270,432.49</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249.95%</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主要系报告期内闲置资金进行现金管理减少，新增算力、新能源电力等项目贷款引起利息支出同比增加。</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所得税费用</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-811,560.39</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-4,036,306.11</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79.89%</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主要系报告期内收入增加，经营利润扭亏为盈所致。</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研发投入</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8,533,733.93</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8,554,147.05</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-0.24%</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经营活动产生的现金流量净额</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-16,382,921.61</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-61,821,520.43</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73.50%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主要系报告期内收回项目款项较上年同期有所增加所致。</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投资活动产生的现金流量净额</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-326,265,116.92</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39,610,048.91</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-923.69%</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主要系报告期内投资算力项目及建造新能源电力项目增加所致。</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筹资活动产生的现金流量净额</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275,828,338.86</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18,418,226.31</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1,397.58%</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主要系报告期内算力服务及新能源电力项目融资款增加所致。</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现金及现金等价物净增加额</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-66,836,618.56</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-3,773,783.26</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-1,671.08%</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主要系报告期内投资算力项目及建造新能源电力项目增加所致。</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信用减值损失（损失以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2,808,053.20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1,946,533.66</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44.26%</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主要系当期收回销售商品、提供劳务收到的现金较去年同期增加了约</w:t>
            </w:r>
            <w:r>
              <w:rPr>
                <w:rFonts w:ascii="Times New Roman" w:eastAsia="宋体" w:hAnsi="Times New Roman" w:cs="Times New Roman"/>
                <w:sz w:val="18"/>
                <w:szCs w:val="18"/>
              </w:rPr>
              <w:t>32%</w:t>
            </w:r>
            <w:r>
              <w:rPr>
                <w:rFonts w:ascii="Times New Roman" w:eastAsia="宋体" w:hAnsi="Times New Roman" w:cs="Times New Roman"/>
                <w:sz w:val="18"/>
                <w:szCs w:val="18"/>
              </w:rPr>
              <w:t>，其中收回了部分长账龄的应收账款，冲回当期信用减值损失所致。</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公司报告期利润构成或利润来源发生重大变动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公司报告期利润构成或利润来源没有发生重大变动。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占比</w:t>
      </w:r>
      <w:r>
        <w:rPr>
          <w:rFonts w:ascii="Times New Roman" w:eastAsia="宋体" w:hAnsi="Times New Roman" w:cs="Times New Roman"/>
          <w:sz w:val="18"/>
          <w:szCs w:val="18"/>
        </w:rPr>
        <w:t>10%</w:t>
      </w:r>
      <w:r>
        <w:rPr>
          <w:rFonts w:ascii="Times New Roman" w:eastAsia="宋体" w:hAnsi="Times New Roman" w:cs="Times New Roman"/>
          <w:sz w:val="18"/>
          <w:szCs w:val="18"/>
        </w:rPr>
        <w:t>以上的产品或服务情况</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营业收入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营业成本</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毛利率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营业收入比上年同期增减</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营业成本比上年同期增减</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毛利率比上年同期增减</w:t>
            </w:r>
          </w:p>
        </w:tc>
      </w:tr>
      <w:tr w:rsidR="00CE3C32">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分产品或服务</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软件开发及技术服务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40,066,909.98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26,258,016.82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34.46%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275.16%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366.72%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-12.86%</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信息设备销售</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48,302,246.54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43,039,009.35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10.90%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-5.77%</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1.48%</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算力服务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30,075,313.20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16,095,066.18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46.48%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46.48%</w:t>
            </w:r>
          </w:p>
        </w:tc>
      </w:tr>
    </w:tbl>
    <w:p w:rsidR="00CE3C32" w:rsidRDefault="00CE3C32">
      <w:pPr>
        <w:spacing w:line="0" w:lineRule="atLeast"/>
        <w:rPr>
          <w:rFonts w:ascii="Times New Roman" w:hAnsi="Times New Roman" w:cs="Times New Roman"/>
        </w:rPr>
      </w:pP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公司需遵守《深圳证券交易所上市公司自律监管指引第</w:t>
      </w:r>
      <w:r>
        <w:rPr>
          <w:rFonts w:ascii="Times New Roman" w:eastAsia="宋体" w:hAnsi="Times New Roman" w:cs="Times New Roman"/>
          <w:sz w:val="18"/>
          <w:szCs w:val="18"/>
        </w:rPr>
        <w:t>3</w:t>
      </w:r>
      <w:r>
        <w:rPr>
          <w:rFonts w:ascii="Times New Roman" w:eastAsia="宋体" w:hAnsi="Times New Roman" w:cs="Times New Roman"/>
          <w:sz w:val="18"/>
          <w:szCs w:val="18"/>
        </w:rPr>
        <w:t>号</w:t>
      </w:r>
      <w:r>
        <w:rPr>
          <w:rFonts w:ascii="Times New Roman" w:eastAsia="宋体" w:hAnsi="Times New Roman" w:cs="Times New Roman"/>
          <w:sz w:val="18"/>
          <w:szCs w:val="18"/>
        </w:rPr>
        <w:t>——</w:t>
      </w:r>
      <w:r>
        <w:rPr>
          <w:rFonts w:ascii="Times New Roman" w:eastAsia="宋体" w:hAnsi="Times New Roman" w:cs="Times New Roman"/>
          <w:sz w:val="18"/>
          <w:szCs w:val="18"/>
        </w:rPr>
        <w:t>行业信息披露》中的</w:t>
      </w:r>
      <w:r>
        <w:rPr>
          <w:rFonts w:ascii="Times New Roman" w:eastAsia="宋体" w:hAnsi="Times New Roman" w:cs="Times New Roman"/>
          <w:sz w:val="18"/>
          <w:szCs w:val="18"/>
        </w:rPr>
        <w:t>“</w:t>
      </w:r>
      <w:r>
        <w:rPr>
          <w:rFonts w:ascii="Times New Roman" w:eastAsia="宋体" w:hAnsi="Times New Roman" w:cs="Times New Roman"/>
          <w:sz w:val="18"/>
          <w:szCs w:val="18"/>
        </w:rPr>
        <w:t>软件与信息技术服务业</w:t>
      </w:r>
      <w:r>
        <w:rPr>
          <w:rFonts w:ascii="Times New Roman" w:eastAsia="宋体" w:hAnsi="Times New Roman" w:cs="Times New Roman"/>
          <w:sz w:val="18"/>
          <w:szCs w:val="18"/>
        </w:rPr>
        <w:t>”</w:t>
      </w:r>
      <w:r>
        <w:rPr>
          <w:rFonts w:ascii="Times New Roman" w:eastAsia="宋体" w:hAnsi="Times New Roman" w:cs="Times New Roman"/>
          <w:sz w:val="18"/>
          <w:szCs w:val="18"/>
        </w:rPr>
        <w:t>的披露要求：</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占公司营业收入或营业利润</w:t>
      </w:r>
      <w:r>
        <w:rPr>
          <w:rFonts w:ascii="Times New Roman" w:eastAsia="宋体" w:hAnsi="Times New Roman" w:cs="Times New Roman"/>
          <w:sz w:val="18"/>
          <w:szCs w:val="18"/>
        </w:rPr>
        <w:t>10%</w:t>
      </w:r>
      <w:r>
        <w:rPr>
          <w:rFonts w:ascii="Times New Roman" w:eastAsia="宋体" w:hAnsi="Times New Roman" w:cs="Times New Roman"/>
          <w:sz w:val="18"/>
          <w:szCs w:val="18"/>
        </w:rPr>
        <w:t>以上的行业情况</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营业收入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营业成本</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毛利率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营业收入比上年同期增减</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营业成本比上年同期增减</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毛利率比上年同期增减</w:t>
            </w:r>
          </w:p>
        </w:tc>
      </w:tr>
      <w:tr w:rsidR="00CE3C32">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分客户所处行业</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智慧政务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27,861,707.36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21,919,958.61</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21.33%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73.70%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76.39%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-1.20%</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智慧教育</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20,789,955.24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19,258,700.81</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7.37%</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-20.18%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-13.92%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-6.74%</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智慧企业</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43,452,122.24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28,849,711.55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33.61%</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126.37%</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113.08%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4.14%</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算力服务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30,075,313.20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16,095,066.18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46.48%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46.48%</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新能源电力</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8,742,873.02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2,966,240.74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66.07%</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66.07%</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轨道交通</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7,733,809.62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6,024,284.26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22.10%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-48.19%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-51.71%</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5.68%</w:t>
            </w:r>
          </w:p>
        </w:tc>
      </w:tr>
      <w:tr w:rsidR="00CE3C32">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分产品</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信息系统集成服务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12,496,137.41</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9,642,498.36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22.84%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-45.53%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-44.85%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-0.94%</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软件开发及技术服务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40,066,909.98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26,258,016.82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34.46%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275.16%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366.72%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-12.86%</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信息系统运维服务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5,907,068.73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3,464,188.35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41.36%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30.14%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8.67%</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11.58%</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信息设备销售</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48,302,246.54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43,039,009.35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10.90%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-5.77%</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1.48%</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算力服务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30,075,313.20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16,095,066.18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46.48%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46.48%</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新能源电力</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8,742,873.02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2,966,240.74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66.07%</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66.07%</w:t>
            </w:r>
          </w:p>
        </w:tc>
      </w:tr>
      <w:tr w:rsidR="00CE3C32">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分地区</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华南地区</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130,229,494.16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92,991,836.74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28.59%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98.14%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77.86%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8.14%</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华中地区</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4,797,162.43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1,220,637.30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74.56%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74.56%</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华东地区</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3,032,203.19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1,354,547.90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55.33%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-80.41%</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-89.82%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41.29%</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其他地区</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7,570,666.79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5,897,997.86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22.09%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-7.60%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8.65%</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主营业务成本构成</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7"/>
        <w:gridCol w:w="1606"/>
        <w:gridCol w:w="1607"/>
        <w:gridCol w:w="1606"/>
        <w:gridCol w:w="1607"/>
        <w:gridCol w:w="1606"/>
      </w:tblGrid>
      <w:tr w:rsidR="00CE3C32">
        <w:trPr>
          <w:trHeight w:val="240"/>
        </w:trPr>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成本构成</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本报告期</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上年同期</w:t>
            </w:r>
          </w:p>
        </w:tc>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同比增减</w:t>
            </w:r>
          </w:p>
        </w:tc>
      </w:tr>
      <w:tr w:rsidR="00CE3C32">
        <w:trPr>
          <w:trHeight w:val="240"/>
        </w:trPr>
        <w:tc>
          <w:tcPr>
            <w:tcW w:w="1606" w:type="dxa"/>
            <w:vMerge/>
            <w:tcBorders>
              <w:top w:val="single" w:sz="2" w:space="0" w:color="auto"/>
              <w:left w:val="single" w:sz="2" w:space="0" w:color="auto"/>
              <w:bottom w:val="single" w:sz="2" w:space="0" w:color="auto"/>
              <w:right w:val="single" w:sz="2" w:space="0" w:color="auto"/>
            </w:tcBorders>
            <w:vAlign w:val="center"/>
          </w:tcPr>
          <w:p w:rsidR="00CE3C32" w:rsidRDefault="00CE3C32">
            <w:pPr>
              <w:rPr>
                <w:rFonts w:ascii="Times New Roman" w:hAnsi="Times New Roman" w:cs="Times New Roman"/>
              </w:rPr>
            </w:pP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占营业成本比重</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占营业成本比重</w:t>
            </w:r>
          </w:p>
        </w:tc>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直接材料</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64,774,857.49</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63.84%</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58,750,980.29</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81.63%</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10.25%</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直接人工</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5,179,472.22</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5.10%</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3,642,356.13</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5.06%</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42.20%</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劳务及服务</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12,829,616.71</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12.64%</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9,152,111.85</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12.72%</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40.18%</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其他费用</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18,681,073.38</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18.41%</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429,563.02</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0.60%</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4,248.86%</w:t>
            </w:r>
          </w:p>
        </w:tc>
      </w:tr>
    </w:tbl>
    <w:p w:rsidR="00CE3C32" w:rsidRDefault="006413B8">
      <w:pPr>
        <w:spacing w:before="10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相关数据同比发生变动</w:t>
      </w:r>
      <w:r>
        <w:rPr>
          <w:rFonts w:ascii="Times New Roman" w:eastAsia="宋体" w:hAnsi="Times New Roman" w:cs="Times New Roman"/>
          <w:sz w:val="18"/>
          <w:szCs w:val="18"/>
        </w:rPr>
        <w:t>30%</w:t>
      </w:r>
      <w:r>
        <w:rPr>
          <w:rFonts w:ascii="Times New Roman" w:eastAsia="宋体" w:hAnsi="Times New Roman" w:cs="Times New Roman"/>
          <w:sz w:val="18"/>
          <w:szCs w:val="18"/>
        </w:rPr>
        <w:t>以上的原因说明</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CE3C32">
      <w:pPr>
        <w:spacing w:before="40" w:after="40" w:line="240" w:lineRule="exact"/>
        <w:rPr>
          <w:rFonts w:ascii="Times New Roman" w:eastAsia="宋体" w:hAnsi="Times New Roman" w:cs="Times New Roman"/>
          <w:sz w:val="18"/>
          <w:szCs w:val="18"/>
        </w:rPr>
      </w:pP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hint="eastAsia"/>
          <w:sz w:val="18"/>
          <w:szCs w:val="18"/>
        </w:rPr>
        <w:t>直接人工和劳务及服务同比增加主要系报告期内营业收入增加，营业成本随之增加；报告期内新增算力服务及新能源电力业务，其成本主要构成系设备折旧，因此其他费用呈现出大幅度的增长。</w:t>
      </w:r>
    </w:p>
    <w:p w:rsidR="00CE3C32" w:rsidRDefault="006413B8">
      <w:pPr>
        <w:pStyle w:val="2"/>
        <w:spacing w:before="300" w:after="300" w:line="320" w:lineRule="exact"/>
        <w:rPr>
          <w:rFonts w:ascii="Times New Roman" w:eastAsia="宋体" w:hAnsi="Times New Roman" w:cs="Times New Roman"/>
          <w:b/>
          <w:bCs/>
          <w:sz w:val="24"/>
          <w:szCs w:val="24"/>
        </w:rPr>
      </w:pPr>
      <w:bookmarkStart w:id="18" w:name="_Toc988906"/>
      <w:r>
        <w:rPr>
          <w:rFonts w:ascii="Times New Roman" w:eastAsia="宋体" w:hAnsi="Times New Roman" w:cs="Times New Roman"/>
          <w:b/>
          <w:bCs/>
          <w:sz w:val="24"/>
          <w:szCs w:val="24"/>
        </w:rPr>
        <w:t>四、非主营业务分析</w:t>
      </w:r>
      <w:bookmarkEnd w:id="18"/>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占利润总额比例</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形成原因说明</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是否具有可持续性</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投资收益</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-326,532.15</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-6.28%</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公允价值变动损益</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资产减值</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-434,270.60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-8.35%</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营业外收入</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2,153.31</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0.04%</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营业外支出</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1,035,079.98</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19.91%</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公益性支出</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r>
    </w:tbl>
    <w:p w:rsidR="00CE3C32" w:rsidRDefault="006413B8">
      <w:pPr>
        <w:pStyle w:val="2"/>
        <w:spacing w:before="300" w:after="300" w:line="320" w:lineRule="exact"/>
        <w:rPr>
          <w:rFonts w:ascii="Times New Roman" w:eastAsia="宋体" w:hAnsi="Times New Roman" w:cs="Times New Roman"/>
          <w:b/>
          <w:bCs/>
          <w:sz w:val="24"/>
          <w:szCs w:val="24"/>
        </w:rPr>
      </w:pPr>
      <w:bookmarkStart w:id="19" w:name="_Toc988907"/>
      <w:r>
        <w:rPr>
          <w:rFonts w:ascii="Times New Roman" w:eastAsia="宋体" w:hAnsi="Times New Roman" w:cs="Times New Roman"/>
          <w:b/>
          <w:bCs/>
          <w:sz w:val="24"/>
          <w:szCs w:val="24"/>
        </w:rPr>
        <w:t>五、资产及负债状况分析</w:t>
      </w:r>
      <w:bookmarkEnd w:id="19"/>
    </w:p>
    <w:p w:rsidR="00CE3C32" w:rsidRDefault="006413B8">
      <w:pPr>
        <w:pStyle w:val="3"/>
        <w:spacing w:line="280" w:lineRule="exact"/>
        <w:jc w:val="left"/>
        <w:rPr>
          <w:rFonts w:ascii="Times New Roman" w:hAnsi="Times New Roman" w:cs="Times New Roman"/>
          <w:b/>
          <w:bCs/>
        </w:rPr>
      </w:pPr>
      <w:bookmarkStart w:id="20" w:name="_Toc988908"/>
      <w:r>
        <w:rPr>
          <w:rFonts w:ascii="Times New Roman" w:hAnsi="Times New Roman" w:cs="Times New Roman"/>
          <w:b/>
          <w:bCs/>
        </w:rPr>
        <w:t>1</w:t>
      </w:r>
      <w:r>
        <w:rPr>
          <w:rFonts w:ascii="Times New Roman" w:hAnsi="Times New Roman" w:cs="Times New Roman"/>
          <w:b/>
          <w:bCs/>
        </w:rPr>
        <w:t>、资产构成重大变动情况</w:t>
      </w:r>
      <w:bookmarkEnd w:id="20"/>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blHeader/>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本报告期末</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上年末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比重增减</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重大变动说明</w:t>
            </w:r>
          </w:p>
        </w:tc>
      </w:tr>
      <w:tr w:rsidR="00CE3C32">
        <w:trPr>
          <w:trHeight w:val="240"/>
          <w:tblHeader/>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占总资产比例</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占总资产比例</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货币资金</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276,853,579.25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19.23%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334,623,835.24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25.09%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不适用</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应收账款</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296,695,364.36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20.61%</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274,869,881.73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20.61%</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不适用</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合同资产</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4,813,285.14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0.33%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4,631,369.93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0.35%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不适用</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存货</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141,231,354.58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9.81%</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81,221,817.39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3.72%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不适用</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固定资产</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531,579,387.66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36.93%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125,026,382.09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9.37%</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27.56%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不适用</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在建工程</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3,192,307.78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0.22%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350,737,899.50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26.30%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-26.08%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不适用</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使用权资产</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16,759,555.97</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8,594,708.86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0.64%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0.52%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不适用</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短期借款</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91,447,417.94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46,223,781.13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3.47%</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不适用</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合同负债</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66,939,345.90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48,564,228.45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1.01%</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不适用</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长期借款</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208,891,736.36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14.51%</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31,937,786.17</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12.12%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不适用</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租赁负债</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13,036,582.77</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0.91%</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5,786,073.08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0.43%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0.48%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不适用</w:t>
            </w:r>
          </w:p>
        </w:tc>
      </w:tr>
    </w:tbl>
    <w:p w:rsidR="00CE3C32" w:rsidRDefault="006413B8">
      <w:pPr>
        <w:pStyle w:val="3"/>
        <w:spacing w:line="280" w:lineRule="exact"/>
        <w:jc w:val="left"/>
        <w:rPr>
          <w:rFonts w:ascii="Times New Roman" w:hAnsi="Times New Roman" w:cs="Times New Roman"/>
          <w:b/>
          <w:bCs/>
        </w:rPr>
      </w:pPr>
      <w:bookmarkStart w:id="21" w:name="_Toc988909"/>
      <w:r>
        <w:rPr>
          <w:rFonts w:ascii="Times New Roman" w:hAnsi="Times New Roman" w:cs="Times New Roman"/>
          <w:b/>
          <w:bCs/>
        </w:rPr>
        <w:t>2</w:t>
      </w:r>
      <w:r>
        <w:rPr>
          <w:rFonts w:ascii="Times New Roman" w:hAnsi="Times New Roman" w:cs="Times New Roman"/>
          <w:b/>
          <w:bCs/>
        </w:rPr>
        <w:t>、主要境外资产情况</w:t>
      </w:r>
      <w:bookmarkEnd w:id="21"/>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22" w:name="_Toc988910"/>
      <w:r>
        <w:rPr>
          <w:rFonts w:ascii="Times New Roman" w:hAnsi="Times New Roman" w:cs="Times New Roman"/>
          <w:b/>
          <w:bCs/>
        </w:rPr>
        <w:t>3</w:t>
      </w:r>
      <w:r>
        <w:rPr>
          <w:rFonts w:ascii="Times New Roman" w:hAnsi="Times New Roman" w:cs="Times New Roman"/>
          <w:b/>
          <w:bCs/>
        </w:rPr>
        <w:t>、以公允价值计量的资产和负债</w:t>
      </w:r>
      <w:bookmarkEnd w:id="22"/>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6"/>
        <w:gridCol w:w="1161"/>
        <w:gridCol w:w="1236"/>
        <w:gridCol w:w="1819"/>
        <w:gridCol w:w="956"/>
        <w:gridCol w:w="863"/>
        <w:gridCol w:w="863"/>
        <w:gridCol w:w="676"/>
        <w:gridCol w:w="1163"/>
      </w:tblGrid>
      <w:tr w:rsidR="00CE3C32">
        <w:trPr>
          <w:trHeight w:val="240"/>
        </w:trPr>
        <w:tc>
          <w:tcPr>
            <w:tcW w:w="56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589"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期初数</w:t>
            </w:r>
          </w:p>
        </w:tc>
        <w:tc>
          <w:tcPr>
            <w:tcW w:w="62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本期公允价值变动损益</w:t>
            </w:r>
          </w:p>
        </w:tc>
        <w:tc>
          <w:tcPr>
            <w:tcW w:w="92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计入权益的累计公允价值变动</w:t>
            </w:r>
          </w:p>
        </w:tc>
        <w:tc>
          <w:tcPr>
            <w:tcW w:w="48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本期计提的减值</w:t>
            </w:r>
          </w:p>
        </w:tc>
        <w:tc>
          <w:tcPr>
            <w:tcW w:w="43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本期购买金额</w:t>
            </w:r>
          </w:p>
        </w:tc>
        <w:tc>
          <w:tcPr>
            <w:tcW w:w="43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本期出售金额</w:t>
            </w:r>
          </w:p>
        </w:tc>
        <w:tc>
          <w:tcPr>
            <w:tcW w:w="34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其他变动</w:t>
            </w:r>
          </w:p>
        </w:tc>
        <w:tc>
          <w:tcPr>
            <w:tcW w:w="589"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期末数</w:t>
            </w:r>
          </w:p>
        </w:tc>
      </w:tr>
      <w:tr w:rsidR="00CE3C32">
        <w:trPr>
          <w:trHeight w:val="240"/>
        </w:trPr>
        <w:tc>
          <w:tcPr>
            <w:tcW w:w="5000" w:type="pct"/>
            <w:gridSpan w:val="9"/>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金融资产</w:t>
            </w:r>
          </w:p>
        </w:tc>
      </w:tr>
      <w:tr w:rsidR="00CE3C32">
        <w:trPr>
          <w:trHeight w:val="240"/>
        </w:trPr>
        <w:tc>
          <w:tcPr>
            <w:tcW w:w="56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其他权益工具投资</w:t>
            </w:r>
          </w:p>
        </w:tc>
        <w:tc>
          <w:tcPr>
            <w:tcW w:w="58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4,083,400.00</w:t>
            </w:r>
          </w:p>
        </w:tc>
        <w:tc>
          <w:tcPr>
            <w:tcW w:w="62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92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-316,600.00</w:t>
            </w:r>
          </w:p>
        </w:tc>
        <w:tc>
          <w:tcPr>
            <w:tcW w:w="4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3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3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58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4,083,400.00</w:t>
            </w:r>
          </w:p>
        </w:tc>
      </w:tr>
      <w:tr w:rsidR="00CE3C32">
        <w:trPr>
          <w:trHeight w:val="240"/>
        </w:trPr>
        <w:tc>
          <w:tcPr>
            <w:tcW w:w="56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上述合计</w:t>
            </w:r>
          </w:p>
        </w:tc>
        <w:tc>
          <w:tcPr>
            <w:tcW w:w="58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4,083,400.00</w:t>
            </w:r>
          </w:p>
        </w:tc>
        <w:tc>
          <w:tcPr>
            <w:tcW w:w="62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92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-316,600.00</w:t>
            </w:r>
          </w:p>
        </w:tc>
        <w:tc>
          <w:tcPr>
            <w:tcW w:w="4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3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3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58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4,083,400.00</w:t>
            </w:r>
          </w:p>
        </w:tc>
      </w:tr>
      <w:tr w:rsidR="00CE3C32">
        <w:trPr>
          <w:trHeight w:val="240"/>
        </w:trPr>
        <w:tc>
          <w:tcPr>
            <w:tcW w:w="56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金融负债</w:t>
            </w:r>
          </w:p>
        </w:tc>
        <w:tc>
          <w:tcPr>
            <w:tcW w:w="58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62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92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3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3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58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其他变动的内容</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无。</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报告期内公司主要资产计量属性是否发生重大变化</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是</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否</w:t>
      </w:r>
    </w:p>
    <w:p w:rsidR="00CE3C32" w:rsidRDefault="006413B8">
      <w:pPr>
        <w:pStyle w:val="3"/>
        <w:spacing w:line="280" w:lineRule="exact"/>
        <w:jc w:val="left"/>
        <w:rPr>
          <w:rFonts w:ascii="Times New Roman" w:hAnsi="Times New Roman" w:cs="Times New Roman"/>
          <w:b/>
          <w:bCs/>
        </w:rPr>
      </w:pPr>
      <w:bookmarkStart w:id="23" w:name="_Toc988911"/>
      <w:r>
        <w:rPr>
          <w:rFonts w:ascii="Times New Roman" w:hAnsi="Times New Roman" w:cs="Times New Roman"/>
          <w:b/>
          <w:bCs/>
        </w:rPr>
        <w:t>4</w:t>
      </w:r>
      <w:r>
        <w:rPr>
          <w:rFonts w:ascii="Times New Roman" w:hAnsi="Times New Roman" w:cs="Times New Roman"/>
          <w:b/>
          <w:bCs/>
        </w:rPr>
        <w:t>、截至报告期末的资产权利受限情况</w:t>
      </w:r>
      <w:bookmarkEnd w:id="2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365"/>
        <w:gridCol w:w="2355"/>
        <w:gridCol w:w="5947"/>
      </w:tblGrid>
      <w:tr w:rsidR="00CE3C32">
        <w:trPr>
          <w:trHeight w:val="276"/>
        </w:trPr>
        <w:tc>
          <w:tcPr>
            <w:tcW w:w="706" w:type="pct"/>
            <w:shd w:val="clear" w:color="auto" w:fill="BFBFBF" w:themeFill="background1" w:themeFillShade="BF"/>
            <w:noWrap/>
            <w:tcMar>
              <w:top w:w="15" w:type="dxa"/>
              <w:left w:w="15" w:type="dxa"/>
              <w:bottom w:w="0" w:type="dxa"/>
              <w:right w:w="15" w:type="dxa"/>
            </w:tcMar>
            <w:vAlign w:val="center"/>
          </w:tcPr>
          <w:p w:rsidR="00CE3C32" w:rsidRDefault="006413B8">
            <w:pPr>
              <w:jc w:val="center"/>
              <w:rPr>
                <w:rFonts w:ascii="Times New Roman" w:eastAsia="宋体" w:hAnsi="Times New Roman" w:cs="Times New Roman"/>
                <w:bCs/>
                <w:color w:val="000000"/>
                <w:sz w:val="18"/>
                <w:szCs w:val="18"/>
              </w:rPr>
            </w:pPr>
            <w:r>
              <w:rPr>
                <w:rFonts w:ascii="Times New Roman" w:hAnsi="Times New Roman" w:cs="Times New Roman"/>
                <w:bCs/>
                <w:color w:val="000000"/>
                <w:sz w:val="18"/>
                <w:szCs w:val="18"/>
              </w:rPr>
              <w:t>项目</w:t>
            </w:r>
          </w:p>
        </w:tc>
        <w:tc>
          <w:tcPr>
            <w:tcW w:w="1218" w:type="pct"/>
            <w:shd w:val="clear" w:color="auto" w:fill="BFBFBF" w:themeFill="background1" w:themeFillShade="BF"/>
            <w:noWrap/>
            <w:tcMar>
              <w:top w:w="15" w:type="dxa"/>
              <w:left w:w="15" w:type="dxa"/>
              <w:bottom w:w="0" w:type="dxa"/>
              <w:right w:w="15" w:type="dxa"/>
            </w:tcMar>
            <w:vAlign w:val="center"/>
          </w:tcPr>
          <w:p w:rsidR="00CE3C32" w:rsidRDefault="006413B8">
            <w:pPr>
              <w:jc w:val="center"/>
              <w:rPr>
                <w:rFonts w:ascii="Times New Roman" w:eastAsia="宋体" w:hAnsi="Times New Roman" w:cs="Times New Roman"/>
                <w:bCs/>
                <w:color w:val="000000"/>
                <w:sz w:val="18"/>
                <w:szCs w:val="18"/>
              </w:rPr>
            </w:pPr>
            <w:r>
              <w:rPr>
                <w:rFonts w:ascii="Times New Roman" w:hAnsi="Times New Roman" w:cs="Times New Roman"/>
                <w:bCs/>
                <w:color w:val="000000"/>
                <w:sz w:val="18"/>
                <w:szCs w:val="18"/>
              </w:rPr>
              <w:t>期末金额（元）</w:t>
            </w:r>
          </w:p>
        </w:tc>
        <w:tc>
          <w:tcPr>
            <w:tcW w:w="3076" w:type="pct"/>
            <w:shd w:val="clear" w:color="auto" w:fill="BFBFBF" w:themeFill="background1" w:themeFillShade="BF"/>
            <w:noWrap/>
            <w:tcMar>
              <w:top w:w="15" w:type="dxa"/>
              <w:left w:w="15" w:type="dxa"/>
              <w:bottom w:w="0" w:type="dxa"/>
              <w:right w:w="15" w:type="dxa"/>
            </w:tcMar>
            <w:vAlign w:val="center"/>
          </w:tcPr>
          <w:p w:rsidR="00CE3C32" w:rsidRDefault="006413B8">
            <w:pPr>
              <w:jc w:val="center"/>
              <w:rPr>
                <w:rFonts w:ascii="Times New Roman" w:eastAsia="宋体" w:hAnsi="Times New Roman" w:cs="Times New Roman"/>
                <w:bCs/>
                <w:color w:val="000000"/>
                <w:sz w:val="18"/>
                <w:szCs w:val="18"/>
              </w:rPr>
            </w:pPr>
            <w:r>
              <w:rPr>
                <w:rFonts w:ascii="Times New Roman" w:hAnsi="Times New Roman" w:cs="Times New Roman"/>
                <w:bCs/>
                <w:color w:val="000000"/>
                <w:sz w:val="18"/>
                <w:szCs w:val="18"/>
              </w:rPr>
              <w:t>受限原因</w:t>
            </w:r>
          </w:p>
        </w:tc>
      </w:tr>
      <w:tr w:rsidR="00CE3C32">
        <w:trPr>
          <w:trHeight w:val="276"/>
        </w:trPr>
        <w:tc>
          <w:tcPr>
            <w:tcW w:w="706" w:type="pct"/>
            <w:noWrap/>
            <w:tcMar>
              <w:top w:w="15" w:type="dxa"/>
              <w:left w:w="15" w:type="dxa"/>
              <w:bottom w:w="0" w:type="dxa"/>
              <w:right w:w="15" w:type="dxa"/>
            </w:tcMar>
            <w:vAlign w:val="center"/>
          </w:tcPr>
          <w:p w:rsidR="00CE3C32" w:rsidRDefault="006413B8">
            <w:pPr>
              <w:jc w:val="center"/>
              <w:rPr>
                <w:rFonts w:ascii="Times New Roman" w:eastAsia="宋体" w:hAnsi="Times New Roman" w:cs="Times New Roman"/>
                <w:color w:val="000000"/>
                <w:sz w:val="18"/>
                <w:szCs w:val="18"/>
              </w:rPr>
            </w:pPr>
            <w:r>
              <w:rPr>
                <w:rFonts w:ascii="Times New Roman" w:hAnsi="Times New Roman" w:cs="Times New Roman"/>
                <w:color w:val="000000"/>
                <w:sz w:val="18"/>
                <w:szCs w:val="18"/>
              </w:rPr>
              <w:t>货币资金</w:t>
            </w:r>
          </w:p>
        </w:tc>
        <w:tc>
          <w:tcPr>
            <w:tcW w:w="1218" w:type="pct"/>
            <w:noWrap/>
            <w:tcMar>
              <w:top w:w="15" w:type="dxa"/>
              <w:left w:w="15" w:type="dxa"/>
              <w:bottom w:w="0" w:type="dxa"/>
              <w:right w:w="15" w:type="dxa"/>
            </w:tcMar>
            <w:vAlign w:val="center"/>
          </w:tcPr>
          <w:p w:rsidR="00CE3C32" w:rsidRDefault="006413B8">
            <w:pPr>
              <w:jc w:val="right"/>
              <w:rPr>
                <w:rFonts w:ascii="Times New Roman" w:eastAsia="宋体" w:hAnsi="Times New Roman" w:cs="Times New Roman"/>
                <w:color w:val="000000"/>
                <w:sz w:val="18"/>
                <w:szCs w:val="18"/>
              </w:rPr>
            </w:pPr>
            <w:r>
              <w:rPr>
                <w:rFonts w:ascii="Times New Roman" w:hAnsi="Times New Roman" w:cs="Times New Roman"/>
                <w:color w:val="000000"/>
                <w:sz w:val="18"/>
                <w:szCs w:val="18"/>
              </w:rPr>
              <w:t>71,968,016.03</w:t>
            </w:r>
          </w:p>
        </w:tc>
        <w:tc>
          <w:tcPr>
            <w:tcW w:w="3076" w:type="pct"/>
            <w:noWrap/>
            <w:tcMar>
              <w:top w:w="15" w:type="dxa"/>
              <w:left w:w="15" w:type="dxa"/>
              <w:bottom w:w="0" w:type="dxa"/>
              <w:right w:w="15" w:type="dxa"/>
            </w:tcMar>
            <w:vAlign w:val="center"/>
          </w:tcPr>
          <w:p w:rsidR="00CE3C32" w:rsidRDefault="006413B8">
            <w:pPr>
              <w:jc w:val="center"/>
              <w:rPr>
                <w:rFonts w:ascii="Times New Roman" w:eastAsia="宋体" w:hAnsi="Times New Roman" w:cs="Times New Roman"/>
                <w:color w:val="000000"/>
                <w:sz w:val="18"/>
                <w:szCs w:val="18"/>
              </w:rPr>
            </w:pPr>
            <w:r>
              <w:rPr>
                <w:rFonts w:ascii="Times New Roman" w:hAnsi="Times New Roman" w:cs="Times New Roman"/>
                <w:color w:val="000000"/>
                <w:sz w:val="18"/>
                <w:szCs w:val="18"/>
              </w:rPr>
              <w:t>承兑保证金、保函保证金、大额定期存单</w:t>
            </w:r>
          </w:p>
        </w:tc>
      </w:tr>
    </w:tbl>
    <w:p w:rsidR="00CE3C32" w:rsidRDefault="00CE3C32">
      <w:pPr>
        <w:pStyle w:val="a6"/>
        <w:rPr>
          <w:rFonts w:ascii="Times New Roman" w:hAnsi="Times New Roman" w:cs="Times New Roman"/>
          <w:sz w:val="18"/>
          <w:szCs w:val="18"/>
        </w:rPr>
      </w:pPr>
    </w:p>
    <w:p w:rsidR="00CE3C32" w:rsidRDefault="006413B8">
      <w:pPr>
        <w:pStyle w:val="2"/>
        <w:spacing w:before="300" w:after="300" w:line="320" w:lineRule="exact"/>
        <w:rPr>
          <w:rFonts w:ascii="Times New Roman" w:eastAsia="宋体" w:hAnsi="Times New Roman" w:cs="Times New Roman"/>
          <w:b/>
          <w:bCs/>
          <w:sz w:val="24"/>
          <w:szCs w:val="24"/>
        </w:rPr>
      </w:pPr>
      <w:bookmarkStart w:id="24" w:name="_Toc988912"/>
      <w:r>
        <w:rPr>
          <w:rFonts w:ascii="Times New Roman" w:eastAsia="宋体" w:hAnsi="Times New Roman" w:cs="Times New Roman"/>
          <w:b/>
          <w:bCs/>
          <w:sz w:val="24"/>
          <w:szCs w:val="24"/>
        </w:rPr>
        <w:lastRenderedPageBreak/>
        <w:t>六、投资状况分析</w:t>
      </w:r>
      <w:bookmarkEnd w:id="24"/>
    </w:p>
    <w:p w:rsidR="00CE3C32" w:rsidRDefault="006413B8">
      <w:pPr>
        <w:pStyle w:val="3"/>
        <w:spacing w:line="280" w:lineRule="exact"/>
        <w:jc w:val="left"/>
        <w:rPr>
          <w:rFonts w:ascii="Times New Roman" w:hAnsi="Times New Roman" w:cs="Times New Roman"/>
          <w:b/>
          <w:bCs/>
        </w:rPr>
      </w:pPr>
      <w:bookmarkStart w:id="25" w:name="_Toc988913"/>
      <w:r>
        <w:rPr>
          <w:rFonts w:ascii="Times New Roman" w:hAnsi="Times New Roman" w:cs="Times New Roman"/>
          <w:b/>
          <w:bCs/>
        </w:rPr>
        <w:t>1</w:t>
      </w:r>
      <w:r>
        <w:rPr>
          <w:rFonts w:ascii="Times New Roman" w:hAnsi="Times New Roman" w:cs="Times New Roman"/>
          <w:b/>
          <w:bCs/>
        </w:rPr>
        <w:t>、总体情况</w:t>
      </w:r>
      <w:bookmarkEnd w:id="25"/>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报告期投资额（元）</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上年同期投资额（元）</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变动幅度</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318,652,616.92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37,789,443.42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743.23%</w:t>
            </w:r>
          </w:p>
        </w:tc>
      </w:tr>
    </w:tbl>
    <w:p w:rsidR="00CE3C32" w:rsidRDefault="006413B8">
      <w:pPr>
        <w:pStyle w:val="3"/>
        <w:spacing w:line="280" w:lineRule="exact"/>
        <w:jc w:val="left"/>
        <w:rPr>
          <w:rFonts w:ascii="Times New Roman" w:hAnsi="Times New Roman" w:cs="Times New Roman"/>
          <w:b/>
          <w:bCs/>
        </w:rPr>
      </w:pPr>
      <w:bookmarkStart w:id="26" w:name="_Toc988914"/>
      <w:r>
        <w:rPr>
          <w:rFonts w:ascii="Times New Roman" w:hAnsi="Times New Roman" w:cs="Times New Roman"/>
          <w:b/>
          <w:bCs/>
        </w:rPr>
        <w:t>2</w:t>
      </w:r>
      <w:r>
        <w:rPr>
          <w:rFonts w:ascii="Times New Roman" w:hAnsi="Times New Roman" w:cs="Times New Roman"/>
          <w:b/>
          <w:bCs/>
        </w:rPr>
        <w:t>、报告期内获取的重大的股权投资情况</w:t>
      </w:r>
      <w:bookmarkEnd w:id="26"/>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27" w:name="_Toc988915"/>
      <w:r>
        <w:rPr>
          <w:rFonts w:ascii="Times New Roman" w:hAnsi="Times New Roman" w:cs="Times New Roman"/>
          <w:b/>
          <w:bCs/>
        </w:rPr>
        <w:t>3</w:t>
      </w:r>
      <w:r>
        <w:rPr>
          <w:rFonts w:ascii="Times New Roman" w:hAnsi="Times New Roman" w:cs="Times New Roman"/>
          <w:b/>
          <w:bCs/>
        </w:rPr>
        <w:t>、报告期内正在进行的重大的非股权投资情况</w:t>
      </w:r>
      <w:bookmarkEnd w:id="27"/>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42"/>
        <w:gridCol w:w="742"/>
        <w:gridCol w:w="742"/>
        <w:gridCol w:w="742"/>
        <w:gridCol w:w="742"/>
        <w:gridCol w:w="742"/>
        <w:gridCol w:w="741"/>
        <w:gridCol w:w="741"/>
        <w:gridCol w:w="741"/>
        <w:gridCol w:w="741"/>
        <w:gridCol w:w="741"/>
        <w:gridCol w:w="741"/>
        <w:gridCol w:w="741"/>
      </w:tblGrid>
      <w:tr w:rsidR="00CE3C32">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项目名称</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投资方式</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是否为固定资产投资</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投资项目涉及行业</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本报告期投入金额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截至报告期末累计实际投入金额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资金来源</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项目进度</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预计收益</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截止报告期末累计实现的收益</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未达到计划进度和预计收益的原因</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披露日期（如有）</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披露索引（如有）</w:t>
            </w:r>
          </w:p>
        </w:tc>
      </w:tr>
      <w:tr w:rsidR="00CE3C32">
        <w:trPr>
          <w:trHeight w:val="240"/>
        </w:trPr>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算力集群服务项目</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自建</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软件与信息技术服务业</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233,303,592.10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333,083,592.10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募集资金、自筹资金</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91.94%</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45,630,000.00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8,821,871.07</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不适用</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2024</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12</w:t>
            </w:r>
            <w:r>
              <w:rPr>
                <w:rFonts w:ascii="Times New Roman" w:eastAsia="宋体" w:hAnsi="Times New Roman" w:cs="Times New Roman"/>
                <w:sz w:val="18"/>
                <w:szCs w:val="18"/>
              </w:rPr>
              <w:t>日</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公告编号：</w:t>
            </w:r>
            <w:r>
              <w:rPr>
                <w:rFonts w:ascii="Times New Roman" w:eastAsia="宋体" w:hAnsi="Times New Roman" w:cs="Times New Roman"/>
                <w:sz w:val="18"/>
                <w:szCs w:val="18"/>
              </w:rPr>
              <w:t>2024-090</w:t>
            </w:r>
          </w:p>
        </w:tc>
      </w:tr>
      <w:tr w:rsidR="00CE3C32">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233,303,592.10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333,083,592.10</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45,630,000.00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8,821,871.07</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r>
    </w:tbl>
    <w:p w:rsidR="00CE3C32" w:rsidRDefault="006413B8">
      <w:pPr>
        <w:pStyle w:val="3"/>
        <w:spacing w:line="280" w:lineRule="exact"/>
        <w:jc w:val="left"/>
        <w:rPr>
          <w:rFonts w:ascii="Times New Roman" w:hAnsi="Times New Roman" w:cs="Times New Roman"/>
          <w:b/>
          <w:bCs/>
        </w:rPr>
      </w:pPr>
      <w:bookmarkStart w:id="28" w:name="_Toc988916"/>
      <w:r>
        <w:rPr>
          <w:rFonts w:ascii="Times New Roman" w:hAnsi="Times New Roman" w:cs="Times New Roman"/>
          <w:b/>
          <w:bCs/>
        </w:rPr>
        <w:t>4</w:t>
      </w:r>
      <w:r>
        <w:rPr>
          <w:rFonts w:ascii="Times New Roman" w:hAnsi="Times New Roman" w:cs="Times New Roman"/>
          <w:b/>
          <w:bCs/>
        </w:rPr>
        <w:t>、以公允价值计量的金融资产</w:t>
      </w:r>
      <w:bookmarkEnd w:id="28"/>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4875"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9"/>
        <w:gridCol w:w="1161"/>
        <w:gridCol w:w="930"/>
        <w:gridCol w:w="1199"/>
        <w:gridCol w:w="757"/>
        <w:gridCol w:w="930"/>
        <w:gridCol w:w="930"/>
        <w:gridCol w:w="930"/>
        <w:gridCol w:w="1161"/>
        <w:gridCol w:w="680"/>
      </w:tblGrid>
      <w:tr w:rsidR="00CE3C32">
        <w:trPr>
          <w:trHeight w:val="240"/>
        </w:trPr>
        <w:tc>
          <w:tcPr>
            <w:tcW w:w="48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资产类别</w:t>
            </w:r>
          </w:p>
        </w:tc>
        <w:tc>
          <w:tcPr>
            <w:tcW w:w="60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初始投资成本</w:t>
            </w:r>
          </w:p>
        </w:tc>
        <w:tc>
          <w:tcPr>
            <w:tcW w:w="48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本期公允价值变动损益</w:t>
            </w:r>
          </w:p>
        </w:tc>
        <w:tc>
          <w:tcPr>
            <w:tcW w:w="62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计入权益的累计公允价值变动</w:t>
            </w:r>
          </w:p>
        </w:tc>
        <w:tc>
          <w:tcPr>
            <w:tcW w:w="39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报告期内购入金额</w:t>
            </w:r>
          </w:p>
        </w:tc>
        <w:tc>
          <w:tcPr>
            <w:tcW w:w="48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报告期内售出金额</w:t>
            </w:r>
          </w:p>
        </w:tc>
        <w:tc>
          <w:tcPr>
            <w:tcW w:w="48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累计投资收益</w:t>
            </w:r>
          </w:p>
        </w:tc>
        <w:tc>
          <w:tcPr>
            <w:tcW w:w="48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其他变动</w:t>
            </w:r>
          </w:p>
        </w:tc>
        <w:tc>
          <w:tcPr>
            <w:tcW w:w="60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期末金额</w:t>
            </w:r>
          </w:p>
        </w:tc>
        <w:tc>
          <w:tcPr>
            <w:tcW w:w="35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资金来源</w:t>
            </w:r>
          </w:p>
        </w:tc>
      </w:tr>
      <w:tr w:rsidR="00CE3C32">
        <w:trPr>
          <w:trHeight w:val="240"/>
        </w:trPr>
        <w:tc>
          <w:tcPr>
            <w:tcW w:w="48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60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4,400,000.00</w:t>
            </w:r>
          </w:p>
        </w:tc>
        <w:tc>
          <w:tcPr>
            <w:tcW w:w="48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62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-316,600.00</w:t>
            </w:r>
          </w:p>
        </w:tc>
        <w:tc>
          <w:tcPr>
            <w:tcW w:w="39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48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48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48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60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4,083,400.00</w:t>
            </w: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自有资金</w:t>
            </w:r>
          </w:p>
        </w:tc>
      </w:tr>
      <w:tr w:rsidR="00CE3C32">
        <w:trPr>
          <w:trHeight w:val="240"/>
        </w:trPr>
        <w:tc>
          <w:tcPr>
            <w:tcW w:w="48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60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4,400,000.00</w:t>
            </w:r>
          </w:p>
        </w:tc>
        <w:tc>
          <w:tcPr>
            <w:tcW w:w="48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62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-316,600.00</w:t>
            </w:r>
          </w:p>
        </w:tc>
        <w:tc>
          <w:tcPr>
            <w:tcW w:w="39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48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48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48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60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4,083,400.00</w:t>
            </w:r>
          </w:p>
        </w:tc>
        <w:tc>
          <w:tcPr>
            <w:tcW w:w="35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r>
    </w:tbl>
    <w:p w:rsidR="00CE3C32" w:rsidRDefault="00CE3C32">
      <w:pPr>
        <w:pStyle w:val="3"/>
        <w:spacing w:line="280" w:lineRule="exact"/>
        <w:jc w:val="left"/>
        <w:rPr>
          <w:rFonts w:ascii="Times New Roman" w:hAnsi="Times New Roman" w:cs="Times New Roman"/>
          <w:b/>
          <w:bCs/>
        </w:rPr>
        <w:sectPr w:rsidR="00CE3C32">
          <w:headerReference w:type="default" r:id="rId8"/>
          <w:footerReference w:type="default" r:id="rId9"/>
          <w:pgSz w:w="11905" w:h="16840"/>
          <w:pgMar w:top="1440" w:right="1134" w:bottom="1440" w:left="1134" w:header="850" w:footer="992" w:gutter="0"/>
          <w:cols w:space="720"/>
          <w:docGrid w:type="linesAndChars" w:linePitch="312"/>
        </w:sectPr>
      </w:pPr>
      <w:bookmarkStart w:id="29" w:name="_Toc988917"/>
    </w:p>
    <w:p w:rsidR="00CE3C32" w:rsidRDefault="006413B8">
      <w:pPr>
        <w:pStyle w:val="3"/>
        <w:spacing w:line="280" w:lineRule="exact"/>
        <w:jc w:val="left"/>
        <w:rPr>
          <w:rFonts w:ascii="Times New Roman" w:hAnsi="Times New Roman" w:cs="Times New Roman"/>
          <w:b/>
          <w:bCs/>
        </w:rPr>
      </w:pPr>
      <w:r>
        <w:rPr>
          <w:rFonts w:ascii="Times New Roman" w:hAnsi="Times New Roman" w:cs="Times New Roman"/>
          <w:b/>
          <w:bCs/>
        </w:rPr>
        <w:lastRenderedPageBreak/>
        <w:t>5</w:t>
      </w:r>
      <w:r>
        <w:rPr>
          <w:rFonts w:ascii="Times New Roman" w:hAnsi="Times New Roman" w:cs="Times New Roman"/>
          <w:b/>
          <w:bCs/>
        </w:rPr>
        <w:t>、募集资金使用情况</w:t>
      </w:r>
      <w:bookmarkEnd w:id="29"/>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30" w:name="_Toc988918"/>
      <w:r>
        <w:rPr>
          <w:rFonts w:ascii="Times New Roman" w:eastAsia="宋体" w:hAnsi="Times New Roman" w:cs="Times New Roman"/>
          <w:b/>
          <w:bCs/>
          <w:sz w:val="18"/>
          <w:szCs w:val="18"/>
        </w:rPr>
        <w:t>（</w:t>
      </w:r>
      <w:r>
        <w:rPr>
          <w:rFonts w:ascii="Times New Roman" w:eastAsia="宋体" w:hAnsi="Times New Roman" w:cs="Times New Roman"/>
          <w:b/>
          <w:bCs/>
          <w:sz w:val="18"/>
          <w:szCs w:val="18"/>
        </w:rPr>
        <w:t>1</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募集资金总体使用情况</w:t>
      </w:r>
      <w:bookmarkEnd w:id="30"/>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单位：万元</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14"/>
        <w:gridCol w:w="492"/>
        <w:gridCol w:w="693"/>
        <w:gridCol w:w="969"/>
        <w:gridCol w:w="1023"/>
        <w:gridCol w:w="991"/>
        <w:gridCol w:w="1119"/>
        <w:gridCol w:w="1098"/>
        <w:gridCol w:w="666"/>
        <w:gridCol w:w="1109"/>
        <w:gridCol w:w="1001"/>
        <w:gridCol w:w="1052"/>
        <w:gridCol w:w="2339"/>
        <w:gridCol w:w="1010"/>
      </w:tblGrid>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募集年份</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募集方式</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证券上市日期</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募集资金总额</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募集资金净额（</w:t>
            </w:r>
            <w:r>
              <w:rPr>
                <w:rFonts w:ascii="Times New Roman" w:eastAsia="宋体" w:hAnsi="Times New Roman" w:cs="Times New Roman"/>
                <w:sz w:val="18"/>
                <w:szCs w:val="18"/>
              </w:rPr>
              <w:t>1</w:t>
            </w: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本期已使用募集资金总额</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已累计使用募集资金总额（</w:t>
            </w:r>
            <w:r>
              <w:rPr>
                <w:rFonts w:ascii="Times New Roman" w:eastAsia="宋体" w:hAnsi="Times New Roman" w:cs="Times New Roman"/>
                <w:sz w:val="18"/>
                <w:szCs w:val="18"/>
              </w:rPr>
              <w:t>2</w:t>
            </w: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报告期末募集资金使用比例（</w:t>
            </w:r>
            <w:r>
              <w:rPr>
                <w:rFonts w:ascii="Times New Roman" w:eastAsia="宋体" w:hAnsi="Times New Roman" w:cs="Times New Roman"/>
                <w:sz w:val="18"/>
                <w:szCs w:val="18"/>
              </w:rPr>
              <w:t>3</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2</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1</w:t>
            </w: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报告期内变更用途的募集资金总额</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累计变更用途的募集资金总额</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累计变更用途的募集资金总额比例</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尚未使用募集资金总额</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尚未使用募集资金用途及去向</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闲置两年以上募集资金金额</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首次公开发行</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2021</w:t>
            </w:r>
            <w:r>
              <w:rPr>
                <w:rFonts w:ascii="Times New Roman" w:eastAsia="宋体" w:hAnsi="Times New Roman" w:cs="Times New Roman"/>
                <w:sz w:val="18"/>
                <w:szCs w:val="18"/>
              </w:rPr>
              <w:t>年</w:t>
            </w:r>
            <w:r>
              <w:rPr>
                <w:rFonts w:ascii="Times New Roman" w:eastAsia="宋体" w:hAnsi="Times New Roman" w:cs="Times New Roman"/>
                <w:sz w:val="18"/>
                <w:szCs w:val="18"/>
              </w:rPr>
              <w:t>11</w:t>
            </w:r>
            <w:r>
              <w:rPr>
                <w:rFonts w:ascii="Times New Roman" w:eastAsia="宋体" w:hAnsi="Times New Roman" w:cs="Times New Roman"/>
                <w:sz w:val="18"/>
                <w:szCs w:val="18"/>
              </w:rPr>
              <w:t>月</w:t>
            </w:r>
            <w:r>
              <w:rPr>
                <w:rFonts w:ascii="Times New Roman" w:eastAsia="宋体" w:hAnsi="Times New Roman" w:cs="Times New Roman"/>
                <w:sz w:val="18"/>
                <w:szCs w:val="18"/>
              </w:rPr>
              <w:t>12</w:t>
            </w:r>
            <w:r>
              <w:rPr>
                <w:rFonts w:ascii="Times New Roman" w:eastAsia="宋体" w:hAnsi="Times New Roman" w:cs="Times New Roman"/>
                <w:sz w:val="18"/>
                <w:szCs w:val="18"/>
              </w:rPr>
              <w:t>日</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57,311.75</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51,026.07</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6,987.91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40,878.61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80.11%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17,285.67</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33.88%</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10,147.46</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以定期存款、结构性存款等方式用闲置募集资金进行现金管理人民币</w:t>
            </w:r>
            <w:r>
              <w:rPr>
                <w:rFonts w:ascii="Times New Roman" w:eastAsia="宋体" w:hAnsi="Times New Roman" w:cs="Times New Roman"/>
                <w:sz w:val="18"/>
                <w:szCs w:val="18"/>
              </w:rPr>
              <w:t>4,000.00</w:t>
            </w:r>
            <w:r>
              <w:rPr>
                <w:rFonts w:ascii="Times New Roman" w:eastAsia="宋体" w:hAnsi="Times New Roman" w:cs="Times New Roman"/>
                <w:sz w:val="18"/>
                <w:szCs w:val="18"/>
              </w:rPr>
              <w:t>万元，其余存放于募集资金专户，按募投项目计划规范使用。存放于募集资金专户，将用于承诺募投项目。</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6,253.71</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57,311.75</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51,026.07</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6,987.91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40,878.61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80.11%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17,285.67</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33.88%</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10,147.46</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6,253.71</w:t>
            </w:r>
          </w:p>
        </w:tc>
      </w:tr>
      <w:tr w:rsidR="00CE3C32">
        <w:trPr>
          <w:trHeight w:val="240"/>
        </w:trPr>
        <w:tc>
          <w:tcPr>
            <w:tcW w:w="0" w:type="auto"/>
            <w:gridSpan w:val="1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募集资金总体使用情况说明</w:t>
            </w:r>
          </w:p>
        </w:tc>
      </w:tr>
      <w:tr w:rsidR="00CE3C32">
        <w:trPr>
          <w:trHeight w:val="240"/>
        </w:trPr>
        <w:tc>
          <w:tcPr>
            <w:tcW w:w="0" w:type="auto"/>
            <w:gridSpan w:val="14"/>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宋体" w:eastAsia="宋体" w:hAnsi="宋体" w:cs="宋体" w:hint="eastAsia"/>
                <w:sz w:val="18"/>
                <w:szCs w:val="18"/>
              </w:rPr>
              <w:t>①</w:t>
            </w:r>
            <w:r>
              <w:rPr>
                <w:rFonts w:ascii="Times New Roman" w:eastAsia="宋体" w:hAnsi="Times New Roman" w:cs="Times New Roman"/>
                <w:sz w:val="18"/>
                <w:szCs w:val="18"/>
              </w:rPr>
              <w:t>募集资金基本情况</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公司于</w:t>
            </w:r>
            <w:r>
              <w:rPr>
                <w:rFonts w:ascii="Times New Roman" w:eastAsia="宋体" w:hAnsi="Times New Roman" w:cs="Times New Roman"/>
                <w:sz w:val="18"/>
                <w:szCs w:val="18"/>
              </w:rPr>
              <w:t>2021</w:t>
            </w:r>
            <w:r>
              <w:rPr>
                <w:rFonts w:ascii="Times New Roman" w:eastAsia="宋体" w:hAnsi="Times New Roman" w:cs="Times New Roman"/>
                <w:sz w:val="18"/>
                <w:szCs w:val="18"/>
              </w:rPr>
              <w:t>年</w:t>
            </w:r>
            <w:r>
              <w:rPr>
                <w:rFonts w:ascii="Times New Roman" w:eastAsia="宋体" w:hAnsi="Times New Roman" w:cs="Times New Roman"/>
                <w:sz w:val="18"/>
                <w:szCs w:val="18"/>
              </w:rPr>
              <w:t>11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日采用网上定价方式公开发行人民币普通股（</w:t>
            </w:r>
            <w:r>
              <w:rPr>
                <w:rFonts w:ascii="Times New Roman" w:eastAsia="宋体" w:hAnsi="Times New Roman" w:cs="Times New Roman"/>
                <w:sz w:val="18"/>
                <w:szCs w:val="18"/>
              </w:rPr>
              <w:t>A</w:t>
            </w:r>
            <w:r>
              <w:rPr>
                <w:rFonts w:ascii="Times New Roman" w:eastAsia="宋体" w:hAnsi="Times New Roman" w:cs="Times New Roman"/>
                <w:sz w:val="18"/>
                <w:szCs w:val="18"/>
              </w:rPr>
              <w:t>股）</w:t>
            </w:r>
            <w:r>
              <w:rPr>
                <w:rFonts w:ascii="Times New Roman" w:eastAsia="宋体" w:hAnsi="Times New Roman" w:cs="Times New Roman"/>
                <w:sz w:val="18"/>
                <w:szCs w:val="18"/>
              </w:rPr>
              <w:t>11,778,000.00</w:t>
            </w:r>
            <w:r>
              <w:rPr>
                <w:rFonts w:ascii="Times New Roman" w:eastAsia="宋体" w:hAnsi="Times New Roman" w:cs="Times New Roman"/>
                <w:sz w:val="18"/>
                <w:szCs w:val="18"/>
              </w:rPr>
              <w:t>股，每股面值为人民币</w:t>
            </w:r>
            <w:r>
              <w:rPr>
                <w:rFonts w:ascii="Times New Roman" w:eastAsia="宋体" w:hAnsi="Times New Roman" w:cs="Times New Roman"/>
                <w:sz w:val="18"/>
                <w:szCs w:val="18"/>
              </w:rPr>
              <w:t>1</w:t>
            </w:r>
            <w:r>
              <w:rPr>
                <w:rFonts w:ascii="Times New Roman" w:eastAsia="宋体" w:hAnsi="Times New Roman" w:cs="Times New Roman"/>
                <w:sz w:val="18"/>
                <w:szCs w:val="18"/>
              </w:rPr>
              <w:t>元，每股发行价格为人民币</w:t>
            </w:r>
            <w:r>
              <w:rPr>
                <w:rFonts w:ascii="Times New Roman" w:eastAsia="宋体" w:hAnsi="Times New Roman" w:cs="Times New Roman"/>
                <w:sz w:val="18"/>
                <w:szCs w:val="18"/>
              </w:rPr>
              <w:t>48.66</w:t>
            </w:r>
            <w:r>
              <w:rPr>
                <w:rFonts w:ascii="Times New Roman" w:eastAsia="宋体" w:hAnsi="Times New Roman" w:cs="Times New Roman"/>
                <w:sz w:val="18"/>
                <w:szCs w:val="18"/>
              </w:rPr>
              <w:t>元，募集资金总额</w:t>
            </w:r>
            <w:r>
              <w:rPr>
                <w:rFonts w:ascii="Times New Roman" w:eastAsia="宋体" w:hAnsi="Times New Roman" w:cs="Times New Roman"/>
                <w:sz w:val="18"/>
                <w:szCs w:val="18"/>
              </w:rPr>
              <w:t>573,117,480.00</w:t>
            </w:r>
            <w:r>
              <w:rPr>
                <w:rFonts w:ascii="Times New Roman" w:eastAsia="宋体" w:hAnsi="Times New Roman" w:cs="Times New Roman"/>
                <w:sz w:val="18"/>
                <w:szCs w:val="18"/>
              </w:rPr>
              <w:t>元，实际募集资金净额</w:t>
            </w:r>
            <w:r>
              <w:rPr>
                <w:rFonts w:ascii="Times New Roman" w:eastAsia="宋体" w:hAnsi="Times New Roman" w:cs="Times New Roman"/>
                <w:sz w:val="18"/>
                <w:szCs w:val="18"/>
              </w:rPr>
              <w:t>510,260,652.00</w:t>
            </w:r>
            <w:r>
              <w:rPr>
                <w:rFonts w:ascii="Times New Roman" w:eastAsia="宋体" w:hAnsi="Times New Roman" w:cs="Times New Roman"/>
                <w:sz w:val="18"/>
                <w:szCs w:val="18"/>
              </w:rPr>
              <w:t>元。该项募集资金已于</w:t>
            </w:r>
            <w:r>
              <w:rPr>
                <w:rFonts w:ascii="Times New Roman" w:eastAsia="宋体" w:hAnsi="Times New Roman" w:cs="Times New Roman"/>
                <w:sz w:val="18"/>
                <w:szCs w:val="18"/>
              </w:rPr>
              <w:t>2021</w:t>
            </w:r>
            <w:r>
              <w:rPr>
                <w:rFonts w:ascii="Times New Roman" w:eastAsia="宋体" w:hAnsi="Times New Roman" w:cs="Times New Roman"/>
                <w:sz w:val="18"/>
                <w:szCs w:val="18"/>
              </w:rPr>
              <w:t>年</w:t>
            </w:r>
            <w:r>
              <w:rPr>
                <w:rFonts w:ascii="Times New Roman" w:eastAsia="宋体" w:hAnsi="Times New Roman" w:cs="Times New Roman"/>
                <w:sz w:val="18"/>
                <w:szCs w:val="18"/>
              </w:rPr>
              <w:t>11</w:t>
            </w:r>
            <w:r>
              <w:rPr>
                <w:rFonts w:ascii="Times New Roman" w:eastAsia="宋体" w:hAnsi="Times New Roman" w:cs="Times New Roman"/>
                <w:sz w:val="18"/>
                <w:szCs w:val="18"/>
              </w:rPr>
              <w:t>月</w:t>
            </w:r>
            <w:r>
              <w:rPr>
                <w:rFonts w:ascii="Times New Roman" w:eastAsia="宋体" w:hAnsi="Times New Roman" w:cs="Times New Roman"/>
                <w:sz w:val="18"/>
                <w:szCs w:val="18"/>
              </w:rPr>
              <w:t>5</w:t>
            </w:r>
            <w:r>
              <w:rPr>
                <w:rFonts w:ascii="Times New Roman" w:eastAsia="宋体" w:hAnsi="Times New Roman" w:cs="Times New Roman"/>
                <w:sz w:val="18"/>
                <w:szCs w:val="18"/>
              </w:rPr>
              <w:t>日存入公司募集资金专用账户，并经中审众环会计师事务所（特殊普通合伙）以众环验字（</w:t>
            </w:r>
            <w:r>
              <w:rPr>
                <w:rFonts w:ascii="Times New Roman" w:eastAsia="宋体" w:hAnsi="Times New Roman" w:cs="Times New Roman"/>
                <w:sz w:val="18"/>
                <w:szCs w:val="18"/>
              </w:rPr>
              <w:t>2021</w:t>
            </w:r>
            <w:r>
              <w:rPr>
                <w:rFonts w:ascii="Times New Roman" w:eastAsia="宋体" w:hAnsi="Times New Roman" w:cs="Times New Roman"/>
                <w:sz w:val="18"/>
                <w:szCs w:val="18"/>
              </w:rPr>
              <w:t>）</w:t>
            </w:r>
            <w:r>
              <w:rPr>
                <w:rFonts w:ascii="Times New Roman" w:eastAsia="宋体" w:hAnsi="Times New Roman" w:cs="Times New Roman"/>
                <w:sz w:val="18"/>
                <w:szCs w:val="18"/>
              </w:rPr>
              <w:t>0600012</w:t>
            </w:r>
            <w:r>
              <w:rPr>
                <w:rFonts w:ascii="Times New Roman" w:eastAsia="宋体" w:hAnsi="Times New Roman" w:cs="Times New Roman"/>
                <w:sz w:val="18"/>
                <w:szCs w:val="18"/>
              </w:rPr>
              <w:t>号《验资报告》审验。根据公司《首次公开发行股票并在创业板上市招股说明书》公司拟募集资金</w:t>
            </w:r>
            <w:r>
              <w:rPr>
                <w:rFonts w:ascii="Times New Roman" w:eastAsia="宋体" w:hAnsi="Times New Roman" w:cs="Times New Roman"/>
                <w:sz w:val="18"/>
                <w:szCs w:val="18"/>
              </w:rPr>
              <w:t>279,361,500.00</w:t>
            </w:r>
            <w:r>
              <w:rPr>
                <w:rFonts w:ascii="Times New Roman" w:eastAsia="宋体" w:hAnsi="Times New Roman" w:cs="Times New Roman"/>
                <w:sz w:val="18"/>
                <w:szCs w:val="18"/>
              </w:rPr>
              <w:t>元，本次超募资金为</w:t>
            </w:r>
            <w:r>
              <w:rPr>
                <w:rFonts w:ascii="Times New Roman" w:eastAsia="宋体" w:hAnsi="Times New Roman" w:cs="Times New Roman"/>
                <w:sz w:val="18"/>
                <w:szCs w:val="18"/>
              </w:rPr>
              <w:t>230,899,152.00</w:t>
            </w:r>
            <w:r>
              <w:rPr>
                <w:rFonts w:ascii="Times New Roman" w:eastAsia="宋体" w:hAnsi="Times New Roman" w:cs="Times New Roman"/>
                <w:sz w:val="18"/>
                <w:szCs w:val="18"/>
              </w:rPr>
              <w:t>元。</w:t>
            </w:r>
          </w:p>
          <w:p w:rsidR="00CE3C32" w:rsidRDefault="006413B8">
            <w:pPr>
              <w:spacing w:line="240" w:lineRule="exact"/>
              <w:rPr>
                <w:rFonts w:ascii="Times New Roman" w:eastAsia="宋体" w:hAnsi="Times New Roman" w:cs="Times New Roman"/>
                <w:sz w:val="18"/>
                <w:szCs w:val="18"/>
              </w:rPr>
            </w:pPr>
            <w:r>
              <w:rPr>
                <w:rFonts w:ascii="宋体" w:eastAsia="宋体" w:hAnsi="宋体" w:cs="宋体" w:hint="eastAsia"/>
                <w:sz w:val="18"/>
                <w:szCs w:val="18"/>
              </w:rPr>
              <w:t>②</w:t>
            </w:r>
            <w:r>
              <w:rPr>
                <w:rFonts w:ascii="Times New Roman" w:eastAsia="宋体" w:hAnsi="Times New Roman" w:cs="Times New Roman"/>
                <w:sz w:val="18"/>
                <w:szCs w:val="18"/>
              </w:rPr>
              <w:t>报告期内使用情况</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截至</w:t>
            </w: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6</w:t>
            </w:r>
            <w:r>
              <w:rPr>
                <w:rFonts w:ascii="Times New Roman" w:eastAsia="宋体" w:hAnsi="Times New Roman" w:cs="Times New Roman"/>
                <w:sz w:val="18"/>
                <w:szCs w:val="18"/>
              </w:rPr>
              <w:t>月</w:t>
            </w:r>
            <w:r>
              <w:rPr>
                <w:rFonts w:ascii="Times New Roman" w:eastAsia="宋体" w:hAnsi="Times New Roman" w:cs="Times New Roman"/>
                <w:sz w:val="18"/>
                <w:szCs w:val="18"/>
              </w:rPr>
              <w:t>30</w:t>
            </w:r>
            <w:r>
              <w:rPr>
                <w:rFonts w:ascii="Times New Roman" w:eastAsia="宋体" w:hAnsi="Times New Roman" w:cs="Times New Roman"/>
                <w:sz w:val="18"/>
                <w:szCs w:val="18"/>
              </w:rPr>
              <w:t>日，公司募集资金专户余额为</w:t>
            </w:r>
            <w:r>
              <w:rPr>
                <w:rFonts w:ascii="Times New Roman" w:eastAsia="宋体" w:hAnsi="Times New Roman" w:cs="Times New Roman"/>
                <w:sz w:val="18"/>
                <w:szCs w:val="18"/>
              </w:rPr>
              <w:t xml:space="preserve"> 93,063,579.12 </w:t>
            </w:r>
            <w:r>
              <w:rPr>
                <w:rFonts w:ascii="Times New Roman" w:eastAsia="宋体" w:hAnsi="Times New Roman" w:cs="Times New Roman"/>
                <w:sz w:val="18"/>
                <w:szCs w:val="18"/>
              </w:rPr>
              <w:t>元，本年度募投项目使用金额</w:t>
            </w:r>
            <w:r>
              <w:rPr>
                <w:rFonts w:ascii="Times New Roman" w:eastAsia="宋体" w:hAnsi="Times New Roman" w:cs="Times New Roman"/>
                <w:sz w:val="18"/>
                <w:szCs w:val="18"/>
              </w:rPr>
              <w:t xml:space="preserve"> 69,879,098.91 </w:t>
            </w:r>
            <w:r>
              <w:rPr>
                <w:rFonts w:ascii="Times New Roman" w:eastAsia="宋体" w:hAnsi="Times New Roman" w:cs="Times New Roman"/>
                <w:sz w:val="18"/>
                <w:szCs w:val="18"/>
              </w:rPr>
              <w:t>元，其中：使用超募资金</w:t>
            </w:r>
            <w:r>
              <w:rPr>
                <w:rFonts w:ascii="Times New Roman" w:eastAsia="宋体" w:hAnsi="Times New Roman" w:cs="Times New Roman"/>
                <w:sz w:val="18"/>
                <w:szCs w:val="18"/>
              </w:rPr>
              <w:t>68,000,000.00</w:t>
            </w:r>
            <w:r>
              <w:rPr>
                <w:rFonts w:ascii="Times New Roman" w:eastAsia="宋体" w:hAnsi="Times New Roman" w:cs="Times New Roman"/>
                <w:sz w:val="18"/>
                <w:szCs w:val="18"/>
              </w:rPr>
              <w:t>元用于补充流动资金，另使用超募资金支付深圳综合运营中心项目</w:t>
            </w:r>
            <w:r>
              <w:rPr>
                <w:rFonts w:ascii="Times New Roman" w:eastAsia="宋体" w:hAnsi="Times New Roman" w:cs="Times New Roman"/>
                <w:sz w:val="18"/>
                <w:szCs w:val="18"/>
              </w:rPr>
              <w:t xml:space="preserve"> 1,879,098.91 </w:t>
            </w:r>
            <w:r>
              <w:rPr>
                <w:rFonts w:ascii="Times New Roman" w:eastAsia="宋体" w:hAnsi="Times New Roman" w:cs="Times New Roman"/>
                <w:sz w:val="18"/>
                <w:szCs w:val="18"/>
              </w:rPr>
              <w:t>元。报告期末，公司使用</w:t>
            </w:r>
            <w:r>
              <w:rPr>
                <w:rFonts w:ascii="Times New Roman" w:eastAsia="宋体" w:hAnsi="Times New Roman" w:cs="Times New Roman"/>
                <w:sz w:val="18"/>
                <w:szCs w:val="18"/>
              </w:rPr>
              <w:t xml:space="preserve"> 40,000,000.00 </w:t>
            </w:r>
            <w:r>
              <w:rPr>
                <w:rFonts w:ascii="Times New Roman" w:eastAsia="宋体" w:hAnsi="Times New Roman" w:cs="Times New Roman"/>
                <w:sz w:val="18"/>
                <w:szCs w:val="18"/>
              </w:rPr>
              <w:t>元闲置募集资金进行现金管理。</w:t>
            </w:r>
          </w:p>
        </w:tc>
      </w:tr>
    </w:tbl>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31" w:name="_Toc988919"/>
      <w:r>
        <w:rPr>
          <w:rFonts w:ascii="Times New Roman" w:eastAsia="宋体" w:hAnsi="Times New Roman" w:cs="Times New Roman"/>
          <w:b/>
          <w:bCs/>
          <w:sz w:val="18"/>
          <w:szCs w:val="18"/>
        </w:rPr>
        <w:lastRenderedPageBreak/>
        <w:t>（</w:t>
      </w:r>
      <w:r>
        <w:rPr>
          <w:rFonts w:ascii="Times New Roman" w:eastAsia="宋体" w:hAnsi="Times New Roman" w:cs="Times New Roman"/>
          <w:b/>
          <w:bCs/>
          <w:sz w:val="18"/>
          <w:szCs w:val="18"/>
        </w:rPr>
        <w:t>2</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募集资金承诺项目情况</w:t>
      </w:r>
      <w:bookmarkEnd w:id="31"/>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单位：万元</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6"/>
        <w:gridCol w:w="901"/>
        <w:gridCol w:w="818"/>
        <w:gridCol w:w="470"/>
        <w:gridCol w:w="725"/>
        <w:gridCol w:w="993"/>
        <w:gridCol w:w="1086"/>
        <w:gridCol w:w="1043"/>
        <w:gridCol w:w="960"/>
        <w:gridCol w:w="1113"/>
        <w:gridCol w:w="1085"/>
        <w:gridCol w:w="839"/>
        <w:gridCol w:w="865"/>
        <w:gridCol w:w="958"/>
        <w:gridCol w:w="564"/>
        <w:gridCol w:w="680"/>
      </w:tblGrid>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融资项目名称</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证券上市日期</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承诺投资项目和超募资金投向</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项目性质</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是否已变更项目</w:t>
            </w:r>
            <w:r>
              <w:rPr>
                <w:rFonts w:ascii="Times New Roman" w:eastAsia="宋体" w:hAnsi="Times New Roman" w:cs="Times New Roman"/>
                <w:sz w:val="18"/>
                <w:szCs w:val="18"/>
              </w:rPr>
              <w:t>(</w:t>
            </w:r>
            <w:r>
              <w:rPr>
                <w:rFonts w:ascii="Times New Roman" w:eastAsia="宋体" w:hAnsi="Times New Roman" w:cs="Times New Roman"/>
                <w:sz w:val="18"/>
                <w:szCs w:val="18"/>
              </w:rPr>
              <w:t>含部分变更</w:t>
            </w: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募集资金净额</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募集资金承诺投资总额</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调整后投资总额</w:t>
            </w:r>
            <w:r>
              <w:rPr>
                <w:rFonts w:ascii="Times New Roman" w:eastAsia="宋体" w:hAnsi="Times New Roman" w:cs="Times New Roman"/>
                <w:sz w:val="18"/>
                <w:szCs w:val="18"/>
              </w:rPr>
              <w:t>(1)</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本报告期投入金额</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截至期末累计投入金额</w:t>
            </w:r>
            <w:r>
              <w:rPr>
                <w:rFonts w:ascii="Times New Roman" w:eastAsia="宋体" w:hAnsi="Times New Roman" w:cs="Times New Roman"/>
                <w:sz w:val="18"/>
                <w:szCs w:val="18"/>
              </w:rPr>
              <w:t>(2)</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截至期末投资进度</w:t>
            </w:r>
            <w:r>
              <w:rPr>
                <w:rFonts w:ascii="Times New Roman" w:eastAsia="宋体" w:hAnsi="Times New Roman" w:cs="Times New Roman"/>
                <w:sz w:val="18"/>
                <w:szCs w:val="18"/>
              </w:rPr>
              <w:t>(3)</w:t>
            </w:r>
            <w:r>
              <w:rPr>
                <w:rFonts w:ascii="Times New Roman" w:eastAsia="宋体" w:hAnsi="Times New Roman" w:cs="Times New Roman"/>
                <w:sz w:val="18"/>
                <w:szCs w:val="18"/>
              </w:rPr>
              <w:t>＝</w:t>
            </w:r>
            <w:r>
              <w:rPr>
                <w:rFonts w:ascii="Times New Roman" w:eastAsia="宋体" w:hAnsi="Times New Roman" w:cs="Times New Roman"/>
                <w:sz w:val="18"/>
                <w:szCs w:val="18"/>
              </w:rPr>
              <w:t>(2)/(1)</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项目达到预定可使用状态日期</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本报告期实现的效益</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截至</w:t>
            </w:r>
            <w:r>
              <w:rPr>
                <w:rFonts w:ascii="Times New Roman" w:eastAsia="宋体" w:hAnsi="Times New Roman" w:cs="Times New Roman"/>
                <w:sz w:val="18"/>
                <w:szCs w:val="18"/>
              </w:rPr>
              <w:t>报告期末累计实现的效益</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是否达到预计效益</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项目可行性是否发生重大变化</w:t>
            </w:r>
          </w:p>
        </w:tc>
      </w:tr>
      <w:tr w:rsidR="00CE3C32">
        <w:trPr>
          <w:trHeight w:val="240"/>
        </w:trPr>
        <w:tc>
          <w:tcPr>
            <w:tcW w:w="0" w:type="auto"/>
            <w:gridSpan w:val="16"/>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承诺投资项目</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2021</w:t>
            </w:r>
            <w:r>
              <w:rPr>
                <w:rFonts w:ascii="Times New Roman" w:eastAsia="宋体" w:hAnsi="Times New Roman" w:cs="Times New Roman"/>
                <w:sz w:val="18"/>
                <w:szCs w:val="18"/>
              </w:rPr>
              <w:t>年度首次公开发行证券</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2021</w:t>
            </w:r>
            <w:r>
              <w:rPr>
                <w:rFonts w:ascii="Times New Roman" w:eastAsia="宋体" w:hAnsi="Times New Roman" w:cs="Times New Roman"/>
                <w:sz w:val="18"/>
                <w:szCs w:val="18"/>
              </w:rPr>
              <w:t>年</w:t>
            </w:r>
            <w:r>
              <w:rPr>
                <w:rFonts w:ascii="Times New Roman" w:eastAsia="宋体" w:hAnsi="Times New Roman" w:cs="Times New Roman"/>
                <w:sz w:val="18"/>
                <w:szCs w:val="18"/>
              </w:rPr>
              <w:t>11</w:t>
            </w:r>
            <w:r>
              <w:rPr>
                <w:rFonts w:ascii="Times New Roman" w:eastAsia="宋体" w:hAnsi="Times New Roman" w:cs="Times New Roman"/>
                <w:sz w:val="18"/>
                <w:szCs w:val="18"/>
              </w:rPr>
              <w:t>月</w:t>
            </w:r>
            <w:r>
              <w:rPr>
                <w:rFonts w:ascii="Times New Roman" w:eastAsia="宋体" w:hAnsi="Times New Roman" w:cs="Times New Roman"/>
                <w:sz w:val="18"/>
                <w:szCs w:val="18"/>
              </w:rPr>
              <w:t>12</w:t>
            </w:r>
            <w:r>
              <w:rPr>
                <w:rFonts w:ascii="Times New Roman" w:eastAsia="宋体" w:hAnsi="Times New Roman" w:cs="Times New Roman"/>
                <w:sz w:val="18"/>
                <w:szCs w:val="18"/>
              </w:rPr>
              <w:t>日</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、智慧城市综合解决方案升级项目</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生产建设</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是</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12,572.7</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是</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2021</w:t>
            </w:r>
            <w:r>
              <w:rPr>
                <w:rFonts w:ascii="Times New Roman" w:eastAsia="宋体" w:hAnsi="Times New Roman" w:cs="Times New Roman"/>
                <w:sz w:val="18"/>
                <w:szCs w:val="18"/>
              </w:rPr>
              <w:t>年度首次公开发行证券</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2021</w:t>
            </w:r>
            <w:r>
              <w:rPr>
                <w:rFonts w:ascii="Times New Roman" w:eastAsia="宋体" w:hAnsi="Times New Roman" w:cs="Times New Roman"/>
                <w:sz w:val="18"/>
                <w:szCs w:val="18"/>
              </w:rPr>
              <w:t>年</w:t>
            </w:r>
            <w:r>
              <w:rPr>
                <w:rFonts w:ascii="Times New Roman" w:eastAsia="宋体" w:hAnsi="Times New Roman" w:cs="Times New Roman"/>
                <w:sz w:val="18"/>
                <w:szCs w:val="18"/>
              </w:rPr>
              <w:t>11</w:t>
            </w:r>
            <w:r>
              <w:rPr>
                <w:rFonts w:ascii="Times New Roman" w:eastAsia="宋体" w:hAnsi="Times New Roman" w:cs="Times New Roman"/>
                <w:sz w:val="18"/>
                <w:szCs w:val="18"/>
              </w:rPr>
              <w:t>月</w:t>
            </w:r>
            <w:r>
              <w:rPr>
                <w:rFonts w:ascii="Times New Roman" w:eastAsia="宋体" w:hAnsi="Times New Roman" w:cs="Times New Roman"/>
                <w:sz w:val="18"/>
                <w:szCs w:val="18"/>
              </w:rPr>
              <w:t>12</w:t>
            </w:r>
            <w:r>
              <w:rPr>
                <w:rFonts w:ascii="Times New Roman" w:eastAsia="宋体" w:hAnsi="Times New Roman" w:cs="Times New Roman"/>
                <w:sz w:val="18"/>
                <w:szCs w:val="18"/>
              </w:rPr>
              <w:t>日</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、大数据应用技术中心建设项目</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研发项目</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是</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3,763.6</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是</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2021</w:t>
            </w:r>
            <w:r>
              <w:rPr>
                <w:rFonts w:ascii="Times New Roman" w:eastAsia="宋体" w:hAnsi="Times New Roman" w:cs="Times New Roman"/>
                <w:sz w:val="18"/>
                <w:szCs w:val="18"/>
              </w:rPr>
              <w:t>年度首次公开发行证券</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2021</w:t>
            </w:r>
            <w:r>
              <w:rPr>
                <w:rFonts w:ascii="Times New Roman" w:eastAsia="宋体" w:hAnsi="Times New Roman" w:cs="Times New Roman"/>
                <w:sz w:val="18"/>
                <w:szCs w:val="18"/>
              </w:rPr>
              <w:t>年</w:t>
            </w:r>
            <w:r>
              <w:rPr>
                <w:rFonts w:ascii="Times New Roman" w:eastAsia="宋体" w:hAnsi="Times New Roman" w:cs="Times New Roman"/>
                <w:sz w:val="18"/>
                <w:szCs w:val="18"/>
              </w:rPr>
              <w:t>11</w:t>
            </w:r>
            <w:r>
              <w:rPr>
                <w:rFonts w:ascii="Times New Roman" w:eastAsia="宋体" w:hAnsi="Times New Roman" w:cs="Times New Roman"/>
                <w:sz w:val="18"/>
                <w:szCs w:val="18"/>
              </w:rPr>
              <w:t>月</w:t>
            </w:r>
            <w:r>
              <w:rPr>
                <w:rFonts w:ascii="Times New Roman" w:eastAsia="宋体" w:hAnsi="Times New Roman" w:cs="Times New Roman"/>
                <w:sz w:val="18"/>
                <w:szCs w:val="18"/>
              </w:rPr>
              <w:t>12</w:t>
            </w:r>
            <w:r>
              <w:rPr>
                <w:rFonts w:ascii="Times New Roman" w:eastAsia="宋体" w:hAnsi="Times New Roman" w:cs="Times New Roman"/>
                <w:sz w:val="18"/>
                <w:szCs w:val="18"/>
              </w:rPr>
              <w:t>日</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、营销服务体系升级建设项目</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运营管理</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是</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1,599.85</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是</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2021</w:t>
            </w:r>
            <w:r>
              <w:rPr>
                <w:rFonts w:ascii="Times New Roman" w:eastAsia="宋体" w:hAnsi="Times New Roman" w:cs="Times New Roman"/>
                <w:sz w:val="18"/>
                <w:szCs w:val="18"/>
              </w:rPr>
              <w:t>年度首次公开发行证券</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2021</w:t>
            </w:r>
            <w:r>
              <w:rPr>
                <w:rFonts w:ascii="Times New Roman" w:eastAsia="宋体" w:hAnsi="Times New Roman" w:cs="Times New Roman"/>
                <w:sz w:val="18"/>
                <w:szCs w:val="18"/>
              </w:rPr>
              <w:t>年</w:t>
            </w:r>
            <w:r>
              <w:rPr>
                <w:rFonts w:ascii="Times New Roman" w:eastAsia="宋体" w:hAnsi="Times New Roman" w:cs="Times New Roman"/>
                <w:sz w:val="18"/>
                <w:szCs w:val="18"/>
              </w:rPr>
              <w:t>11</w:t>
            </w:r>
            <w:r>
              <w:rPr>
                <w:rFonts w:ascii="Times New Roman" w:eastAsia="宋体" w:hAnsi="Times New Roman" w:cs="Times New Roman"/>
                <w:sz w:val="18"/>
                <w:szCs w:val="18"/>
              </w:rPr>
              <w:t>月</w:t>
            </w:r>
            <w:r>
              <w:rPr>
                <w:rFonts w:ascii="Times New Roman" w:eastAsia="宋体" w:hAnsi="Times New Roman" w:cs="Times New Roman"/>
                <w:sz w:val="18"/>
                <w:szCs w:val="18"/>
              </w:rPr>
              <w:t>12</w:t>
            </w:r>
            <w:r>
              <w:rPr>
                <w:rFonts w:ascii="Times New Roman" w:eastAsia="宋体" w:hAnsi="Times New Roman" w:cs="Times New Roman"/>
                <w:sz w:val="18"/>
                <w:szCs w:val="18"/>
              </w:rPr>
              <w:t>日</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、深圳综合运营中心项目</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生产建设</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5,569.67</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5,569.67</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5,569.67</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08</w:t>
            </w:r>
            <w:r>
              <w:rPr>
                <w:rFonts w:ascii="Times New Roman" w:eastAsia="宋体" w:hAnsi="Times New Roman" w:cs="Times New Roman"/>
                <w:sz w:val="18"/>
                <w:szCs w:val="18"/>
              </w:rPr>
              <w:t>月</w:t>
            </w:r>
            <w:r>
              <w:rPr>
                <w:rFonts w:ascii="Times New Roman" w:eastAsia="宋体" w:hAnsi="Times New Roman" w:cs="Times New Roman"/>
                <w:sz w:val="18"/>
                <w:szCs w:val="18"/>
              </w:rPr>
              <w:t>24</w:t>
            </w:r>
            <w:r>
              <w:rPr>
                <w:rFonts w:ascii="Times New Roman" w:eastAsia="宋体" w:hAnsi="Times New Roman" w:cs="Times New Roman"/>
                <w:sz w:val="18"/>
                <w:szCs w:val="18"/>
              </w:rPr>
              <w:t>日</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2021</w:t>
            </w:r>
            <w:r>
              <w:rPr>
                <w:rFonts w:ascii="Times New Roman" w:eastAsia="宋体" w:hAnsi="Times New Roman" w:cs="Times New Roman"/>
                <w:sz w:val="18"/>
                <w:szCs w:val="18"/>
              </w:rPr>
              <w:t>年度首次公开发行证券</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2021</w:t>
            </w:r>
            <w:r>
              <w:rPr>
                <w:rFonts w:ascii="Times New Roman" w:eastAsia="宋体" w:hAnsi="Times New Roman" w:cs="Times New Roman"/>
                <w:sz w:val="18"/>
                <w:szCs w:val="18"/>
              </w:rPr>
              <w:t>年</w:t>
            </w:r>
            <w:r>
              <w:rPr>
                <w:rFonts w:ascii="Times New Roman" w:eastAsia="宋体" w:hAnsi="Times New Roman" w:cs="Times New Roman"/>
                <w:sz w:val="18"/>
                <w:szCs w:val="18"/>
              </w:rPr>
              <w:t>11</w:t>
            </w:r>
            <w:r>
              <w:rPr>
                <w:rFonts w:ascii="Times New Roman" w:eastAsia="宋体" w:hAnsi="Times New Roman" w:cs="Times New Roman"/>
                <w:sz w:val="18"/>
                <w:szCs w:val="18"/>
              </w:rPr>
              <w:t>月</w:t>
            </w:r>
            <w:r>
              <w:rPr>
                <w:rFonts w:ascii="Times New Roman" w:eastAsia="宋体" w:hAnsi="Times New Roman" w:cs="Times New Roman"/>
                <w:sz w:val="18"/>
                <w:szCs w:val="18"/>
              </w:rPr>
              <w:t>12</w:t>
            </w:r>
            <w:r>
              <w:rPr>
                <w:rFonts w:ascii="Times New Roman" w:eastAsia="宋体" w:hAnsi="Times New Roman" w:cs="Times New Roman"/>
                <w:sz w:val="18"/>
                <w:szCs w:val="18"/>
              </w:rPr>
              <w:t>日</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、算力集群服务项目</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生产建设</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11,716</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11,716</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9,975</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85.14%</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02</w:t>
            </w:r>
            <w:r>
              <w:rPr>
                <w:rFonts w:ascii="Times New Roman" w:eastAsia="宋体" w:hAnsi="Times New Roman" w:cs="Times New Roman"/>
                <w:sz w:val="18"/>
                <w:szCs w:val="18"/>
              </w:rPr>
              <w:t>月</w:t>
            </w:r>
            <w:r>
              <w:rPr>
                <w:rFonts w:ascii="Times New Roman" w:eastAsia="宋体" w:hAnsi="Times New Roman" w:cs="Times New Roman"/>
                <w:sz w:val="18"/>
                <w:szCs w:val="18"/>
              </w:rPr>
              <w:t>01</w:t>
            </w:r>
            <w:r>
              <w:rPr>
                <w:rFonts w:ascii="Times New Roman" w:eastAsia="宋体" w:hAnsi="Times New Roman" w:cs="Times New Roman"/>
                <w:sz w:val="18"/>
                <w:szCs w:val="18"/>
              </w:rPr>
              <w:t>日</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882.19</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882.19</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是</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2021</w:t>
            </w:r>
            <w:r>
              <w:rPr>
                <w:rFonts w:ascii="Times New Roman" w:eastAsia="宋体" w:hAnsi="Times New Roman" w:cs="Times New Roman"/>
                <w:sz w:val="18"/>
                <w:szCs w:val="18"/>
              </w:rPr>
              <w:t>年度首次公开发行证券</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2021</w:t>
            </w:r>
            <w:r>
              <w:rPr>
                <w:rFonts w:ascii="Times New Roman" w:eastAsia="宋体" w:hAnsi="Times New Roman" w:cs="Times New Roman"/>
                <w:sz w:val="18"/>
                <w:szCs w:val="18"/>
              </w:rPr>
              <w:t>年</w:t>
            </w:r>
            <w:r>
              <w:rPr>
                <w:rFonts w:ascii="Times New Roman" w:eastAsia="宋体" w:hAnsi="Times New Roman" w:cs="Times New Roman"/>
                <w:sz w:val="18"/>
                <w:szCs w:val="18"/>
              </w:rPr>
              <w:t>11</w:t>
            </w:r>
            <w:r>
              <w:rPr>
                <w:rFonts w:ascii="Times New Roman" w:eastAsia="宋体" w:hAnsi="Times New Roman" w:cs="Times New Roman"/>
                <w:sz w:val="18"/>
                <w:szCs w:val="18"/>
              </w:rPr>
              <w:t>月</w:t>
            </w:r>
            <w:r>
              <w:rPr>
                <w:rFonts w:ascii="Times New Roman" w:eastAsia="宋体" w:hAnsi="Times New Roman" w:cs="Times New Roman"/>
                <w:sz w:val="18"/>
                <w:szCs w:val="18"/>
              </w:rPr>
              <w:t>12</w:t>
            </w:r>
            <w:r>
              <w:rPr>
                <w:rFonts w:ascii="Times New Roman" w:eastAsia="宋体" w:hAnsi="Times New Roman" w:cs="Times New Roman"/>
                <w:sz w:val="18"/>
                <w:szCs w:val="18"/>
              </w:rPr>
              <w:t>日</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6</w:t>
            </w:r>
            <w:r>
              <w:rPr>
                <w:rFonts w:ascii="Times New Roman" w:eastAsia="宋体" w:hAnsi="Times New Roman" w:cs="Times New Roman"/>
                <w:sz w:val="18"/>
                <w:szCs w:val="18"/>
              </w:rPr>
              <w:t>、补充流动资金</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补流</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10,017.48</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100.17%</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0" w:type="auto"/>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承诺投资项目小计</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27,936.15</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27,285.67</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27,285.67</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25,562.15</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882.19</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882.19</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r>
      <w:tr w:rsidR="00CE3C32">
        <w:trPr>
          <w:trHeight w:val="240"/>
        </w:trPr>
        <w:tc>
          <w:tcPr>
            <w:tcW w:w="0" w:type="auto"/>
            <w:gridSpan w:val="16"/>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超募资金投向</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2021</w:t>
            </w:r>
            <w:r>
              <w:rPr>
                <w:rFonts w:ascii="Times New Roman" w:eastAsia="宋体" w:hAnsi="Times New Roman" w:cs="Times New Roman"/>
                <w:sz w:val="18"/>
                <w:szCs w:val="18"/>
              </w:rPr>
              <w:t>年度首次公开发行证券</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2021</w:t>
            </w:r>
            <w:r>
              <w:rPr>
                <w:rFonts w:ascii="Times New Roman" w:eastAsia="宋体" w:hAnsi="Times New Roman" w:cs="Times New Roman"/>
                <w:sz w:val="18"/>
                <w:szCs w:val="18"/>
              </w:rPr>
              <w:t>年</w:t>
            </w:r>
            <w:r>
              <w:rPr>
                <w:rFonts w:ascii="Times New Roman" w:eastAsia="宋体" w:hAnsi="Times New Roman" w:cs="Times New Roman"/>
                <w:sz w:val="18"/>
                <w:szCs w:val="18"/>
              </w:rPr>
              <w:t>11</w:t>
            </w:r>
            <w:r>
              <w:rPr>
                <w:rFonts w:ascii="Times New Roman" w:eastAsia="宋体" w:hAnsi="Times New Roman" w:cs="Times New Roman"/>
                <w:sz w:val="18"/>
                <w:szCs w:val="18"/>
              </w:rPr>
              <w:t>月</w:t>
            </w:r>
            <w:r>
              <w:rPr>
                <w:rFonts w:ascii="Times New Roman" w:eastAsia="宋体" w:hAnsi="Times New Roman" w:cs="Times New Roman"/>
                <w:sz w:val="18"/>
                <w:szCs w:val="18"/>
              </w:rPr>
              <w:t>12</w:t>
            </w:r>
            <w:r>
              <w:rPr>
                <w:rFonts w:ascii="Times New Roman" w:eastAsia="宋体" w:hAnsi="Times New Roman" w:cs="Times New Roman"/>
                <w:sz w:val="18"/>
                <w:szCs w:val="18"/>
              </w:rPr>
              <w:t>日</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、未明确流向</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5,603.22</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5,603.22</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5,603.22</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2021</w:t>
            </w:r>
            <w:r>
              <w:rPr>
                <w:rFonts w:ascii="Times New Roman" w:eastAsia="宋体" w:hAnsi="Times New Roman" w:cs="Times New Roman"/>
                <w:sz w:val="18"/>
                <w:szCs w:val="18"/>
              </w:rPr>
              <w:t>年度首次公开发行证券</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2021</w:t>
            </w:r>
            <w:r>
              <w:rPr>
                <w:rFonts w:ascii="Times New Roman" w:eastAsia="宋体" w:hAnsi="Times New Roman" w:cs="Times New Roman"/>
                <w:sz w:val="18"/>
                <w:szCs w:val="18"/>
              </w:rPr>
              <w:t>年</w:t>
            </w:r>
            <w:r>
              <w:rPr>
                <w:rFonts w:ascii="Times New Roman" w:eastAsia="宋体" w:hAnsi="Times New Roman" w:cs="Times New Roman"/>
                <w:sz w:val="18"/>
                <w:szCs w:val="18"/>
              </w:rPr>
              <w:t>11</w:t>
            </w:r>
            <w:r>
              <w:rPr>
                <w:rFonts w:ascii="Times New Roman" w:eastAsia="宋体" w:hAnsi="Times New Roman" w:cs="Times New Roman"/>
                <w:sz w:val="18"/>
                <w:szCs w:val="18"/>
              </w:rPr>
              <w:t>月</w:t>
            </w:r>
            <w:r>
              <w:rPr>
                <w:rFonts w:ascii="Times New Roman" w:eastAsia="宋体" w:hAnsi="Times New Roman" w:cs="Times New Roman"/>
                <w:sz w:val="18"/>
                <w:szCs w:val="18"/>
              </w:rPr>
              <w:t>12</w:t>
            </w:r>
            <w:r>
              <w:rPr>
                <w:rFonts w:ascii="Times New Roman" w:eastAsia="宋体" w:hAnsi="Times New Roman" w:cs="Times New Roman"/>
                <w:sz w:val="18"/>
                <w:szCs w:val="18"/>
              </w:rPr>
              <w:t>日</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、深圳综合运营中心项目</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生产建设</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4,186.69</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4,186.69</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4,186.69</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187.91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2,016.46</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48.16%</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08</w:t>
            </w:r>
            <w:r>
              <w:rPr>
                <w:rFonts w:ascii="Times New Roman" w:eastAsia="宋体" w:hAnsi="Times New Roman" w:cs="Times New Roman"/>
                <w:sz w:val="18"/>
                <w:szCs w:val="18"/>
              </w:rPr>
              <w:t>月</w:t>
            </w:r>
            <w:r>
              <w:rPr>
                <w:rFonts w:ascii="Times New Roman" w:eastAsia="宋体" w:hAnsi="Times New Roman" w:cs="Times New Roman"/>
                <w:sz w:val="18"/>
                <w:szCs w:val="18"/>
              </w:rPr>
              <w:t>24</w:t>
            </w:r>
            <w:r>
              <w:rPr>
                <w:rFonts w:ascii="Times New Roman" w:eastAsia="宋体" w:hAnsi="Times New Roman" w:cs="Times New Roman"/>
                <w:sz w:val="18"/>
                <w:szCs w:val="18"/>
              </w:rPr>
              <w:t>日</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0" w:type="auto"/>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补充流动资金（如有）</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13,300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13,300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13,300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6,800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13,300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r>
      <w:tr w:rsidR="00CE3C32">
        <w:trPr>
          <w:trHeight w:val="240"/>
        </w:trPr>
        <w:tc>
          <w:tcPr>
            <w:tcW w:w="0" w:type="auto"/>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超募资金投向小计</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23,089.91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23,089.91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23,089.91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6,987.91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15,316.46</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r>
      <w:tr w:rsidR="00CE3C32">
        <w:trPr>
          <w:trHeight w:val="240"/>
        </w:trPr>
        <w:tc>
          <w:tcPr>
            <w:tcW w:w="0" w:type="auto"/>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51,026.06</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50,375.58</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50,375.58</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6,987.91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40,878.61</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882.19</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882.19</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r>
      <w:tr w:rsidR="00CE3C32">
        <w:trPr>
          <w:trHeight w:val="240"/>
        </w:trPr>
        <w:tc>
          <w:tcPr>
            <w:tcW w:w="0" w:type="auto"/>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分项目说明未达到计划进度、预计收益的情况和原因（含</w:t>
            </w:r>
            <w:r>
              <w:rPr>
                <w:rFonts w:ascii="Times New Roman" w:eastAsia="宋体" w:hAnsi="Times New Roman" w:cs="Times New Roman"/>
                <w:sz w:val="18"/>
                <w:szCs w:val="18"/>
              </w:rPr>
              <w:t>“</w:t>
            </w:r>
            <w:r>
              <w:rPr>
                <w:rFonts w:ascii="Times New Roman" w:eastAsia="宋体" w:hAnsi="Times New Roman" w:cs="Times New Roman"/>
                <w:sz w:val="18"/>
                <w:szCs w:val="18"/>
              </w:rPr>
              <w:t>是否达到预计效益</w:t>
            </w:r>
            <w:r>
              <w:rPr>
                <w:rFonts w:ascii="Times New Roman" w:eastAsia="宋体" w:hAnsi="Times New Roman" w:cs="Times New Roman"/>
                <w:sz w:val="18"/>
                <w:szCs w:val="18"/>
              </w:rPr>
              <w:t>”</w:t>
            </w:r>
            <w:r>
              <w:rPr>
                <w:rFonts w:ascii="Times New Roman" w:eastAsia="宋体" w:hAnsi="Times New Roman" w:cs="Times New Roman"/>
                <w:sz w:val="18"/>
                <w:szCs w:val="18"/>
              </w:rPr>
              <w:t>选择</w:t>
            </w:r>
            <w:r>
              <w:rPr>
                <w:rFonts w:ascii="Times New Roman" w:eastAsia="宋体" w:hAnsi="Times New Roman" w:cs="Times New Roman"/>
                <w:sz w:val="18"/>
                <w:szCs w:val="18"/>
              </w:rPr>
              <w:t>“</w:t>
            </w:r>
            <w:r>
              <w:rPr>
                <w:rFonts w:ascii="Times New Roman" w:eastAsia="宋体" w:hAnsi="Times New Roman" w:cs="Times New Roman"/>
                <w:sz w:val="18"/>
                <w:szCs w:val="18"/>
              </w:rPr>
              <w:t>不适用</w:t>
            </w:r>
            <w:r>
              <w:rPr>
                <w:rFonts w:ascii="Times New Roman" w:eastAsia="宋体" w:hAnsi="Times New Roman" w:cs="Times New Roman"/>
                <w:sz w:val="18"/>
                <w:szCs w:val="18"/>
              </w:rPr>
              <w:t>”</w:t>
            </w:r>
            <w:r>
              <w:rPr>
                <w:rFonts w:ascii="Times New Roman" w:eastAsia="宋体" w:hAnsi="Times New Roman" w:cs="Times New Roman"/>
                <w:sz w:val="18"/>
                <w:szCs w:val="18"/>
              </w:rPr>
              <w:t>的原因）</w:t>
            </w:r>
          </w:p>
        </w:tc>
        <w:tc>
          <w:tcPr>
            <w:tcW w:w="0" w:type="auto"/>
            <w:gridSpan w:val="14"/>
            <w:tcBorders>
              <w:top w:val="single" w:sz="2" w:space="0" w:color="auto"/>
              <w:left w:val="single" w:sz="2" w:space="0" w:color="auto"/>
              <w:bottom w:val="single" w:sz="2" w:space="0" w:color="auto"/>
              <w:right w:val="single" w:sz="2" w:space="0" w:color="auto"/>
            </w:tcBorders>
            <w:vAlign w:val="center"/>
          </w:tcPr>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1</w:t>
            </w:r>
            <w:r>
              <w:rPr>
                <w:rFonts w:ascii="Times New Roman" w:eastAsia="宋体" w:hAnsi="Times New Roman" w:cs="Times New Roman"/>
                <w:sz w:val="18"/>
                <w:szCs w:val="18"/>
              </w:rPr>
              <w:t>）智慧城市综合解决方案升级项目</w:t>
            </w:r>
          </w:p>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近年来，数字经济正逐渐成为国家经济发展、构筑国家竞争新优势的重要驱动力。人工智能、边缘计算、大数据、自然语言编程等技术接连取得突破，为技术升级、产品创新提供源源动力。在我国数字经济高速发展的背景下，公司全面深化数据经济的战略拓展目标，由智慧城市领域向上游延伸产业链，打开全新发展空间。同时，随深圳综合运营中心项目的落地，深圳办公室研发中心、展示中心、运营中心的投入使用一定程度缓解了总部办公用地压力。</w:t>
            </w:r>
          </w:p>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公司于</w:t>
            </w:r>
            <w:r>
              <w:rPr>
                <w:rFonts w:ascii="Times New Roman" w:eastAsia="宋体" w:hAnsi="Times New Roman" w:cs="Times New Roman"/>
                <w:sz w:val="18"/>
                <w:szCs w:val="18"/>
              </w:rPr>
              <w:t>2024</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11</w:t>
            </w:r>
            <w:r>
              <w:rPr>
                <w:rFonts w:ascii="Times New Roman" w:eastAsia="宋体" w:hAnsi="Times New Roman" w:cs="Times New Roman"/>
                <w:sz w:val="18"/>
                <w:szCs w:val="18"/>
              </w:rPr>
              <w:t>日召开了第三届董事会第二十六次会议和第三届监事会第二十四次会议，并于</w:t>
            </w:r>
            <w:r>
              <w:rPr>
                <w:rFonts w:ascii="Times New Roman" w:eastAsia="宋体" w:hAnsi="Times New Roman" w:cs="Times New Roman"/>
                <w:sz w:val="18"/>
                <w:szCs w:val="18"/>
              </w:rPr>
              <w:t>2024</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27</w:t>
            </w:r>
            <w:r>
              <w:rPr>
                <w:rFonts w:ascii="Times New Roman" w:eastAsia="宋体" w:hAnsi="Times New Roman" w:cs="Times New Roman"/>
                <w:sz w:val="18"/>
                <w:szCs w:val="18"/>
              </w:rPr>
              <w:t>日召开</w:t>
            </w:r>
            <w:r>
              <w:rPr>
                <w:rFonts w:ascii="Times New Roman" w:eastAsia="宋体" w:hAnsi="Times New Roman" w:cs="Times New Roman"/>
                <w:sz w:val="18"/>
                <w:szCs w:val="18"/>
              </w:rPr>
              <w:t>2024</w:t>
            </w:r>
            <w:r>
              <w:rPr>
                <w:rFonts w:ascii="Times New Roman" w:eastAsia="宋体" w:hAnsi="Times New Roman" w:cs="Times New Roman"/>
                <w:sz w:val="18"/>
                <w:szCs w:val="18"/>
              </w:rPr>
              <w:t>年第四次临时股东会，审议通过了《关于变更部分募集资金用途的议案》，同意终止原募投项目</w:t>
            </w:r>
            <w:r>
              <w:rPr>
                <w:rFonts w:ascii="Times New Roman" w:eastAsia="宋体" w:hAnsi="Times New Roman" w:cs="Times New Roman"/>
                <w:sz w:val="18"/>
                <w:szCs w:val="18"/>
              </w:rPr>
              <w:t>“</w:t>
            </w:r>
            <w:r>
              <w:rPr>
                <w:rFonts w:ascii="Times New Roman" w:eastAsia="宋体" w:hAnsi="Times New Roman" w:cs="Times New Roman"/>
                <w:sz w:val="18"/>
                <w:szCs w:val="18"/>
              </w:rPr>
              <w:t>智慧城市综合解决方案升级项目</w:t>
            </w:r>
            <w:r>
              <w:rPr>
                <w:rFonts w:ascii="Times New Roman" w:eastAsia="宋体" w:hAnsi="Times New Roman" w:cs="Times New Roman"/>
                <w:sz w:val="18"/>
                <w:szCs w:val="18"/>
              </w:rPr>
              <w:t>”</w:t>
            </w:r>
            <w:r>
              <w:rPr>
                <w:rFonts w:ascii="Times New Roman" w:eastAsia="宋体" w:hAnsi="Times New Roman" w:cs="Times New Roman"/>
                <w:sz w:val="18"/>
                <w:szCs w:val="18"/>
              </w:rPr>
              <w:t>，将其部分募集资金</w:t>
            </w:r>
            <w:r>
              <w:rPr>
                <w:rFonts w:ascii="Times New Roman" w:eastAsia="宋体" w:hAnsi="Times New Roman" w:cs="Times New Roman"/>
                <w:sz w:val="18"/>
                <w:szCs w:val="18"/>
              </w:rPr>
              <w:t>11,716.00</w:t>
            </w:r>
            <w:r>
              <w:rPr>
                <w:rFonts w:ascii="Times New Roman" w:eastAsia="宋体" w:hAnsi="Times New Roman" w:cs="Times New Roman"/>
                <w:sz w:val="18"/>
                <w:szCs w:val="18"/>
              </w:rPr>
              <w:t>万元变更用于实施</w:t>
            </w:r>
            <w:r>
              <w:rPr>
                <w:rFonts w:ascii="Times New Roman" w:eastAsia="宋体" w:hAnsi="Times New Roman" w:cs="Times New Roman"/>
                <w:sz w:val="18"/>
                <w:szCs w:val="18"/>
              </w:rPr>
              <w:t>“</w:t>
            </w:r>
            <w:r>
              <w:rPr>
                <w:rFonts w:ascii="Times New Roman" w:eastAsia="宋体" w:hAnsi="Times New Roman" w:cs="Times New Roman"/>
                <w:sz w:val="18"/>
                <w:szCs w:val="18"/>
              </w:rPr>
              <w:t>算力集群服务项目</w:t>
            </w:r>
            <w:r>
              <w:rPr>
                <w:rFonts w:ascii="Times New Roman" w:eastAsia="宋体" w:hAnsi="Times New Roman" w:cs="Times New Roman"/>
                <w:sz w:val="18"/>
                <w:szCs w:val="18"/>
              </w:rPr>
              <w:t>”</w:t>
            </w:r>
            <w:r>
              <w:rPr>
                <w:rFonts w:ascii="Times New Roman" w:eastAsia="宋体" w:hAnsi="Times New Roman" w:cs="Times New Roman"/>
                <w:sz w:val="18"/>
                <w:szCs w:val="18"/>
              </w:rPr>
              <w:t>，剩余募集资金及其孳息将根据公司未来经营需要，适时投入其他项目建设或其他用途。公司监事会及保荐机构就该事项发表同意意见。</w:t>
            </w:r>
          </w:p>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2</w:t>
            </w:r>
            <w:r>
              <w:rPr>
                <w:rFonts w:ascii="Times New Roman" w:eastAsia="宋体" w:hAnsi="Times New Roman" w:cs="Times New Roman"/>
                <w:sz w:val="18"/>
                <w:szCs w:val="18"/>
              </w:rPr>
              <w:t>）深圳综合运营中心项目</w:t>
            </w:r>
          </w:p>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深圳综合运营中心</w:t>
            </w:r>
            <w:r>
              <w:rPr>
                <w:rFonts w:ascii="Times New Roman" w:eastAsia="宋体" w:hAnsi="Times New Roman" w:cs="Times New Roman"/>
                <w:sz w:val="18"/>
                <w:szCs w:val="18"/>
              </w:rPr>
              <w:t>”</w:t>
            </w:r>
            <w:r>
              <w:rPr>
                <w:rFonts w:ascii="Times New Roman" w:eastAsia="宋体" w:hAnsi="Times New Roman" w:cs="Times New Roman"/>
                <w:sz w:val="18"/>
                <w:szCs w:val="18"/>
              </w:rPr>
              <w:t>项目建设内容为购置办公场地，引进优秀人才，建立深圳运营中心、研发中心和展示中心，加强公司的研发设计和营销服务等综合能力。该项目原计划建设周期为</w:t>
            </w:r>
            <w:r>
              <w:rPr>
                <w:rFonts w:ascii="Times New Roman" w:eastAsia="宋体" w:hAnsi="Times New Roman" w:cs="Times New Roman"/>
                <w:sz w:val="18"/>
                <w:szCs w:val="18"/>
              </w:rPr>
              <w:t>12</w:t>
            </w:r>
            <w:r>
              <w:rPr>
                <w:rFonts w:ascii="Times New Roman" w:eastAsia="宋体" w:hAnsi="Times New Roman" w:cs="Times New Roman"/>
                <w:sz w:val="18"/>
                <w:szCs w:val="18"/>
              </w:rPr>
              <w:t>个月，涵盖场地购置、配套设施建设、硬件设备配置、人员调动及招募多阶段实施建设。该项目计划新增</w:t>
            </w:r>
            <w:r>
              <w:rPr>
                <w:rFonts w:ascii="Times New Roman" w:eastAsia="宋体" w:hAnsi="Times New Roman" w:cs="Times New Roman"/>
                <w:sz w:val="18"/>
                <w:szCs w:val="18"/>
              </w:rPr>
              <w:t>81</w:t>
            </w:r>
            <w:r>
              <w:rPr>
                <w:rFonts w:ascii="Times New Roman" w:eastAsia="宋体" w:hAnsi="Times New Roman" w:cs="Times New Roman"/>
                <w:sz w:val="18"/>
                <w:szCs w:val="18"/>
              </w:rPr>
              <w:t>人，公司原计划通过专场招聘、高端技术人才引进等渠道进行团队建设。为控制整体投入成本，公司对人才引进渠道、招聘办法加以调整，该部分投入进度放缓。</w:t>
            </w:r>
          </w:p>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公司于</w:t>
            </w:r>
            <w:r>
              <w:rPr>
                <w:rFonts w:ascii="Times New Roman" w:eastAsia="宋体" w:hAnsi="Times New Roman" w:cs="Times New Roman"/>
                <w:sz w:val="18"/>
                <w:szCs w:val="18"/>
              </w:rPr>
              <w:t>2024</w:t>
            </w:r>
            <w:r>
              <w:rPr>
                <w:rFonts w:ascii="Times New Roman" w:eastAsia="宋体" w:hAnsi="Times New Roman" w:cs="Times New Roman"/>
                <w:sz w:val="18"/>
                <w:szCs w:val="18"/>
              </w:rPr>
              <w:t>年</w:t>
            </w:r>
            <w:r>
              <w:rPr>
                <w:rFonts w:ascii="Times New Roman" w:eastAsia="宋体" w:hAnsi="Times New Roman" w:cs="Times New Roman"/>
                <w:sz w:val="18"/>
                <w:szCs w:val="18"/>
              </w:rPr>
              <w:t>8</w:t>
            </w:r>
            <w:r>
              <w:rPr>
                <w:rFonts w:ascii="Times New Roman" w:eastAsia="宋体" w:hAnsi="Times New Roman" w:cs="Times New Roman"/>
                <w:sz w:val="18"/>
                <w:szCs w:val="18"/>
              </w:rPr>
              <w:t>月</w:t>
            </w:r>
            <w:r>
              <w:rPr>
                <w:rFonts w:ascii="Times New Roman" w:eastAsia="宋体" w:hAnsi="Times New Roman" w:cs="Times New Roman"/>
                <w:sz w:val="18"/>
                <w:szCs w:val="18"/>
              </w:rPr>
              <w:t>28</w:t>
            </w:r>
            <w:r>
              <w:rPr>
                <w:rFonts w:ascii="Times New Roman" w:eastAsia="宋体" w:hAnsi="Times New Roman" w:cs="Times New Roman"/>
                <w:sz w:val="18"/>
                <w:szCs w:val="18"/>
              </w:rPr>
              <w:t>日召开了第三届董事会第二十四次会议和第三届监事会第二十二次会议审议通过《关于部分募集资金投资项目延期的议案》，对项目进度规划进行调整，将</w:t>
            </w:r>
            <w:r>
              <w:rPr>
                <w:rFonts w:ascii="Times New Roman" w:eastAsia="宋体" w:hAnsi="Times New Roman" w:cs="Times New Roman"/>
                <w:sz w:val="18"/>
                <w:szCs w:val="18"/>
              </w:rPr>
              <w:t>“</w:t>
            </w:r>
            <w:r>
              <w:rPr>
                <w:rFonts w:ascii="Times New Roman" w:eastAsia="宋体" w:hAnsi="Times New Roman" w:cs="Times New Roman"/>
                <w:sz w:val="18"/>
                <w:szCs w:val="18"/>
              </w:rPr>
              <w:t>深圳综合运营中心项目</w:t>
            </w:r>
            <w:r>
              <w:rPr>
                <w:rFonts w:ascii="Times New Roman" w:eastAsia="宋体" w:hAnsi="Times New Roman" w:cs="Times New Roman"/>
                <w:sz w:val="18"/>
                <w:szCs w:val="18"/>
              </w:rPr>
              <w:t>”</w:t>
            </w:r>
            <w:r>
              <w:rPr>
                <w:rFonts w:ascii="Times New Roman" w:eastAsia="宋体" w:hAnsi="Times New Roman" w:cs="Times New Roman"/>
                <w:sz w:val="18"/>
                <w:szCs w:val="18"/>
              </w:rPr>
              <w:t>达到预定可使用状态时间由</w:t>
            </w:r>
            <w:r>
              <w:rPr>
                <w:rFonts w:ascii="Times New Roman" w:eastAsia="宋体" w:hAnsi="Times New Roman" w:cs="Times New Roman"/>
                <w:sz w:val="18"/>
                <w:szCs w:val="18"/>
              </w:rPr>
              <w:t>2024</w:t>
            </w:r>
            <w:r>
              <w:rPr>
                <w:rFonts w:ascii="Times New Roman" w:eastAsia="宋体" w:hAnsi="Times New Roman" w:cs="Times New Roman"/>
                <w:sz w:val="18"/>
                <w:szCs w:val="18"/>
              </w:rPr>
              <w:t>年</w:t>
            </w:r>
            <w:r>
              <w:rPr>
                <w:rFonts w:ascii="Times New Roman" w:eastAsia="宋体" w:hAnsi="Times New Roman" w:cs="Times New Roman"/>
                <w:sz w:val="18"/>
                <w:szCs w:val="18"/>
              </w:rPr>
              <w:t>8</w:t>
            </w:r>
            <w:r>
              <w:rPr>
                <w:rFonts w:ascii="Times New Roman" w:eastAsia="宋体" w:hAnsi="Times New Roman" w:cs="Times New Roman"/>
                <w:sz w:val="18"/>
                <w:szCs w:val="18"/>
              </w:rPr>
              <w:t>月</w:t>
            </w:r>
            <w:r>
              <w:rPr>
                <w:rFonts w:ascii="Times New Roman" w:eastAsia="宋体" w:hAnsi="Times New Roman" w:cs="Times New Roman"/>
                <w:sz w:val="18"/>
                <w:szCs w:val="18"/>
              </w:rPr>
              <w:t>25</w:t>
            </w:r>
            <w:r>
              <w:rPr>
                <w:rFonts w:ascii="Times New Roman" w:eastAsia="宋体" w:hAnsi="Times New Roman" w:cs="Times New Roman"/>
                <w:sz w:val="18"/>
                <w:szCs w:val="18"/>
              </w:rPr>
              <w:t>日延长至</w:t>
            </w: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8</w:t>
            </w:r>
            <w:r>
              <w:rPr>
                <w:rFonts w:ascii="Times New Roman" w:eastAsia="宋体" w:hAnsi="Times New Roman" w:cs="Times New Roman"/>
                <w:sz w:val="18"/>
                <w:szCs w:val="18"/>
              </w:rPr>
              <w:t>月</w:t>
            </w:r>
            <w:r>
              <w:rPr>
                <w:rFonts w:ascii="Times New Roman" w:eastAsia="宋体" w:hAnsi="Times New Roman" w:cs="Times New Roman"/>
                <w:sz w:val="18"/>
                <w:szCs w:val="18"/>
              </w:rPr>
              <w:t>24</w:t>
            </w:r>
            <w:r>
              <w:rPr>
                <w:rFonts w:ascii="Times New Roman" w:eastAsia="宋体" w:hAnsi="Times New Roman" w:cs="Times New Roman"/>
                <w:sz w:val="18"/>
                <w:szCs w:val="18"/>
              </w:rPr>
              <w:t>日。公司监事会、保荐机构就该事项发表了同意意见。</w:t>
            </w:r>
          </w:p>
        </w:tc>
      </w:tr>
      <w:tr w:rsidR="00CE3C32">
        <w:trPr>
          <w:trHeight w:val="240"/>
        </w:trPr>
        <w:tc>
          <w:tcPr>
            <w:tcW w:w="0" w:type="auto"/>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项目可行性发生重大变化的情况说明</w:t>
            </w:r>
          </w:p>
        </w:tc>
        <w:tc>
          <w:tcPr>
            <w:tcW w:w="0" w:type="auto"/>
            <w:gridSpan w:val="14"/>
            <w:tcBorders>
              <w:top w:val="single" w:sz="2" w:space="0" w:color="auto"/>
              <w:left w:val="single" w:sz="2" w:space="0" w:color="auto"/>
              <w:bottom w:val="single" w:sz="2" w:space="0" w:color="auto"/>
              <w:right w:val="single" w:sz="2" w:space="0" w:color="auto"/>
            </w:tcBorders>
            <w:vAlign w:val="center"/>
          </w:tcPr>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1</w:t>
            </w:r>
            <w:r>
              <w:rPr>
                <w:rFonts w:ascii="Times New Roman" w:eastAsia="宋体" w:hAnsi="Times New Roman" w:cs="Times New Roman"/>
                <w:sz w:val="18"/>
                <w:szCs w:val="18"/>
              </w:rPr>
              <w:t>）大数据应用技术中心建设项目</w:t>
            </w:r>
          </w:p>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大数据应用技术中心建设项目</w:t>
            </w:r>
            <w:r>
              <w:rPr>
                <w:rFonts w:ascii="Times New Roman" w:eastAsia="宋体" w:hAnsi="Times New Roman" w:cs="Times New Roman"/>
                <w:sz w:val="18"/>
                <w:szCs w:val="18"/>
              </w:rPr>
              <w:t>”</w:t>
            </w:r>
            <w:r>
              <w:rPr>
                <w:rFonts w:ascii="Times New Roman" w:eastAsia="宋体" w:hAnsi="Times New Roman" w:cs="Times New Roman"/>
                <w:sz w:val="18"/>
                <w:szCs w:val="18"/>
              </w:rPr>
              <w:t>建设内容主要是购置研发办公场地和相关软硬件设备，引进优秀的研发人才，开展大数据应用技术相关研发。此前受房地产市场环境变化影响，公司基于谨慎原则未购置场所，招聘工作也相应延后开展，导致项目搁置。截至</w:t>
            </w:r>
            <w:r>
              <w:rPr>
                <w:rFonts w:ascii="Times New Roman" w:eastAsia="宋体" w:hAnsi="Times New Roman" w:cs="Times New Roman"/>
                <w:sz w:val="18"/>
                <w:szCs w:val="18"/>
              </w:rPr>
              <w:t>2023</w:t>
            </w:r>
            <w:r>
              <w:rPr>
                <w:rFonts w:ascii="Times New Roman" w:eastAsia="宋体" w:hAnsi="Times New Roman" w:cs="Times New Roman"/>
                <w:sz w:val="18"/>
                <w:szCs w:val="18"/>
              </w:rPr>
              <w:t>年</w:t>
            </w:r>
            <w:r>
              <w:rPr>
                <w:rFonts w:ascii="Times New Roman" w:eastAsia="宋体" w:hAnsi="Times New Roman" w:cs="Times New Roman"/>
                <w:sz w:val="18"/>
                <w:szCs w:val="18"/>
              </w:rPr>
              <w:t>8</w:t>
            </w:r>
            <w:r>
              <w:rPr>
                <w:rFonts w:ascii="Times New Roman" w:eastAsia="宋体" w:hAnsi="Times New Roman" w:cs="Times New Roman"/>
                <w:sz w:val="18"/>
                <w:szCs w:val="18"/>
              </w:rPr>
              <w:t>月</w:t>
            </w:r>
            <w:r>
              <w:rPr>
                <w:rFonts w:ascii="Times New Roman" w:eastAsia="宋体" w:hAnsi="Times New Roman" w:cs="Times New Roman"/>
                <w:sz w:val="18"/>
                <w:szCs w:val="18"/>
              </w:rPr>
              <w:t>2</w:t>
            </w:r>
            <w:r>
              <w:rPr>
                <w:rFonts w:ascii="Times New Roman" w:eastAsia="宋体" w:hAnsi="Times New Roman" w:cs="Times New Roman"/>
                <w:sz w:val="18"/>
                <w:szCs w:val="18"/>
              </w:rPr>
              <w:t>日，公司原有的深圳办公场所已不能满足公司现有的办公及展示需求，同时考虑房地产市场趋于稳定，为保证募投项目实施场地的合理性，提高募集资金的使用效率，更好地满足公司的运营、研发及商务展示等相关需求，经审慎考虑，公司决定购置办公场地并扩展升级原募投项目为</w:t>
            </w:r>
            <w:r>
              <w:rPr>
                <w:rFonts w:ascii="Times New Roman" w:eastAsia="宋体" w:hAnsi="Times New Roman" w:cs="Times New Roman"/>
                <w:sz w:val="18"/>
                <w:szCs w:val="18"/>
              </w:rPr>
              <w:t>“</w:t>
            </w:r>
            <w:r>
              <w:rPr>
                <w:rFonts w:ascii="Times New Roman" w:eastAsia="宋体" w:hAnsi="Times New Roman" w:cs="Times New Roman"/>
                <w:sz w:val="18"/>
                <w:szCs w:val="18"/>
              </w:rPr>
              <w:t>深圳综合运营中心项目</w:t>
            </w:r>
            <w:r>
              <w:rPr>
                <w:rFonts w:ascii="Times New Roman" w:eastAsia="宋体" w:hAnsi="Times New Roman" w:cs="Times New Roman"/>
                <w:sz w:val="18"/>
                <w:szCs w:val="18"/>
              </w:rPr>
              <w:t>”</w:t>
            </w:r>
            <w:r>
              <w:rPr>
                <w:rFonts w:ascii="Times New Roman" w:eastAsia="宋体" w:hAnsi="Times New Roman" w:cs="Times New Roman"/>
                <w:sz w:val="18"/>
                <w:szCs w:val="18"/>
              </w:rPr>
              <w:t>，建设公司位于深圳的运营中心、研发中心及展示中心。同时，鉴于变更后的</w:t>
            </w:r>
            <w:r>
              <w:rPr>
                <w:rFonts w:ascii="Times New Roman" w:eastAsia="宋体" w:hAnsi="Times New Roman" w:cs="Times New Roman"/>
                <w:sz w:val="18"/>
                <w:szCs w:val="18"/>
              </w:rPr>
              <w:t>“</w:t>
            </w:r>
            <w:r>
              <w:rPr>
                <w:rFonts w:ascii="Times New Roman" w:eastAsia="宋体" w:hAnsi="Times New Roman" w:cs="Times New Roman"/>
                <w:sz w:val="18"/>
                <w:szCs w:val="18"/>
              </w:rPr>
              <w:t>深圳综合运营中心项目</w:t>
            </w:r>
            <w:r>
              <w:rPr>
                <w:rFonts w:ascii="Times New Roman" w:eastAsia="宋体" w:hAnsi="Times New Roman" w:cs="Times New Roman"/>
                <w:sz w:val="18"/>
                <w:szCs w:val="18"/>
              </w:rPr>
              <w:t>”</w:t>
            </w:r>
            <w:r>
              <w:rPr>
                <w:rFonts w:ascii="Times New Roman" w:eastAsia="宋体" w:hAnsi="Times New Roman" w:cs="Times New Roman"/>
                <w:sz w:val="18"/>
                <w:szCs w:val="18"/>
              </w:rPr>
              <w:t>实施地点为广东省深圳市，通过将募投项目主体变更为同样位于深圳市的公司全资子公司互联精英，天亿马能够更加充分地发挥公司现有资源的整合优势，有利于公司的整体规划和合理布局，进一步夯实公司战略，促进公司高质量、可持续发展。公司已于</w:t>
            </w:r>
            <w:r>
              <w:rPr>
                <w:rFonts w:ascii="Times New Roman" w:eastAsia="宋体" w:hAnsi="Times New Roman" w:cs="Times New Roman"/>
                <w:sz w:val="18"/>
                <w:szCs w:val="18"/>
              </w:rPr>
              <w:t>2023</w:t>
            </w:r>
            <w:r>
              <w:rPr>
                <w:rFonts w:ascii="Times New Roman" w:eastAsia="宋体" w:hAnsi="Times New Roman" w:cs="Times New Roman"/>
                <w:sz w:val="18"/>
                <w:szCs w:val="18"/>
              </w:rPr>
              <w:t>年</w:t>
            </w:r>
            <w:r>
              <w:rPr>
                <w:rFonts w:ascii="Times New Roman" w:eastAsia="宋体" w:hAnsi="Times New Roman" w:cs="Times New Roman"/>
                <w:sz w:val="18"/>
                <w:szCs w:val="18"/>
              </w:rPr>
              <w:t>8</w:t>
            </w:r>
            <w:r>
              <w:rPr>
                <w:rFonts w:ascii="Times New Roman" w:eastAsia="宋体" w:hAnsi="Times New Roman" w:cs="Times New Roman"/>
                <w:sz w:val="18"/>
                <w:szCs w:val="18"/>
              </w:rPr>
              <w:t>月</w:t>
            </w:r>
            <w:r>
              <w:rPr>
                <w:rFonts w:ascii="Times New Roman" w:eastAsia="宋体" w:hAnsi="Times New Roman" w:cs="Times New Roman"/>
                <w:sz w:val="18"/>
                <w:szCs w:val="18"/>
              </w:rPr>
              <w:t>3</w:t>
            </w:r>
            <w:r>
              <w:rPr>
                <w:rFonts w:ascii="Times New Roman" w:eastAsia="宋体" w:hAnsi="Times New Roman" w:cs="Times New Roman"/>
                <w:sz w:val="18"/>
                <w:szCs w:val="18"/>
              </w:rPr>
              <w:t>日披露了《关于变更募投项目实施主体、实施地点及部分募集资金用途的公告》，本次变更募投项目事项已经公司</w:t>
            </w:r>
            <w:r>
              <w:rPr>
                <w:rFonts w:ascii="Times New Roman" w:eastAsia="宋体" w:hAnsi="Times New Roman" w:cs="Times New Roman"/>
                <w:sz w:val="18"/>
                <w:szCs w:val="18"/>
              </w:rPr>
              <w:t>2023</w:t>
            </w:r>
            <w:r>
              <w:rPr>
                <w:rFonts w:ascii="Times New Roman" w:eastAsia="宋体" w:hAnsi="Times New Roman" w:cs="Times New Roman"/>
                <w:sz w:val="18"/>
                <w:szCs w:val="18"/>
              </w:rPr>
              <w:t>年</w:t>
            </w:r>
            <w:r>
              <w:rPr>
                <w:rFonts w:ascii="Times New Roman" w:eastAsia="宋体" w:hAnsi="Times New Roman" w:cs="Times New Roman"/>
                <w:sz w:val="18"/>
                <w:szCs w:val="18"/>
              </w:rPr>
              <w:t>8</w:t>
            </w:r>
            <w:r>
              <w:rPr>
                <w:rFonts w:ascii="Times New Roman" w:eastAsia="宋体" w:hAnsi="Times New Roman" w:cs="Times New Roman"/>
                <w:sz w:val="18"/>
                <w:szCs w:val="18"/>
              </w:rPr>
              <w:t>月</w:t>
            </w:r>
            <w:r>
              <w:rPr>
                <w:rFonts w:ascii="Times New Roman" w:eastAsia="宋体" w:hAnsi="Times New Roman" w:cs="Times New Roman"/>
                <w:sz w:val="18"/>
                <w:szCs w:val="18"/>
              </w:rPr>
              <w:t>21</w:t>
            </w:r>
            <w:r>
              <w:rPr>
                <w:rFonts w:ascii="Times New Roman" w:eastAsia="宋体" w:hAnsi="Times New Roman" w:cs="Times New Roman"/>
                <w:sz w:val="18"/>
                <w:szCs w:val="18"/>
              </w:rPr>
              <w:t>日召开的</w:t>
            </w:r>
            <w:r>
              <w:rPr>
                <w:rFonts w:ascii="Times New Roman" w:eastAsia="宋体" w:hAnsi="Times New Roman" w:cs="Times New Roman"/>
                <w:sz w:val="18"/>
                <w:szCs w:val="18"/>
              </w:rPr>
              <w:t>2023</w:t>
            </w:r>
            <w:r>
              <w:rPr>
                <w:rFonts w:ascii="Times New Roman" w:eastAsia="宋体" w:hAnsi="Times New Roman" w:cs="Times New Roman"/>
                <w:sz w:val="18"/>
                <w:szCs w:val="18"/>
              </w:rPr>
              <w:t>年第三次临时股东大会审议通过。</w:t>
            </w:r>
          </w:p>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2</w:t>
            </w:r>
            <w:r>
              <w:rPr>
                <w:rFonts w:ascii="Times New Roman" w:eastAsia="宋体" w:hAnsi="Times New Roman" w:cs="Times New Roman"/>
                <w:sz w:val="18"/>
                <w:szCs w:val="18"/>
              </w:rPr>
              <w:t>）营销服务体系升级建设项目</w:t>
            </w:r>
          </w:p>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营销服务体系升级建设项目</w:t>
            </w:r>
            <w:r>
              <w:rPr>
                <w:rFonts w:ascii="Times New Roman" w:eastAsia="宋体" w:hAnsi="Times New Roman" w:cs="Times New Roman"/>
                <w:sz w:val="18"/>
                <w:szCs w:val="18"/>
              </w:rPr>
              <w:t>”</w:t>
            </w:r>
            <w:r>
              <w:rPr>
                <w:rFonts w:ascii="Times New Roman" w:eastAsia="宋体" w:hAnsi="Times New Roman" w:cs="Times New Roman"/>
                <w:sz w:val="18"/>
                <w:szCs w:val="18"/>
              </w:rPr>
              <w:t>原计划用于公司营销网点的场地租赁和装修、购置基础办公设备、营销人员的费用及市场推广费等。受市场环境影响，各营销网点办公场所租赁、装修及招聘等工作受限，同时避免按原定计划对各现有营销网点实施装修期间可能对公司营销服务能力造成的负面影响，公司决定取消原募投项目的实施并将募集资金用于办公场地的购置。公司已于</w:t>
            </w:r>
            <w:r>
              <w:rPr>
                <w:rFonts w:ascii="Times New Roman" w:eastAsia="宋体" w:hAnsi="Times New Roman" w:cs="Times New Roman"/>
                <w:sz w:val="18"/>
                <w:szCs w:val="18"/>
              </w:rPr>
              <w:t>2023</w:t>
            </w:r>
            <w:r>
              <w:rPr>
                <w:rFonts w:ascii="Times New Roman" w:eastAsia="宋体" w:hAnsi="Times New Roman" w:cs="Times New Roman"/>
                <w:sz w:val="18"/>
                <w:szCs w:val="18"/>
              </w:rPr>
              <w:t>年</w:t>
            </w:r>
            <w:r>
              <w:rPr>
                <w:rFonts w:ascii="Times New Roman" w:eastAsia="宋体" w:hAnsi="Times New Roman" w:cs="Times New Roman"/>
                <w:sz w:val="18"/>
                <w:szCs w:val="18"/>
              </w:rPr>
              <w:t>8</w:t>
            </w:r>
            <w:r>
              <w:rPr>
                <w:rFonts w:ascii="Times New Roman" w:eastAsia="宋体" w:hAnsi="Times New Roman" w:cs="Times New Roman"/>
                <w:sz w:val="18"/>
                <w:szCs w:val="18"/>
              </w:rPr>
              <w:t>月</w:t>
            </w:r>
            <w:r>
              <w:rPr>
                <w:rFonts w:ascii="Times New Roman" w:eastAsia="宋体" w:hAnsi="Times New Roman" w:cs="Times New Roman"/>
                <w:sz w:val="18"/>
                <w:szCs w:val="18"/>
              </w:rPr>
              <w:t>3</w:t>
            </w:r>
            <w:r>
              <w:rPr>
                <w:rFonts w:ascii="Times New Roman" w:eastAsia="宋体" w:hAnsi="Times New Roman" w:cs="Times New Roman"/>
                <w:sz w:val="18"/>
                <w:szCs w:val="18"/>
              </w:rPr>
              <w:t>日披露了《关于变更募投项目实施主体、实施地点及部分募集资金用途的公告》，本次变更募投项目事项已经公司</w:t>
            </w:r>
            <w:r>
              <w:rPr>
                <w:rFonts w:ascii="Times New Roman" w:eastAsia="宋体" w:hAnsi="Times New Roman" w:cs="Times New Roman"/>
                <w:sz w:val="18"/>
                <w:szCs w:val="18"/>
              </w:rPr>
              <w:t>2023</w:t>
            </w:r>
            <w:r>
              <w:rPr>
                <w:rFonts w:ascii="Times New Roman" w:eastAsia="宋体" w:hAnsi="Times New Roman" w:cs="Times New Roman"/>
                <w:sz w:val="18"/>
                <w:szCs w:val="18"/>
              </w:rPr>
              <w:t>年</w:t>
            </w:r>
            <w:r>
              <w:rPr>
                <w:rFonts w:ascii="Times New Roman" w:eastAsia="宋体" w:hAnsi="Times New Roman" w:cs="Times New Roman"/>
                <w:sz w:val="18"/>
                <w:szCs w:val="18"/>
              </w:rPr>
              <w:t>8</w:t>
            </w:r>
            <w:r>
              <w:rPr>
                <w:rFonts w:ascii="Times New Roman" w:eastAsia="宋体" w:hAnsi="Times New Roman" w:cs="Times New Roman"/>
                <w:sz w:val="18"/>
                <w:szCs w:val="18"/>
              </w:rPr>
              <w:t>月</w:t>
            </w:r>
            <w:r>
              <w:rPr>
                <w:rFonts w:ascii="Times New Roman" w:eastAsia="宋体" w:hAnsi="Times New Roman" w:cs="Times New Roman"/>
                <w:sz w:val="18"/>
                <w:szCs w:val="18"/>
              </w:rPr>
              <w:t>21</w:t>
            </w:r>
            <w:r>
              <w:rPr>
                <w:rFonts w:ascii="Times New Roman" w:eastAsia="宋体" w:hAnsi="Times New Roman" w:cs="Times New Roman"/>
                <w:sz w:val="18"/>
                <w:szCs w:val="18"/>
              </w:rPr>
              <w:t>日召开的</w:t>
            </w:r>
            <w:r>
              <w:rPr>
                <w:rFonts w:ascii="Times New Roman" w:eastAsia="宋体" w:hAnsi="Times New Roman" w:cs="Times New Roman"/>
                <w:sz w:val="18"/>
                <w:szCs w:val="18"/>
              </w:rPr>
              <w:t>2023</w:t>
            </w:r>
            <w:r>
              <w:rPr>
                <w:rFonts w:ascii="Times New Roman" w:eastAsia="宋体" w:hAnsi="Times New Roman" w:cs="Times New Roman"/>
                <w:sz w:val="18"/>
                <w:szCs w:val="18"/>
              </w:rPr>
              <w:t>年第三次临时股东大会审议通过。</w:t>
            </w:r>
          </w:p>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3</w:t>
            </w:r>
            <w:r>
              <w:rPr>
                <w:rFonts w:ascii="Times New Roman" w:eastAsia="宋体" w:hAnsi="Times New Roman" w:cs="Times New Roman"/>
                <w:sz w:val="18"/>
                <w:szCs w:val="18"/>
              </w:rPr>
              <w:t>）智慧城市综合解决方案升级项目</w:t>
            </w:r>
          </w:p>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随深圳综合运营中心项目的落地，深圳办公室研发中心、展示中心、运营中心的投入使用一定程度缓解了总部办公用地压力，同时为满足公司数字经济战略拓展的需求，优化产业布局，提升综合竞争力，提高募集资金的使用效率和投资回报公司终止原募投项目</w:t>
            </w:r>
            <w:r>
              <w:rPr>
                <w:rFonts w:ascii="Times New Roman" w:eastAsia="宋体" w:hAnsi="Times New Roman" w:cs="Times New Roman"/>
                <w:sz w:val="18"/>
                <w:szCs w:val="18"/>
              </w:rPr>
              <w:t>“</w:t>
            </w:r>
            <w:r>
              <w:rPr>
                <w:rFonts w:ascii="Times New Roman" w:eastAsia="宋体" w:hAnsi="Times New Roman" w:cs="Times New Roman"/>
                <w:sz w:val="18"/>
                <w:szCs w:val="18"/>
              </w:rPr>
              <w:t>智慧城市综合解决方案升级项目</w:t>
            </w:r>
            <w:r>
              <w:rPr>
                <w:rFonts w:ascii="Times New Roman" w:eastAsia="宋体" w:hAnsi="Times New Roman" w:cs="Times New Roman"/>
                <w:sz w:val="18"/>
                <w:szCs w:val="18"/>
              </w:rPr>
              <w:t>”</w:t>
            </w:r>
            <w:r>
              <w:rPr>
                <w:rFonts w:ascii="Times New Roman" w:eastAsia="宋体" w:hAnsi="Times New Roman" w:cs="Times New Roman"/>
                <w:sz w:val="18"/>
                <w:szCs w:val="18"/>
              </w:rPr>
              <w:t>，将其部分募集资金变更用于实施</w:t>
            </w:r>
            <w:r>
              <w:rPr>
                <w:rFonts w:ascii="Times New Roman" w:eastAsia="宋体" w:hAnsi="Times New Roman" w:cs="Times New Roman"/>
                <w:sz w:val="18"/>
                <w:szCs w:val="18"/>
              </w:rPr>
              <w:t>“</w:t>
            </w:r>
            <w:r>
              <w:rPr>
                <w:rFonts w:ascii="Times New Roman" w:eastAsia="宋体" w:hAnsi="Times New Roman" w:cs="Times New Roman"/>
                <w:sz w:val="18"/>
                <w:szCs w:val="18"/>
              </w:rPr>
              <w:t>算力集群服务项目</w:t>
            </w:r>
            <w:r>
              <w:rPr>
                <w:rFonts w:ascii="Times New Roman" w:eastAsia="宋体" w:hAnsi="Times New Roman" w:cs="Times New Roman"/>
                <w:sz w:val="18"/>
                <w:szCs w:val="18"/>
              </w:rPr>
              <w:t>”</w:t>
            </w:r>
            <w:r>
              <w:rPr>
                <w:rFonts w:ascii="Times New Roman" w:eastAsia="宋体" w:hAnsi="Times New Roman" w:cs="Times New Roman"/>
                <w:sz w:val="18"/>
                <w:szCs w:val="18"/>
              </w:rPr>
              <w:t>，剩余募集资金及其孳息将根据公司未来经营需要适时投入其他项目建设或其他用途。</w:t>
            </w:r>
            <w:r>
              <w:rPr>
                <w:rFonts w:ascii="Times New Roman" w:eastAsia="宋体" w:hAnsi="Times New Roman" w:cs="Times New Roman"/>
                <w:sz w:val="18"/>
                <w:szCs w:val="18"/>
              </w:rPr>
              <w:t>“</w:t>
            </w:r>
            <w:r>
              <w:rPr>
                <w:rFonts w:ascii="Times New Roman" w:eastAsia="宋体" w:hAnsi="Times New Roman" w:cs="Times New Roman"/>
                <w:sz w:val="18"/>
                <w:szCs w:val="18"/>
              </w:rPr>
              <w:t>算力集群服务项目</w:t>
            </w:r>
            <w:r>
              <w:rPr>
                <w:rFonts w:ascii="Times New Roman" w:eastAsia="宋体" w:hAnsi="Times New Roman" w:cs="Times New Roman"/>
                <w:sz w:val="18"/>
                <w:szCs w:val="18"/>
              </w:rPr>
              <w:t>”</w:t>
            </w:r>
            <w:r>
              <w:rPr>
                <w:rFonts w:ascii="Times New Roman" w:eastAsia="宋体" w:hAnsi="Times New Roman" w:cs="Times New Roman"/>
                <w:sz w:val="18"/>
                <w:szCs w:val="18"/>
              </w:rPr>
              <w:t>计划总投资额</w:t>
            </w:r>
            <w:r>
              <w:rPr>
                <w:rFonts w:ascii="Times New Roman" w:eastAsia="宋体" w:hAnsi="Times New Roman" w:cs="Times New Roman"/>
                <w:sz w:val="18"/>
                <w:szCs w:val="18"/>
              </w:rPr>
              <w:t>36,229.00</w:t>
            </w:r>
            <w:r>
              <w:rPr>
                <w:rFonts w:ascii="Times New Roman" w:eastAsia="宋体" w:hAnsi="Times New Roman" w:cs="Times New Roman"/>
                <w:sz w:val="18"/>
                <w:szCs w:val="18"/>
              </w:rPr>
              <w:t>万元，其中使用原募投项目募集资金</w:t>
            </w:r>
            <w:r>
              <w:rPr>
                <w:rFonts w:ascii="Times New Roman" w:eastAsia="宋体" w:hAnsi="Times New Roman" w:cs="Times New Roman"/>
                <w:sz w:val="18"/>
                <w:szCs w:val="18"/>
              </w:rPr>
              <w:t>11,716.00</w:t>
            </w:r>
            <w:r>
              <w:rPr>
                <w:rFonts w:ascii="Times New Roman" w:eastAsia="宋体" w:hAnsi="Times New Roman" w:cs="Times New Roman"/>
                <w:sz w:val="18"/>
                <w:szCs w:val="18"/>
              </w:rPr>
              <w:t>万元。该项目由公司在深圳市实施建设，项目周期为</w:t>
            </w:r>
            <w:r>
              <w:rPr>
                <w:rFonts w:ascii="Times New Roman" w:eastAsia="宋体" w:hAnsi="Times New Roman" w:cs="Times New Roman"/>
                <w:sz w:val="18"/>
                <w:szCs w:val="18"/>
              </w:rPr>
              <w:t>5</w:t>
            </w:r>
            <w:r>
              <w:rPr>
                <w:rFonts w:ascii="Times New Roman" w:eastAsia="宋体" w:hAnsi="Times New Roman" w:cs="Times New Roman"/>
                <w:sz w:val="18"/>
                <w:szCs w:val="18"/>
              </w:rPr>
              <w:t>年。公司已于</w:t>
            </w:r>
            <w:r>
              <w:rPr>
                <w:rFonts w:ascii="Times New Roman" w:eastAsia="宋体" w:hAnsi="Times New Roman" w:cs="Times New Roman"/>
                <w:sz w:val="18"/>
                <w:szCs w:val="18"/>
              </w:rPr>
              <w:t>2024</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12</w:t>
            </w:r>
            <w:r>
              <w:rPr>
                <w:rFonts w:ascii="Times New Roman" w:eastAsia="宋体" w:hAnsi="Times New Roman" w:cs="Times New Roman"/>
                <w:sz w:val="18"/>
                <w:szCs w:val="18"/>
              </w:rPr>
              <w:t>日披露了《关于变更部分募集资金用途的公告》，本次变更募投项目事项已经公司</w:t>
            </w:r>
            <w:r>
              <w:rPr>
                <w:rFonts w:ascii="Times New Roman" w:eastAsia="宋体" w:hAnsi="Times New Roman" w:cs="Times New Roman"/>
                <w:sz w:val="18"/>
                <w:szCs w:val="18"/>
              </w:rPr>
              <w:t>2024</w:t>
            </w:r>
            <w:r>
              <w:rPr>
                <w:rFonts w:ascii="Times New Roman" w:eastAsia="宋体" w:hAnsi="Times New Roman" w:cs="Times New Roman"/>
                <w:sz w:val="18"/>
                <w:szCs w:val="18"/>
              </w:rPr>
              <w:t>年第四次临时股东会审议通过。</w:t>
            </w:r>
          </w:p>
        </w:tc>
      </w:tr>
      <w:tr w:rsidR="00CE3C32">
        <w:trPr>
          <w:trHeight w:val="240"/>
        </w:trPr>
        <w:tc>
          <w:tcPr>
            <w:tcW w:w="0" w:type="auto"/>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超募资金的金额、用途及使用进展情况</w:t>
            </w:r>
          </w:p>
        </w:tc>
        <w:tc>
          <w:tcPr>
            <w:tcW w:w="0" w:type="auto"/>
            <w:gridSpan w:val="14"/>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r>
      <w:tr w:rsidR="00CE3C32">
        <w:trPr>
          <w:trHeight w:val="240"/>
        </w:trPr>
        <w:tc>
          <w:tcPr>
            <w:tcW w:w="0" w:type="auto"/>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存在擅自改变募集资金用途、违规占用募集资金的情形</w:t>
            </w:r>
          </w:p>
        </w:tc>
        <w:tc>
          <w:tcPr>
            <w:tcW w:w="0" w:type="auto"/>
            <w:gridSpan w:val="14"/>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r>
      <w:tr w:rsidR="00CE3C32">
        <w:trPr>
          <w:trHeight w:val="240"/>
        </w:trPr>
        <w:tc>
          <w:tcPr>
            <w:tcW w:w="0" w:type="auto"/>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募集资金投资项目实施地点变更情况</w:t>
            </w:r>
          </w:p>
        </w:tc>
        <w:tc>
          <w:tcPr>
            <w:tcW w:w="0" w:type="auto"/>
            <w:gridSpan w:val="14"/>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r>
      <w:tr w:rsidR="00CE3C32">
        <w:trPr>
          <w:trHeight w:val="240"/>
        </w:trPr>
        <w:tc>
          <w:tcPr>
            <w:tcW w:w="0" w:type="auto"/>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募集资金投资项目实施方式调整情况</w:t>
            </w:r>
          </w:p>
        </w:tc>
        <w:tc>
          <w:tcPr>
            <w:tcW w:w="0" w:type="auto"/>
            <w:gridSpan w:val="14"/>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r>
      <w:tr w:rsidR="00CE3C32">
        <w:trPr>
          <w:trHeight w:val="240"/>
        </w:trPr>
        <w:tc>
          <w:tcPr>
            <w:tcW w:w="0" w:type="auto"/>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募集资金投资项目先期投入及置换情况</w:t>
            </w:r>
          </w:p>
        </w:tc>
        <w:tc>
          <w:tcPr>
            <w:tcW w:w="0" w:type="auto"/>
            <w:gridSpan w:val="14"/>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r>
      <w:tr w:rsidR="00CE3C32">
        <w:trPr>
          <w:trHeight w:val="240"/>
        </w:trPr>
        <w:tc>
          <w:tcPr>
            <w:tcW w:w="0" w:type="auto"/>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用闲置募集资金暂时补充流动资金情况</w:t>
            </w:r>
          </w:p>
        </w:tc>
        <w:tc>
          <w:tcPr>
            <w:tcW w:w="0" w:type="auto"/>
            <w:gridSpan w:val="14"/>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r>
      <w:tr w:rsidR="00CE3C32">
        <w:trPr>
          <w:trHeight w:val="240"/>
        </w:trPr>
        <w:tc>
          <w:tcPr>
            <w:tcW w:w="0" w:type="auto"/>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项目实施出现募集资金结余的金额及原因</w:t>
            </w:r>
          </w:p>
        </w:tc>
        <w:tc>
          <w:tcPr>
            <w:tcW w:w="0" w:type="auto"/>
            <w:gridSpan w:val="14"/>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r>
      <w:tr w:rsidR="00CE3C32">
        <w:trPr>
          <w:trHeight w:val="240"/>
        </w:trPr>
        <w:tc>
          <w:tcPr>
            <w:tcW w:w="0" w:type="auto"/>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尚未使用的募集资金用途及去向</w:t>
            </w:r>
          </w:p>
        </w:tc>
        <w:tc>
          <w:tcPr>
            <w:tcW w:w="0" w:type="auto"/>
            <w:gridSpan w:val="14"/>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存放于募集资金专户，将用于承诺募投项目。</w:t>
            </w:r>
          </w:p>
        </w:tc>
      </w:tr>
      <w:tr w:rsidR="00CE3C32">
        <w:trPr>
          <w:trHeight w:val="240"/>
        </w:trPr>
        <w:tc>
          <w:tcPr>
            <w:tcW w:w="0" w:type="auto"/>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募集资金使用及披露中存在的问题或其他情况</w:t>
            </w:r>
          </w:p>
        </w:tc>
        <w:tc>
          <w:tcPr>
            <w:tcW w:w="0" w:type="auto"/>
            <w:gridSpan w:val="14"/>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r>
    </w:tbl>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32" w:name="_Toc988920"/>
      <w:r>
        <w:rPr>
          <w:rFonts w:ascii="Times New Roman" w:eastAsia="宋体" w:hAnsi="Times New Roman" w:cs="Times New Roman"/>
          <w:b/>
          <w:bCs/>
          <w:sz w:val="18"/>
          <w:szCs w:val="18"/>
        </w:rPr>
        <w:t>（</w:t>
      </w:r>
      <w:r>
        <w:rPr>
          <w:rFonts w:ascii="Times New Roman" w:eastAsia="宋体" w:hAnsi="Times New Roman" w:cs="Times New Roman"/>
          <w:b/>
          <w:bCs/>
          <w:sz w:val="18"/>
          <w:szCs w:val="18"/>
        </w:rPr>
        <w:t>3</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募集资金变更项目情况</w:t>
      </w:r>
      <w:bookmarkEnd w:id="32"/>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单位：万元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4"/>
        <w:gridCol w:w="595"/>
        <w:gridCol w:w="754"/>
        <w:gridCol w:w="1871"/>
        <w:gridCol w:w="1585"/>
        <w:gridCol w:w="1140"/>
        <w:gridCol w:w="1480"/>
        <w:gridCol w:w="1486"/>
        <w:gridCol w:w="1191"/>
        <w:gridCol w:w="1086"/>
        <w:gridCol w:w="788"/>
        <w:gridCol w:w="1256"/>
      </w:tblGrid>
      <w:tr w:rsidR="00CE3C32">
        <w:trPr>
          <w:trHeight w:val="240"/>
        </w:trPr>
        <w:tc>
          <w:tcPr>
            <w:tcW w:w="33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融资项目名称</w:t>
            </w:r>
          </w:p>
        </w:tc>
        <w:tc>
          <w:tcPr>
            <w:tcW w:w="210"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募集方式</w:t>
            </w:r>
          </w:p>
        </w:tc>
        <w:tc>
          <w:tcPr>
            <w:tcW w:w="26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变更后的项目</w:t>
            </w:r>
          </w:p>
        </w:tc>
        <w:tc>
          <w:tcPr>
            <w:tcW w:w="660"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对应的原承诺项目</w:t>
            </w:r>
          </w:p>
        </w:tc>
        <w:tc>
          <w:tcPr>
            <w:tcW w:w="559"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变更后项目拟投入募集资金总额</w:t>
            </w:r>
            <w:r>
              <w:rPr>
                <w:rFonts w:ascii="Times New Roman" w:eastAsia="宋体" w:hAnsi="Times New Roman" w:cs="Times New Roman"/>
                <w:sz w:val="18"/>
                <w:szCs w:val="18"/>
              </w:rPr>
              <w:t>(1)</w:t>
            </w:r>
          </w:p>
        </w:tc>
        <w:tc>
          <w:tcPr>
            <w:tcW w:w="402"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本报告期实际投入金额</w:t>
            </w:r>
          </w:p>
        </w:tc>
        <w:tc>
          <w:tcPr>
            <w:tcW w:w="522"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截至期末实际累计投入金额</w:t>
            </w:r>
            <w:r>
              <w:rPr>
                <w:rFonts w:ascii="Times New Roman" w:eastAsia="宋体" w:hAnsi="Times New Roman" w:cs="Times New Roman"/>
                <w:sz w:val="18"/>
                <w:szCs w:val="18"/>
              </w:rPr>
              <w:t>(2)</w:t>
            </w:r>
          </w:p>
        </w:tc>
        <w:tc>
          <w:tcPr>
            <w:tcW w:w="52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截至期末投资进度</w:t>
            </w:r>
            <w:r>
              <w:rPr>
                <w:rFonts w:ascii="Times New Roman" w:eastAsia="宋体" w:hAnsi="Times New Roman" w:cs="Times New Roman"/>
                <w:sz w:val="18"/>
                <w:szCs w:val="18"/>
              </w:rPr>
              <w:t>(3)=(2)/(1)</w:t>
            </w:r>
          </w:p>
        </w:tc>
        <w:tc>
          <w:tcPr>
            <w:tcW w:w="420"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项目达到预定可使用状态日期</w:t>
            </w:r>
          </w:p>
        </w:tc>
        <w:tc>
          <w:tcPr>
            <w:tcW w:w="38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本报告期实现的效益</w:t>
            </w:r>
          </w:p>
        </w:tc>
        <w:tc>
          <w:tcPr>
            <w:tcW w:w="27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是否达到预计效益</w:t>
            </w:r>
          </w:p>
        </w:tc>
        <w:tc>
          <w:tcPr>
            <w:tcW w:w="44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变更后的项目可行性是否发生重大变化</w:t>
            </w:r>
          </w:p>
        </w:tc>
      </w:tr>
      <w:tr w:rsidR="00CE3C32">
        <w:trPr>
          <w:trHeight w:val="240"/>
        </w:trPr>
        <w:tc>
          <w:tcPr>
            <w:tcW w:w="3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2021</w:t>
            </w:r>
            <w:r>
              <w:rPr>
                <w:rFonts w:ascii="Times New Roman" w:eastAsia="宋体" w:hAnsi="Times New Roman" w:cs="Times New Roman"/>
                <w:sz w:val="18"/>
                <w:szCs w:val="18"/>
              </w:rPr>
              <w:t>年首次公开发行股票</w:t>
            </w:r>
          </w:p>
        </w:tc>
        <w:tc>
          <w:tcPr>
            <w:tcW w:w="21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首次公开发行</w:t>
            </w:r>
          </w:p>
        </w:tc>
        <w:tc>
          <w:tcPr>
            <w:tcW w:w="26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深圳综合运营中心项目</w:t>
            </w:r>
          </w:p>
        </w:tc>
        <w:tc>
          <w:tcPr>
            <w:tcW w:w="6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大数据应用技术中心建设项目、营销服务体系升级建设项目</w:t>
            </w:r>
          </w:p>
        </w:tc>
        <w:tc>
          <w:tcPr>
            <w:tcW w:w="55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9,756.36</w:t>
            </w:r>
          </w:p>
        </w:tc>
        <w:tc>
          <w:tcPr>
            <w:tcW w:w="402"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187.91</w:t>
            </w:r>
          </w:p>
        </w:tc>
        <w:tc>
          <w:tcPr>
            <w:tcW w:w="522"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7,586.13</w:t>
            </w:r>
          </w:p>
        </w:tc>
        <w:tc>
          <w:tcPr>
            <w:tcW w:w="52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77.76%</w:t>
            </w:r>
          </w:p>
        </w:tc>
        <w:tc>
          <w:tcPr>
            <w:tcW w:w="42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08</w:t>
            </w:r>
            <w:r>
              <w:rPr>
                <w:rFonts w:ascii="Times New Roman" w:eastAsia="宋体" w:hAnsi="Times New Roman" w:cs="Times New Roman"/>
                <w:sz w:val="18"/>
                <w:szCs w:val="18"/>
              </w:rPr>
              <w:t>月</w:t>
            </w:r>
            <w:r>
              <w:rPr>
                <w:rFonts w:ascii="Times New Roman" w:eastAsia="宋体" w:hAnsi="Times New Roman" w:cs="Times New Roman"/>
                <w:sz w:val="18"/>
                <w:szCs w:val="18"/>
              </w:rPr>
              <w:t>24</w:t>
            </w:r>
            <w:r>
              <w:rPr>
                <w:rFonts w:ascii="Times New Roman" w:eastAsia="宋体" w:hAnsi="Times New Roman" w:cs="Times New Roman"/>
                <w:sz w:val="18"/>
                <w:szCs w:val="18"/>
              </w:rPr>
              <w:t>日</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c>
          <w:tcPr>
            <w:tcW w:w="27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不适用</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3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2021</w:t>
            </w:r>
            <w:r>
              <w:rPr>
                <w:rFonts w:ascii="Times New Roman" w:eastAsia="宋体" w:hAnsi="Times New Roman" w:cs="Times New Roman"/>
                <w:sz w:val="18"/>
                <w:szCs w:val="18"/>
              </w:rPr>
              <w:t>年首次公开发行股票</w:t>
            </w:r>
          </w:p>
        </w:tc>
        <w:tc>
          <w:tcPr>
            <w:tcW w:w="21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首次公开发行</w:t>
            </w:r>
          </w:p>
        </w:tc>
        <w:tc>
          <w:tcPr>
            <w:tcW w:w="26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算力集群服务项目</w:t>
            </w:r>
          </w:p>
        </w:tc>
        <w:tc>
          <w:tcPr>
            <w:tcW w:w="6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智慧城市综合解决方案升级项目</w:t>
            </w:r>
          </w:p>
        </w:tc>
        <w:tc>
          <w:tcPr>
            <w:tcW w:w="55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11,716</w:t>
            </w:r>
          </w:p>
        </w:tc>
        <w:tc>
          <w:tcPr>
            <w:tcW w:w="402"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c>
          <w:tcPr>
            <w:tcW w:w="522"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9,975</w:t>
            </w:r>
          </w:p>
        </w:tc>
        <w:tc>
          <w:tcPr>
            <w:tcW w:w="52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85.14%</w:t>
            </w:r>
          </w:p>
        </w:tc>
        <w:tc>
          <w:tcPr>
            <w:tcW w:w="42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02</w:t>
            </w:r>
            <w:r>
              <w:rPr>
                <w:rFonts w:ascii="Times New Roman" w:eastAsia="宋体" w:hAnsi="Times New Roman" w:cs="Times New Roman"/>
                <w:sz w:val="18"/>
                <w:szCs w:val="18"/>
              </w:rPr>
              <w:t>月</w:t>
            </w:r>
            <w:r>
              <w:rPr>
                <w:rFonts w:ascii="Times New Roman" w:eastAsia="宋体" w:hAnsi="Times New Roman" w:cs="Times New Roman"/>
                <w:sz w:val="18"/>
                <w:szCs w:val="18"/>
              </w:rPr>
              <w:t>01</w:t>
            </w:r>
            <w:r>
              <w:rPr>
                <w:rFonts w:ascii="Times New Roman" w:eastAsia="宋体" w:hAnsi="Times New Roman" w:cs="Times New Roman"/>
                <w:sz w:val="18"/>
                <w:szCs w:val="18"/>
              </w:rPr>
              <w:t>日</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882.19</w:t>
            </w:r>
          </w:p>
        </w:tc>
        <w:tc>
          <w:tcPr>
            <w:tcW w:w="27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33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210"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26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660"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55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21,472.36</w:t>
            </w:r>
          </w:p>
        </w:tc>
        <w:tc>
          <w:tcPr>
            <w:tcW w:w="402"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187.91</w:t>
            </w:r>
          </w:p>
        </w:tc>
        <w:tc>
          <w:tcPr>
            <w:tcW w:w="522"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17,561.13</w:t>
            </w:r>
          </w:p>
        </w:tc>
        <w:tc>
          <w:tcPr>
            <w:tcW w:w="52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420"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882.19</w:t>
            </w:r>
          </w:p>
        </w:tc>
        <w:tc>
          <w:tcPr>
            <w:tcW w:w="27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44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r>
      <w:tr w:rsidR="00CE3C32">
        <w:trPr>
          <w:trHeight w:val="240"/>
        </w:trPr>
        <w:tc>
          <w:tcPr>
            <w:tcW w:w="809" w:type="pct"/>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变更原因、决策程序及信息披露情况说明</w:t>
            </w:r>
            <w:r>
              <w:rPr>
                <w:rFonts w:ascii="Times New Roman" w:eastAsia="宋体" w:hAnsi="Times New Roman" w:cs="Times New Roman"/>
                <w:sz w:val="18"/>
                <w:szCs w:val="18"/>
              </w:rPr>
              <w:t>(</w:t>
            </w:r>
            <w:r>
              <w:rPr>
                <w:rFonts w:ascii="Times New Roman" w:eastAsia="宋体" w:hAnsi="Times New Roman" w:cs="Times New Roman"/>
                <w:sz w:val="18"/>
                <w:szCs w:val="18"/>
              </w:rPr>
              <w:t>分具体项目</w:t>
            </w:r>
            <w:r>
              <w:rPr>
                <w:rFonts w:ascii="Times New Roman" w:eastAsia="宋体" w:hAnsi="Times New Roman" w:cs="Times New Roman"/>
                <w:sz w:val="18"/>
                <w:szCs w:val="18"/>
              </w:rPr>
              <w:t>)</w:t>
            </w:r>
          </w:p>
        </w:tc>
        <w:tc>
          <w:tcPr>
            <w:tcW w:w="4191" w:type="pct"/>
            <w:gridSpan w:val="9"/>
            <w:tcBorders>
              <w:top w:val="single" w:sz="2" w:space="0" w:color="auto"/>
              <w:left w:val="single" w:sz="2" w:space="0" w:color="auto"/>
              <w:bottom w:val="single" w:sz="2" w:space="0" w:color="auto"/>
              <w:right w:val="single" w:sz="2" w:space="0" w:color="auto"/>
            </w:tcBorders>
            <w:vAlign w:val="center"/>
          </w:tcPr>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1</w:t>
            </w:r>
            <w:r>
              <w:rPr>
                <w:rFonts w:ascii="Times New Roman" w:eastAsia="宋体" w:hAnsi="Times New Roman" w:cs="Times New Roman"/>
                <w:sz w:val="18"/>
                <w:szCs w:val="18"/>
              </w:rPr>
              <w:t>）大数据应用技术中心建设项目</w:t>
            </w:r>
          </w:p>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大数据应用技术中心建设项目</w:t>
            </w:r>
            <w:r>
              <w:rPr>
                <w:rFonts w:ascii="Times New Roman" w:eastAsia="宋体" w:hAnsi="Times New Roman" w:cs="Times New Roman"/>
                <w:sz w:val="18"/>
                <w:szCs w:val="18"/>
              </w:rPr>
              <w:t>”</w:t>
            </w:r>
            <w:r>
              <w:rPr>
                <w:rFonts w:ascii="Times New Roman" w:eastAsia="宋体" w:hAnsi="Times New Roman" w:cs="Times New Roman"/>
                <w:sz w:val="18"/>
                <w:szCs w:val="18"/>
              </w:rPr>
              <w:t>建设内容主要是购置研发办公场地和相关软硬件设备，引进优秀的研发人才，开展大数据应用技术相关研发。此前受房地产市场环境变化影响，公司基于谨慎原则未购置场所，招聘工作也相应延后开展，导致项目搁置。截至</w:t>
            </w:r>
            <w:r>
              <w:rPr>
                <w:rFonts w:ascii="Times New Roman" w:eastAsia="宋体" w:hAnsi="Times New Roman" w:cs="Times New Roman"/>
                <w:sz w:val="18"/>
                <w:szCs w:val="18"/>
              </w:rPr>
              <w:t>2023</w:t>
            </w:r>
            <w:r>
              <w:rPr>
                <w:rFonts w:ascii="Times New Roman" w:eastAsia="宋体" w:hAnsi="Times New Roman" w:cs="Times New Roman"/>
                <w:sz w:val="18"/>
                <w:szCs w:val="18"/>
              </w:rPr>
              <w:t>年</w:t>
            </w:r>
            <w:r>
              <w:rPr>
                <w:rFonts w:ascii="Times New Roman" w:eastAsia="宋体" w:hAnsi="Times New Roman" w:cs="Times New Roman"/>
                <w:sz w:val="18"/>
                <w:szCs w:val="18"/>
              </w:rPr>
              <w:t>8</w:t>
            </w:r>
            <w:r>
              <w:rPr>
                <w:rFonts w:ascii="Times New Roman" w:eastAsia="宋体" w:hAnsi="Times New Roman" w:cs="Times New Roman"/>
                <w:sz w:val="18"/>
                <w:szCs w:val="18"/>
              </w:rPr>
              <w:t>月</w:t>
            </w:r>
            <w:r>
              <w:rPr>
                <w:rFonts w:ascii="Times New Roman" w:eastAsia="宋体" w:hAnsi="Times New Roman" w:cs="Times New Roman"/>
                <w:sz w:val="18"/>
                <w:szCs w:val="18"/>
              </w:rPr>
              <w:t>2</w:t>
            </w:r>
            <w:r>
              <w:rPr>
                <w:rFonts w:ascii="Times New Roman" w:eastAsia="宋体" w:hAnsi="Times New Roman" w:cs="Times New Roman"/>
                <w:sz w:val="18"/>
                <w:szCs w:val="18"/>
              </w:rPr>
              <w:t>日，公司原有的深圳办公场所已不能满足公司现有的办公及展示需求，同时考虑房地产市场趋于稳定，为保证募投项目实施场地的合理性，提高募集资金的使用效率，更好地满足公司的运营、研发及商务展示等相关需求，经审慎考虑，公司决定购置办公场地并扩展升级原募投项目为</w:t>
            </w:r>
            <w:r>
              <w:rPr>
                <w:rFonts w:ascii="Times New Roman" w:eastAsia="宋体" w:hAnsi="Times New Roman" w:cs="Times New Roman"/>
                <w:sz w:val="18"/>
                <w:szCs w:val="18"/>
              </w:rPr>
              <w:t>“</w:t>
            </w:r>
            <w:r>
              <w:rPr>
                <w:rFonts w:ascii="Times New Roman" w:eastAsia="宋体" w:hAnsi="Times New Roman" w:cs="Times New Roman"/>
                <w:sz w:val="18"/>
                <w:szCs w:val="18"/>
              </w:rPr>
              <w:t>深圳综合运营中心项目</w:t>
            </w:r>
            <w:r>
              <w:rPr>
                <w:rFonts w:ascii="Times New Roman" w:eastAsia="宋体" w:hAnsi="Times New Roman" w:cs="Times New Roman"/>
                <w:sz w:val="18"/>
                <w:szCs w:val="18"/>
              </w:rPr>
              <w:t>”</w:t>
            </w:r>
            <w:r>
              <w:rPr>
                <w:rFonts w:ascii="Times New Roman" w:eastAsia="宋体" w:hAnsi="Times New Roman" w:cs="Times New Roman"/>
                <w:sz w:val="18"/>
                <w:szCs w:val="18"/>
              </w:rPr>
              <w:t>，建设公司位于深圳的运营中心、研发中心及展示中心。同时，鉴于变更后的</w:t>
            </w:r>
            <w:r>
              <w:rPr>
                <w:rFonts w:ascii="Times New Roman" w:eastAsia="宋体" w:hAnsi="Times New Roman" w:cs="Times New Roman"/>
                <w:sz w:val="18"/>
                <w:szCs w:val="18"/>
              </w:rPr>
              <w:t>“</w:t>
            </w:r>
            <w:r>
              <w:rPr>
                <w:rFonts w:ascii="Times New Roman" w:eastAsia="宋体" w:hAnsi="Times New Roman" w:cs="Times New Roman"/>
                <w:sz w:val="18"/>
                <w:szCs w:val="18"/>
              </w:rPr>
              <w:t>深圳综合运营中心项目</w:t>
            </w:r>
            <w:r>
              <w:rPr>
                <w:rFonts w:ascii="Times New Roman" w:eastAsia="宋体" w:hAnsi="Times New Roman" w:cs="Times New Roman"/>
                <w:sz w:val="18"/>
                <w:szCs w:val="18"/>
              </w:rPr>
              <w:t>”</w:t>
            </w:r>
            <w:r>
              <w:rPr>
                <w:rFonts w:ascii="Times New Roman" w:eastAsia="宋体" w:hAnsi="Times New Roman" w:cs="Times New Roman"/>
                <w:sz w:val="18"/>
                <w:szCs w:val="18"/>
              </w:rPr>
              <w:t>实施地点为广东省深圳市，通过将募投项目主体变更为同样位于深圳市的公司全资子公司互联精英，天亿马能够更加充分地发挥公司现有资源的整合优势，有利于公司的整体规划和合理布局，进一步夯实公司战略，促进公司高质量、可持续发展。公司已于</w:t>
            </w:r>
            <w:r>
              <w:rPr>
                <w:rFonts w:ascii="Times New Roman" w:eastAsia="宋体" w:hAnsi="Times New Roman" w:cs="Times New Roman"/>
                <w:sz w:val="18"/>
                <w:szCs w:val="18"/>
              </w:rPr>
              <w:t>2023</w:t>
            </w:r>
            <w:r>
              <w:rPr>
                <w:rFonts w:ascii="Times New Roman" w:eastAsia="宋体" w:hAnsi="Times New Roman" w:cs="Times New Roman"/>
                <w:sz w:val="18"/>
                <w:szCs w:val="18"/>
              </w:rPr>
              <w:t>年</w:t>
            </w:r>
            <w:r>
              <w:rPr>
                <w:rFonts w:ascii="Times New Roman" w:eastAsia="宋体" w:hAnsi="Times New Roman" w:cs="Times New Roman"/>
                <w:sz w:val="18"/>
                <w:szCs w:val="18"/>
              </w:rPr>
              <w:t>8</w:t>
            </w:r>
            <w:r>
              <w:rPr>
                <w:rFonts w:ascii="Times New Roman" w:eastAsia="宋体" w:hAnsi="Times New Roman" w:cs="Times New Roman"/>
                <w:sz w:val="18"/>
                <w:szCs w:val="18"/>
              </w:rPr>
              <w:t>月</w:t>
            </w:r>
            <w:r>
              <w:rPr>
                <w:rFonts w:ascii="Times New Roman" w:eastAsia="宋体" w:hAnsi="Times New Roman" w:cs="Times New Roman"/>
                <w:sz w:val="18"/>
                <w:szCs w:val="18"/>
              </w:rPr>
              <w:t>3</w:t>
            </w:r>
            <w:r>
              <w:rPr>
                <w:rFonts w:ascii="Times New Roman" w:eastAsia="宋体" w:hAnsi="Times New Roman" w:cs="Times New Roman"/>
                <w:sz w:val="18"/>
                <w:szCs w:val="18"/>
              </w:rPr>
              <w:t>日披露了《关于变更募投项目实施主体、实施地点及部分募集资</w:t>
            </w:r>
            <w:r>
              <w:rPr>
                <w:rFonts w:ascii="Times New Roman" w:eastAsia="宋体" w:hAnsi="Times New Roman" w:cs="Times New Roman"/>
                <w:sz w:val="18"/>
                <w:szCs w:val="18"/>
              </w:rPr>
              <w:lastRenderedPageBreak/>
              <w:t>金用途的公告》，本次变更募投项目事项已经公司</w:t>
            </w:r>
            <w:r>
              <w:rPr>
                <w:rFonts w:ascii="Times New Roman" w:eastAsia="宋体" w:hAnsi="Times New Roman" w:cs="Times New Roman"/>
                <w:sz w:val="18"/>
                <w:szCs w:val="18"/>
              </w:rPr>
              <w:t>2023</w:t>
            </w:r>
            <w:r>
              <w:rPr>
                <w:rFonts w:ascii="Times New Roman" w:eastAsia="宋体" w:hAnsi="Times New Roman" w:cs="Times New Roman"/>
                <w:sz w:val="18"/>
                <w:szCs w:val="18"/>
              </w:rPr>
              <w:t>年</w:t>
            </w:r>
            <w:r>
              <w:rPr>
                <w:rFonts w:ascii="Times New Roman" w:eastAsia="宋体" w:hAnsi="Times New Roman" w:cs="Times New Roman"/>
                <w:sz w:val="18"/>
                <w:szCs w:val="18"/>
              </w:rPr>
              <w:t>8</w:t>
            </w:r>
            <w:r>
              <w:rPr>
                <w:rFonts w:ascii="Times New Roman" w:eastAsia="宋体" w:hAnsi="Times New Roman" w:cs="Times New Roman"/>
                <w:sz w:val="18"/>
                <w:szCs w:val="18"/>
              </w:rPr>
              <w:t>月</w:t>
            </w:r>
            <w:r>
              <w:rPr>
                <w:rFonts w:ascii="Times New Roman" w:eastAsia="宋体" w:hAnsi="Times New Roman" w:cs="Times New Roman"/>
                <w:sz w:val="18"/>
                <w:szCs w:val="18"/>
              </w:rPr>
              <w:t>21</w:t>
            </w:r>
            <w:r>
              <w:rPr>
                <w:rFonts w:ascii="Times New Roman" w:eastAsia="宋体" w:hAnsi="Times New Roman" w:cs="Times New Roman"/>
                <w:sz w:val="18"/>
                <w:szCs w:val="18"/>
              </w:rPr>
              <w:t>日召开的</w:t>
            </w:r>
            <w:r>
              <w:rPr>
                <w:rFonts w:ascii="Times New Roman" w:eastAsia="宋体" w:hAnsi="Times New Roman" w:cs="Times New Roman"/>
                <w:sz w:val="18"/>
                <w:szCs w:val="18"/>
              </w:rPr>
              <w:t>2023</w:t>
            </w:r>
            <w:r>
              <w:rPr>
                <w:rFonts w:ascii="Times New Roman" w:eastAsia="宋体" w:hAnsi="Times New Roman" w:cs="Times New Roman"/>
                <w:sz w:val="18"/>
                <w:szCs w:val="18"/>
              </w:rPr>
              <w:t>年第三次临时股东大会审议通过。</w:t>
            </w:r>
          </w:p>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2</w:t>
            </w:r>
            <w:r>
              <w:rPr>
                <w:rFonts w:ascii="Times New Roman" w:eastAsia="宋体" w:hAnsi="Times New Roman" w:cs="Times New Roman"/>
                <w:sz w:val="18"/>
                <w:szCs w:val="18"/>
              </w:rPr>
              <w:t>）营销服务体系升级建设项目</w:t>
            </w:r>
          </w:p>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营销服务体系升级建设项目</w:t>
            </w:r>
            <w:r>
              <w:rPr>
                <w:rFonts w:ascii="Times New Roman" w:eastAsia="宋体" w:hAnsi="Times New Roman" w:cs="Times New Roman"/>
                <w:sz w:val="18"/>
                <w:szCs w:val="18"/>
              </w:rPr>
              <w:t>”</w:t>
            </w:r>
            <w:r>
              <w:rPr>
                <w:rFonts w:ascii="Times New Roman" w:eastAsia="宋体" w:hAnsi="Times New Roman" w:cs="Times New Roman"/>
                <w:sz w:val="18"/>
                <w:szCs w:val="18"/>
              </w:rPr>
              <w:t>原计划用于公司营销网点的场地租赁和装修、购置基础办公设备、营销人员的费用及市场推广费等。受市场环境影响，各营销网点办公场所租赁、装修及招聘等工作受限，同时避免按原定计划对各现有营销网点实施装修期间可能对公司营销服务能力造成的负面影响，公司决定取消原募投项目的实施并将募集资金用于办公场地的购置。公司已于</w:t>
            </w:r>
            <w:r>
              <w:rPr>
                <w:rFonts w:ascii="Times New Roman" w:eastAsia="宋体" w:hAnsi="Times New Roman" w:cs="Times New Roman"/>
                <w:sz w:val="18"/>
                <w:szCs w:val="18"/>
              </w:rPr>
              <w:t>2023</w:t>
            </w:r>
            <w:r>
              <w:rPr>
                <w:rFonts w:ascii="Times New Roman" w:eastAsia="宋体" w:hAnsi="Times New Roman" w:cs="Times New Roman"/>
                <w:sz w:val="18"/>
                <w:szCs w:val="18"/>
              </w:rPr>
              <w:t>年</w:t>
            </w:r>
            <w:r>
              <w:rPr>
                <w:rFonts w:ascii="Times New Roman" w:eastAsia="宋体" w:hAnsi="Times New Roman" w:cs="Times New Roman"/>
                <w:sz w:val="18"/>
                <w:szCs w:val="18"/>
              </w:rPr>
              <w:t>8</w:t>
            </w:r>
            <w:r>
              <w:rPr>
                <w:rFonts w:ascii="Times New Roman" w:eastAsia="宋体" w:hAnsi="Times New Roman" w:cs="Times New Roman"/>
                <w:sz w:val="18"/>
                <w:szCs w:val="18"/>
              </w:rPr>
              <w:t>月</w:t>
            </w:r>
            <w:r>
              <w:rPr>
                <w:rFonts w:ascii="Times New Roman" w:eastAsia="宋体" w:hAnsi="Times New Roman" w:cs="Times New Roman"/>
                <w:sz w:val="18"/>
                <w:szCs w:val="18"/>
              </w:rPr>
              <w:t>3</w:t>
            </w:r>
            <w:r>
              <w:rPr>
                <w:rFonts w:ascii="Times New Roman" w:eastAsia="宋体" w:hAnsi="Times New Roman" w:cs="Times New Roman"/>
                <w:sz w:val="18"/>
                <w:szCs w:val="18"/>
              </w:rPr>
              <w:t>日披露了《关于变更募投项目实施主体、实施地点及部分募集资金用途的公告》，本次变更募投项目事项已经公司</w:t>
            </w:r>
            <w:r>
              <w:rPr>
                <w:rFonts w:ascii="Times New Roman" w:eastAsia="宋体" w:hAnsi="Times New Roman" w:cs="Times New Roman"/>
                <w:sz w:val="18"/>
                <w:szCs w:val="18"/>
              </w:rPr>
              <w:t>2023</w:t>
            </w:r>
            <w:r>
              <w:rPr>
                <w:rFonts w:ascii="Times New Roman" w:eastAsia="宋体" w:hAnsi="Times New Roman" w:cs="Times New Roman"/>
                <w:sz w:val="18"/>
                <w:szCs w:val="18"/>
              </w:rPr>
              <w:t>年</w:t>
            </w:r>
            <w:r>
              <w:rPr>
                <w:rFonts w:ascii="Times New Roman" w:eastAsia="宋体" w:hAnsi="Times New Roman" w:cs="Times New Roman"/>
                <w:sz w:val="18"/>
                <w:szCs w:val="18"/>
              </w:rPr>
              <w:t>8</w:t>
            </w:r>
            <w:r>
              <w:rPr>
                <w:rFonts w:ascii="Times New Roman" w:eastAsia="宋体" w:hAnsi="Times New Roman" w:cs="Times New Roman"/>
                <w:sz w:val="18"/>
                <w:szCs w:val="18"/>
              </w:rPr>
              <w:t>月</w:t>
            </w:r>
            <w:r>
              <w:rPr>
                <w:rFonts w:ascii="Times New Roman" w:eastAsia="宋体" w:hAnsi="Times New Roman" w:cs="Times New Roman"/>
                <w:sz w:val="18"/>
                <w:szCs w:val="18"/>
              </w:rPr>
              <w:t>21</w:t>
            </w:r>
            <w:r>
              <w:rPr>
                <w:rFonts w:ascii="Times New Roman" w:eastAsia="宋体" w:hAnsi="Times New Roman" w:cs="Times New Roman"/>
                <w:sz w:val="18"/>
                <w:szCs w:val="18"/>
              </w:rPr>
              <w:t>日召开的</w:t>
            </w:r>
            <w:r>
              <w:rPr>
                <w:rFonts w:ascii="Times New Roman" w:eastAsia="宋体" w:hAnsi="Times New Roman" w:cs="Times New Roman"/>
                <w:sz w:val="18"/>
                <w:szCs w:val="18"/>
              </w:rPr>
              <w:t>2023</w:t>
            </w:r>
            <w:r>
              <w:rPr>
                <w:rFonts w:ascii="Times New Roman" w:eastAsia="宋体" w:hAnsi="Times New Roman" w:cs="Times New Roman"/>
                <w:sz w:val="18"/>
                <w:szCs w:val="18"/>
              </w:rPr>
              <w:t>年第三次临时股东大会审议通过。</w:t>
            </w:r>
          </w:p>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3</w:t>
            </w:r>
            <w:r>
              <w:rPr>
                <w:rFonts w:ascii="Times New Roman" w:eastAsia="宋体" w:hAnsi="Times New Roman" w:cs="Times New Roman"/>
                <w:sz w:val="18"/>
                <w:szCs w:val="18"/>
              </w:rPr>
              <w:t>）智慧城市综合解决方案升级项目</w:t>
            </w:r>
          </w:p>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随深圳综合运营中心项目的落地，深圳办公室研发中心、展示中心、运营中心的投入使用一定程度缓解了总部办公用地压力，同时为满足公司数字经济战略拓展的需求，优化产业布局，提升综合竞争力，提高募集资金的使用效率和投资回报公司终止原募投项目</w:t>
            </w:r>
            <w:r>
              <w:rPr>
                <w:rFonts w:ascii="Times New Roman" w:eastAsia="宋体" w:hAnsi="Times New Roman" w:cs="Times New Roman"/>
                <w:sz w:val="18"/>
                <w:szCs w:val="18"/>
              </w:rPr>
              <w:t>“</w:t>
            </w:r>
            <w:r>
              <w:rPr>
                <w:rFonts w:ascii="Times New Roman" w:eastAsia="宋体" w:hAnsi="Times New Roman" w:cs="Times New Roman"/>
                <w:sz w:val="18"/>
                <w:szCs w:val="18"/>
              </w:rPr>
              <w:t>智慧城市综合解决方案升级项目</w:t>
            </w:r>
            <w:r>
              <w:rPr>
                <w:rFonts w:ascii="Times New Roman" w:eastAsia="宋体" w:hAnsi="Times New Roman" w:cs="Times New Roman"/>
                <w:sz w:val="18"/>
                <w:szCs w:val="18"/>
              </w:rPr>
              <w:t>”</w:t>
            </w:r>
            <w:r>
              <w:rPr>
                <w:rFonts w:ascii="Times New Roman" w:eastAsia="宋体" w:hAnsi="Times New Roman" w:cs="Times New Roman"/>
                <w:sz w:val="18"/>
                <w:szCs w:val="18"/>
              </w:rPr>
              <w:t>，将其部分募集资金变更用于实施</w:t>
            </w:r>
            <w:r>
              <w:rPr>
                <w:rFonts w:ascii="Times New Roman" w:eastAsia="宋体" w:hAnsi="Times New Roman" w:cs="Times New Roman"/>
                <w:sz w:val="18"/>
                <w:szCs w:val="18"/>
              </w:rPr>
              <w:t>“</w:t>
            </w:r>
            <w:r>
              <w:rPr>
                <w:rFonts w:ascii="Times New Roman" w:eastAsia="宋体" w:hAnsi="Times New Roman" w:cs="Times New Roman"/>
                <w:sz w:val="18"/>
                <w:szCs w:val="18"/>
              </w:rPr>
              <w:t>算力集群服务项目</w:t>
            </w:r>
            <w:r>
              <w:rPr>
                <w:rFonts w:ascii="Times New Roman" w:eastAsia="宋体" w:hAnsi="Times New Roman" w:cs="Times New Roman"/>
                <w:sz w:val="18"/>
                <w:szCs w:val="18"/>
              </w:rPr>
              <w:t>”</w:t>
            </w:r>
            <w:r>
              <w:rPr>
                <w:rFonts w:ascii="Times New Roman" w:eastAsia="宋体" w:hAnsi="Times New Roman" w:cs="Times New Roman"/>
                <w:sz w:val="18"/>
                <w:szCs w:val="18"/>
              </w:rPr>
              <w:t>，剩余募集资金及其孳息将根据公司未来经营需要适时投入其他项目建设或其他用途。</w:t>
            </w:r>
            <w:r>
              <w:rPr>
                <w:rFonts w:ascii="Times New Roman" w:eastAsia="宋体" w:hAnsi="Times New Roman" w:cs="Times New Roman"/>
                <w:sz w:val="18"/>
                <w:szCs w:val="18"/>
              </w:rPr>
              <w:t>“</w:t>
            </w:r>
            <w:r>
              <w:rPr>
                <w:rFonts w:ascii="Times New Roman" w:eastAsia="宋体" w:hAnsi="Times New Roman" w:cs="Times New Roman"/>
                <w:sz w:val="18"/>
                <w:szCs w:val="18"/>
              </w:rPr>
              <w:t>算力集群服务项目</w:t>
            </w:r>
            <w:r>
              <w:rPr>
                <w:rFonts w:ascii="Times New Roman" w:eastAsia="宋体" w:hAnsi="Times New Roman" w:cs="Times New Roman"/>
                <w:sz w:val="18"/>
                <w:szCs w:val="18"/>
              </w:rPr>
              <w:t>”</w:t>
            </w:r>
            <w:r>
              <w:rPr>
                <w:rFonts w:ascii="Times New Roman" w:eastAsia="宋体" w:hAnsi="Times New Roman" w:cs="Times New Roman"/>
                <w:sz w:val="18"/>
                <w:szCs w:val="18"/>
              </w:rPr>
              <w:t>计划总投资额</w:t>
            </w:r>
            <w:r>
              <w:rPr>
                <w:rFonts w:ascii="Times New Roman" w:eastAsia="宋体" w:hAnsi="Times New Roman" w:cs="Times New Roman"/>
                <w:sz w:val="18"/>
                <w:szCs w:val="18"/>
              </w:rPr>
              <w:t>36,229.00</w:t>
            </w:r>
            <w:r>
              <w:rPr>
                <w:rFonts w:ascii="Times New Roman" w:eastAsia="宋体" w:hAnsi="Times New Roman" w:cs="Times New Roman"/>
                <w:sz w:val="18"/>
                <w:szCs w:val="18"/>
              </w:rPr>
              <w:t>万元，其中使用原募投项目募集资金</w:t>
            </w:r>
            <w:r>
              <w:rPr>
                <w:rFonts w:ascii="Times New Roman" w:eastAsia="宋体" w:hAnsi="Times New Roman" w:cs="Times New Roman"/>
                <w:sz w:val="18"/>
                <w:szCs w:val="18"/>
              </w:rPr>
              <w:t>11,716.00</w:t>
            </w:r>
            <w:r>
              <w:rPr>
                <w:rFonts w:ascii="Times New Roman" w:eastAsia="宋体" w:hAnsi="Times New Roman" w:cs="Times New Roman"/>
                <w:sz w:val="18"/>
                <w:szCs w:val="18"/>
              </w:rPr>
              <w:t>万元。该项目由公司在深圳市实施建设，项目周期为</w:t>
            </w:r>
            <w:r>
              <w:rPr>
                <w:rFonts w:ascii="Times New Roman" w:eastAsia="宋体" w:hAnsi="Times New Roman" w:cs="Times New Roman"/>
                <w:sz w:val="18"/>
                <w:szCs w:val="18"/>
              </w:rPr>
              <w:t>5</w:t>
            </w:r>
            <w:r>
              <w:rPr>
                <w:rFonts w:ascii="Times New Roman" w:eastAsia="宋体" w:hAnsi="Times New Roman" w:cs="Times New Roman"/>
                <w:sz w:val="18"/>
                <w:szCs w:val="18"/>
              </w:rPr>
              <w:t>年。公司已于</w:t>
            </w:r>
            <w:r>
              <w:rPr>
                <w:rFonts w:ascii="Times New Roman" w:eastAsia="宋体" w:hAnsi="Times New Roman" w:cs="Times New Roman"/>
                <w:sz w:val="18"/>
                <w:szCs w:val="18"/>
              </w:rPr>
              <w:t>2024</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12</w:t>
            </w:r>
            <w:r>
              <w:rPr>
                <w:rFonts w:ascii="Times New Roman" w:eastAsia="宋体" w:hAnsi="Times New Roman" w:cs="Times New Roman"/>
                <w:sz w:val="18"/>
                <w:szCs w:val="18"/>
              </w:rPr>
              <w:t>日披露了《关于变更部分募集资金用途的公告》，本次变更募投项目事项已经公司</w:t>
            </w:r>
            <w:r>
              <w:rPr>
                <w:rFonts w:ascii="Times New Roman" w:eastAsia="宋体" w:hAnsi="Times New Roman" w:cs="Times New Roman"/>
                <w:sz w:val="18"/>
                <w:szCs w:val="18"/>
              </w:rPr>
              <w:t>2024</w:t>
            </w:r>
            <w:r>
              <w:rPr>
                <w:rFonts w:ascii="Times New Roman" w:eastAsia="宋体" w:hAnsi="Times New Roman" w:cs="Times New Roman"/>
                <w:sz w:val="18"/>
                <w:szCs w:val="18"/>
              </w:rPr>
              <w:t>年第四次临时股东会审议通过。</w:t>
            </w:r>
          </w:p>
        </w:tc>
      </w:tr>
      <w:tr w:rsidR="00CE3C32">
        <w:trPr>
          <w:trHeight w:val="240"/>
        </w:trPr>
        <w:tc>
          <w:tcPr>
            <w:tcW w:w="809" w:type="pct"/>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未达到计划进度或预计收益的情况和原因</w:t>
            </w:r>
            <w:r>
              <w:rPr>
                <w:rFonts w:ascii="Times New Roman" w:eastAsia="宋体" w:hAnsi="Times New Roman" w:cs="Times New Roman"/>
                <w:sz w:val="18"/>
                <w:szCs w:val="18"/>
              </w:rPr>
              <w:t>(</w:t>
            </w:r>
            <w:r>
              <w:rPr>
                <w:rFonts w:ascii="Times New Roman" w:eastAsia="宋体" w:hAnsi="Times New Roman" w:cs="Times New Roman"/>
                <w:sz w:val="18"/>
                <w:szCs w:val="18"/>
              </w:rPr>
              <w:t>分具体项目</w:t>
            </w:r>
            <w:r>
              <w:rPr>
                <w:rFonts w:ascii="Times New Roman" w:eastAsia="宋体" w:hAnsi="Times New Roman" w:cs="Times New Roman"/>
                <w:sz w:val="18"/>
                <w:szCs w:val="18"/>
              </w:rPr>
              <w:t>)</w:t>
            </w:r>
          </w:p>
        </w:tc>
        <w:tc>
          <w:tcPr>
            <w:tcW w:w="4191" w:type="pct"/>
            <w:gridSpan w:val="9"/>
            <w:tcBorders>
              <w:top w:val="single" w:sz="2" w:space="0" w:color="auto"/>
              <w:left w:val="single" w:sz="2" w:space="0" w:color="auto"/>
              <w:bottom w:val="single" w:sz="2" w:space="0" w:color="auto"/>
              <w:right w:val="single" w:sz="2" w:space="0" w:color="auto"/>
            </w:tcBorders>
            <w:vAlign w:val="center"/>
          </w:tcPr>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1</w:t>
            </w:r>
            <w:r>
              <w:rPr>
                <w:rFonts w:ascii="Times New Roman" w:eastAsia="宋体" w:hAnsi="Times New Roman" w:cs="Times New Roman"/>
                <w:sz w:val="18"/>
                <w:szCs w:val="18"/>
              </w:rPr>
              <w:t>）智慧城市综合解决方案升级项目</w:t>
            </w:r>
          </w:p>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近年来，数字经济正逐渐成为国家经济发展、构筑国家竞争新优势的重要驱动力。人工智能、边缘计算、大数据、自然语言编程等技术接连取得突破，为技术升级、产品创新提供源源动力。在我国数字经济高速发展的背景下，公司全面深化数据经济的战略拓展目标，由智慧城市领域向上游延伸产业链，打开全新发展空间。同时，随深圳综合运营中心项目的落地，深圳办公室研发中心、展示中心、运营中心的投入使用一定程度缓解了总部办公用地压力。</w:t>
            </w:r>
          </w:p>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公司于</w:t>
            </w:r>
            <w:r>
              <w:rPr>
                <w:rFonts w:ascii="Times New Roman" w:eastAsia="宋体" w:hAnsi="Times New Roman" w:cs="Times New Roman"/>
                <w:sz w:val="18"/>
                <w:szCs w:val="18"/>
              </w:rPr>
              <w:t>2024</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11</w:t>
            </w:r>
            <w:r>
              <w:rPr>
                <w:rFonts w:ascii="Times New Roman" w:eastAsia="宋体" w:hAnsi="Times New Roman" w:cs="Times New Roman"/>
                <w:sz w:val="18"/>
                <w:szCs w:val="18"/>
              </w:rPr>
              <w:t>日召开了第三届董事会第二十六次会议和第三届监事会第二十四次会议，并于</w:t>
            </w:r>
            <w:r>
              <w:rPr>
                <w:rFonts w:ascii="Times New Roman" w:eastAsia="宋体" w:hAnsi="Times New Roman" w:cs="Times New Roman"/>
                <w:sz w:val="18"/>
                <w:szCs w:val="18"/>
              </w:rPr>
              <w:t>2024</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27</w:t>
            </w:r>
            <w:r>
              <w:rPr>
                <w:rFonts w:ascii="Times New Roman" w:eastAsia="宋体" w:hAnsi="Times New Roman" w:cs="Times New Roman"/>
                <w:sz w:val="18"/>
                <w:szCs w:val="18"/>
              </w:rPr>
              <w:t>日召开</w:t>
            </w:r>
            <w:r>
              <w:rPr>
                <w:rFonts w:ascii="Times New Roman" w:eastAsia="宋体" w:hAnsi="Times New Roman" w:cs="Times New Roman"/>
                <w:sz w:val="18"/>
                <w:szCs w:val="18"/>
              </w:rPr>
              <w:t>2024</w:t>
            </w:r>
            <w:r>
              <w:rPr>
                <w:rFonts w:ascii="Times New Roman" w:eastAsia="宋体" w:hAnsi="Times New Roman" w:cs="Times New Roman"/>
                <w:sz w:val="18"/>
                <w:szCs w:val="18"/>
              </w:rPr>
              <w:t>年第四次临时股东会，审议通过了《关于变更部分募集资金用途的议案》，同意终止原募投项目</w:t>
            </w:r>
            <w:r>
              <w:rPr>
                <w:rFonts w:ascii="Times New Roman" w:eastAsia="宋体" w:hAnsi="Times New Roman" w:cs="Times New Roman"/>
                <w:sz w:val="18"/>
                <w:szCs w:val="18"/>
              </w:rPr>
              <w:t>“</w:t>
            </w:r>
            <w:r>
              <w:rPr>
                <w:rFonts w:ascii="Times New Roman" w:eastAsia="宋体" w:hAnsi="Times New Roman" w:cs="Times New Roman"/>
                <w:sz w:val="18"/>
                <w:szCs w:val="18"/>
              </w:rPr>
              <w:t>智慧城市综合解决方案升级项目</w:t>
            </w:r>
            <w:r>
              <w:rPr>
                <w:rFonts w:ascii="Times New Roman" w:eastAsia="宋体" w:hAnsi="Times New Roman" w:cs="Times New Roman"/>
                <w:sz w:val="18"/>
                <w:szCs w:val="18"/>
              </w:rPr>
              <w:t>”</w:t>
            </w:r>
            <w:r>
              <w:rPr>
                <w:rFonts w:ascii="Times New Roman" w:eastAsia="宋体" w:hAnsi="Times New Roman" w:cs="Times New Roman"/>
                <w:sz w:val="18"/>
                <w:szCs w:val="18"/>
              </w:rPr>
              <w:t>，将其部分募集资金</w:t>
            </w:r>
            <w:r>
              <w:rPr>
                <w:rFonts w:ascii="Times New Roman" w:eastAsia="宋体" w:hAnsi="Times New Roman" w:cs="Times New Roman"/>
                <w:sz w:val="18"/>
                <w:szCs w:val="18"/>
              </w:rPr>
              <w:t>11,716.00</w:t>
            </w:r>
            <w:r>
              <w:rPr>
                <w:rFonts w:ascii="Times New Roman" w:eastAsia="宋体" w:hAnsi="Times New Roman" w:cs="Times New Roman"/>
                <w:sz w:val="18"/>
                <w:szCs w:val="18"/>
              </w:rPr>
              <w:t>万元变更用于实施</w:t>
            </w:r>
            <w:r>
              <w:rPr>
                <w:rFonts w:ascii="Times New Roman" w:eastAsia="宋体" w:hAnsi="Times New Roman" w:cs="Times New Roman"/>
                <w:sz w:val="18"/>
                <w:szCs w:val="18"/>
              </w:rPr>
              <w:t>“</w:t>
            </w:r>
            <w:r>
              <w:rPr>
                <w:rFonts w:ascii="Times New Roman" w:eastAsia="宋体" w:hAnsi="Times New Roman" w:cs="Times New Roman"/>
                <w:sz w:val="18"/>
                <w:szCs w:val="18"/>
              </w:rPr>
              <w:t>算力集群服务项目</w:t>
            </w:r>
            <w:r>
              <w:rPr>
                <w:rFonts w:ascii="Times New Roman" w:eastAsia="宋体" w:hAnsi="Times New Roman" w:cs="Times New Roman"/>
                <w:sz w:val="18"/>
                <w:szCs w:val="18"/>
              </w:rPr>
              <w:t>”</w:t>
            </w:r>
            <w:r>
              <w:rPr>
                <w:rFonts w:ascii="Times New Roman" w:eastAsia="宋体" w:hAnsi="Times New Roman" w:cs="Times New Roman"/>
                <w:sz w:val="18"/>
                <w:szCs w:val="18"/>
              </w:rPr>
              <w:t>，剩余募集资金及其孳息将根据公司未来经营需要，适时投入其他项目建设或其他用途。公司监事会及保荐机构就该事项发表同意意见。</w:t>
            </w:r>
          </w:p>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2</w:t>
            </w:r>
            <w:r>
              <w:rPr>
                <w:rFonts w:ascii="Times New Roman" w:eastAsia="宋体" w:hAnsi="Times New Roman" w:cs="Times New Roman"/>
                <w:sz w:val="18"/>
                <w:szCs w:val="18"/>
              </w:rPr>
              <w:t>）深圳综合运营中心项目</w:t>
            </w:r>
          </w:p>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深圳综合运营中心</w:t>
            </w:r>
            <w:r>
              <w:rPr>
                <w:rFonts w:ascii="Times New Roman" w:eastAsia="宋体" w:hAnsi="Times New Roman" w:cs="Times New Roman"/>
                <w:sz w:val="18"/>
                <w:szCs w:val="18"/>
              </w:rPr>
              <w:t>”</w:t>
            </w:r>
            <w:r>
              <w:rPr>
                <w:rFonts w:ascii="Times New Roman" w:eastAsia="宋体" w:hAnsi="Times New Roman" w:cs="Times New Roman"/>
                <w:sz w:val="18"/>
                <w:szCs w:val="18"/>
              </w:rPr>
              <w:t>项目建设内容为购置办公场地，引进优秀人才，建立深圳运营中心、研发中心和展示中心，加强公司的研发设计和营销服务等综合能力。该项目原计划建设周期为</w:t>
            </w:r>
            <w:r>
              <w:rPr>
                <w:rFonts w:ascii="Times New Roman" w:eastAsia="宋体" w:hAnsi="Times New Roman" w:cs="Times New Roman"/>
                <w:sz w:val="18"/>
                <w:szCs w:val="18"/>
              </w:rPr>
              <w:t>12</w:t>
            </w:r>
            <w:r>
              <w:rPr>
                <w:rFonts w:ascii="Times New Roman" w:eastAsia="宋体" w:hAnsi="Times New Roman" w:cs="Times New Roman"/>
                <w:sz w:val="18"/>
                <w:szCs w:val="18"/>
              </w:rPr>
              <w:t>个月，涵盖场地购置、配套设施建设、硬件设备配置、人员调动及招募多阶段实施建设。该项目计划新增</w:t>
            </w:r>
            <w:r>
              <w:rPr>
                <w:rFonts w:ascii="Times New Roman" w:eastAsia="宋体" w:hAnsi="Times New Roman" w:cs="Times New Roman"/>
                <w:sz w:val="18"/>
                <w:szCs w:val="18"/>
              </w:rPr>
              <w:t>81</w:t>
            </w:r>
            <w:r>
              <w:rPr>
                <w:rFonts w:ascii="Times New Roman" w:eastAsia="宋体" w:hAnsi="Times New Roman" w:cs="Times New Roman"/>
                <w:sz w:val="18"/>
                <w:szCs w:val="18"/>
              </w:rPr>
              <w:t>人，公司原计划通过专场招聘、高端技术人才引进等渠道进行团队建设。为控制整体投入成本，公司对人才引进渠道、招聘办法加以调整，该部分投入进度放缓。</w:t>
            </w:r>
          </w:p>
          <w:p w:rsidR="00CE3C32" w:rsidRDefault="006413B8">
            <w:pPr>
              <w:spacing w:beforeLines="50" w:before="156" w:afterLines="50" w:after="156"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公司于</w:t>
            </w:r>
            <w:r>
              <w:rPr>
                <w:rFonts w:ascii="Times New Roman" w:eastAsia="宋体" w:hAnsi="Times New Roman" w:cs="Times New Roman"/>
                <w:sz w:val="18"/>
                <w:szCs w:val="18"/>
              </w:rPr>
              <w:t>2024</w:t>
            </w:r>
            <w:r>
              <w:rPr>
                <w:rFonts w:ascii="Times New Roman" w:eastAsia="宋体" w:hAnsi="Times New Roman" w:cs="Times New Roman"/>
                <w:sz w:val="18"/>
                <w:szCs w:val="18"/>
              </w:rPr>
              <w:t>年</w:t>
            </w:r>
            <w:r>
              <w:rPr>
                <w:rFonts w:ascii="Times New Roman" w:eastAsia="宋体" w:hAnsi="Times New Roman" w:cs="Times New Roman"/>
                <w:sz w:val="18"/>
                <w:szCs w:val="18"/>
              </w:rPr>
              <w:t>8</w:t>
            </w:r>
            <w:r>
              <w:rPr>
                <w:rFonts w:ascii="Times New Roman" w:eastAsia="宋体" w:hAnsi="Times New Roman" w:cs="Times New Roman"/>
                <w:sz w:val="18"/>
                <w:szCs w:val="18"/>
              </w:rPr>
              <w:t>月</w:t>
            </w:r>
            <w:r>
              <w:rPr>
                <w:rFonts w:ascii="Times New Roman" w:eastAsia="宋体" w:hAnsi="Times New Roman" w:cs="Times New Roman"/>
                <w:sz w:val="18"/>
                <w:szCs w:val="18"/>
              </w:rPr>
              <w:t>28</w:t>
            </w:r>
            <w:r>
              <w:rPr>
                <w:rFonts w:ascii="Times New Roman" w:eastAsia="宋体" w:hAnsi="Times New Roman" w:cs="Times New Roman"/>
                <w:sz w:val="18"/>
                <w:szCs w:val="18"/>
              </w:rPr>
              <w:t>日召开了第三届董事会第二十四次会议和第三届监事会第二十二次会议审议通过《关于部分募集资金投资项目延期的议案》，对项目进度规划进行调整，将</w:t>
            </w:r>
            <w:r>
              <w:rPr>
                <w:rFonts w:ascii="Times New Roman" w:eastAsia="宋体" w:hAnsi="Times New Roman" w:cs="Times New Roman"/>
                <w:sz w:val="18"/>
                <w:szCs w:val="18"/>
              </w:rPr>
              <w:t>“</w:t>
            </w:r>
            <w:r>
              <w:rPr>
                <w:rFonts w:ascii="Times New Roman" w:eastAsia="宋体" w:hAnsi="Times New Roman" w:cs="Times New Roman"/>
                <w:sz w:val="18"/>
                <w:szCs w:val="18"/>
              </w:rPr>
              <w:t>深圳综合运营中心项目</w:t>
            </w:r>
            <w:r>
              <w:rPr>
                <w:rFonts w:ascii="Times New Roman" w:eastAsia="宋体" w:hAnsi="Times New Roman" w:cs="Times New Roman"/>
                <w:sz w:val="18"/>
                <w:szCs w:val="18"/>
              </w:rPr>
              <w:t>”</w:t>
            </w:r>
            <w:r>
              <w:rPr>
                <w:rFonts w:ascii="Times New Roman" w:eastAsia="宋体" w:hAnsi="Times New Roman" w:cs="Times New Roman"/>
                <w:sz w:val="18"/>
                <w:szCs w:val="18"/>
              </w:rPr>
              <w:t>达到预定可使用状态时间由</w:t>
            </w:r>
            <w:r>
              <w:rPr>
                <w:rFonts w:ascii="Times New Roman" w:eastAsia="宋体" w:hAnsi="Times New Roman" w:cs="Times New Roman"/>
                <w:sz w:val="18"/>
                <w:szCs w:val="18"/>
              </w:rPr>
              <w:t>2024</w:t>
            </w:r>
            <w:r>
              <w:rPr>
                <w:rFonts w:ascii="Times New Roman" w:eastAsia="宋体" w:hAnsi="Times New Roman" w:cs="Times New Roman"/>
                <w:sz w:val="18"/>
                <w:szCs w:val="18"/>
              </w:rPr>
              <w:t>年</w:t>
            </w:r>
            <w:r>
              <w:rPr>
                <w:rFonts w:ascii="Times New Roman" w:eastAsia="宋体" w:hAnsi="Times New Roman" w:cs="Times New Roman"/>
                <w:sz w:val="18"/>
                <w:szCs w:val="18"/>
              </w:rPr>
              <w:t>8</w:t>
            </w:r>
            <w:r>
              <w:rPr>
                <w:rFonts w:ascii="Times New Roman" w:eastAsia="宋体" w:hAnsi="Times New Roman" w:cs="Times New Roman"/>
                <w:sz w:val="18"/>
                <w:szCs w:val="18"/>
              </w:rPr>
              <w:t>月</w:t>
            </w:r>
            <w:r>
              <w:rPr>
                <w:rFonts w:ascii="Times New Roman" w:eastAsia="宋体" w:hAnsi="Times New Roman" w:cs="Times New Roman"/>
                <w:sz w:val="18"/>
                <w:szCs w:val="18"/>
              </w:rPr>
              <w:t>25</w:t>
            </w:r>
            <w:r>
              <w:rPr>
                <w:rFonts w:ascii="Times New Roman" w:eastAsia="宋体" w:hAnsi="Times New Roman" w:cs="Times New Roman"/>
                <w:sz w:val="18"/>
                <w:szCs w:val="18"/>
              </w:rPr>
              <w:t>日延长至</w:t>
            </w: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8</w:t>
            </w:r>
            <w:r>
              <w:rPr>
                <w:rFonts w:ascii="Times New Roman" w:eastAsia="宋体" w:hAnsi="Times New Roman" w:cs="Times New Roman"/>
                <w:sz w:val="18"/>
                <w:szCs w:val="18"/>
              </w:rPr>
              <w:t>月</w:t>
            </w:r>
            <w:r>
              <w:rPr>
                <w:rFonts w:ascii="Times New Roman" w:eastAsia="宋体" w:hAnsi="Times New Roman" w:cs="Times New Roman"/>
                <w:sz w:val="18"/>
                <w:szCs w:val="18"/>
              </w:rPr>
              <w:t>24</w:t>
            </w:r>
            <w:r>
              <w:rPr>
                <w:rFonts w:ascii="Times New Roman" w:eastAsia="宋体" w:hAnsi="Times New Roman" w:cs="Times New Roman"/>
                <w:sz w:val="18"/>
                <w:szCs w:val="18"/>
              </w:rPr>
              <w:t>日。公司监事会、保荐机构就该事项发表了同意意见。</w:t>
            </w:r>
          </w:p>
        </w:tc>
      </w:tr>
      <w:tr w:rsidR="00CE3C32">
        <w:trPr>
          <w:trHeight w:val="240"/>
        </w:trPr>
        <w:tc>
          <w:tcPr>
            <w:tcW w:w="809" w:type="pct"/>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变更后的项目可行性发生</w:t>
            </w:r>
            <w:r>
              <w:rPr>
                <w:rFonts w:ascii="Times New Roman" w:eastAsia="宋体" w:hAnsi="Times New Roman" w:cs="Times New Roman"/>
                <w:sz w:val="18"/>
                <w:szCs w:val="18"/>
              </w:rPr>
              <w:lastRenderedPageBreak/>
              <w:t>重大变化的情况说明</w:t>
            </w:r>
          </w:p>
        </w:tc>
        <w:tc>
          <w:tcPr>
            <w:tcW w:w="4191" w:type="pct"/>
            <w:gridSpan w:val="9"/>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无。</w:t>
            </w:r>
          </w:p>
        </w:tc>
      </w:tr>
    </w:tbl>
    <w:p w:rsidR="00CE3C32" w:rsidRDefault="00CE3C32">
      <w:pPr>
        <w:pStyle w:val="3"/>
        <w:spacing w:line="280" w:lineRule="exact"/>
        <w:jc w:val="left"/>
        <w:rPr>
          <w:rFonts w:ascii="Times New Roman" w:hAnsi="Times New Roman" w:cs="Times New Roman"/>
          <w:b/>
          <w:bCs/>
        </w:rPr>
        <w:sectPr w:rsidR="00CE3C32">
          <w:pgSz w:w="16840" w:h="11905" w:orient="landscape"/>
          <w:pgMar w:top="1134" w:right="1440" w:bottom="1134" w:left="1440" w:header="850" w:footer="992" w:gutter="0"/>
          <w:cols w:space="720"/>
          <w:docGrid w:type="linesAndChars" w:linePitch="312"/>
        </w:sectPr>
      </w:pPr>
      <w:bookmarkStart w:id="33" w:name="_Toc988921"/>
    </w:p>
    <w:p w:rsidR="00CE3C32" w:rsidRDefault="006413B8">
      <w:pPr>
        <w:pStyle w:val="3"/>
        <w:spacing w:line="280" w:lineRule="exact"/>
        <w:jc w:val="left"/>
        <w:rPr>
          <w:rFonts w:ascii="Times New Roman" w:hAnsi="Times New Roman" w:cs="Times New Roman"/>
          <w:b/>
          <w:bCs/>
        </w:rPr>
      </w:pPr>
      <w:r>
        <w:rPr>
          <w:rFonts w:ascii="Times New Roman" w:hAnsi="Times New Roman" w:cs="Times New Roman"/>
          <w:b/>
          <w:bCs/>
        </w:rPr>
        <w:lastRenderedPageBreak/>
        <w:t>6</w:t>
      </w:r>
      <w:r>
        <w:rPr>
          <w:rFonts w:ascii="Times New Roman" w:hAnsi="Times New Roman" w:cs="Times New Roman"/>
          <w:b/>
          <w:bCs/>
        </w:rPr>
        <w:t>、委托理财、衍生品投资和委托贷款情况</w:t>
      </w:r>
      <w:bookmarkEnd w:id="33"/>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34" w:name="_Toc988922"/>
      <w:r>
        <w:rPr>
          <w:rFonts w:ascii="Times New Roman" w:eastAsia="宋体" w:hAnsi="Times New Roman" w:cs="Times New Roman"/>
          <w:b/>
          <w:bCs/>
          <w:sz w:val="18"/>
          <w:szCs w:val="18"/>
        </w:rPr>
        <w:t>（</w:t>
      </w:r>
      <w:r>
        <w:rPr>
          <w:rFonts w:ascii="Times New Roman" w:eastAsia="宋体" w:hAnsi="Times New Roman" w:cs="Times New Roman"/>
          <w:b/>
          <w:bCs/>
          <w:sz w:val="18"/>
          <w:szCs w:val="18"/>
        </w:rPr>
        <w:t>1</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委托理财情况</w:t>
      </w:r>
      <w:bookmarkEnd w:id="34"/>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报告期内委托理财概况</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单位：万元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7"/>
        <w:gridCol w:w="1608"/>
        <w:gridCol w:w="1606"/>
        <w:gridCol w:w="1606"/>
        <w:gridCol w:w="1606"/>
        <w:gridCol w:w="1606"/>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具体类型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委托理财的资金来源</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委托理财发生额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未到期余额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逾期未收回的金额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逾期未收回理财已计提减值金额</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其他类</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募集资金</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9,000</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4,000</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其他类</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自有资金</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3,996.65</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3,996.65</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r>
      <w:tr w:rsidR="00CE3C32">
        <w:trPr>
          <w:trHeight w:val="240"/>
        </w:trPr>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12,996.65</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7,996.65</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单项金额重大或安全性较低、流动性较差的高风险委托理财具体情况</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委托理财出现预期无法收回本金或存在其他可能导致减值的情形</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35" w:name="_Toc988923"/>
      <w:r>
        <w:rPr>
          <w:rFonts w:ascii="Times New Roman" w:eastAsia="宋体" w:hAnsi="Times New Roman" w:cs="Times New Roman"/>
          <w:b/>
          <w:bCs/>
          <w:sz w:val="18"/>
          <w:szCs w:val="18"/>
        </w:rPr>
        <w:t>（</w:t>
      </w:r>
      <w:r>
        <w:rPr>
          <w:rFonts w:ascii="Times New Roman" w:eastAsia="宋体" w:hAnsi="Times New Roman" w:cs="Times New Roman"/>
          <w:b/>
          <w:bCs/>
          <w:sz w:val="18"/>
          <w:szCs w:val="18"/>
        </w:rPr>
        <w:t>2</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衍生品投资情况</w:t>
      </w:r>
      <w:bookmarkEnd w:id="35"/>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公司报告期不存在衍生品投资。</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36" w:name="_Toc988924"/>
      <w:r>
        <w:rPr>
          <w:rFonts w:ascii="Times New Roman" w:eastAsia="宋体" w:hAnsi="Times New Roman" w:cs="Times New Roman"/>
          <w:b/>
          <w:bCs/>
          <w:sz w:val="18"/>
          <w:szCs w:val="18"/>
        </w:rPr>
        <w:t>（</w:t>
      </w:r>
      <w:r>
        <w:rPr>
          <w:rFonts w:ascii="Times New Roman" w:eastAsia="宋体" w:hAnsi="Times New Roman" w:cs="Times New Roman"/>
          <w:b/>
          <w:bCs/>
          <w:sz w:val="18"/>
          <w:szCs w:val="18"/>
        </w:rPr>
        <w:t>3</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委托贷款情况</w:t>
      </w:r>
      <w:bookmarkEnd w:id="36"/>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公司报告期不存在委托贷款。</w:t>
      </w:r>
    </w:p>
    <w:p w:rsidR="00CE3C32" w:rsidRDefault="006413B8">
      <w:pPr>
        <w:pStyle w:val="2"/>
        <w:spacing w:before="300" w:after="300" w:line="320" w:lineRule="exact"/>
        <w:rPr>
          <w:rFonts w:ascii="Times New Roman" w:eastAsia="宋体" w:hAnsi="Times New Roman" w:cs="Times New Roman"/>
          <w:b/>
          <w:bCs/>
          <w:sz w:val="24"/>
          <w:szCs w:val="24"/>
        </w:rPr>
      </w:pPr>
      <w:bookmarkStart w:id="37" w:name="_Toc988925"/>
      <w:r>
        <w:rPr>
          <w:rFonts w:ascii="Times New Roman" w:eastAsia="宋体" w:hAnsi="Times New Roman" w:cs="Times New Roman"/>
          <w:b/>
          <w:bCs/>
          <w:sz w:val="24"/>
          <w:szCs w:val="24"/>
        </w:rPr>
        <w:t>七、重大资产和股权出售</w:t>
      </w:r>
      <w:bookmarkEnd w:id="37"/>
    </w:p>
    <w:p w:rsidR="00CE3C32" w:rsidRDefault="006413B8">
      <w:pPr>
        <w:pStyle w:val="3"/>
        <w:spacing w:line="280" w:lineRule="exact"/>
        <w:jc w:val="left"/>
        <w:rPr>
          <w:rFonts w:ascii="Times New Roman" w:hAnsi="Times New Roman" w:cs="Times New Roman"/>
          <w:b/>
          <w:bCs/>
        </w:rPr>
      </w:pPr>
      <w:bookmarkStart w:id="38" w:name="_Toc988926"/>
      <w:r>
        <w:rPr>
          <w:rFonts w:ascii="Times New Roman" w:hAnsi="Times New Roman" w:cs="Times New Roman"/>
          <w:b/>
          <w:bCs/>
        </w:rPr>
        <w:t>1</w:t>
      </w:r>
      <w:r>
        <w:rPr>
          <w:rFonts w:ascii="Times New Roman" w:hAnsi="Times New Roman" w:cs="Times New Roman"/>
          <w:b/>
          <w:bCs/>
        </w:rPr>
        <w:t>、出售重大资产情况</w:t>
      </w:r>
      <w:bookmarkEnd w:id="38"/>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公司报告期未出售重大资产。</w:t>
      </w:r>
    </w:p>
    <w:p w:rsidR="00CE3C32" w:rsidRDefault="006413B8">
      <w:pPr>
        <w:pStyle w:val="3"/>
        <w:spacing w:line="280" w:lineRule="exact"/>
        <w:jc w:val="left"/>
        <w:rPr>
          <w:rFonts w:ascii="Times New Roman" w:hAnsi="Times New Roman" w:cs="Times New Roman"/>
          <w:b/>
          <w:bCs/>
        </w:rPr>
      </w:pPr>
      <w:bookmarkStart w:id="39" w:name="_Toc988927"/>
      <w:r>
        <w:rPr>
          <w:rFonts w:ascii="Times New Roman" w:hAnsi="Times New Roman" w:cs="Times New Roman"/>
          <w:b/>
          <w:bCs/>
        </w:rPr>
        <w:t>2</w:t>
      </w:r>
      <w:r>
        <w:rPr>
          <w:rFonts w:ascii="Times New Roman" w:hAnsi="Times New Roman" w:cs="Times New Roman"/>
          <w:b/>
          <w:bCs/>
        </w:rPr>
        <w:t>、出售重大股权情况</w:t>
      </w:r>
      <w:bookmarkEnd w:id="39"/>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pStyle w:val="2"/>
        <w:spacing w:before="300" w:after="300" w:line="320" w:lineRule="exact"/>
        <w:rPr>
          <w:rFonts w:ascii="Times New Roman" w:eastAsia="宋体" w:hAnsi="Times New Roman" w:cs="Times New Roman"/>
          <w:b/>
          <w:bCs/>
          <w:sz w:val="24"/>
          <w:szCs w:val="24"/>
        </w:rPr>
      </w:pPr>
      <w:bookmarkStart w:id="40" w:name="_Toc988928"/>
      <w:r>
        <w:rPr>
          <w:rFonts w:ascii="Times New Roman" w:eastAsia="宋体" w:hAnsi="Times New Roman" w:cs="Times New Roman"/>
          <w:b/>
          <w:bCs/>
          <w:sz w:val="24"/>
          <w:szCs w:val="24"/>
        </w:rPr>
        <w:t>八、主要控股参股公司分析</w:t>
      </w:r>
      <w:bookmarkEnd w:id="40"/>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主要子公司及对公司净利润影响达</w:t>
      </w:r>
      <w:r>
        <w:rPr>
          <w:rFonts w:ascii="Times New Roman" w:eastAsia="宋体" w:hAnsi="Times New Roman" w:cs="Times New Roman"/>
          <w:sz w:val="18"/>
          <w:szCs w:val="18"/>
        </w:rPr>
        <w:t>10%</w:t>
      </w:r>
      <w:r>
        <w:rPr>
          <w:rFonts w:ascii="Times New Roman" w:eastAsia="宋体" w:hAnsi="Times New Roman" w:cs="Times New Roman"/>
          <w:sz w:val="18"/>
          <w:szCs w:val="18"/>
        </w:rPr>
        <w:t>以上的参股公司情况</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10031"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14"/>
        <w:gridCol w:w="443"/>
        <w:gridCol w:w="1080"/>
        <w:gridCol w:w="1315"/>
        <w:gridCol w:w="1277"/>
        <w:gridCol w:w="1341"/>
        <w:gridCol w:w="1251"/>
        <w:gridCol w:w="1234"/>
        <w:gridCol w:w="1276"/>
      </w:tblGrid>
      <w:tr w:rsidR="00CE3C32">
        <w:trPr>
          <w:trHeight w:val="240"/>
          <w:tblHeader/>
        </w:trPr>
        <w:tc>
          <w:tcPr>
            <w:tcW w:w="81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公司名称</w:t>
            </w:r>
          </w:p>
        </w:tc>
        <w:tc>
          <w:tcPr>
            <w:tcW w:w="44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公司类型</w:t>
            </w:r>
          </w:p>
        </w:tc>
        <w:tc>
          <w:tcPr>
            <w:tcW w:w="108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主要业务</w:t>
            </w:r>
          </w:p>
        </w:tc>
        <w:tc>
          <w:tcPr>
            <w:tcW w:w="1315"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注册资本</w:t>
            </w:r>
          </w:p>
        </w:tc>
        <w:tc>
          <w:tcPr>
            <w:tcW w:w="12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总资产</w:t>
            </w:r>
          </w:p>
        </w:tc>
        <w:tc>
          <w:tcPr>
            <w:tcW w:w="13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净资产</w:t>
            </w:r>
          </w:p>
        </w:tc>
        <w:tc>
          <w:tcPr>
            <w:tcW w:w="125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营业收入</w:t>
            </w:r>
          </w:p>
        </w:tc>
        <w:tc>
          <w:tcPr>
            <w:tcW w:w="123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营业利润</w:t>
            </w:r>
          </w:p>
        </w:tc>
        <w:tc>
          <w:tcPr>
            <w:tcW w:w="12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净利润</w:t>
            </w:r>
          </w:p>
        </w:tc>
      </w:tr>
      <w:tr w:rsidR="00CE3C32">
        <w:trPr>
          <w:trHeight w:val="240"/>
        </w:trPr>
        <w:tc>
          <w:tcPr>
            <w:tcW w:w="81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广图粤科（广州）科技有限公司</w:t>
            </w:r>
            <w:r>
              <w:rPr>
                <w:rFonts w:ascii="Times New Roman" w:eastAsia="宋体" w:hAnsi="Times New Roman" w:cs="Times New Roman"/>
                <w:sz w:val="18"/>
                <w:szCs w:val="18"/>
              </w:rPr>
              <w:t>-</w:t>
            </w:r>
            <w:r>
              <w:rPr>
                <w:rFonts w:ascii="Times New Roman" w:eastAsia="宋体" w:hAnsi="Times New Roman" w:cs="Times New Roman"/>
                <w:sz w:val="18"/>
                <w:szCs w:val="18"/>
              </w:rPr>
              <w:t>注</w:t>
            </w:r>
            <w:r>
              <w:rPr>
                <w:rFonts w:ascii="Times New Roman" w:eastAsia="宋体" w:hAnsi="Times New Roman" w:cs="Times New Roman"/>
                <w:sz w:val="18"/>
                <w:szCs w:val="18"/>
              </w:rPr>
              <w:t>1</w:t>
            </w:r>
          </w:p>
        </w:tc>
        <w:tc>
          <w:tcPr>
            <w:tcW w:w="44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子公司</w:t>
            </w:r>
          </w:p>
        </w:tc>
        <w:tc>
          <w:tcPr>
            <w:tcW w:w="108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软件和信息技术服务</w:t>
            </w:r>
          </w:p>
        </w:tc>
        <w:tc>
          <w:tcPr>
            <w:tcW w:w="131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10,000,000.00</w:t>
            </w:r>
          </w:p>
        </w:tc>
        <w:tc>
          <w:tcPr>
            <w:tcW w:w="12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28,916,107.35</w:t>
            </w:r>
          </w:p>
        </w:tc>
        <w:tc>
          <w:tcPr>
            <w:tcW w:w="13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-7,805,079.89</w:t>
            </w:r>
          </w:p>
        </w:tc>
        <w:tc>
          <w:tcPr>
            <w:tcW w:w="125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2,369,189.07</w:t>
            </w:r>
          </w:p>
        </w:tc>
        <w:tc>
          <w:tcPr>
            <w:tcW w:w="123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-4,379,276.77</w:t>
            </w:r>
          </w:p>
        </w:tc>
        <w:tc>
          <w:tcPr>
            <w:tcW w:w="12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-3,302,044.31</w:t>
            </w:r>
          </w:p>
        </w:tc>
      </w:tr>
      <w:tr w:rsidR="00CE3C32">
        <w:trPr>
          <w:trHeight w:val="240"/>
        </w:trPr>
        <w:tc>
          <w:tcPr>
            <w:tcW w:w="81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天亿马信息技术有限公司</w:t>
            </w:r>
          </w:p>
        </w:tc>
        <w:tc>
          <w:tcPr>
            <w:tcW w:w="44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子公司</w:t>
            </w:r>
          </w:p>
        </w:tc>
        <w:tc>
          <w:tcPr>
            <w:tcW w:w="108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信息系统集成服务、软件开发与技术服务、信息设备销售、信息系统运维服务</w:t>
            </w:r>
          </w:p>
        </w:tc>
        <w:tc>
          <w:tcPr>
            <w:tcW w:w="131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50,000,000.00</w:t>
            </w:r>
          </w:p>
        </w:tc>
        <w:tc>
          <w:tcPr>
            <w:tcW w:w="12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153,959,541.32</w:t>
            </w:r>
          </w:p>
        </w:tc>
        <w:tc>
          <w:tcPr>
            <w:tcW w:w="13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57,291,947.42</w:t>
            </w:r>
          </w:p>
        </w:tc>
        <w:tc>
          <w:tcPr>
            <w:tcW w:w="125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8,819,805.02</w:t>
            </w:r>
          </w:p>
        </w:tc>
        <w:tc>
          <w:tcPr>
            <w:tcW w:w="123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1,450,595.43</w:t>
            </w:r>
          </w:p>
        </w:tc>
        <w:tc>
          <w:tcPr>
            <w:tcW w:w="12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1,327,282.18</w:t>
            </w:r>
          </w:p>
        </w:tc>
      </w:tr>
      <w:tr w:rsidR="00CE3C32">
        <w:trPr>
          <w:trHeight w:val="240"/>
        </w:trPr>
        <w:tc>
          <w:tcPr>
            <w:tcW w:w="81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深圳市互联精英信息技术有限公司</w:t>
            </w:r>
            <w:r>
              <w:rPr>
                <w:rFonts w:ascii="Times New Roman" w:eastAsia="宋体" w:hAnsi="Times New Roman" w:cs="Times New Roman"/>
                <w:sz w:val="18"/>
                <w:szCs w:val="18"/>
              </w:rPr>
              <w:t>-</w:t>
            </w:r>
            <w:r>
              <w:rPr>
                <w:rFonts w:ascii="Times New Roman" w:eastAsia="宋体" w:hAnsi="Times New Roman" w:cs="Times New Roman"/>
                <w:sz w:val="18"/>
                <w:szCs w:val="18"/>
              </w:rPr>
              <w:t>注</w:t>
            </w:r>
            <w:r>
              <w:rPr>
                <w:rFonts w:ascii="Times New Roman" w:eastAsia="宋体" w:hAnsi="Times New Roman" w:cs="Times New Roman"/>
                <w:sz w:val="18"/>
                <w:szCs w:val="18"/>
              </w:rPr>
              <w:t>2</w:t>
            </w:r>
          </w:p>
        </w:tc>
        <w:tc>
          <w:tcPr>
            <w:tcW w:w="44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子公司</w:t>
            </w:r>
          </w:p>
        </w:tc>
        <w:tc>
          <w:tcPr>
            <w:tcW w:w="108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信息系统集成服务、软件开发与技</w:t>
            </w:r>
          </w:p>
        </w:tc>
        <w:tc>
          <w:tcPr>
            <w:tcW w:w="131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53,900,000.00</w:t>
            </w:r>
          </w:p>
        </w:tc>
        <w:tc>
          <w:tcPr>
            <w:tcW w:w="12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179,982,348.65</w:t>
            </w:r>
          </w:p>
        </w:tc>
        <w:tc>
          <w:tcPr>
            <w:tcW w:w="13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123,144,743.83</w:t>
            </w:r>
          </w:p>
        </w:tc>
        <w:tc>
          <w:tcPr>
            <w:tcW w:w="125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9,372,031.42</w:t>
            </w:r>
          </w:p>
        </w:tc>
        <w:tc>
          <w:tcPr>
            <w:tcW w:w="123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422,497.44</w:t>
            </w:r>
          </w:p>
        </w:tc>
        <w:tc>
          <w:tcPr>
            <w:tcW w:w="12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707,726.08</w:t>
            </w:r>
          </w:p>
        </w:tc>
      </w:tr>
      <w:tr w:rsidR="00CE3C32">
        <w:trPr>
          <w:trHeight w:val="240"/>
        </w:trPr>
        <w:tc>
          <w:tcPr>
            <w:tcW w:w="81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广东天亿马信息科技有限公司</w:t>
            </w:r>
          </w:p>
        </w:tc>
        <w:tc>
          <w:tcPr>
            <w:tcW w:w="44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子公司</w:t>
            </w:r>
          </w:p>
        </w:tc>
        <w:tc>
          <w:tcPr>
            <w:tcW w:w="108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信息系统集成服务、软件开发与技术服务、信息设备销售、信息系统运维服务</w:t>
            </w:r>
          </w:p>
        </w:tc>
        <w:tc>
          <w:tcPr>
            <w:tcW w:w="131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10,000,000.00</w:t>
            </w:r>
          </w:p>
        </w:tc>
        <w:tc>
          <w:tcPr>
            <w:tcW w:w="12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54,591,468.83</w:t>
            </w:r>
          </w:p>
        </w:tc>
        <w:tc>
          <w:tcPr>
            <w:tcW w:w="13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16,717,692.93</w:t>
            </w:r>
          </w:p>
        </w:tc>
        <w:tc>
          <w:tcPr>
            <w:tcW w:w="125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36,373,845.36</w:t>
            </w:r>
          </w:p>
        </w:tc>
        <w:tc>
          <w:tcPr>
            <w:tcW w:w="123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612,964.05</w:t>
            </w:r>
          </w:p>
        </w:tc>
        <w:tc>
          <w:tcPr>
            <w:tcW w:w="12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629,897.42</w:t>
            </w:r>
          </w:p>
        </w:tc>
      </w:tr>
      <w:tr w:rsidR="00CE3C32">
        <w:trPr>
          <w:trHeight w:val="240"/>
        </w:trPr>
        <w:tc>
          <w:tcPr>
            <w:tcW w:w="81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广东天亿马数字能源有限公司</w:t>
            </w:r>
            <w:r>
              <w:rPr>
                <w:rFonts w:ascii="Times New Roman" w:eastAsia="宋体" w:hAnsi="Times New Roman" w:cs="Times New Roman"/>
                <w:sz w:val="18"/>
                <w:szCs w:val="18"/>
              </w:rPr>
              <w:t>-</w:t>
            </w:r>
            <w:r>
              <w:rPr>
                <w:rFonts w:ascii="Times New Roman" w:eastAsia="宋体" w:hAnsi="Times New Roman" w:cs="Times New Roman"/>
                <w:sz w:val="18"/>
                <w:szCs w:val="18"/>
              </w:rPr>
              <w:t>注</w:t>
            </w:r>
            <w:r>
              <w:rPr>
                <w:rFonts w:ascii="Times New Roman" w:eastAsia="宋体" w:hAnsi="Times New Roman" w:cs="Times New Roman"/>
                <w:sz w:val="18"/>
                <w:szCs w:val="18"/>
              </w:rPr>
              <w:t>1</w:t>
            </w:r>
          </w:p>
        </w:tc>
        <w:tc>
          <w:tcPr>
            <w:tcW w:w="44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子公司</w:t>
            </w:r>
          </w:p>
        </w:tc>
        <w:tc>
          <w:tcPr>
            <w:tcW w:w="108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软件和信息技术服务</w:t>
            </w:r>
          </w:p>
        </w:tc>
        <w:tc>
          <w:tcPr>
            <w:tcW w:w="131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10,000,000.00</w:t>
            </w:r>
          </w:p>
        </w:tc>
        <w:tc>
          <w:tcPr>
            <w:tcW w:w="12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199,280,345.51</w:t>
            </w:r>
          </w:p>
        </w:tc>
        <w:tc>
          <w:tcPr>
            <w:tcW w:w="13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17,238,607.73</w:t>
            </w:r>
          </w:p>
        </w:tc>
        <w:tc>
          <w:tcPr>
            <w:tcW w:w="125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8,742,873.02</w:t>
            </w:r>
          </w:p>
        </w:tc>
        <w:tc>
          <w:tcPr>
            <w:tcW w:w="123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1,776,248.35</w:t>
            </w:r>
          </w:p>
        </w:tc>
        <w:tc>
          <w:tcPr>
            <w:tcW w:w="12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2,094,616.77</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报告期内取得和处置子公司的情况</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tbl>
      <w:tblPr>
        <w:tblW w:w="10031"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132"/>
        <w:gridCol w:w="3686"/>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公司名称</w:t>
            </w:r>
          </w:p>
        </w:tc>
        <w:tc>
          <w:tcPr>
            <w:tcW w:w="3132"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报告期内取得和处置子公司方式</w:t>
            </w:r>
          </w:p>
        </w:tc>
        <w:tc>
          <w:tcPr>
            <w:tcW w:w="368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对整体生产经营和业绩的影响</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重庆天亿马信息技术有限公司</w:t>
            </w:r>
          </w:p>
        </w:tc>
        <w:tc>
          <w:tcPr>
            <w:tcW w:w="313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清算注销</w:t>
            </w:r>
          </w:p>
        </w:tc>
        <w:tc>
          <w:tcPr>
            <w:tcW w:w="368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对公司本报告期的生产和业绩未造成重大影响。</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湖南亿道电力有限公司</w:t>
            </w:r>
          </w:p>
        </w:tc>
        <w:tc>
          <w:tcPr>
            <w:tcW w:w="313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股权转让</w:t>
            </w:r>
          </w:p>
        </w:tc>
        <w:tc>
          <w:tcPr>
            <w:tcW w:w="368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对公司本报告期的生产和业绩未造成重大影响。</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主要控股参股公司情况说明</w:t>
      </w:r>
    </w:p>
    <w:p w:rsidR="00CE3C32" w:rsidRDefault="006413B8">
      <w:pPr>
        <w:pStyle w:val="a6"/>
        <w:spacing w:beforeLines="50" w:before="156" w:beforeAutospacing="0" w:afterLines="50" w:after="156" w:afterAutospacing="0"/>
        <w:rPr>
          <w:rFonts w:ascii="Times New Roman" w:hAnsi="Times New Roman" w:cs="Times New Roman"/>
          <w:sz w:val="18"/>
          <w:szCs w:val="18"/>
        </w:rPr>
      </w:pPr>
      <w:r>
        <w:rPr>
          <w:rFonts w:ascii="Times New Roman" w:hAnsi="Times New Roman" w:cs="Times New Roman"/>
          <w:sz w:val="18"/>
          <w:szCs w:val="18"/>
        </w:rPr>
        <w:t>注</w:t>
      </w:r>
      <w:r>
        <w:rPr>
          <w:rFonts w:ascii="Times New Roman" w:hAnsi="Times New Roman" w:cs="Times New Roman"/>
          <w:sz w:val="18"/>
          <w:szCs w:val="18"/>
        </w:rPr>
        <w:t>1</w:t>
      </w:r>
      <w:r>
        <w:rPr>
          <w:rFonts w:ascii="Times New Roman" w:hAnsi="Times New Roman" w:cs="Times New Roman"/>
          <w:sz w:val="18"/>
          <w:szCs w:val="18"/>
        </w:rPr>
        <w:t>：上述广图粤科（广州）科技有限公司的财务报表数据包含下属子公司粤科睿肯（上海）科技有限公司的相关财务数据；</w:t>
      </w:r>
    </w:p>
    <w:p w:rsidR="00CE3C32" w:rsidRDefault="006413B8">
      <w:pPr>
        <w:pStyle w:val="a6"/>
        <w:spacing w:beforeLines="50" w:before="156" w:beforeAutospacing="0" w:afterLines="50" w:after="156" w:afterAutospacing="0"/>
        <w:rPr>
          <w:rFonts w:ascii="Times New Roman" w:hAnsi="Times New Roman" w:cs="Times New Roman"/>
          <w:sz w:val="18"/>
          <w:szCs w:val="18"/>
        </w:rPr>
      </w:pPr>
      <w:r>
        <w:rPr>
          <w:rFonts w:ascii="Times New Roman" w:hAnsi="Times New Roman" w:cs="Times New Roman"/>
          <w:sz w:val="18"/>
          <w:szCs w:val="18"/>
        </w:rPr>
        <w:t>注</w:t>
      </w:r>
      <w:r>
        <w:rPr>
          <w:rFonts w:ascii="Times New Roman" w:hAnsi="Times New Roman" w:cs="Times New Roman"/>
          <w:sz w:val="18"/>
          <w:szCs w:val="18"/>
        </w:rPr>
        <w:t>2</w:t>
      </w:r>
      <w:r>
        <w:rPr>
          <w:rFonts w:ascii="Times New Roman" w:hAnsi="Times New Roman" w:cs="Times New Roman"/>
          <w:sz w:val="18"/>
          <w:szCs w:val="18"/>
        </w:rPr>
        <w:t>：上述深圳市互联精英信息技术有限公司的财务报表数据包含下属子公司广东翼启数据产业有限公司的相关财务数据；</w:t>
      </w:r>
    </w:p>
    <w:p w:rsidR="00CE3C32" w:rsidRDefault="006413B8">
      <w:pPr>
        <w:pStyle w:val="a6"/>
        <w:spacing w:beforeLines="50" w:before="156" w:beforeAutospacing="0" w:afterLines="50" w:after="156" w:afterAutospacing="0"/>
        <w:rPr>
          <w:rFonts w:ascii="Times New Roman" w:hAnsi="Times New Roman" w:cs="Times New Roman"/>
          <w:sz w:val="18"/>
          <w:szCs w:val="18"/>
        </w:rPr>
      </w:pPr>
      <w:r>
        <w:rPr>
          <w:rFonts w:ascii="Times New Roman" w:hAnsi="Times New Roman" w:cs="Times New Roman"/>
          <w:sz w:val="18"/>
          <w:szCs w:val="18"/>
        </w:rPr>
        <w:lastRenderedPageBreak/>
        <w:t>注</w:t>
      </w:r>
      <w:r>
        <w:rPr>
          <w:rFonts w:ascii="Times New Roman" w:hAnsi="Times New Roman" w:cs="Times New Roman"/>
          <w:sz w:val="18"/>
          <w:szCs w:val="18"/>
        </w:rPr>
        <w:t>3</w:t>
      </w:r>
      <w:r>
        <w:rPr>
          <w:rFonts w:ascii="Times New Roman" w:hAnsi="Times New Roman" w:cs="Times New Roman"/>
          <w:sz w:val="18"/>
          <w:szCs w:val="18"/>
        </w:rPr>
        <w:t>：上述广东天亿马数字能源有限公司的财务报表数据包含下属子公司湖南天晨新能源有限公司、桓台爱康新能源有限公司、桓台爱道光伏发电有限公司、邯郸庚源新能源科技有限公司、深圳市亿泰新能源有限公司、广西亿泰新能源有限公司、广东天亿马新能源产业发展有限公司的相关财务数据。</w:t>
      </w:r>
    </w:p>
    <w:p w:rsidR="00CE3C32" w:rsidRDefault="006413B8">
      <w:pPr>
        <w:pStyle w:val="2"/>
        <w:spacing w:before="300" w:after="300" w:line="320" w:lineRule="exact"/>
        <w:rPr>
          <w:rFonts w:ascii="Times New Roman" w:eastAsia="宋体" w:hAnsi="Times New Roman" w:cs="Times New Roman"/>
          <w:b/>
          <w:bCs/>
          <w:sz w:val="24"/>
          <w:szCs w:val="24"/>
        </w:rPr>
      </w:pPr>
      <w:bookmarkStart w:id="41" w:name="_Toc988929"/>
      <w:r>
        <w:rPr>
          <w:rFonts w:ascii="Times New Roman" w:eastAsia="宋体" w:hAnsi="Times New Roman" w:cs="Times New Roman"/>
          <w:b/>
          <w:bCs/>
          <w:sz w:val="24"/>
          <w:szCs w:val="24"/>
        </w:rPr>
        <w:t>九、公司控制的结构化主体情况</w:t>
      </w:r>
      <w:bookmarkEnd w:id="41"/>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pStyle w:val="2"/>
        <w:spacing w:before="300" w:after="300" w:line="320" w:lineRule="exact"/>
        <w:rPr>
          <w:rFonts w:ascii="Times New Roman" w:eastAsia="宋体" w:hAnsi="Times New Roman" w:cs="Times New Roman"/>
          <w:b/>
          <w:bCs/>
          <w:sz w:val="24"/>
          <w:szCs w:val="24"/>
        </w:rPr>
      </w:pPr>
      <w:bookmarkStart w:id="42" w:name="_Toc988930"/>
      <w:r>
        <w:rPr>
          <w:rFonts w:ascii="Times New Roman" w:eastAsia="宋体" w:hAnsi="Times New Roman" w:cs="Times New Roman"/>
          <w:b/>
          <w:bCs/>
          <w:sz w:val="24"/>
          <w:szCs w:val="24"/>
        </w:rPr>
        <w:t>十、公司面临的风险和应对措施</w:t>
      </w:r>
      <w:bookmarkEnd w:id="42"/>
    </w:p>
    <w:p w:rsidR="00CE3C32" w:rsidRDefault="006413B8">
      <w:pPr>
        <w:pStyle w:val="a6"/>
        <w:spacing w:before="120" w:beforeAutospacing="0" w:after="120" w:afterAutospacing="0"/>
        <w:ind w:left="105" w:right="105" w:firstLine="454"/>
        <w:jc w:val="both"/>
        <w:rPr>
          <w:rFonts w:ascii="Times New Roman" w:hAnsi="Times New Roman" w:cs="Times New Roman"/>
        </w:rPr>
      </w:pPr>
      <w:r>
        <w:rPr>
          <w:rStyle w:val="a7"/>
          <w:rFonts w:ascii="Times New Roman" w:hAnsi="Times New Roman" w:cs="Times New Roman"/>
          <w:color w:val="000000"/>
          <w:spacing w:val="8"/>
          <w:sz w:val="21"/>
          <w:szCs w:val="21"/>
        </w:rPr>
        <w:t>1.</w:t>
      </w:r>
      <w:r>
        <w:rPr>
          <w:rStyle w:val="a7"/>
          <w:rFonts w:ascii="Times New Roman" w:hAnsi="Times New Roman" w:cs="Times New Roman"/>
          <w:color w:val="000000"/>
          <w:spacing w:val="8"/>
          <w:sz w:val="21"/>
          <w:szCs w:val="21"/>
        </w:rPr>
        <w:t>市场竞争风险</w:t>
      </w:r>
    </w:p>
    <w:p w:rsidR="00CE3C32" w:rsidRDefault="006413B8">
      <w:pPr>
        <w:pStyle w:val="a6"/>
        <w:spacing w:before="120" w:beforeAutospacing="0" w:after="120" w:afterAutospacing="0"/>
        <w:ind w:left="105" w:right="105" w:firstLine="420"/>
        <w:jc w:val="both"/>
        <w:rPr>
          <w:rFonts w:ascii="Times New Roman" w:hAnsi="Times New Roman" w:cs="Times New Roman"/>
        </w:rPr>
      </w:pPr>
      <w:r>
        <w:rPr>
          <w:rFonts w:ascii="Times New Roman" w:hAnsi="Times New Roman" w:cs="Times New Roman"/>
          <w:color w:val="000000"/>
          <w:sz w:val="21"/>
          <w:szCs w:val="21"/>
        </w:rPr>
        <w:t>公司所在行业中企业数量较多，市场竞争日趋激烈。若公司对行业发展趋势判断失误或应对市场竞争的措施严重失当，不能持续提升技术水平和核心竞争力，扩大市场份额，在未来的市场竞争中将面临处于不利地位的风险。</w:t>
      </w:r>
    </w:p>
    <w:p w:rsidR="00CE3C32" w:rsidRDefault="006413B8">
      <w:pPr>
        <w:pStyle w:val="a6"/>
        <w:spacing w:before="120" w:beforeAutospacing="0" w:after="120" w:afterAutospacing="0"/>
        <w:ind w:left="105" w:right="105" w:firstLine="454"/>
        <w:jc w:val="both"/>
        <w:rPr>
          <w:rFonts w:ascii="Times New Roman" w:hAnsi="Times New Roman" w:cs="Times New Roman"/>
        </w:rPr>
      </w:pPr>
      <w:r>
        <w:rPr>
          <w:rStyle w:val="a7"/>
          <w:rFonts w:ascii="Times New Roman" w:hAnsi="Times New Roman" w:cs="Times New Roman"/>
          <w:color w:val="000000"/>
          <w:spacing w:val="8"/>
          <w:sz w:val="21"/>
          <w:szCs w:val="21"/>
        </w:rPr>
        <w:t>2.</w:t>
      </w:r>
      <w:r>
        <w:rPr>
          <w:rStyle w:val="a7"/>
          <w:rFonts w:ascii="Times New Roman" w:hAnsi="Times New Roman" w:cs="Times New Roman"/>
          <w:color w:val="000000"/>
          <w:spacing w:val="8"/>
          <w:sz w:val="21"/>
          <w:szCs w:val="21"/>
        </w:rPr>
        <w:t>收入季节性波动的风险</w:t>
      </w:r>
    </w:p>
    <w:p w:rsidR="00CE3C32" w:rsidRDefault="006413B8">
      <w:pPr>
        <w:pStyle w:val="a6"/>
        <w:spacing w:before="120" w:beforeAutospacing="0" w:after="120" w:afterAutospacing="0"/>
        <w:ind w:left="105" w:right="105" w:firstLine="420"/>
        <w:jc w:val="both"/>
        <w:rPr>
          <w:rFonts w:ascii="Times New Roman" w:hAnsi="Times New Roman" w:cs="Times New Roman"/>
        </w:rPr>
      </w:pPr>
      <w:r>
        <w:rPr>
          <w:rFonts w:ascii="Times New Roman" w:hAnsi="Times New Roman" w:cs="Times New Roman"/>
          <w:color w:val="000000"/>
          <w:sz w:val="21"/>
          <w:szCs w:val="21"/>
        </w:rPr>
        <w:t>公司主要客户为机关及事业单位，此类客户执行预算管理及严格的采购流程，项目验收工作主要集中在下半年特别是第四季度，导致公司较多项目集中在下半年进行验收。由于公司信息系统集成服务、软件开发及技术服务业务以验收为收入确认时点，因而公司营业收入较多在下半年确认，存在较大季节性波动的风险。</w:t>
      </w:r>
    </w:p>
    <w:p w:rsidR="00CE3C32" w:rsidRDefault="006413B8">
      <w:pPr>
        <w:pStyle w:val="a6"/>
        <w:spacing w:before="120" w:beforeAutospacing="0" w:after="120" w:afterAutospacing="0"/>
        <w:ind w:left="105" w:right="105" w:firstLine="454"/>
        <w:jc w:val="both"/>
        <w:rPr>
          <w:rFonts w:ascii="Times New Roman" w:hAnsi="Times New Roman" w:cs="Times New Roman"/>
        </w:rPr>
      </w:pPr>
      <w:r>
        <w:rPr>
          <w:rStyle w:val="a7"/>
          <w:rFonts w:ascii="Times New Roman" w:hAnsi="Times New Roman" w:cs="Times New Roman"/>
          <w:color w:val="000000"/>
          <w:spacing w:val="8"/>
          <w:sz w:val="21"/>
          <w:szCs w:val="21"/>
        </w:rPr>
        <w:t>3.</w:t>
      </w:r>
      <w:r>
        <w:rPr>
          <w:rStyle w:val="a7"/>
          <w:rFonts w:ascii="Times New Roman" w:hAnsi="Times New Roman" w:cs="Times New Roman"/>
          <w:color w:val="000000"/>
          <w:spacing w:val="8"/>
          <w:sz w:val="21"/>
          <w:szCs w:val="21"/>
        </w:rPr>
        <w:t>研发创新失败风险</w:t>
      </w:r>
    </w:p>
    <w:p w:rsidR="00CE3C32" w:rsidRDefault="006413B8">
      <w:pPr>
        <w:pStyle w:val="a6"/>
        <w:spacing w:before="120" w:beforeAutospacing="0" w:after="120" w:afterAutospacing="0"/>
        <w:ind w:left="105" w:right="105" w:firstLine="420"/>
        <w:jc w:val="both"/>
        <w:rPr>
          <w:rFonts w:ascii="Times New Roman" w:hAnsi="Times New Roman" w:cs="Times New Roman"/>
        </w:rPr>
      </w:pPr>
      <w:r>
        <w:rPr>
          <w:rFonts w:ascii="Times New Roman" w:hAnsi="Times New Roman" w:cs="Times New Roman"/>
          <w:color w:val="000000"/>
          <w:sz w:val="21"/>
          <w:szCs w:val="21"/>
        </w:rPr>
        <w:t>公司作为智慧城市解决方案提供商，技术研发至关重要。随着物联网、大数据、云计算、人工智能等新一代信息技术发展，为保证公司的市场竞争力和技术创新能力需投入大量的研发资金。研发项目开展结果具有不确定性，存在研发失败风险。即使研发项目成功并推向市场，如果公司对于技术、产品和市场的发展趋势判断失误，研发成果得不到市场和客户的足够认可、不能较好地实现产业化或形成最终销售，导致研发成果的经济效益与预期收益存在较大差距，可能会对公司的财务状况和经营成果产生负面的影响，降低公司的市场竞争力。</w:t>
      </w:r>
    </w:p>
    <w:p w:rsidR="00CE3C32" w:rsidRDefault="006413B8">
      <w:pPr>
        <w:pStyle w:val="a6"/>
        <w:spacing w:before="120" w:beforeAutospacing="0" w:after="120" w:afterAutospacing="0"/>
        <w:ind w:left="105" w:right="105" w:firstLine="454"/>
        <w:jc w:val="both"/>
        <w:rPr>
          <w:rFonts w:ascii="Times New Roman" w:hAnsi="Times New Roman" w:cs="Times New Roman"/>
        </w:rPr>
      </w:pPr>
      <w:r>
        <w:rPr>
          <w:rStyle w:val="a7"/>
          <w:rFonts w:ascii="Times New Roman" w:hAnsi="Times New Roman" w:cs="Times New Roman"/>
          <w:color w:val="000000"/>
          <w:spacing w:val="8"/>
          <w:sz w:val="21"/>
          <w:szCs w:val="21"/>
        </w:rPr>
        <w:t>4.</w:t>
      </w:r>
      <w:r>
        <w:rPr>
          <w:rStyle w:val="a7"/>
          <w:rFonts w:ascii="Times New Roman" w:hAnsi="Times New Roman" w:cs="Times New Roman"/>
          <w:color w:val="000000"/>
          <w:spacing w:val="8"/>
          <w:sz w:val="21"/>
          <w:szCs w:val="21"/>
        </w:rPr>
        <w:t>应收账款回收风险</w:t>
      </w:r>
    </w:p>
    <w:p w:rsidR="00CE3C32" w:rsidRDefault="006413B8">
      <w:pPr>
        <w:pStyle w:val="a6"/>
        <w:spacing w:before="120" w:beforeAutospacing="0" w:after="120" w:afterAutospacing="0"/>
        <w:ind w:left="105" w:right="105" w:firstLine="420"/>
        <w:jc w:val="both"/>
        <w:rPr>
          <w:rFonts w:ascii="Times New Roman" w:hAnsi="Times New Roman" w:cs="Times New Roman"/>
        </w:rPr>
      </w:pPr>
      <w:r>
        <w:rPr>
          <w:rFonts w:ascii="Times New Roman" w:hAnsi="Times New Roman" w:cs="Times New Roman"/>
          <w:color w:val="000000"/>
          <w:sz w:val="21"/>
          <w:szCs w:val="21"/>
        </w:rPr>
        <w:t>公司主要客户为机关、企事业单位，对外付款时需履行较严格的付款审批流程，导致期末应收账款（含合同资产）余额较大。虽然公司的主要客户信用度高，支付能力强，存在坏账的可能性较小。受到客户终验进度、客户审计、预算以及经营情况的影响，可能会使账期延长。付款进度往往受其资金预算、上级主管部门拨款情况影响，付款周期一般较长，一旦用户付款延期或款项无法收回，将给公司带来一定的损失。</w:t>
      </w:r>
    </w:p>
    <w:p w:rsidR="00CE3C32" w:rsidRDefault="006413B8">
      <w:pPr>
        <w:pStyle w:val="a6"/>
        <w:spacing w:before="120" w:beforeAutospacing="0" w:after="120" w:afterAutospacing="0"/>
        <w:ind w:left="105" w:right="105" w:firstLine="420"/>
        <w:jc w:val="both"/>
        <w:rPr>
          <w:rFonts w:ascii="Times New Roman" w:hAnsi="Times New Roman" w:cs="Times New Roman"/>
        </w:rPr>
      </w:pPr>
      <w:r>
        <w:rPr>
          <w:rFonts w:ascii="Times New Roman" w:hAnsi="Times New Roman" w:cs="Times New Roman"/>
          <w:color w:val="000000"/>
          <w:sz w:val="21"/>
          <w:szCs w:val="21"/>
        </w:rPr>
        <w:t>公司将不断强化应收账款管理，完善应收账款跟踪机制，加大应收账款责任制实施力度，保障合理的应收账款结构，减少资金占用，全面强化应收账款回款工作，有效控制坏账发生。</w:t>
      </w:r>
    </w:p>
    <w:p w:rsidR="00CE3C32" w:rsidRDefault="006413B8">
      <w:pPr>
        <w:pStyle w:val="2"/>
        <w:spacing w:before="300" w:after="300" w:line="320" w:lineRule="exact"/>
        <w:rPr>
          <w:rFonts w:ascii="Times New Roman" w:eastAsia="宋体" w:hAnsi="Times New Roman" w:cs="Times New Roman"/>
          <w:b/>
          <w:bCs/>
          <w:sz w:val="24"/>
          <w:szCs w:val="24"/>
        </w:rPr>
      </w:pPr>
      <w:bookmarkStart w:id="43" w:name="_Toc988931"/>
      <w:r>
        <w:rPr>
          <w:rFonts w:ascii="Times New Roman" w:eastAsia="宋体" w:hAnsi="Times New Roman" w:cs="Times New Roman"/>
          <w:b/>
          <w:bCs/>
          <w:sz w:val="24"/>
          <w:szCs w:val="24"/>
        </w:rPr>
        <w:t>十一、报告期内接待调研、沟通、采访等活动登记表</w:t>
      </w:r>
      <w:bookmarkEnd w:id="43"/>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61"/>
        <w:gridCol w:w="2880"/>
        <w:gridCol w:w="607"/>
        <w:gridCol w:w="547"/>
        <w:gridCol w:w="486"/>
        <w:gridCol w:w="1059"/>
        <w:gridCol w:w="3513"/>
      </w:tblGrid>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接待时间</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接待地点</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接待方式</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接待对象类</w:t>
            </w:r>
            <w:r>
              <w:rPr>
                <w:rFonts w:ascii="Times New Roman" w:eastAsia="宋体" w:hAnsi="Times New Roman" w:cs="Times New Roman"/>
                <w:sz w:val="18"/>
                <w:szCs w:val="18"/>
              </w:rPr>
              <w:lastRenderedPageBreak/>
              <w:t>型</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接待对象</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谈论的主要内容及提供的资料</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调研的基本情况索引</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2025</w:t>
            </w:r>
            <w:r>
              <w:rPr>
                <w:rFonts w:ascii="Times New Roman" w:eastAsia="宋体" w:hAnsi="Times New Roman" w:cs="Times New Roman"/>
                <w:sz w:val="18"/>
                <w:szCs w:val="18"/>
              </w:rPr>
              <w:t>年</w:t>
            </w:r>
            <w:r>
              <w:rPr>
                <w:rFonts w:ascii="Times New Roman" w:eastAsia="宋体" w:hAnsi="Times New Roman" w:cs="Times New Roman"/>
                <w:sz w:val="18"/>
                <w:szCs w:val="18"/>
              </w:rPr>
              <w:t>05</w:t>
            </w:r>
            <w:r>
              <w:rPr>
                <w:rFonts w:ascii="Times New Roman" w:eastAsia="宋体" w:hAnsi="Times New Roman" w:cs="Times New Roman"/>
                <w:sz w:val="18"/>
                <w:szCs w:val="18"/>
              </w:rPr>
              <w:t>月</w:t>
            </w:r>
            <w:r>
              <w:rPr>
                <w:rFonts w:ascii="Times New Roman" w:eastAsia="宋体" w:hAnsi="Times New Roman" w:cs="Times New Roman"/>
                <w:sz w:val="18"/>
                <w:szCs w:val="18"/>
              </w:rPr>
              <w:t>29</w:t>
            </w:r>
            <w:r>
              <w:rPr>
                <w:rFonts w:ascii="Times New Roman" w:eastAsia="宋体" w:hAnsi="Times New Roman" w:cs="Times New Roman"/>
                <w:sz w:val="18"/>
                <w:szCs w:val="18"/>
              </w:rPr>
              <w:t>日</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深圳证券交易所</w:t>
            </w:r>
            <w:r>
              <w:rPr>
                <w:rFonts w:ascii="Times New Roman" w:eastAsia="宋体" w:hAnsi="Times New Roman" w:cs="Times New Roman"/>
                <w:sz w:val="18"/>
                <w:szCs w:val="18"/>
              </w:rPr>
              <w:t>“</w:t>
            </w:r>
            <w:r>
              <w:rPr>
                <w:rFonts w:ascii="Times New Roman" w:eastAsia="宋体" w:hAnsi="Times New Roman" w:cs="Times New Roman"/>
                <w:sz w:val="18"/>
                <w:szCs w:val="18"/>
              </w:rPr>
              <w:t>互动易平台</w:t>
            </w:r>
            <w:r>
              <w:rPr>
                <w:rFonts w:ascii="Times New Roman" w:eastAsia="宋体" w:hAnsi="Times New Roman" w:cs="Times New Roman"/>
                <w:sz w:val="18"/>
                <w:szCs w:val="18"/>
              </w:rPr>
              <w:t>”http://irm.cninfo.com.c“</w:t>
            </w:r>
            <w:r>
              <w:rPr>
                <w:rFonts w:ascii="Times New Roman" w:eastAsia="宋体" w:hAnsi="Times New Roman" w:cs="Times New Roman"/>
                <w:sz w:val="18"/>
                <w:szCs w:val="18"/>
              </w:rPr>
              <w:t>云访谈</w:t>
            </w:r>
            <w:r>
              <w:rPr>
                <w:rFonts w:ascii="Times New Roman" w:eastAsia="宋体" w:hAnsi="Times New Roman" w:cs="Times New Roman"/>
                <w:sz w:val="18"/>
                <w:szCs w:val="18"/>
              </w:rPr>
              <w:t>”</w:t>
            </w:r>
            <w:r>
              <w:rPr>
                <w:rFonts w:ascii="Times New Roman" w:eastAsia="宋体" w:hAnsi="Times New Roman" w:cs="Times New Roman"/>
                <w:sz w:val="18"/>
                <w:szCs w:val="18"/>
              </w:rPr>
              <w:t>栏目</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网络平台线上交流</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个人</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投资者</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就投资者关于公司业绩问题进行了回复。</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广东天亿马信息产业股份有限公司投资者活动记录表（</w:t>
            </w:r>
            <w:r>
              <w:rPr>
                <w:rFonts w:ascii="Times New Roman" w:eastAsia="宋体" w:hAnsi="Times New Roman" w:cs="Times New Roman"/>
                <w:sz w:val="18"/>
                <w:szCs w:val="18"/>
              </w:rPr>
              <w:t>2024</w:t>
            </w:r>
            <w:r>
              <w:rPr>
                <w:rFonts w:ascii="Times New Roman" w:eastAsia="宋体" w:hAnsi="Times New Roman" w:cs="Times New Roman"/>
                <w:sz w:val="18"/>
                <w:szCs w:val="18"/>
              </w:rPr>
              <w:t>年度网上业绩说明会）详见公司发布于巨潮资讯网的《广东天亿马信息产业股份有限公司投资者活动记录表（</w:t>
            </w:r>
            <w:r>
              <w:rPr>
                <w:rFonts w:ascii="Times New Roman" w:eastAsia="宋体" w:hAnsi="Times New Roman" w:cs="Times New Roman"/>
                <w:sz w:val="18"/>
                <w:szCs w:val="18"/>
              </w:rPr>
              <w:t>2024</w:t>
            </w:r>
            <w:r>
              <w:rPr>
                <w:rFonts w:ascii="Times New Roman" w:eastAsia="宋体" w:hAnsi="Times New Roman" w:cs="Times New Roman"/>
                <w:sz w:val="18"/>
                <w:szCs w:val="18"/>
              </w:rPr>
              <w:t>广东辖区上市公司投资者集体接待日）》。</w:t>
            </w:r>
          </w:p>
        </w:tc>
      </w:tr>
    </w:tbl>
    <w:p w:rsidR="00CE3C32" w:rsidRDefault="006413B8">
      <w:pPr>
        <w:pStyle w:val="2"/>
        <w:spacing w:before="300" w:after="300" w:line="320" w:lineRule="exact"/>
        <w:rPr>
          <w:rFonts w:ascii="Times New Roman" w:eastAsia="宋体" w:hAnsi="Times New Roman" w:cs="Times New Roman"/>
          <w:b/>
          <w:bCs/>
          <w:sz w:val="24"/>
          <w:szCs w:val="24"/>
        </w:rPr>
      </w:pPr>
      <w:bookmarkStart w:id="44" w:name="_Toc988932"/>
      <w:r>
        <w:rPr>
          <w:rFonts w:ascii="Times New Roman" w:eastAsia="宋体" w:hAnsi="Times New Roman" w:cs="Times New Roman"/>
          <w:b/>
          <w:bCs/>
          <w:sz w:val="24"/>
          <w:szCs w:val="24"/>
        </w:rPr>
        <w:t>十二、市值管理制度和估值提升计划的制定落实情况</w:t>
      </w:r>
      <w:bookmarkEnd w:id="44"/>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公司是否制定了市值管理制度。</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是</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否</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公司是否披露了估值提升计划。</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是</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否</w:t>
      </w:r>
    </w:p>
    <w:p w:rsidR="00CE3C32" w:rsidRDefault="006413B8">
      <w:pPr>
        <w:pStyle w:val="2"/>
        <w:spacing w:before="300" w:after="300" w:line="320" w:lineRule="exact"/>
        <w:rPr>
          <w:rFonts w:ascii="Times New Roman" w:eastAsia="宋体" w:hAnsi="Times New Roman" w:cs="Times New Roman"/>
          <w:b/>
          <w:bCs/>
          <w:sz w:val="24"/>
          <w:szCs w:val="24"/>
        </w:rPr>
      </w:pPr>
      <w:bookmarkStart w:id="45" w:name="_Toc988933"/>
      <w:r>
        <w:rPr>
          <w:rFonts w:ascii="Times New Roman" w:eastAsia="宋体" w:hAnsi="Times New Roman" w:cs="Times New Roman"/>
          <w:b/>
          <w:bCs/>
          <w:sz w:val="24"/>
          <w:szCs w:val="24"/>
        </w:rPr>
        <w:t>十三、</w:t>
      </w:r>
      <w:r>
        <w:rPr>
          <w:rFonts w:ascii="Times New Roman" w:eastAsia="宋体" w:hAnsi="Times New Roman" w:cs="Times New Roman"/>
          <w:b/>
          <w:bCs/>
          <w:sz w:val="24"/>
          <w:szCs w:val="24"/>
        </w:rPr>
        <w:t>“</w:t>
      </w:r>
      <w:r>
        <w:rPr>
          <w:rFonts w:ascii="Times New Roman" w:eastAsia="宋体" w:hAnsi="Times New Roman" w:cs="Times New Roman"/>
          <w:b/>
          <w:bCs/>
          <w:sz w:val="24"/>
          <w:szCs w:val="24"/>
        </w:rPr>
        <w:t>质量回报双提升</w:t>
      </w:r>
      <w:r>
        <w:rPr>
          <w:rFonts w:ascii="Times New Roman" w:eastAsia="宋体" w:hAnsi="Times New Roman" w:cs="Times New Roman"/>
          <w:b/>
          <w:bCs/>
          <w:sz w:val="24"/>
          <w:szCs w:val="24"/>
        </w:rPr>
        <w:t>”</w:t>
      </w:r>
      <w:r>
        <w:rPr>
          <w:rFonts w:ascii="Times New Roman" w:eastAsia="宋体" w:hAnsi="Times New Roman" w:cs="Times New Roman"/>
          <w:b/>
          <w:bCs/>
          <w:sz w:val="24"/>
          <w:szCs w:val="24"/>
        </w:rPr>
        <w:t>行动方案贯彻落实情况</w:t>
      </w:r>
      <w:bookmarkEnd w:id="45"/>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公司是否披露了</w:t>
      </w:r>
      <w:r>
        <w:rPr>
          <w:rFonts w:ascii="Times New Roman" w:eastAsia="宋体" w:hAnsi="Times New Roman" w:cs="Times New Roman"/>
          <w:sz w:val="18"/>
          <w:szCs w:val="18"/>
        </w:rPr>
        <w:t>“</w:t>
      </w:r>
      <w:r>
        <w:rPr>
          <w:rFonts w:ascii="Times New Roman" w:eastAsia="宋体" w:hAnsi="Times New Roman" w:cs="Times New Roman"/>
          <w:sz w:val="18"/>
          <w:szCs w:val="18"/>
        </w:rPr>
        <w:t>质量回报双提升</w:t>
      </w:r>
      <w:r>
        <w:rPr>
          <w:rFonts w:ascii="Times New Roman" w:eastAsia="宋体" w:hAnsi="Times New Roman" w:cs="Times New Roman"/>
          <w:sz w:val="18"/>
          <w:szCs w:val="18"/>
        </w:rPr>
        <w:t>”</w:t>
      </w:r>
      <w:r>
        <w:rPr>
          <w:rFonts w:ascii="Times New Roman" w:eastAsia="宋体" w:hAnsi="Times New Roman" w:cs="Times New Roman"/>
          <w:sz w:val="18"/>
          <w:szCs w:val="18"/>
        </w:rPr>
        <w:t>行动方案公告。</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是</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否</w:t>
      </w:r>
    </w:p>
    <w:p w:rsidR="00CE3C32" w:rsidRDefault="006413B8">
      <w:pPr>
        <w:pStyle w:val="headingh1"/>
        <w:spacing w:before="340" w:after="330" w:line="773" w:lineRule="exact"/>
        <w:jc w:val="center"/>
        <w:rPr>
          <w:rFonts w:ascii="Times New Roman" w:eastAsia="宋体" w:hAnsi="Times New Roman" w:cs="Times New Roman"/>
          <w:b/>
          <w:bCs/>
          <w:sz w:val="32"/>
          <w:szCs w:val="32"/>
        </w:rPr>
      </w:pPr>
      <w:bookmarkStart w:id="46" w:name="_Toc988934"/>
      <w:r>
        <w:rPr>
          <w:rFonts w:ascii="Times New Roman" w:eastAsia="宋体" w:hAnsi="Times New Roman" w:cs="Times New Roman"/>
          <w:b/>
          <w:bCs/>
          <w:sz w:val="32"/>
          <w:szCs w:val="32"/>
        </w:rPr>
        <w:t>第四节</w:t>
      </w:r>
      <w:r>
        <w:rPr>
          <w:rFonts w:ascii="Times New Roman" w:eastAsia="宋体" w:hAnsi="Times New Roman" w:cs="Times New Roman"/>
          <w:b/>
          <w:bCs/>
          <w:sz w:val="32"/>
          <w:szCs w:val="32"/>
        </w:rPr>
        <w:t xml:space="preserve"> </w:t>
      </w:r>
      <w:r>
        <w:rPr>
          <w:rFonts w:ascii="Times New Roman" w:eastAsia="宋体" w:hAnsi="Times New Roman" w:cs="Times New Roman"/>
          <w:b/>
          <w:bCs/>
          <w:sz w:val="32"/>
          <w:szCs w:val="32"/>
        </w:rPr>
        <w:t>公司治理、环境和社会</w:t>
      </w:r>
      <w:bookmarkEnd w:id="46"/>
    </w:p>
    <w:p w:rsidR="00CE3C32" w:rsidRDefault="006413B8">
      <w:pPr>
        <w:pStyle w:val="2"/>
        <w:spacing w:before="300" w:after="300" w:line="320" w:lineRule="exact"/>
        <w:rPr>
          <w:rFonts w:ascii="Times New Roman" w:eastAsia="宋体" w:hAnsi="Times New Roman" w:cs="Times New Roman"/>
          <w:b/>
          <w:bCs/>
          <w:sz w:val="24"/>
          <w:szCs w:val="24"/>
        </w:rPr>
      </w:pPr>
      <w:bookmarkStart w:id="47" w:name="_Toc988935"/>
      <w:r>
        <w:rPr>
          <w:rFonts w:ascii="Times New Roman" w:eastAsia="宋体" w:hAnsi="Times New Roman" w:cs="Times New Roman"/>
          <w:b/>
          <w:bCs/>
          <w:sz w:val="24"/>
          <w:szCs w:val="24"/>
        </w:rPr>
        <w:t>一、公司董事、监事、高级管理人员变动情况</w:t>
      </w:r>
      <w:bookmarkEnd w:id="47"/>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姓名</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担任的职务</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类型</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日期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原因</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李华青</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董事会秘书</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离任</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01</w:t>
            </w:r>
            <w:r>
              <w:rPr>
                <w:rFonts w:ascii="Times New Roman" w:eastAsia="宋体" w:hAnsi="Times New Roman" w:cs="Times New Roman"/>
                <w:sz w:val="18"/>
                <w:szCs w:val="18"/>
              </w:rPr>
              <w:t>月</w:t>
            </w:r>
            <w:r>
              <w:rPr>
                <w:rFonts w:ascii="Times New Roman" w:eastAsia="宋体" w:hAnsi="Times New Roman" w:cs="Times New Roman"/>
                <w:sz w:val="18"/>
                <w:szCs w:val="18"/>
              </w:rPr>
              <w:t>16</w:t>
            </w:r>
            <w:r>
              <w:rPr>
                <w:rFonts w:ascii="Times New Roman" w:eastAsia="宋体" w:hAnsi="Times New Roman" w:cs="Times New Roman"/>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工作调动</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曹维</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董事会秘书</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聘任</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01</w:t>
            </w:r>
            <w:r>
              <w:rPr>
                <w:rFonts w:ascii="Times New Roman" w:eastAsia="宋体" w:hAnsi="Times New Roman" w:cs="Times New Roman"/>
                <w:sz w:val="18"/>
                <w:szCs w:val="18"/>
              </w:rPr>
              <w:t>月</w:t>
            </w:r>
            <w:r>
              <w:rPr>
                <w:rFonts w:ascii="Times New Roman" w:eastAsia="宋体" w:hAnsi="Times New Roman" w:cs="Times New Roman"/>
                <w:sz w:val="18"/>
                <w:szCs w:val="18"/>
              </w:rPr>
              <w:t>16</w:t>
            </w:r>
            <w:r>
              <w:rPr>
                <w:rFonts w:ascii="Times New Roman" w:eastAsia="宋体" w:hAnsi="Times New Roman" w:cs="Times New Roman"/>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工作调动</w:t>
            </w:r>
          </w:p>
        </w:tc>
      </w:tr>
    </w:tbl>
    <w:p w:rsidR="00CE3C32" w:rsidRDefault="006413B8">
      <w:pPr>
        <w:pStyle w:val="2"/>
        <w:spacing w:before="300" w:after="300" w:line="320" w:lineRule="exact"/>
        <w:rPr>
          <w:rFonts w:ascii="Times New Roman" w:eastAsia="宋体" w:hAnsi="Times New Roman" w:cs="Times New Roman"/>
          <w:b/>
          <w:bCs/>
          <w:sz w:val="24"/>
          <w:szCs w:val="24"/>
        </w:rPr>
      </w:pPr>
      <w:bookmarkStart w:id="48" w:name="_Toc988936"/>
      <w:r>
        <w:rPr>
          <w:rFonts w:ascii="Times New Roman" w:eastAsia="宋体" w:hAnsi="Times New Roman" w:cs="Times New Roman"/>
          <w:b/>
          <w:bCs/>
          <w:sz w:val="24"/>
          <w:szCs w:val="24"/>
        </w:rPr>
        <w:t>二、本报告期利润分配及资本公积金转增股本情况</w:t>
      </w:r>
      <w:bookmarkEnd w:id="48"/>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公司计划半年度不派发现金红利，不送红股，不以公积金转增股本。</w:t>
      </w:r>
    </w:p>
    <w:p w:rsidR="00CE3C32" w:rsidRDefault="006413B8">
      <w:pPr>
        <w:pStyle w:val="2"/>
        <w:spacing w:before="300" w:after="300" w:line="320" w:lineRule="exact"/>
        <w:rPr>
          <w:rFonts w:ascii="Times New Roman" w:eastAsia="宋体" w:hAnsi="Times New Roman" w:cs="Times New Roman"/>
          <w:b/>
          <w:bCs/>
          <w:sz w:val="24"/>
          <w:szCs w:val="24"/>
        </w:rPr>
      </w:pPr>
      <w:bookmarkStart w:id="49" w:name="_Toc988937"/>
      <w:r>
        <w:rPr>
          <w:rFonts w:ascii="Times New Roman" w:eastAsia="宋体" w:hAnsi="Times New Roman" w:cs="Times New Roman"/>
          <w:b/>
          <w:bCs/>
          <w:sz w:val="24"/>
          <w:szCs w:val="24"/>
        </w:rPr>
        <w:t>三、公司股权激励计划、员工持股计划或其他员工激励措施的实施情况</w:t>
      </w:r>
      <w:bookmarkEnd w:id="49"/>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50" w:name="_Toc988938"/>
      <w:r>
        <w:rPr>
          <w:rFonts w:ascii="Times New Roman" w:hAnsi="Times New Roman" w:cs="Times New Roman"/>
          <w:b/>
          <w:bCs/>
        </w:rPr>
        <w:t>1</w:t>
      </w:r>
      <w:r>
        <w:rPr>
          <w:rFonts w:ascii="Times New Roman" w:hAnsi="Times New Roman" w:cs="Times New Roman"/>
          <w:b/>
          <w:bCs/>
        </w:rPr>
        <w:t>、股权激励</w:t>
      </w:r>
      <w:bookmarkEnd w:id="50"/>
    </w:p>
    <w:p w:rsidR="00CE3C32" w:rsidRDefault="006413B8">
      <w:pPr>
        <w:pStyle w:val="a6"/>
        <w:spacing w:before="0" w:beforeAutospacing="0" w:after="0" w:afterAutospacing="0"/>
        <w:ind w:firstLine="420"/>
        <w:jc w:val="both"/>
        <w:rPr>
          <w:rFonts w:ascii="Times New Roman" w:hAnsi="Times New Roman" w:cs="Times New Roman"/>
          <w:sz w:val="21"/>
          <w:szCs w:val="21"/>
        </w:rPr>
      </w:pPr>
      <w:r>
        <w:rPr>
          <w:rFonts w:ascii="Times New Roman" w:hAnsi="Times New Roman" w:cs="Times New Roman"/>
          <w:sz w:val="21"/>
          <w:szCs w:val="21"/>
        </w:rPr>
        <w:t>（一）</w:t>
      </w:r>
      <w:r>
        <w:rPr>
          <w:rFonts w:ascii="Times New Roman" w:hAnsi="Times New Roman" w:cs="Times New Roman"/>
          <w:sz w:val="21"/>
          <w:szCs w:val="21"/>
        </w:rPr>
        <w:t>2023</w:t>
      </w:r>
      <w:r>
        <w:rPr>
          <w:rFonts w:ascii="Times New Roman" w:hAnsi="Times New Roman" w:cs="Times New Roman"/>
          <w:sz w:val="21"/>
          <w:szCs w:val="21"/>
        </w:rPr>
        <w:t>年</w:t>
      </w:r>
      <w:r>
        <w:rPr>
          <w:rFonts w:ascii="Times New Roman" w:hAnsi="Times New Roman" w:cs="Times New Roman"/>
          <w:sz w:val="21"/>
          <w:szCs w:val="21"/>
        </w:rPr>
        <w:t>8</w:t>
      </w:r>
      <w:r>
        <w:rPr>
          <w:rFonts w:ascii="Times New Roman" w:hAnsi="Times New Roman" w:cs="Times New Roman"/>
          <w:sz w:val="21"/>
          <w:szCs w:val="21"/>
        </w:rPr>
        <w:t>月</w:t>
      </w:r>
      <w:r>
        <w:rPr>
          <w:rFonts w:ascii="Times New Roman" w:hAnsi="Times New Roman" w:cs="Times New Roman"/>
          <w:sz w:val="21"/>
          <w:szCs w:val="21"/>
        </w:rPr>
        <w:t>2</w:t>
      </w:r>
      <w:r>
        <w:rPr>
          <w:rFonts w:ascii="Times New Roman" w:hAnsi="Times New Roman" w:cs="Times New Roman"/>
          <w:sz w:val="21"/>
          <w:szCs w:val="21"/>
        </w:rPr>
        <w:t>日，公司召开第三届董事会第十四次会议，审议通过《关于〈广东天亿马信息产业股份有限公司</w:t>
      </w:r>
      <w:r>
        <w:rPr>
          <w:rFonts w:ascii="Times New Roman" w:hAnsi="Times New Roman" w:cs="Times New Roman"/>
          <w:sz w:val="21"/>
          <w:szCs w:val="21"/>
        </w:rPr>
        <w:t>2023</w:t>
      </w:r>
      <w:r>
        <w:rPr>
          <w:rFonts w:ascii="Times New Roman" w:hAnsi="Times New Roman" w:cs="Times New Roman"/>
          <w:sz w:val="21"/>
          <w:szCs w:val="21"/>
        </w:rPr>
        <w:t>年限制性股票激励计划（草案）〉及其摘要的议案》《关于〈广东天亿马信息产业股份有限公司</w:t>
      </w:r>
      <w:r>
        <w:rPr>
          <w:rFonts w:ascii="Times New Roman" w:hAnsi="Times New Roman" w:cs="Times New Roman"/>
          <w:sz w:val="21"/>
          <w:szCs w:val="21"/>
        </w:rPr>
        <w:t>2023</w:t>
      </w:r>
      <w:r>
        <w:rPr>
          <w:rFonts w:ascii="Times New Roman" w:hAnsi="Times New Roman" w:cs="Times New Roman"/>
          <w:sz w:val="21"/>
          <w:szCs w:val="21"/>
        </w:rPr>
        <w:t>年限制性股票激励计划实施考核管理办法〉的议案》《关于提请股东大会授权董事会办理公司</w:t>
      </w:r>
      <w:r>
        <w:rPr>
          <w:rFonts w:ascii="Times New Roman" w:hAnsi="Times New Roman" w:cs="Times New Roman"/>
          <w:sz w:val="21"/>
          <w:szCs w:val="21"/>
        </w:rPr>
        <w:t>2023</w:t>
      </w:r>
      <w:r>
        <w:rPr>
          <w:rFonts w:ascii="Times New Roman" w:hAnsi="Times New Roman" w:cs="Times New Roman"/>
          <w:sz w:val="21"/>
          <w:szCs w:val="21"/>
        </w:rPr>
        <w:t>年限制性股票激励计划相关事宜的议案》。公司独立董事就本激励计划发表了同意的独立意见。</w:t>
      </w:r>
    </w:p>
    <w:p w:rsidR="00CE3C32" w:rsidRDefault="006413B8">
      <w:pPr>
        <w:pStyle w:val="a6"/>
        <w:spacing w:before="0" w:beforeAutospacing="0" w:after="0" w:afterAutospacing="0"/>
        <w:ind w:firstLine="420"/>
        <w:jc w:val="both"/>
        <w:rPr>
          <w:rFonts w:ascii="Times New Roman" w:hAnsi="Times New Roman" w:cs="Times New Roman"/>
          <w:sz w:val="21"/>
          <w:szCs w:val="21"/>
        </w:rPr>
      </w:pPr>
      <w:r>
        <w:rPr>
          <w:rFonts w:ascii="Times New Roman" w:hAnsi="Times New Roman" w:cs="Times New Roman"/>
          <w:sz w:val="21"/>
          <w:szCs w:val="21"/>
        </w:rPr>
        <w:lastRenderedPageBreak/>
        <w:t>（二）</w:t>
      </w:r>
      <w:r>
        <w:rPr>
          <w:rFonts w:ascii="Times New Roman" w:hAnsi="Times New Roman" w:cs="Times New Roman"/>
          <w:sz w:val="21"/>
          <w:szCs w:val="21"/>
        </w:rPr>
        <w:t>2023</w:t>
      </w:r>
      <w:r>
        <w:rPr>
          <w:rFonts w:ascii="Times New Roman" w:hAnsi="Times New Roman" w:cs="Times New Roman"/>
          <w:sz w:val="21"/>
          <w:szCs w:val="21"/>
        </w:rPr>
        <w:t>年</w:t>
      </w:r>
      <w:r>
        <w:rPr>
          <w:rFonts w:ascii="Times New Roman" w:hAnsi="Times New Roman" w:cs="Times New Roman"/>
          <w:sz w:val="21"/>
          <w:szCs w:val="21"/>
        </w:rPr>
        <w:t>8</w:t>
      </w:r>
      <w:r>
        <w:rPr>
          <w:rFonts w:ascii="Times New Roman" w:hAnsi="Times New Roman" w:cs="Times New Roman"/>
          <w:sz w:val="21"/>
          <w:szCs w:val="21"/>
        </w:rPr>
        <w:t>月</w:t>
      </w:r>
      <w:r>
        <w:rPr>
          <w:rFonts w:ascii="Times New Roman" w:hAnsi="Times New Roman" w:cs="Times New Roman"/>
          <w:sz w:val="21"/>
          <w:szCs w:val="21"/>
        </w:rPr>
        <w:t>2</w:t>
      </w:r>
      <w:r>
        <w:rPr>
          <w:rFonts w:ascii="Times New Roman" w:hAnsi="Times New Roman" w:cs="Times New Roman"/>
          <w:sz w:val="21"/>
          <w:szCs w:val="21"/>
        </w:rPr>
        <w:t>日，公司召开第三届监事会第十二次会议，审议通过《关于〈广东天亿马信息产业股份有限公司</w:t>
      </w:r>
      <w:r>
        <w:rPr>
          <w:rFonts w:ascii="Times New Roman" w:hAnsi="Times New Roman" w:cs="Times New Roman"/>
          <w:sz w:val="21"/>
          <w:szCs w:val="21"/>
        </w:rPr>
        <w:t>2023</w:t>
      </w:r>
      <w:r>
        <w:rPr>
          <w:rFonts w:ascii="Times New Roman" w:hAnsi="Times New Roman" w:cs="Times New Roman"/>
          <w:sz w:val="21"/>
          <w:szCs w:val="21"/>
        </w:rPr>
        <w:t>年限制性股票激励计划（草案）〉及其摘要的议案》《关于〈广东天亿马信息产业股份有限公司</w:t>
      </w:r>
      <w:r>
        <w:rPr>
          <w:rFonts w:ascii="Times New Roman" w:hAnsi="Times New Roman" w:cs="Times New Roman"/>
          <w:sz w:val="21"/>
          <w:szCs w:val="21"/>
        </w:rPr>
        <w:t>2023</w:t>
      </w:r>
      <w:r>
        <w:rPr>
          <w:rFonts w:ascii="Times New Roman" w:hAnsi="Times New Roman" w:cs="Times New Roman"/>
          <w:sz w:val="21"/>
          <w:szCs w:val="21"/>
        </w:rPr>
        <w:t>年限制性股票激励计划实施考核管理办法〉的议案》《关于核实〈广东天亿马信息产业股份有限公司</w:t>
      </w:r>
      <w:r>
        <w:rPr>
          <w:rFonts w:ascii="Times New Roman" w:hAnsi="Times New Roman" w:cs="Times New Roman"/>
          <w:sz w:val="21"/>
          <w:szCs w:val="21"/>
        </w:rPr>
        <w:t>2023</w:t>
      </w:r>
      <w:r>
        <w:rPr>
          <w:rFonts w:ascii="Times New Roman" w:hAnsi="Times New Roman" w:cs="Times New Roman"/>
          <w:sz w:val="21"/>
          <w:szCs w:val="21"/>
        </w:rPr>
        <w:t>年限制性股票激励计划首次授予激励对象名单〉的议案》，并发表了核查意见。</w:t>
      </w:r>
    </w:p>
    <w:p w:rsidR="00CE3C32" w:rsidRDefault="006413B8">
      <w:pPr>
        <w:pStyle w:val="a6"/>
        <w:spacing w:before="0" w:beforeAutospacing="0" w:after="0" w:afterAutospacing="0"/>
        <w:ind w:firstLine="420"/>
        <w:jc w:val="both"/>
        <w:rPr>
          <w:rFonts w:ascii="Times New Roman" w:hAnsi="Times New Roman" w:cs="Times New Roman"/>
          <w:sz w:val="21"/>
          <w:szCs w:val="21"/>
        </w:rPr>
      </w:pPr>
      <w:r>
        <w:rPr>
          <w:rFonts w:ascii="Times New Roman" w:hAnsi="Times New Roman" w:cs="Times New Roman"/>
          <w:sz w:val="21"/>
          <w:szCs w:val="21"/>
        </w:rPr>
        <w:t>（三）</w:t>
      </w:r>
      <w:r>
        <w:rPr>
          <w:rFonts w:ascii="Times New Roman" w:hAnsi="Times New Roman" w:cs="Times New Roman"/>
          <w:sz w:val="21"/>
          <w:szCs w:val="21"/>
        </w:rPr>
        <w:t>2023</w:t>
      </w:r>
      <w:r>
        <w:rPr>
          <w:rFonts w:ascii="Times New Roman" w:hAnsi="Times New Roman" w:cs="Times New Roman"/>
          <w:sz w:val="21"/>
          <w:szCs w:val="21"/>
        </w:rPr>
        <w:t>年</w:t>
      </w:r>
      <w:r>
        <w:rPr>
          <w:rFonts w:ascii="Times New Roman" w:hAnsi="Times New Roman" w:cs="Times New Roman"/>
          <w:sz w:val="21"/>
          <w:szCs w:val="21"/>
        </w:rPr>
        <w:t>8</w:t>
      </w:r>
      <w:r>
        <w:rPr>
          <w:rFonts w:ascii="Times New Roman" w:hAnsi="Times New Roman" w:cs="Times New Roman"/>
          <w:sz w:val="21"/>
          <w:szCs w:val="21"/>
        </w:rPr>
        <w:t>月</w:t>
      </w:r>
      <w:r>
        <w:rPr>
          <w:rFonts w:ascii="Times New Roman" w:hAnsi="Times New Roman" w:cs="Times New Roman"/>
          <w:sz w:val="21"/>
          <w:szCs w:val="21"/>
        </w:rPr>
        <w:t>18</w:t>
      </w:r>
      <w:r>
        <w:rPr>
          <w:rFonts w:ascii="Times New Roman" w:hAnsi="Times New Roman" w:cs="Times New Roman"/>
          <w:sz w:val="21"/>
          <w:szCs w:val="21"/>
        </w:rPr>
        <w:t>日，公司召开第三届董事会第十五次会议，审议通过《关于〈广东天亿马信息产业股份有限公司</w:t>
      </w:r>
      <w:r>
        <w:rPr>
          <w:rFonts w:ascii="Times New Roman" w:hAnsi="Times New Roman" w:cs="Times New Roman"/>
          <w:sz w:val="21"/>
          <w:szCs w:val="21"/>
        </w:rPr>
        <w:t>2023</w:t>
      </w:r>
      <w:r>
        <w:rPr>
          <w:rFonts w:ascii="Times New Roman" w:hAnsi="Times New Roman" w:cs="Times New Roman"/>
          <w:sz w:val="21"/>
          <w:szCs w:val="21"/>
        </w:rPr>
        <w:t>年限制性股票激励计划（草案修订稿）〉及其摘要的议案》《关于〈广东天亿马信息产业股份有限公司</w:t>
      </w:r>
      <w:r>
        <w:rPr>
          <w:rFonts w:ascii="Times New Roman" w:hAnsi="Times New Roman" w:cs="Times New Roman"/>
          <w:sz w:val="21"/>
          <w:szCs w:val="21"/>
        </w:rPr>
        <w:t>2023</w:t>
      </w:r>
      <w:r>
        <w:rPr>
          <w:rFonts w:ascii="Times New Roman" w:hAnsi="Times New Roman" w:cs="Times New Roman"/>
          <w:sz w:val="21"/>
          <w:szCs w:val="21"/>
        </w:rPr>
        <w:t>年限制性股票激励计划实施考核管理办法（修订稿）〉的议案》。公司独立董事就本激励计划的修订发表了同意的独立意见。</w:t>
      </w:r>
    </w:p>
    <w:p w:rsidR="00CE3C32" w:rsidRDefault="006413B8">
      <w:pPr>
        <w:pStyle w:val="a6"/>
        <w:spacing w:before="0" w:beforeAutospacing="0" w:after="0" w:afterAutospacing="0"/>
        <w:ind w:firstLine="420"/>
        <w:jc w:val="both"/>
        <w:rPr>
          <w:rFonts w:ascii="Times New Roman" w:hAnsi="Times New Roman" w:cs="Times New Roman"/>
          <w:sz w:val="21"/>
          <w:szCs w:val="21"/>
        </w:rPr>
      </w:pPr>
      <w:r>
        <w:rPr>
          <w:rFonts w:ascii="Times New Roman" w:hAnsi="Times New Roman" w:cs="Times New Roman"/>
          <w:sz w:val="21"/>
          <w:szCs w:val="21"/>
        </w:rPr>
        <w:t>（四）</w:t>
      </w:r>
      <w:r>
        <w:rPr>
          <w:rFonts w:ascii="Times New Roman" w:hAnsi="Times New Roman" w:cs="Times New Roman"/>
          <w:sz w:val="21"/>
          <w:szCs w:val="21"/>
        </w:rPr>
        <w:t>2023</w:t>
      </w:r>
      <w:r>
        <w:rPr>
          <w:rFonts w:ascii="Times New Roman" w:hAnsi="Times New Roman" w:cs="Times New Roman"/>
          <w:sz w:val="21"/>
          <w:szCs w:val="21"/>
        </w:rPr>
        <w:t>年</w:t>
      </w:r>
      <w:r>
        <w:rPr>
          <w:rFonts w:ascii="Times New Roman" w:hAnsi="Times New Roman" w:cs="Times New Roman"/>
          <w:sz w:val="21"/>
          <w:szCs w:val="21"/>
        </w:rPr>
        <w:t>8</w:t>
      </w:r>
      <w:r>
        <w:rPr>
          <w:rFonts w:ascii="Times New Roman" w:hAnsi="Times New Roman" w:cs="Times New Roman"/>
          <w:sz w:val="21"/>
          <w:szCs w:val="21"/>
        </w:rPr>
        <w:t>月</w:t>
      </w:r>
      <w:r>
        <w:rPr>
          <w:rFonts w:ascii="Times New Roman" w:hAnsi="Times New Roman" w:cs="Times New Roman"/>
          <w:sz w:val="21"/>
          <w:szCs w:val="21"/>
        </w:rPr>
        <w:t>18</w:t>
      </w:r>
      <w:r>
        <w:rPr>
          <w:rFonts w:ascii="Times New Roman" w:hAnsi="Times New Roman" w:cs="Times New Roman"/>
          <w:sz w:val="21"/>
          <w:szCs w:val="21"/>
        </w:rPr>
        <w:t>日，公司召开第三届监事会第十三次会议，审议通过了《关于〈广东天亿马信息产业股份有限公司</w:t>
      </w:r>
      <w:r>
        <w:rPr>
          <w:rFonts w:ascii="Times New Roman" w:hAnsi="Times New Roman" w:cs="Times New Roman"/>
          <w:sz w:val="21"/>
          <w:szCs w:val="21"/>
        </w:rPr>
        <w:t>2023</w:t>
      </w:r>
      <w:r>
        <w:rPr>
          <w:rFonts w:ascii="Times New Roman" w:hAnsi="Times New Roman" w:cs="Times New Roman"/>
          <w:sz w:val="21"/>
          <w:szCs w:val="21"/>
        </w:rPr>
        <w:t>年限制性股票激励计划（草案修订稿）〉及其摘要的议案》《关于〈广东天亿马信息产业股份有限公司</w:t>
      </w:r>
      <w:r>
        <w:rPr>
          <w:rFonts w:ascii="Times New Roman" w:hAnsi="Times New Roman" w:cs="Times New Roman"/>
          <w:sz w:val="21"/>
          <w:szCs w:val="21"/>
        </w:rPr>
        <w:t>2023</w:t>
      </w:r>
      <w:r>
        <w:rPr>
          <w:rFonts w:ascii="Times New Roman" w:hAnsi="Times New Roman" w:cs="Times New Roman"/>
          <w:sz w:val="21"/>
          <w:szCs w:val="21"/>
        </w:rPr>
        <w:t>年限制性股票激励计划实施考核管理办法（修订稿）〉的议案》，并发表了核查意见。公司已于</w:t>
      </w:r>
      <w:r>
        <w:rPr>
          <w:rFonts w:ascii="Times New Roman" w:hAnsi="Times New Roman" w:cs="Times New Roman"/>
          <w:sz w:val="21"/>
          <w:szCs w:val="21"/>
        </w:rPr>
        <w:t>2023</w:t>
      </w:r>
      <w:r>
        <w:rPr>
          <w:rFonts w:ascii="Times New Roman" w:hAnsi="Times New Roman" w:cs="Times New Roman"/>
          <w:sz w:val="21"/>
          <w:szCs w:val="21"/>
        </w:rPr>
        <w:t>年</w:t>
      </w:r>
      <w:r>
        <w:rPr>
          <w:rFonts w:ascii="Times New Roman" w:hAnsi="Times New Roman" w:cs="Times New Roman"/>
          <w:sz w:val="21"/>
          <w:szCs w:val="21"/>
        </w:rPr>
        <w:t>8</w:t>
      </w:r>
      <w:r>
        <w:rPr>
          <w:rFonts w:ascii="Times New Roman" w:hAnsi="Times New Roman" w:cs="Times New Roman"/>
          <w:sz w:val="21"/>
          <w:szCs w:val="21"/>
        </w:rPr>
        <w:t>月</w:t>
      </w:r>
      <w:r>
        <w:rPr>
          <w:rFonts w:ascii="Times New Roman" w:hAnsi="Times New Roman" w:cs="Times New Roman"/>
          <w:sz w:val="21"/>
          <w:szCs w:val="21"/>
        </w:rPr>
        <w:t>8</w:t>
      </w:r>
      <w:r>
        <w:rPr>
          <w:rFonts w:ascii="Times New Roman" w:hAnsi="Times New Roman" w:cs="Times New Roman"/>
          <w:sz w:val="21"/>
          <w:szCs w:val="21"/>
        </w:rPr>
        <w:t>日至</w:t>
      </w:r>
      <w:r>
        <w:rPr>
          <w:rFonts w:ascii="Times New Roman" w:hAnsi="Times New Roman" w:cs="Times New Roman"/>
          <w:sz w:val="21"/>
          <w:szCs w:val="21"/>
        </w:rPr>
        <w:t>2023</w:t>
      </w:r>
      <w:r>
        <w:rPr>
          <w:rFonts w:ascii="Times New Roman" w:hAnsi="Times New Roman" w:cs="Times New Roman"/>
          <w:sz w:val="21"/>
          <w:szCs w:val="21"/>
        </w:rPr>
        <w:t>年</w:t>
      </w:r>
      <w:r>
        <w:rPr>
          <w:rFonts w:ascii="Times New Roman" w:hAnsi="Times New Roman" w:cs="Times New Roman"/>
          <w:sz w:val="21"/>
          <w:szCs w:val="21"/>
        </w:rPr>
        <w:t>8</w:t>
      </w:r>
      <w:r>
        <w:rPr>
          <w:rFonts w:ascii="Times New Roman" w:hAnsi="Times New Roman" w:cs="Times New Roman"/>
          <w:sz w:val="21"/>
          <w:szCs w:val="21"/>
        </w:rPr>
        <w:t>月</w:t>
      </w:r>
      <w:r>
        <w:rPr>
          <w:rFonts w:ascii="Times New Roman" w:hAnsi="Times New Roman" w:cs="Times New Roman"/>
          <w:sz w:val="21"/>
          <w:szCs w:val="21"/>
        </w:rPr>
        <w:t>17</w:t>
      </w:r>
      <w:r>
        <w:rPr>
          <w:rFonts w:ascii="Times New Roman" w:hAnsi="Times New Roman" w:cs="Times New Roman"/>
          <w:sz w:val="21"/>
          <w:szCs w:val="21"/>
        </w:rPr>
        <w:t>日期间对激励对象名单在公司内部进行了公示。在公示期内，公司监事会未收到任何异议。</w:t>
      </w:r>
      <w:r>
        <w:rPr>
          <w:rFonts w:ascii="Times New Roman" w:hAnsi="Times New Roman" w:cs="Times New Roman"/>
          <w:sz w:val="21"/>
          <w:szCs w:val="21"/>
        </w:rPr>
        <w:t>2023</w:t>
      </w:r>
      <w:r>
        <w:rPr>
          <w:rFonts w:ascii="Times New Roman" w:hAnsi="Times New Roman" w:cs="Times New Roman"/>
          <w:sz w:val="21"/>
          <w:szCs w:val="21"/>
        </w:rPr>
        <w:t>年</w:t>
      </w:r>
      <w:r>
        <w:rPr>
          <w:rFonts w:ascii="Times New Roman" w:hAnsi="Times New Roman" w:cs="Times New Roman"/>
          <w:sz w:val="21"/>
          <w:szCs w:val="21"/>
        </w:rPr>
        <w:t>8</w:t>
      </w:r>
      <w:r>
        <w:rPr>
          <w:rFonts w:ascii="Times New Roman" w:hAnsi="Times New Roman" w:cs="Times New Roman"/>
          <w:sz w:val="21"/>
          <w:szCs w:val="21"/>
        </w:rPr>
        <w:t>月</w:t>
      </w:r>
      <w:r>
        <w:rPr>
          <w:rFonts w:ascii="Times New Roman" w:hAnsi="Times New Roman" w:cs="Times New Roman"/>
          <w:sz w:val="21"/>
          <w:szCs w:val="21"/>
        </w:rPr>
        <w:t>18</w:t>
      </w:r>
      <w:r>
        <w:rPr>
          <w:rFonts w:ascii="Times New Roman" w:hAnsi="Times New Roman" w:cs="Times New Roman"/>
          <w:sz w:val="21"/>
          <w:szCs w:val="21"/>
        </w:rPr>
        <w:t>日，公司在巨潮资讯网（</w:t>
      </w:r>
      <w:r>
        <w:rPr>
          <w:rFonts w:ascii="Times New Roman" w:hAnsi="Times New Roman" w:cs="Times New Roman"/>
          <w:sz w:val="21"/>
          <w:szCs w:val="21"/>
        </w:rPr>
        <w:t>www.cninfo.com.cn</w:t>
      </w:r>
      <w:r>
        <w:rPr>
          <w:rFonts w:ascii="Times New Roman" w:hAnsi="Times New Roman" w:cs="Times New Roman"/>
          <w:sz w:val="21"/>
          <w:szCs w:val="21"/>
        </w:rPr>
        <w:t>）上披露了《监事会关于公司</w:t>
      </w:r>
      <w:r>
        <w:rPr>
          <w:rFonts w:ascii="Times New Roman" w:hAnsi="Times New Roman" w:cs="Times New Roman"/>
          <w:sz w:val="21"/>
          <w:szCs w:val="21"/>
        </w:rPr>
        <w:t>2023</w:t>
      </w:r>
      <w:r>
        <w:rPr>
          <w:rFonts w:ascii="Times New Roman" w:hAnsi="Times New Roman" w:cs="Times New Roman"/>
          <w:sz w:val="21"/>
          <w:szCs w:val="21"/>
        </w:rPr>
        <w:t>年限制性股票激励计划激励对象名单的公示情况说明及核查意见》。</w:t>
      </w:r>
    </w:p>
    <w:p w:rsidR="00CE3C32" w:rsidRDefault="006413B8">
      <w:pPr>
        <w:pStyle w:val="a6"/>
        <w:spacing w:before="0" w:beforeAutospacing="0" w:after="0" w:afterAutospacing="0"/>
        <w:ind w:firstLine="420"/>
        <w:jc w:val="both"/>
        <w:rPr>
          <w:rFonts w:ascii="Times New Roman" w:hAnsi="Times New Roman" w:cs="Times New Roman"/>
          <w:sz w:val="21"/>
          <w:szCs w:val="21"/>
        </w:rPr>
      </w:pPr>
      <w:r>
        <w:rPr>
          <w:rFonts w:ascii="Times New Roman" w:hAnsi="Times New Roman" w:cs="Times New Roman"/>
          <w:sz w:val="21"/>
          <w:szCs w:val="21"/>
        </w:rPr>
        <w:t>（五）</w:t>
      </w:r>
      <w:r>
        <w:rPr>
          <w:rFonts w:ascii="Times New Roman" w:hAnsi="Times New Roman" w:cs="Times New Roman"/>
          <w:sz w:val="21"/>
          <w:szCs w:val="21"/>
        </w:rPr>
        <w:t>2023</w:t>
      </w:r>
      <w:r>
        <w:rPr>
          <w:rFonts w:ascii="Times New Roman" w:hAnsi="Times New Roman" w:cs="Times New Roman"/>
          <w:sz w:val="21"/>
          <w:szCs w:val="21"/>
        </w:rPr>
        <w:t>年</w:t>
      </w:r>
      <w:r>
        <w:rPr>
          <w:rFonts w:ascii="Times New Roman" w:hAnsi="Times New Roman" w:cs="Times New Roman"/>
          <w:sz w:val="21"/>
          <w:szCs w:val="21"/>
        </w:rPr>
        <w:t>9</w:t>
      </w:r>
      <w:r>
        <w:rPr>
          <w:rFonts w:ascii="Times New Roman" w:hAnsi="Times New Roman" w:cs="Times New Roman"/>
          <w:sz w:val="21"/>
          <w:szCs w:val="21"/>
        </w:rPr>
        <w:t>月</w:t>
      </w:r>
      <w:r>
        <w:rPr>
          <w:rFonts w:ascii="Times New Roman" w:hAnsi="Times New Roman" w:cs="Times New Roman"/>
          <w:sz w:val="21"/>
          <w:szCs w:val="21"/>
        </w:rPr>
        <w:t>11</w:t>
      </w:r>
      <w:r>
        <w:rPr>
          <w:rFonts w:ascii="Times New Roman" w:hAnsi="Times New Roman" w:cs="Times New Roman"/>
          <w:sz w:val="21"/>
          <w:szCs w:val="21"/>
        </w:rPr>
        <w:t>日，公司召开</w:t>
      </w:r>
      <w:r>
        <w:rPr>
          <w:rFonts w:ascii="Times New Roman" w:hAnsi="Times New Roman" w:cs="Times New Roman"/>
          <w:sz w:val="21"/>
          <w:szCs w:val="21"/>
        </w:rPr>
        <w:t>2023</w:t>
      </w:r>
      <w:r>
        <w:rPr>
          <w:rFonts w:ascii="Times New Roman" w:hAnsi="Times New Roman" w:cs="Times New Roman"/>
          <w:sz w:val="21"/>
          <w:szCs w:val="21"/>
        </w:rPr>
        <w:t>年第四次临时股东大会，以特别决议审议通过了《关于〈广东天亿马信息产业股份有限公司</w:t>
      </w:r>
      <w:r>
        <w:rPr>
          <w:rFonts w:ascii="Times New Roman" w:hAnsi="Times New Roman" w:cs="Times New Roman"/>
          <w:sz w:val="21"/>
          <w:szCs w:val="21"/>
        </w:rPr>
        <w:t>2023</w:t>
      </w:r>
      <w:r>
        <w:rPr>
          <w:rFonts w:ascii="Times New Roman" w:hAnsi="Times New Roman" w:cs="Times New Roman"/>
          <w:sz w:val="21"/>
          <w:szCs w:val="21"/>
        </w:rPr>
        <w:t>年限制性股票激励计划（草案修订稿）〉及其摘要的议案》《关于〈广东天亿马信息产业股份有限公司</w:t>
      </w:r>
      <w:r>
        <w:rPr>
          <w:rFonts w:ascii="Times New Roman" w:hAnsi="Times New Roman" w:cs="Times New Roman"/>
          <w:sz w:val="21"/>
          <w:szCs w:val="21"/>
        </w:rPr>
        <w:t>2023</w:t>
      </w:r>
      <w:r>
        <w:rPr>
          <w:rFonts w:ascii="Times New Roman" w:hAnsi="Times New Roman" w:cs="Times New Roman"/>
          <w:sz w:val="21"/>
          <w:szCs w:val="21"/>
        </w:rPr>
        <w:t>年限制性股票激励计划实施考核管理办法（修订稿）〉的议案》《关于提请股东大会授权董事会办理公司</w:t>
      </w:r>
      <w:r>
        <w:rPr>
          <w:rFonts w:ascii="Times New Roman" w:hAnsi="Times New Roman" w:cs="Times New Roman"/>
          <w:sz w:val="21"/>
          <w:szCs w:val="21"/>
        </w:rPr>
        <w:t>2023</w:t>
      </w:r>
      <w:r>
        <w:rPr>
          <w:rFonts w:ascii="Times New Roman" w:hAnsi="Times New Roman" w:cs="Times New Roman"/>
          <w:sz w:val="21"/>
          <w:szCs w:val="21"/>
        </w:rPr>
        <w:t>年限制性股票激励计划相关事宜的议案》。公司实施</w:t>
      </w:r>
      <w:r>
        <w:rPr>
          <w:rFonts w:ascii="Times New Roman" w:hAnsi="Times New Roman" w:cs="Times New Roman"/>
          <w:sz w:val="21"/>
          <w:szCs w:val="21"/>
        </w:rPr>
        <w:t>2023</w:t>
      </w:r>
      <w:r>
        <w:rPr>
          <w:rFonts w:ascii="Times New Roman" w:hAnsi="Times New Roman" w:cs="Times New Roman"/>
          <w:sz w:val="21"/>
          <w:szCs w:val="21"/>
        </w:rPr>
        <w:t>年限制性股票激励计划获得批准，董事会被授权确定授予日、在激励对象符合条件时向激励对象授予限制性股票，并办理授予所必需的全部事宜。</w:t>
      </w:r>
    </w:p>
    <w:p w:rsidR="00CE3C32" w:rsidRDefault="006413B8">
      <w:pPr>
        <w:pStyle w:val="a6"/>
        <w:spacing w:before="0" w:beforeAutospacing="0" w:after="0" w:afterAutospacing="0"/>
        <w:ind w:firstLine="420"/>
        <w:jc w:val="both"/>
        <w:rPr>
          <w:rFonts w:ascii="Times New Roman" w:hAnsi="Times New Roman" w:cs="Times New Roman"/>
          <w:sz w:val="21"/>
          <w:szCs w:val="21"/>
        </w:rPr>
      </w:pPr>
      <w:r>
        <w:rPr>
          <w:rFonts w:ascii="Times New Roman" w:hAnsi="Times New Roman" w:cs="Times New Roman"/>
          <w:sz w:val="21"/>
          <w:szCs w:val="21"/>
        </w:rPr>
        <w:t>（六）</w:t>
      </w:r>
      <w:r>
        <w:rPr>
          <w:rFonts w:ascii="Times New Roman" w:hAnsi="Times New Roman" w:cs="Times New Roman"/>
          <w:sz w:val="21"/>
          <w:szCs w:val="21"/>
        </w:rPr>
        <w:t>2023</w:t>
      </w:r>
      <w:r>
        <w:rPr>
          <w:rFonts w:ascii="Times New Roman" w:hAnsi="Times New Roman" w:cs="Times New Roman"/>
          <w:sz w:val="21"/>
          <w:szCs w:val="21"/>
        </w:rPr>
        <w:t>年</w:t>
      </w:r>
      <w:r>
        <w:rPr>
          <w:rFonts w:ascii="Times New Roman" w:hAnsi="Times New Roman" w:cs="Times New Roman"/>
          <w:sz w:val="21"/>
          <w:szCs w:val="21"/>
        </w:rPr>
        <w:t>9</w:t>
      </w:r>
      <w:r>
        <w:rPr>
          <w:rFonts w:ascii="Times New Roman" w:hAnsi="Times New Roman" w:cs="Times New Roman"/>
          <w:sz w:val="21"/>
          <w:szCs w:val="21"/>
        </w:rPr>
        <w:t>月</w:t>
      </w:r>
      <w:r>
        <w:rPr>
          <w:rFonts w:ascii="Times New Roman" w:hAnsi="Times New Roman" w:cs="Times New Roman"/>
          <w:sz w:val="21"/>
          <w:szCs w:val="21"/>
        </w:rPr>
        <w:t>19</w:t>
      </w:r>
      <w:r>
        <w:rPr>
          <w:rFonts w:ascii="Times New Roman" w:hAnsi="Times New Roman" w:cs="Times New Roman"/>
          <w:sz w:val="21"/>
          <w:szCs w:val="21"/>
        </w:rPr>
        <w:t>日，公司召开第三届董事会第十七次会议，审议通过了《关于向</w:t>
      </w:r>
      <w:r>
        <w:rPr>
          <w:rFonts w:ascii="Times New Roman" w:hAnsi="Times New Roman" w:cs="Times New Roman"/>
          <w:sz w:val="21"/>
          <w:szCs w:val="21"/>
        </w:rPr>
        <w:t>2023</w:t>
      </w:r>
      <w:r>
        <w:rPr>
          <w:rFonts w:ascii="Times New Roman" w:hAnsi="Times New Roman" w:cs="Times New Roman"/>
          <w:sz w:val="21"/>
          <w:szCs w:val="21"/>
        </w:rPr>
        <w:t>年限制性股票激励计划激励对象首次授予限制性股票的议案》。公司董事会认为本次激励计划规定的授予条件已经成就。公司独立董事对此发表了同意的独立意见，认为激励对象主体资格合法、有效，确定的授予日符合相关规定。</w:t>
      </w:r>
    </w:p>
    <w:p w:rsidR="00CE3C32" w:rsidRDefault="006413B8">
      <w:pPr>
        <w:pStyle w:val="a6"/>
        <w:spacing w:before="0" w:beforeAutospacing="0" w:after="0" w:afterAutospacing="0"/>
        <w:ind w:firstLine="420"/>
        <w:jc w:val="both"/>
        <w:rPr>
          <w:rFonts w:ascii="Times New Roman" w:hAnsi="Times New Roman" w:cs="Times New Roman"/>
          <w:sz w:val="21"/>
          <w:szCs w:val="21"/>
        </w:rPr>
      </w:pPr>
      <w:r>
        <w:rPr>
          <w:rFonts w:ascii="Times New Roman" w:hAnsi="Times New Roman" w:cs="Times New Roman"/>
          <w:sz w:val="21"/>
          <w:szCs w:val="21"/>
        </w:rPr>
        <w:t>（七）</w:t>
      </w:r>
      <w:r>
        <w:rPr>
          <w:rFonts w:ascii="Times New Roman" w:hAnsi="Times New Roman" w:cs="Times New Roman"/>
          <w:sz w:val="21"/>
          <w:szCs w:val="21"/>
        </w:rPr>
        <w:t>2023</w:t>
      </w:r>
      <w:r>
        <w:rPr>
          <w:rFonts w:ascii="Times New Roman" w:hAnsi="Times New Roman" w:cs="Times New Roman"/>
          <w:sz w:val="21"/>
          <w:szCs w:val="21"/>
        </w:rPr>
        <w:t>年</w:t>
      </w:r>
      <w:r>
        <w:rPr>
          <w:rFonts w:ascii="Times New Roman" w:hAnsi="Times New Roman" w:cs="Times New Roman"/>
          <w:sz w:val="21"/>
          <w:szCs w:val="21"/>
        </w:rPr>
        <w:t>9</w:t>
      </w:r>
      <w:r>
        <w:rPr>
          <w:rFonts w:ascii="Times New Roman" w:hAnsi="Times New Roman" w:cs="Times New Roman"/>
          <w:sz w:val="21"/>
          <w:szCs w:val="21"/>
        </w:rPr>
        <w:t>月</w:t>
      </w:r>
      <w:r>
        <w:rPr>
          <w:rFonts w:ascii="Times New Roman" w:hAnsi="Times New Roman" w:cs="Times New Roman"/>
          <w:sz w:val="21"/>
          <w:szCs w:val="21"/>
        </w:rPr>
        <w:t>19</w:t>
      </w:r>
      <w:r>
        <w:rPr>
          <w:rFonts w:ascii="Times New Roman" w:hAnsi="Times New Roman" w:cs="Times New Roman"/>
          <w:sz w:val="21"/>
          <w:szCs w:val="21"/>
        </w:rPr>
        <w:t>日，公司召开第三届监事会第十五次会议，审议通过了《关于向</w:t>
      </w:r>
      <w:r>
        <w:rPr>
          <w:rFonts w:ascii="Times New Roman" w:hAnsi="Times New Roman" w:cs="Times New Roman"/>
          <w:sz w:val="21"/>
          <w:szCs w:val="21"/>
        </w:rPr>
        <w:t>2023</w:t>
      </w:r>
      <w:r>
        <w:rPr>
          <w:rFonts w:ascii="Times New Roman" w:hAnsi="Times New Roman" w:cs="Times New Roman"/>
          <w:sz w:val="21"/>
          <w:szCs w:val="21"/>
        </w:rPr>
        <w:t>年限制性股票激励计划激励对象首次授予限制性股票的议案》，监事会对授予日的激励对象名单进行了核查并发表了核实意见。</w:t>
      </w:r>
    </w:p>
    <w:p w:rsidR="00CE3C32" w:rsidRDefault="006413B8">
      <w:pPr>
        <w:pStyle w:val="a6"/>
        <w:spacing w:before="0" w:beforeAutospacing="0" w:after="0" w:afterAutospacing="0"/>
        <w:ind w:firstLine="420"/>
        <w:jc w:val="both"/>
        <w:rPr>
          <w:rFonts w:ascii="Times New Roman" w:hAnsi="Times New Roman" w:cs="Times New Roman"/>
          <w:sz w:val="21"/>
          <w:szCs w:val="21"/>
        </w:rPr>
      </w:pPr>
      <w:r>
        <w:rPr>
          <w:rFonts w:ascii="Times New Roman" w:hAnsi="Times New Roman" w:cs="Times New Roman"/>
          <w:sz w:val="21"/>
          <w:szCs w:val="21"/>
        </w:rPr>
        <w:t>（八）</w:t>
      </w:r>
      <w:r>
        <w:rPr>
          <w:rFonts w:ascii="Times New Roman" w:hAnsi="Times New Roman" w:cs="Times New Roman"/>
          <w:sz w:val="21"/>
          <w:szCs w:val="21"/>
        </w:rPr>
        <w:t>2024</w:t>
      </w:r>
      <w:r>
        <w:rPr>
          <w:rFonts w:ascii="Times New Roman" w:hAnsi="Times New Roman" w:cs="Times New Roman"/>
          <w:sz w:val="21"/>
          <w:szCs w:val="21"/>
        </w:rPr>
        <w:t>年</w:t>
      </w:r>
      <w:r>
        <w:rPr>
          <w:rFonts w:ascii="Times New Roman" w:hAnsi="Times New Roman" w:cs="Times New Roman"/>
          <w:sz w:val="21"/>
          <w:szCs w:val="21"/>
        </w:rPr>
        <w:t>4</w:t>
      </w:r>
      <w:r>
        <w:rPr>
          <w:rFonts w:ascii="Times New Roman" w:hAnsi="Times New Roman" w:cs="Times New Roman"/>
          <w:sz w:val="21"/>
          <w:szCs w:val="21"/>
        </w:rPr>
        <w:t>月</w:t>
      </w:r>
      <w:r>
        <w:rPr>
          <w:rFonts w:ascii="Times New Roman" w:hAnsi="Times New Roman" w:cs="Times New Roman"/>
          <w:sz w:val="21"/>
          <w:szCs w:val="21"/>
        </w:rPr>
        <w:t>25</w:t>
      </w:r>
      <w:r>
        <w:rPr>
          <w:rFonts w:ascii="Times New Roman" w:hAnsi="Times New Roman" w:cs="Times New Roman"/>
          <w:sz w:val="21"/>
          <w:szCs w:val="21"/>
        </w:rPr>
        <w:t>日，公司召开第三届董事会第二十二次会议和第三届监事会第二十次会议，另于</w:t>
      </w:r>
      <w:r>
        <w:rPr>
          <w:rFonts w:ascii="Times New Roman" w:hAnsi="Times New Roman" w:cs="Times New Roman"/>
          <w:sz w:val="21"/>
          <w:szCs w:val="21"/>
        </w:rPr>
        <w:t>2024</w:t>
      </w:r>
      <w:r>
        <w:rPr>
          <w:rFonts w:ascii="Times New Roman" w:hAnsi="Times New Roman" w:cs="Times New Roman"/>
          <w:sz w:val="21"/>
          <w:szCs w:val="21"/>
        </w:rPr>
        <w:t>年</w:t>
      </w:r>
      <w:r>
        <w:rPr>
          <w:rFonts w:ascii="Times New Roman" w:hAnsi="Times New Roman" w:cs="Times New Roman"/>
          <w:sz w:val="21"/>
          <w:szCs w:val="21"/>
        </w:rPr>
        <w:t>5</w:t>
      </w:r>
      <w:r>
        <w:rPr>
          <w:rFonts w:ascii="Times New Roman" w:hAnsi="Times New Roman" w:cs="Times New Roman"/>
          <w:sz w:val="21"/>
          <w:szCs w:val="21"/>
        </w:rPr>
        <w:t>月</w:t>
      </w:r>
      <w:r>
        <w:rPr>
          <w:rFonts w:ascii="Times New Roman" w:hAnsi="Times New Roman" w:cs="Times New Roman"/>
          <w:sz w:val="21"/>
          <w:szCs w:val="21"/>
        </w:rPr>
        <w:t>20</w:t>
      </w:r>
      <w:r>
        <w:rPr>
          <w:rFonts w:ascii="Times New Roman" w:hAnsi="Times New Roman" w:cs="Times New Roman"/>
          <w:sz w:val="21"/>
          <w:szCs w:val="21"/>
        </w:rPr>
        <w:t>日召开</w:t>
      </w:r>
      <w:r>
        <w:rPr>
          <w:rFonts w:ascii="Times New Roman" w:hAnsi="Times New Roman" w:cs="Times New Roman"/>
          <w:sz w:val="21"/>
          <w:szCs w:val="21"/>
        </w:rPr>
        <w:t>2023</w:t>
      </w:r>
      <w:r>
        <w:rPr>
          <w:rFonts w:ascii="Times New Roman" w:hAnsi="Times New Roman" w:cs="Times New Roman"/>
          <w:sz w:val="21"/>
          <w:szCs w:val="21"/>
        </w:rPr>
        <w:t>年年度股东大会，审议通过了《关于回购注销部分已授予但尚未解除限售的限制性股票的议案》《关于作废部分已授予但尚未归属的限制性股票的议案》。</w:t>
      </w:r>
    </w:p>
    <w:p w:rsidR="00CE3C32" w:rsidRDefault="006413B8">
      <w:pPr>
        <w:pStyle w:val="a6"/>
        <w:spacing w:before="0" w:beforeAutospacing="0" w:after="0" w:afterAutospacing="0"/>
        <w:ind w:firstLine="420"/>
        <w:jc w:val="both"/>
        <w:rPr>
          <w:rFonts w:ascii="Times New Roman" w:hAnsi="Times New Roman" w:cs="Times New Roman"/>
          <w:sz w:val="21"/>
          <w:szCs w:val="21"/>
        </w:rPr>
      </w:pPr>
      <w:r>
        <w:rPr>
          <w:rFonts w:ascii="Times New Roman" w:hAnsi="Times New Roman" w:cs="Times New Roman"/>
          <w:sz w:val="21"/>
          <w:szCs w:val="21"/>
        </w:rPr>
        <w:t>（九）</w:t>
      </w:r>
      <w:r>
        <w:rPr>
          <w:rFonts w:ascii="Times New Roman" w:hAnsi="Times New Roman" w:cs="Times New Roman"/>
          <w:sz w:val="21"/>
          <w:szCs w:val="21"/>
        </w:rPr>
        <w:t>2024</w:t>
      </w:r>
      <w:r>
        <w:rPr>
          <w:rFonts w:ascii="Times New Roman" w:hAnsi="Times New Roman" w:cs="Times New Roman"/>
          <w:sz w:val="21"/>
          <w:szCs w:val="21"/>
        </w:rPr>
        <w:t>年</w:t>
      </w:r>
      <w:r>
        <w:rPr>
          <w:rFonts w:ascii="Times New Roman" w:hAnsi="Times New Roman" w:cs="Times New Roman"/>
          <w:sz w:val="21"/>
          <w:szCs w:val="21"/>
        </w:rPr>
        <w:t>8</w:t>
      </w:r>
      <w:r>
        <w:rPr>
          <w:rFonts w:ascii="Times New Roman" w:hAnsi="Times New Roman" w:cs="Times New Roman"/>
          <w:sz w:val="21"/>
          <w:szCs w:val="21"/>
        </w:rPr>
        <w:t>月</w:t>
      </w:r>
      <w:r>
        <w:rPr>
          <w:rFonts w:ascii="Times New Roman" w:hAnsi="Times New Roman" w:cs="Times New Roman"/>
          <w:sz w:val="21"/>
          <w:szCs w:val="21"/>
        </w:rPr>
        <w:t>28</w:t>
      </w:r>
      <w:r>
        <w:rPr>
          <w:rFonts w:ascii="Times New Roman" w:hAnsi="Times New Roman" w:cs="Times New Roman"/>
          <w:sz w:val="21"/>
          <w:szCs w:val="21"/>
        </w:rPr>
        <w:t>日，公司召开第三届董事会第二十四次会议、第三届监事会第二十二次会议，另于</w:t>
      </w:r>
      <w:r>
        <w:rPr>
          <w:rFonts w:ascii="Times New Roman" w:hAnsi="Times New Roman" w:cs="Times New Roman"/>
          <w:sz w:val="21"/>
          <w:szCs w:val="21"/>
        </w:rPr>
        <w:t>2024</w:t>
      </w:r>
      <w:r>
        <w:rPr>
          <w:rFonts w:ascii="Times New Roman" w:hAnsi="Times New Roman" w:cs="Times New Roman"/>
          <w:sz w:val="21"/>
          <w:szCs w:val="21"/>
        </w:rPr>
        <w:t>年</w:t>
      </w:r>
      <w:r>
        <w:rPr>
          <w:rFonts w:ascii="Times New Roman" w:hAnsi="Times New Roman" w:cs="Times New Roman"/>
          <w:sz w:val="21"/>
          <w:szCs w:val="21"/>
        </w:rPr>
        <w:t>9</w:t>
      </w:r>
      <w:r>
        <w:rPr>
          <w:rFonts w:ascii="Times New Roman" w:hAnsi="Times New Roman" w:cs="Times New Roman"/>
          <w:sz w:val="21"/>
          <w:szCs w:val="21"/>
        </w:rPr>
        <w:t>月</w:t>
      </w:r>
      <w:r>
        <w:rPr>
          <w:rFonts w:ascii="Times New Roman" w:hAnsi="Times New Roman" w:cs="Times New Roman"/>
          <w:sz w:val="21"/>
          <w:szCs w:val="21"/>
        </w:rPr>
        <w:t>20</w:t>
      </w:r>
      <w:r>
        <w:rPr>
          <w:rFonts w:ascii="Times New Roman" w:hAnsi="Times New Roman" w:cs="Times New Roman"/>
          <w:sz w:val="21"/>
          <w:szCs w:val="21"/>
        </w:rPr>
        <w:t>日召开</w:t>
      </w:r>
      <w:r>
        <w:rPr>
          <w:rFonts w:ascii="Times New Roman" w:hAnsi="Times New Roman" w:cs="Times New Roman"/>
          <w:sz w:val="21"/>
          <w:szCs w:val="21"/>
        </w:rPr>
        <w:t>2024</w:t>
      </w:r>
      <w:r>
        <w:rPr>
          <w:rFonts w:ascii="Times New Roman" w:hAnsi="Times New Roman" w:cs="Times New Roman"/>
          <w:sz w:val="21"/>
          <w:szCs w:val="21"/>
        </w:rPr>
        <w:t>年第三次临时股东会，审议通过了《关于调整</w:t>
      </w:r>
      <w:r>
        <w:rPr>
          <w:rFonts w:ascii="Times New Roman" w:hAnsi="Times New Roman" w:cs="Times New Roman"/>
          <w:sz w:val="21"/>
          <w:szCs w:val="21"/>
        </w:rPr>
        <w:t>2023</w:t>
      </w:r>
      <w:r>
        <w:rPr>
          <w:rFonts w:ascii="Times New Roman" w:hAnsi="Times New Roman" w:cs="Times New Roman"/>
          <w:sz w:val="21"/>
          <w:szCs w:val="21"/>
        </w:rPr>
        <w:t>年限制性股票激励计划第一类限制性股票回购价格、第二类限制性股票授予价格的议案》《关于拟减少公司注册资本、变更经营范围、修订章程的议案》，并于同日披露了《关于减少公司注册资本通知债权人公告》。公司于</w:t>
      </w:r>
      <w:r>
        <w:rPr>
          <w:rFonts w:ascii="Times New Roman" w:hAnsi="Times New Roman" w:cs="Times New Roman"/>
          <w:sz w:val="21"/>
          <w:szCs w:val="21"/>
        </w:rPr>
        <w:t>2024</w:t>
      </w:r>
      <w:r>
        <w:rPr>
          <w:rFonts w:ascii="Times New Roman" w:hAnsi="Times New Roman" w:cs="Times New Roman"/>
          <w:sz w:val="21"/>
          <w:szCs w:val="21"/>
        </w:rPr>
        <w:t>年</w:t>
      </w:r>
      <w:r>
        <w:rPr>
          <w:rFonts w:ascii="Times New Roman" w:hAnsi="Times New Roman" w:cs="Times New Roman"/>
          <w:sz w:val="21"/>
          <w:szCs w:val="21"/>
        </w:rPr>
        <w:t>11</w:t>
      </w:r>
      <w:r>
        <w:rPr>
          <w:rFonts w:ascii="Times New Roman" w:hAnsi="Times New Roman" w:cs="Times New Roman"/>
          <w:sz w:val="21"/>
          <w:szCs w:val="21"/>
        </w:rPr>
        <w:t>月完成对第一类限制性股票回购注销，并于</w:t>
      </w:r>
      <w:r>
        <w:rPr>
          <w:rFonts w:ascii="Times New Roman" w:hAnsi="Times New Roman" w:cs="Times New Roman"/>
          <w:sz w:val="21"/>
          <w:szCs w:val="21"/>
        </w:rPr>
        <w:t>2024</w:t>
      </w:r>
      <w:r>
        <w:rPr>
          <w:rFonts w:ascii="Times New Roman" w:hAnsi="Times New Roman" w:cs="Times New Roman"/>
          <w:sz w:val="21"/>
          <w:szCs w:val="21"/>
        </w:rPr>
        <w:t>年</w:t>
      </w:r>
      <w:r>
        <w:rPr>
          <w:rFonts w:ascii="Times New Roman" w:hAnsi="Times New Roman" w:cs="Times New Roman"/>
          <w:sz w:val="21"/>
          <w:szCs w:val="21"/>
        </w:rPr>
        <w:t>12</w:t>
      </w:r>
      <w:r>
        <w:rPr>
          <w:rFonts w:ascii="Times New Roman" w:hAnsi="Times New Roman" w:cs="Times New Roman"/>
          <w:sz w:val="21"/>
          <w:szCs w:val="21"/>
        </w:rPr>
        <w:t>月办理完成工商变更登记手续。</w:t>
      </w:r>
    </w:p>
    <w:p w:rsidR="00CE3C32" w:rsidRDefault="006413B8">
      <w:pPr>
        <w:pStyle w:val="a6"/>
        <w:spacing w:before="0" w:beforeAutospacing="0" w:after="0" w:afterAutospacing="0"/>
        <w:ind w:firstLine="420"/>
        <w:jc w:val="both"/>
        <w:rPr>
          <w:rFonts w:ascii="Times New Roman" w:hAnsi="Times New Roman" w:cs="Times New Roman"/>
          <w:sz w:val="21"/>
          <w:szCs w:val="21"/>
        </w:rPr>
      </w:pPr>
      <w:r>
        <w:rPr>
          <w:rFonts w:ascii="Times New Roman" w:hAnsi="Times New Roman" w:cs="Times New Roman"/>
          <w:sz w:val="21"/>
          <w:szCs w:val="21"/>
        </w:rPr>
        <w:t>（十）</w:t>
      </w:r>
      <w:r>
        <w:rPr>
          <w:rFonts w:ascii="Times New Roman" w:hAnsi="Times New Roman" w:cs="Times New Roman"/>
          <w:sz w:val="21"/>
          <w:szCs w:val="21"/>
        </w:rPr>
        <w:t>2025</w:t>
      </w:r>
      <w:r>
        <w:rPr>
          <w:rFonts w:ascii="Times New Roman" w:hAnsi="Times New Roman" w:cs="Times New Roman"/>
          <w:sz w:val="21"/>
          <w:szCs w:val="21"/>
        </w:rPr>
        <w:t>年</w:t>
      </w:r>
      <w:r>
        <w:rPr>
          <w:rFonts w:ascii="Times New Roman" w:hAnsi="Times New Roman" w:cs="Times New Roman"/>
          <w:sz w:val="21"/>
          <w:szCs w:val="21"/>
        </w:rPr>
        <w:t>4</w:t>
      </w:r>
      <w:r>
        <w:rPr>
          <w:rFonts w:ascii="Times New Roman" w:hAnsi="Times New Roman" w:cs="Times New Roman"/>
          <w:sz w:val="21"/>
          <w:szCs w:val="21"/>
        </w:rPr>
        <w:t>月</w:t>
      </w:r>
      <w:r>
        <w:rPr>
          <w:rFonts w:ascii="Times New Roman" w:hAnsi="Times New Roman" w:cs="Times New Roman"/>
          <w:sz w:val="21"/>
          <w:szCs w:val="21"/>
        </w:rPr>
        <w:t>18</w:t>
      </w:r>
      <w:r>
        <w:rPr>
          <w:rFonts w:ascii="Times New Roman" w:hAnsi="Times New Roman" w:cs="Times New Roman"/>
          <w:sz w:val="21"/>
          <w:szCs w:val="21"/>
        </w:rPr>
        <w:t>日，公司召开第三届董事会第三十次会议、第三届监事会第二十六次会议，另于</w:t>
      </w:r>
      <w:r>
        <w:rPr>
          <w:rFonts w:ascii="Times New Roman" w:hAnsi="Times New Roman" w:cs="Times New Roman"/>
          <w:sz w:val="21"/>
          <w:szCs w:val="21"/>
        </w:rPr>
        <w:t>2025</w:t>
      </w:r>
      <w:r>
        <w:rPr>
          <w:rFonts w:ascii="Times New Roman" w:hAnsi="Times New Roman" w:cs="Times New Roman"/>
          <w:sz w:val="21"/>
          <w:szCs w:val="21"/>
        </w:rPr>
        <w:t>年</w:t>
      </w:r>
      <w:r>
        <w:rPr>
          <w:rFonts w:ascii="Times New Roman" w:hAnsi="Times New Roman" w:cs="Times New Roman"/>
          <w:sz w:val="21"/>
          <w:szCs w:val="21"/>
        </w:rPr>
        <w:t>5</w:t>
      </w:r>
      <w:r>
        <w:rPr>
          <w:rFonts w:ascii="Times New Roman" w:hAnsi="Times New Roman" w:cs="Times New Roman"/>
          <w:sz w:val="21"/>
          <w:szCs w:val="21"/>
        </w:rPr>
        <w:t>月</w:t>
      </w:r>
      <w:r>
        <w:rPr>
          <w:rFonts w:ascii="Times New Roman" w:hAnsi="Times New Roman" w:cs="Times New Roman"/>
          <w:sz w:val="21"/>
          <w:szCs w:val="21"/>
        </w:rPr>
        <w:t>13</w:t>
      </w:r>
      <w:r>
        <w:rPr>
          <w:rFonts w:ascii="Times New Roman" w:hAnsi="Times New Roman" w:cs="Times New Roman"/>
          <w:sz w:val="21"/>
          <w:szCs w:val="21"/>
        </w:rPr>
        <w:t>日召开</w:t>
      </w:r>
      <w:r>
        <w:rPr>
          <w:rFonts w:ascii="Times New Roman" w:hAnsi="Times New Roman" w:cs="Times New Roman"/>
          <w:sz w:val="21"/>
          <w:szCs w:val="21"/>
        </w:rPr>
        <w:t>2025</w:t>
      </w:r>
      <w:r>
        <w:rPr>
          <w:rFonts w:ascii="Times New Roman" w:hAnsi="Times New Roman" w:cs="Times New Roman"/>
          <w:sz w:val="21"/>
          <w:szCs w:val="21"/>
        </w:rPr>
        <w:t>年年度股东会，审议通过了《关于回购注销部分已授予但尚未解除限售的限制性股票的议案》《关于作废部分已授予但尚未归属的限制性股票的议案》，并于同日披露了《关于减少公司注册资本通知债权人公告》。公司于</w:t>
      </w:r>
      <w:r>
        <w:rPr>
          <w:rFonts w:ascii="Times New Roman" w:hAnsi="Times New Roman" w:cs="Times New Roman"/>
          <w:sz w:val="21"/>
          <w:szCs w:val="21"/>
        </w:rPr>
        <w:t>2025</w:t>
      </w:r>
      <w:r>
        <w:rPr>
          <w:rFonts w:ascii="Times New Roman" w:hAnsi="Times New Roman" w:cs="Times New Roman"/>
          <w:sz w:val="21"/>
          <w:szCs w:val="21"/>
        </w:rPr>
        <w:t>年</w:t>
      </w:r>
      <w:r>
        <w:rPr>
          <w:rFonts w:ascii="Times New Roman" w:hAnsi="Times New Roman" w:cs="Times New Roman"/>
          <w:sz w:val="21"/>
          <w:szCs w:val="21"/>
        </w:rPr>
        <w:t>7</w:t>
      </w:r>
      <w:r>
        <w:rPr>
          <w:rFonts w:ascii="Times New Roman" w:hAnsi="Times New Roman" w:cs="Times New Roman"/>
          <w:sz w:val="21"/>
          <w:szCs w:val="21"/>
        </w:rPr>
        <w:t>月</w:t>
      </w:r>
      <w:r>
        <w:rPr>
          <w:rFonts w:ascii="Times New Roman" w:hAnsi="Times New Roman" w:cs="Times New Roman"/>
          <w:sz w:val="21"/>
          <w:szCs w:val="21"/>
        </w:rPr>
        <w:t>28</w:t>
      </w:r>
      <w:r>
        <w:rPr>
          <w:rFonts w:ascii="Times New Roman" w:hAnsi="Times New Roman" w:cs="Times New Roman"/>
          <w:sz w:val="21"/>
          <w:szCs w:val="21"/>
        </w:rPr>
        <w:t>日完成部分第一类限制性股票回购注销，并于</w:t>
      </w:r>
      <w:r>
        <w:rPr>
          <w:rFonts w:ascii="Times New Roman" w:hAnsi="Times New Roman" w:cs="Times New Roman"/>
          <w:sz w:val="21"/>
          <w:szCs w:val="21"/>
        </w:rPr>
        <w:t>2025</w:t>
      </w:r>
      <w:r>
        <w:rPr>
          <w:rFonts w:ascii="Times New Roman" w:hAnsi="Times New Roman" w:cs="Times New Roman"/>
          <w:sz w:val="21"/>
          <w:szCs w:val="21"/>
        </w:rPr>
        <w:t>年</w:t>
      </w:r>
      <w:r>
        <w:rPr>
          <w:rFonts w:ascii="Times New Roman" w:hAnsi="Times New Roman" w:cs="Times New Roman"/>
          <w:sz w:val="21"/>
          <w:szCs w:val="21"/>
        </w:rPr>
        <w:t>7</w:t>
      </w:r>
      <w:r>
        <w:rPr>
          <w:rFonts w:ascii="Times New Roman" w:hAnsi="Times New Roman" w:cs="Times New Roman"/>
          <w:sz w:val="21"/>
          <w:szCs w:val="21"/>
        </w:rPr>
        <w:t>月</w:t>
      </w:r>
      <w:r>
        <w:rPr>
          <w:rFonts w:ascii="Times New Roman" w:hAnsi="Times New Roman" w:cs="Times New Roman"/>
          <w:sz w:val="21"/>
          <w:szCs w:val="21"/>
        </w:rPr>
        <w:t>31</w:t>
      </w:r>
      <w:r>
        <w:rPr>
          <w:rFonts w:ascii="Times New Roman" w:hAnsi="Times New Roman" w:cs="Times New Roman"/>
          <w:sz w:val="21"/>
          <w:szCs w:val="21"/>
        </w:rPr>
        <w:t>日办理完成工商变更登记手续。</w:t>
      </w:r>
    </w:p>
    <w:p w:rsidR="00CE3C32" w:rsidRDefault="006413B8">
      <w:pPr>
        <w:pStyle w:val="3"/>
        <w:spacing w:line="280" w:lineRule="exact"/>
        <w:jc w:val="left"/>
        <w:rPr>
          <w:rFonts w:ascii="Times New Roman" w:hAnsi="Times New Roman" w:cs="Times New Roman"/>
          <w:b/>
          <w:bCs/>
        </w:rPr>
      </w:pPr>
      <w:bookmarkStart w:id="51" w:name="_Toc988939"/>
      <w:r>
        <w:rPr>
          <w:rFonts w:ascii="Times New Roman" w:hAnsi="Times New Roman" w:cs="Times New Roman"/>
          <w:b/>
          <w:bCs/>
        </w:rPr>
        <w:lastRenderedPageBreak/>
        <w:t>2</w:t>
      </w:r>
      <w:r>
        <w:rPr>
          <w:rFonts w:ascii="Times New Roman" w:hAnsi="Times New Roman" w:cs="Times New Roman"/>
          <w:b/>
          <w:bCs/>
        </w:rPr>
        <w:t>、员工持股计划的实施情况</w:t>
      </w:r>
      <w:bookmarkEnd w:id="51"/>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报告期内全部有效的员工持股计划情况</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员工的范围</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员工人数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持有的股票总数（股）</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变更情况</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占上市公司股本总额的比例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实施计划的资金来源</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公司（含子公司）的监事及核心员工</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472,400</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0.71%</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员工合法薪酬、自筹资金和法律、行政法规允许的其他方式。</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报告期内董事、监事、高级管理人员在员工持股计划中的持股情况</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姓名</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职务</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报告期初持股数（股）</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报告期末持股数（股）</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占上市公司股本总额的比例</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毛晓玲</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监事会主席</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53,010.00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53,010.00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0.08%</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刘培璇</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职工监事</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53,010.00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53,010.00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0.08%</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黄素芳</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职工监事</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12,510.00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12,510.00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0.02%</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报告期内资产管理机构的变更情况</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报告期内因持有人处置份额等引起的权益变动情况</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报告期内股东权利行使的情况</w:t>
      </w:r>
    </w:p>
    <w:p w:rsidR="00CE3C32" w:rsidRDefault="006413B8">
      <w:pPr>
        <w:pStyle w:val="a6"/>
        <w:spacing w:before="120" w:beforeAutospacing="0" w:after="120" w:afterAutospacing="0"/>
        <w:ind w:firstLine="420"/>
        <w:jc w:val="both"/>
        <w:rPr>
          <w:rFonts w:ascii="Times New Roman" w:hAnsi="Times New Roman" w:cs="Times New Roman"/>
        </w:rPr>
      </w:pPr>
      <w:r>
        <w:rPr>
          <w:rFonts w:ascii="Times New Roman" w:hAnsi="Times New Roman" w:cs="Times New Roman"/>
          <w:color w:val="000000"/>
          <w:sz w:val="21"/>
          <w:szCs w:val="21"/>
        </w:rPr>
        <w:t>报告期内，员工持股计划平台未行使股东表决权等其他权利。</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报告期内员工持股计划的其他相关情形及说明</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员工持股计划管理委员会成员发生变化</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员工持股计划对报告期上市公司的财务影响及相关会计处理</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报告期内员工持股计划终止的情况</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其他说明：</w:t>
      </w:r>
    </w:p>
    <w:p w:rsidR="00CE3C32" w:rsidRDefault="006413B8">
      <w:pPr>
        <w:pStyle w:val="a6"/>
        <w:spacing w:before="120" w:beforeAutospacing="0" w:after="120" w:afterAutospacing="0"/>
        <w:ind w:firstLine="420"/>
        <w:jc w:val="both"/>
        <w:rPr>
          <w:rFonts w:ascii="Times New Roman" w:hAnsi="Times New Roman" w:cs="Times New Roman"/>
        </w:rPr>
      </w:pPr>
      <w:r>
        <w:rPr>
          <w:rFonts w:ascii="Times New Roman" w:hAnsi="Times New Roman" w:cs="Times New Roman"/>
          <w:color w:val="000000"/>
          <w:sz w:val="21"/>
          <w:szCs w:val="21"/>
        </w:rPr>
        <w:t>根据《管理办法》的相关规定，本持股计划第一个锁定期于</w:t>
      </w:r>
      <w:r>
        <w:rPr>
          <w:rFonts w:ascii="Times New Roman" w:hAnsi="Times New Roman" w:cs="Times New Roman"/>
          <w:color w:val="000000"/>
          <w:sz w:val="21"/>
          <w:szCs w:val="21"/>
        </w:rPr>
        <w:t>2024</w:t>
      </w:r>
      <w:r>
        <w:rPr>
          <w:rFonts w:ascii="Times New Roman" w:hAnsi="Times New Roman" w:cs="Times New Roman"/>
          <w:color w:val="000000"/>
          <w:sz w:val="21"/>
          <w:szCs w:val="21"/>
        </w:rPr>
        <w:t>年</w:t>
      </w:r>
      <w:r>
        <w:rPr>
          <w:rFonts w:ascii="Times New Roman" w:hAnsi="Times New Roman" w:cs="Times New Roman"/>
          <w:color w:val="000000"/>
          <w:sz w:val="21"/>
          <w:szCs w:val="21"/>
        </w:rPr>
        <w:t>12</w:t>
      </w:r>
      <w:r>
        <w:rPr>
          <w:rFonts w:ascii="Times New Roman" w:hAnsi="Times New Roman" w:cs="Times New Roman"/>
          <w:color w:val="000000"/>
          <w:sz w:val="21"/>
          <w:szCs w:val="21"/>
        </w:rPr>
        <w:t>月</w:t>
      </w:r>
      <w:r>
        <w:rPr>
          <w:rFonts w:ascii="Times New Roman" w:hAnsi="Times New Roman" w:cs="Times New Roman"/>
          <w:color w:val="000000"/>
          <w:sz w:val="21"/>
          <w:szCs w:val="21"/>
        </w:rPr>
        <w:t>28</w:t>
      </w:r>
      <w:r>
        <w:rPr>
          <w:rFonts w:ascii="Times New Roman" w:hAnsi="Times New Roman" w:cs="Times New Roman"/>
          <w:color w:val="000000"/>
          <w:sz w:val="21"/>
          <w:szCs w:val="21"/>
        </w:rPr>
        <w:t>日届满。</w:t>
      </w:r>
      <w:r>
        <w:rPr>
          <w:rFonts w:ascii="Times New Roman" w:hAnsi="Times New Roman" w:cs="Times New Roman"/>
          <w:color w:val="000000"/>
          <w:sz w:val="21"/>
          <w:szCs w:val="21"/>
        </w:rPr>
        <w:t>2023</w:t>
      </w:r>
      <w:r>
        <w:rPr>
          <w:rFonts w:ascii="Times New Roman" w:hAnsi="Times New Roman" w:cs="Times New Roman"/>
          <w:color w:val="000000"/>
          <w:sz w:val="21"/>
          <w:szCs w:val="21"/>
        </w:rPr>
        <w:t>年度公司层面业绩考核未达标，根据《管理办法》，第一个锁定期对应的标的股票权益不得解锁，由管理委员会收回，择机出售后以出资金额与售出收益孰低值返还持有人，剩余资金（如有）归属于公司。截至报告期末，该部分股份未售出。</w:t>
      </w:r>
    </w:p>
    <w:p w:rsidR="00CE3C32" w:rsidRDefault="006413B8">
      <w:pPr>
        <w:pStyle w:val="3"/>
        <w:spacing w:line="280" w:lineRule="exact"/>
        <w:jc w:val="left"/>
        <w:rPr>
          <w:rFonts w:ascii="Times New Roman" w:hAnsi="Times New Roman" w:cs="Times New Roman"/>
          <w:b/>
          <w:bCs/>
        </w:rPr>
      </w:pPr>
      <w:bookmarkStart w:id="52" w:name="_Toc988940"/>
      <w:r>
        <w:rPr>
          <w:rFonts w:ascii="Times New Roman" w:hAnsi="Times New Roman" w:cs="Times New Roman"/>
          <w:b/>
          <w:bCs/>
        </w:rPr>
        <w:t>3</w:t>
      </w:r>
      <w:r>
        <w:rPr>
          <w:rFonts w:ascii="Times New Roman" w:hAnsi="Times New Roman" w:cs="Times New Roman"/>
          <w:b/>
          <w:bCs/>
        </w:rPr>
        <w:t>、其他员工激励措施</w:t>
      </w:r>
      <w:bookmarkEnd w:id="52"/>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rPr>
          <w:rFonts w:ascii="Times New Roman" w:hAnsi="Times New Roman" w:cs="Times New Roman"/>
        </w:rPr>
      </w:pPr>
      <w:r>
        <w:rPr>
          <w:rFonts w:ascii="Times New Roman" w:hAnsi="Times New Roman" w:cs="Times New Roman"/>
        </w:rPr>
        <w:br w:type="page"/>
      </w:r>
    </w:p>
    <w:p w:rsidR="00CE3C32" w:rsidRDefault="006413B8">
      <w:pPr>
        <w:pStyle w:val="2"/>
        <w:spacing w:before="300" w:after="300" w:line="320" w:lineRule="exact"/>
        <w:rPr>
          <w:rFonts w:ascii="Times New Roman" w:eastAsia="宋体" w:hAnsi="Times New Roman" w:cs="Times New Roman"/>
          <w:b/>
          <w:bCs/>
          <w:sz w:val="24"/>
          <w:szCs w:val="24"/>
        </w:rPr>
      </w:pPr>
      <w:bookmarkStart w:id="53" w:name="_Toc988941"/>
      <w:r>
        <w:rPr>
          <w:rFonts w:ascii="Times New Roman" w:eastAsia="宋体" w:hAnsi="Times New Roman" w:cs="Times New Roman"/>
          <w:b/>
          <w:bCs/>
          <w:sz w:val="24"/>
          <w:szCs w:val="24"/>
        </w:rPr>
        <w:lastRenderedPageBreak/>
        <w:t>四、环境信息披露情况</w:t>
      </w:r>
      <w:bookmarkEnd w:id="53"/>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上市公司及其主要子公司是否纳入环境信息依法披露企业名单</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是</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否</w:t>
      </w:r>
    </w:p>
    <w:p w:rsidR="00CE3C32" w:rsidRDefault="006413B8">
      <w:pPr>
        <w:pStyle w:val="2"/>
        <w:spacing w:before="300" w:after="300" w:line="320" w:lineRule="exact"/>
        <w:rPr>
          <w:rFonts w:ascii="Times New Roman" w:eastAsia="宋体" w:hAnsi="Times New Roman" w:cs="Times New Roman"/>
          <w:b/>
          <w:bCs/>
          <w:sz w:val="24"/>
          <w:szCs w:val="24"/>
        </w:rPr>
      </w:pPr>
      <w:bookmarkStart w:id="54" w:name="_Toc988942"/>
      <w:r>
        <w:rPr>
          <w:rFonts w:ascii="Times New Roman" w:eastAsia="宋体" w:hAnsi="Times New Roman" w:cs="Times New Roman"/>
          <w:b/>
          <w:bCs/>
          <w:sz w:val="24"/>
          <w:szCs w:val="24"/>
        </w:rPr>
        <w:t>五、社会责任情况</w:t>
      </w:r>
      <w:bookmarkEnd w:id="54"/>
    </w:p>
    <w:p w:rsidR="00CE3C32" w:rsidRDefault="006413B8">
      <w:pPr>
        <w:pStyle w:val="a6"/>
        <w:spacing w:beforeLines="50" w:before="156" w:beforeAutospacing="0" w:afterLines="50" w:after="156" w:afterAutospacing="0"/>
        <w:ind w:firstLine="420"/>
        <w:jc w:val="both"/>
        <w:rPr>
          <w:rFonts w:asciiTheme="minorEastAsia" w:eastAsiaTheme="minorEastAsia" w:hAnsiTheme="minorEastAsia" w:cs="Times New Roman"/>
        </w:rPr>
      </w:pPr>
      <w:r>
        <w:rPr>
          <w:rFonts w:asciiTheme="minorEastAsia" w:eastAsiaTheme="minorEastAsia" w:hAnsiTheme="minorEastAsia" w:cs="Times New Roman"/>
          <w:color w:val="000000"/>
          <w:sz w:val="21"/>
          <w:szCs w:val="21"/>
        </w:rPr>
        <w:t>报告期内，公司认真遵守国家有关法律、法规及相关政策的要求，秉承“技术缔造价值，服务成就未来”的经营理念，专注智慧城市领域的业务发展，诚信经营，依法纳税，为股东创造价值，对员工、客户与供应商、社会等利益相关者承担责任。</w:t>
      </w:r>
    </w:p>
    <w:p w:rsidR="00CE3C32" w:rsidRDefault="006413B8">
      <w:pPr>
        <w:pStyle w:val="a6"/>
        <w:spacing w:beforeLines="50" w:before="156" w:beforeAutospacing="0" w:afterLines="50" w:after="156" w:afterAutospacing="0"/>
        <w:ind w:firstLine="420"/>
        <w:jc w:val="both"/>
        <w:rPr>
          <w:rFonts w:asciiTheme="minorEastAsia" w:eastAsiaTheme="minorEastAsia" w:hAnsiTheme="minorEastAsia" w:cs="Times New Roman"/>
        </w:rPr>
      </w:pPr>
      <w:r>
        <w:rPr>
          <w:rFonts w:asciiTheme="minorEastAsia" w:eastAsiaTheme="minorEastAsia" w:hAnsiTheme="minorEastAsia" w:cs="Times New Roman"/>
          <w:color w:val="000000"/>
          <w:sz w:val="21"/>
          <w:szCs w:val="21"/>
        </w:rPr>
        <w:t>（一）股东权益保护</w:t>
      </w:r>
    </w:p>
    <w:p w:rsidR="00CE3C32" w:rsidRDefault="006413B8">
      <w:pPr>
        <w:pStyle w:val="a6"/>
        <w:spacing w:beforeLines="50" w:before="156" w:beforeAutospacing="0" w:afterLines="50" w:after="156" w:afterAutospacing="0"/>
        <w:ind w:firstLine="420"/>
        <w:jc w:val="both"/>
        <w:rPr>
          <w:rFonts w:asciiTheme="minorEastAsia" w:eastAsiaTheme="minorEastAsia" w:hAnsiTheme="minorEastAsia" w:cs="Times New Roman"/>
        </w:rPr>
      </w:pPr>
      <w:r>
        <w:rPr>
          <w:rFonts w:asciiTheme="minorEastAsia" w:eastAsiaTheme="minorEastAsia" w:hAnsiTheme="minorEastAsia" w:cs="Times New Roman"/>
          <w:color w:val="000000"/>
          <w:sz w:val="21"/>
          <w:szCs w:val="21"/>
        </w:rPr>
        <w:t>公司遵照《公司法》《证券法》等法律法规、部门规章、规范性文件和《公司章程》的规定，依法召开股东大会，确保股东对公司重大事项的知情权、参与权和表决权，真实、准确、完整、及时、公平地向所有 股东披露信息，在经营决策中积极构建与股东的良好关系。</w:t>
      </w:r>
    </w:p>
    <w:p w:rsidR="00CE3C32" w:rsidRDefault="006413B8">
      <w:pPr>
        <w:pStyle w:val="a6"/>
        <w:spacing w:beforeLines="50" w:before="156" w:beforeAutospacing="0" w:afterLines="50" w:after="156" w:afterAutospacing="0"/>
        <w:ind w:firstLine="420"/>
        <w:jc w:val="both"/>
        <w:rPr>
          <w:rFonts w:asciiTheme="minorEastAsia" w:eastAsiaTheme="minorEastAsia" w:hAnsiTheme="minorEastAsia" w:cs="Times New Roman"/>
        </w:rPr>
      </w:pPr>
      <w:r>
        <w:rPr>
          <w:rFonts w:asciiTheme="minorEastAsia" w:eastAsiaTheme="minorEastAsia" w:hAnsiTheme="minorEastAsia" w:cs="Times New Roman"/>
          <w:color w:val="000000"/>
          <w:sz w:val="21"/>
          <w:szCs w:val="21"/>
        </w:rPr>
        <w:t>（二）职工权益保护</w:t>
      </w:r>
    </w:p>
    <w:p w:rsidR="00CE3C32" w:rsidRDefault="006413B8">
      <w:pPr>
        <w:pStyle w:val="a6"/>
        <w:spacing w:beforeLines="50" w:before="156" w:beforeAutospacing="0" w:afterLines="50" w:after="156" w:afterAutospacing="0"/>
        <w:ind w:firstLine="420"/>
        <w:jc w:val="both"/>
        <w:rPr>
          <w:rFonts w:asciiTheme="minorEastAsia" w:eastAsiaTheme="minorEastAsia" w:hAnsiTheme="minorEastAsia" w:cs="Times New Roman"/>
        </w:rPr>
      </w:pPr>
      <w:r>
        <w:rPr>
          <w:rFonts w:asciiTheme="minorEastAsia" w:eastAsiaTheme="minorEastAsia" w:hAnsiTheme="minorEastAsia" w:cs="Times New Roman"/>
          <w:color w:val="000000"/>
          <w:sz w:val="21"/>
          <w:szCs w:val="21"/>
        </w:rPr>
        <w:t>公司遵照《劳动法》《劳动合同法》等法律法规的要求，建立了完善的人力资源管理制度。在劳动安全、卫生制度、社会保障等方面严格执行国家规定和标准，保障职工合法权益，为职工提供健康、安全的工作环境和全面的福利待遇，包括不限于基本养老保险、基本医疗保险、工伤保险、生育保险、失业保险和住房公积金，法定公休假、婚假、产假、丧假等带薪假期。公司按照有关规定建立工会组织，支持工会依法开展工作，保障员工依法行使民主管理的权利。 公司重视人才培养，为员工提供行业知识、岗位能力、办公技能等丰富的课程和培训计划，为员工发展才能、提升自我提供条件，实现与公司共同成长。</w:t>
      </w:r>
    </w:p>
    <w:p w:rsidR="00CE3C32" w:rsidRDefault="006413B8">
      <w:pPr>
        <w:pStyle w:val="a6"/>
        <w:spacing w:beforeLines="50" w:before="156" w:beforeAutospacing="0" w:afterLines="50" w:after="156" w:afterAutospacing="0"/>
        <w:ind w:firstLine="420"/>
        <w:jc w:val="both"/>
        <w:rPr>
          <w:rFonts w:asciiTheme="minorEastAsia" w:eastAsiaTheme="minorEastAsia" w:hAnsiTheme="minorEastAsia" w:cs="Times New Roman"/>
        </w:rPr>
      </w:pPr>
      <w:r>
        <w:rPr>
          <w:rFonts w:asciiTheme="minorEastAsia" w:eastAsiaTheme="minorEastAsia" w:hAnsiTheme="minorEastAsia" w:cs="Times New Roman"/>
          <w:color w:val="000000"/>
          <w:sz w:val="21"/>
          <w:szCs w:val="21"/>
        </w:rPr>
        <w:t>（三）客户权益保护</w:t>
      </w:r>
    </w:p>
    <w:p w:rsidR="00CE3C32" w:rsidRDefault="006413B8">
      <w:pPr>
        <w:pStyle w:val="a6"/>
        <w:spacing w:beforeLines="50" w:before="156" w:beforeAutospacing="0" w:afterLines="50" w:after="156" w:afterAutospacing="0"/>
        <w:ind w:firstLine="420"/>
        <w:jc w:val="both"/>
        <w:rPr>
          <w:rFonts w:asciiTheme="minorEastAsia" w:eastAsiaTheme="minorEastAsia" w:hAnsiTheme="minorEastAsia" w:cs="Times New Roman"/>
        </w:rPr>
      </w:pPr>
      <w:r>
        <w:rPr>
          <w:rFonts w:asciiTheme="minorEastAsia" w:eastAsiaTheme="minorEastAsia" w:hAnsiTheme="minorEastAsia" w:cs="Times New Roman"/>
          <w:color w:val="000000"/>
          <w:sz w:val="21"/>
          <w:szCs w:val="21"/>
        </w:rPr>
        <w:t>公司坚持“技术+服务”的经营理念，致力于为客户提供专业、全面、高效的服务。通过建立专业化的 项目实施和技术服务团队，打造全面的服务能力，建立标准化的服务体系，实现持续完善服务质量，提升客 户满意度，从而与客户建立长期、稳定的合作关系。</w:t>
      </w:r>
    </w:p>
    <w:p w:rsidR="00CE3C32" w:rsidRDefault="006413B8">
      <w:pPr>
        <w:pStyle w:val="a6"/>
        <w:spacing w:beforeLines="50" w:before="156" w:beforeAutospacing="0" w:afterLines="50" w:after="156" w:afterAutospacing="0"/>
        <w:ind w:firstLine="420"/>
        <w:jc w:val="both"/>
        <w:rPr>
          <w:rFonts w:asciiTheme="minorEastAsia" w:eastAsiaTheme="minorEastAsia" w:hAnsiTheme="minorEastAsia" w:cs="Times New Roman"/>
        </w:rPr>
      </w:pPr>
      <w:r>
        <w:rPr>
          <w:rFonts w:asciiTheme="minorEastAsia" w:eastAsiaTheme="minorEastAsia" w:hAnsiTheme="minorEastAsia" w:cs="Times New Roman"/>
          <w:color w:val="000000"/>
          <w:sz w:val="21"/>
          <w:szCs w:val="21"/>
        </w:rPr>
        <w:t>（四）供应商权益保护</w:t>
      </w:r>
    </w:p>
    <w:p w:rsidR="00CE3C32" w:rsidRDefault="006413B8">
      <w:pPr>
        <w:pStyle w:val="a6"/>
        <w:spacing w:beforeLines="50" w:before="156" w:beforeAutospacing="0" w:afterLines="50" w:after="156" w:afterAutospacing="0"/>
        <w:ind w:firstLine="420"/>
        <w:jc w:val="both"/>
        <w:rPr>
          <w:rFonts w:asciiTheme="minorEastAsia" w:eastAsiaTheme="minorEastAsia" w:hAnsiTheme="minorEastAsia" w:cs="Times New Roman"/>
        </w:rPr>
      </w:pPr>
      <w:r>
        <w:rPr>
          <w:rFonts w:asciiTheme="minorEastAsia" w:eastAsiaTheme="minorEastAsia" w:hAnsiTheme="minorEastAsia" w:cs="Times New Roman"/>
          <w:color w:val="000000"/>
          <w:sz w:val="21"/>
          <w:szCs w:val="21"/>
        </w:rPr>
        <w:t>公司先后制定了《采购管理制度》《供应商管理流程》《合同管理制度》《项目采购管理办法》 等若干制度文件，依据市场化的定价原则和询价程序，采购相关劳务、服务的同时保证采购的公平性、公允性。</w:t>
      </w:r>
    </w:p>
    <w:p w:rsidR="00CE3C32" w:rsidRDefault="006413B8">
      <w:pPr>
        <w:rPr>
          <w:rFonts w:ascii="Times New Roman" w:hAnsi="Times New Roman" w:cs="Times New Roman"/>
        </w:rPr>
      </w:pPr>
      <w:r>
        <w:rPr>
          <w:rFonts w:ascii="Times New Roman" w:hAnsi="Times New Roman" w:cs="Times New Roman"/>
        </w:rPr>
        <w:br w:type="page"/>
      </w:r>
    </w:p>
    <w:p w:rsidR="00CE3C32" w:rsidRDefault="006413B8">
      <w:pPr>
        <w:pStyle w:val="headingh1"/>
        <w:spacing w:before="340" w:after="330" w:line="773" w:lineRule="exact"/>
        <w:jc w:val="center"/>
        <w:rPr>
          <w:rFonts w:ascii="Times New Roman" w:eastAsia="宋体" w:hAnsi="Times New Roman" w:cs="Times New Roman"/>
          <w:b/>
          <w:bCs/>
          <w:sz w:val="32"/>
          <w:szCs w:val="32"/>
        </w:rPr>
      </w:pPr>
      <w:bookmarkStart w:id="55" w:name="_Toc988943"/>
      <w:r>
        <w:rPr>
          <w:rFonts w:ascii="Times New Roman" w:eastAsia="宋体" w:hAnsi="Times New Roman" w:cs="Times New Roman"/>
          <w:b/>
          <w:bCs/>
          <w:sz w:val="32"/>
          <w:szCs w:val="32"/>
        </w:rPr>
        <w:lastRenderedPageBreak/>
        <w:t>第五节</w:t>
      </w:r>
      <w:r>
        <w:rPr>
          <w:rFonts w:ascii="Times New Roman" w:eastAsia="宋体" w:hAnsi="Times New Roman" w:cs="Times New Roman"/>
          <w:b/>
          <w:bCs/>
          <w:sz w:val="32"/>
          <w:szCs w:val="32"/>
        </w:rPr>
        <w:t xml:space="preserve"> </w:t>
      </w:r>
      <w:r>
        <w:rPr>
          <w:rFonts w:ascii="Times New Roman" w:eastAsia="宋体" w:hAnsi="Times New Roman" w:cs="Times New Roman"/>
          <w:b/>
          <w:bCs/>
          <w:sz w:val="32"/>
          <w:szCs w:val="32"/>
        </w:rPr>
        <w:t>重要事项</w:t>
      </w:r>
      <w:bookmarkEnd w:id="55"/>
    </w:p>
    <w:p w:rsidR="00CE3C32" w:rsidRDefault="006413B8">
      <w:pPr>
        <w:pStyle w:val="2"/>
        <w:spacing w:before="300" w:after="300" w:line="320" w:lineRule="exact"/>
        <w:rPr>
          <w:rFonts w:ascii="Times New Roman" w:eastAsia="宋体" w:hAnsi="Times New Roman" w:cs="Times New Roman"/>
          <w:b/>
          <w:bCs/>
          <w:sz w:val="24"/>
          <w:szCs w:val="24"/>
        </w:rPr>
      </w:pPr>
      <w:bookmarkStart w:id="56" w:name="_Toc988944"/>
      <w:r>
        <w:rPr>
          <w:rFonts w:ascii="Times New Roman" w:eastAsia="宋体" w:hAnsi="Times New Roman" w:cs="Times New Roman"/>
          <w:b/>
          <w:bCs/>
          <w:sz w:val="24"/>
          <w:szCs w:val="24"/>
        </w:rPr>
        <w:t>一、公司实际控制人、股东、关联方、收购人以及公司等承诺相关方在报告期内履行完毕及截至报告期末超期未履行完毕的承诺事项</w:t>
      </w:r>
      <w:bookmarkEnd w:id="56"/>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702"/>
        <w:gridCol w:w="737"/>
        <w:gridCol w:w="557"/>
        <w:gridCol w:w="4756"/>
        <w:gridCol w:w="770"/>
        <w:gridCol w:w="710"/>
        <w:gridCol w:w="621"/>
      </w:tblGrid>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承诺事由</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承诺方</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承诺类型</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承诺内容</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承诺时间</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承诺期限</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履行情况</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首次公开发行或再融资时所作承诺</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林明玲</w:t>
            </w:r>
            <w:r>
              <w:rPr>
                <w:rFonts w:ascii="Times New Roman" w:eastAsia="宋体" w:hAnsi="Times New Roman" w:cs="Times New Roman" w:hint="eastAsia"/>
                <w:sz w:val="18"/>
                <w:szCs w:val="18"/>
              </w:rPr>
              <w:t>；</w:t>
            </w:r>
            <w:r>
              <w:rPr>
                <w:rFonts w:ascii="Times New Roman" w:eastAsia="宋体" w:hAnsi="Times New Roman" w:cs="Times New Roman"/>
                <w:sz w:val="18"/>
                <w:szCs w:val="18"/>
              </w:rPr>
              <w:t>马学沛</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股份限售承诺</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、自发行人的股票在证券交易所上市之日起</w:t>
            </w:r>
            <w:r>
              <w:rPr>
                <w:rFonts w:ascii="Times New Roman" w:eastAsia="宋体" w:hAnsi="Times New Roman" w:cs="Times New Roman"/>
                <w:sz w:val="18"/>
                <w:szCs w:val="18"/>
              </w:rPr>
              <w:t>36</w:t>
            </w:r>
            <w:r>
              <w:rPr>
                <w:rFonts w:ascii="Times New Roman" w:eastAsia="宋体" w:hAnsi="Times New Roman" w:cs="Times New Roman"/>
                <w:sz w:val="18"/>
                <w:szCs w:val="18"/>
              </w:rPr>
              <w:t>个月内（</w:t>
            </w:r>
            <w:r>
              <w:rPr>
                <w:rFonts w:ascii="Times New Roman" w:eastAsia="宋体" w:hAnsi="Times New Roman" w:cs="Times New Roman"/>
                <w:sz w:val="18"/>
                <w:szCs w:val="18"/>
              </w:rPr>
              <w:t>“</w:t>
            </w:r>
            <w:r>
              <w:rPr>
                <w:rFonts w:ascii="Times New Roman" w:eastAsia="宋体" w:hAnsi="Times New Roman" w:cs="Times New Roman"/>
                <w:sz w:val="18"/>
                <w:szCs w:val="18"/>
              </w:rPr>
              <w:t>锁定期</w:t>
            </w:r>
            <w:r>
              <w:rPr>
                <w:rFonts w:ascii="Times New Roman" w:eastAsia="宋体" w:hAnsi="Times New Roman" w:cs="Times New Roman"/>
                <w:sz w:val="18"/>
                <w:szCs w:val="18"/>
              </w:rPr>
              <w:t>”</w:t>
            </w:r>
            <w:r>
              <w:rPr>
                <w:rFonts w:ascii="Times New Roman" w:eastAsia="宋体" w:hAnsi="Times New Roman" w:cs="Times New Roman"/>
                <w:sz w:val="18"/>
                <w:szCs w:val="18"/>
              </w:rPr>
              <w:t>），不转让或者委托他人管理本人直接或间接持有的发行人公开发行股票前已发行的股份，也不由发行人回购本人直接或间接持有的发行人公开发行股票前已发行的股份。</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、上述锁定期满后，本人在担任发行人董事、监事或者高级管理人员期间每年转让的发行人股份不超过本人所持有发行人股份总数的</w:t>
            </w:r>
            <w:r>
              <w:rPr>
                <w:rFonts w:ascii="Times New Roman" w:eastAsia="宋体" w:hAnsi="Times New Roman" w:cs="Times New Roman"/>
                <w:sz w:val="18"/>
                <w:szCs w:val="18"/>
              </w:rPr>
              <w:t>25%</w:t>
            </w:r>
            <w:r>
              <w:rPr>
                <w:rFonts w:ascii="Times New Roman" w:eastAsia="宋体" w:hAnsi="Times New Roman" w:cs="Times New Roman"/>
                <w:sz w:val="18"/>
                <w:szCs w:val="18"/>
              </w:rPr>
              <w:t>，且在本人离职后半年内不转让持有的发行人股份。本人在任期届满前离职的，在本人就任时确定的任期内和任期届满后</w:t>
            </w:r>
            <w:r>
              <w:rPr>
                <w:rFonts w:ascii="Times New Roman" w:eastAsia="宋体" w:hAnsi="Times New Roman" w:cs="Times New Roman"/>
                <w:sz w:val="18"/>
                <w:szCs w:val="18"/>
              </w:rPr>
              <w:t>6</w:t>
            </w:r>
            <w:r>
              <w:rPr>
                <w:rFonts w:ascii="Times New Roman" w:eastAsia="宋体" w:hAnsi="Times New Roman" w:cs="Times New Roman"/>
                <w:sz w:val="18"/>
                <w:szCs w:val="18"/>
              </w:rPr>
              <w:t>个月内，仍应遵守前述规定。</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、公司上市后</w:t>
            </w:r>
            <w:r>
              <w:rPr>
                <w:rFonts w:ascii="Times New Roman" w:eastAsia="宋体" w:hAnsi="Times New Roman" w:cs="Times New Roman"/>
                <w:sz w:val="18"/>
                <w:szCs w:val="18"/>
              </w:rPr>
              <w:t>6</w:t>
            </w:r>
            <w:r>
              <w:rPr>
                <w:rFonts w:ascii="Times New Roman" w:eastAsia="宋体" w:hAnsi="Times New Roman" w:cs="Times New Roman"/>
                <w:sz w:val="18"/>
                <w:szCs w:val="18"/>
              </w:rPr>
              <w:t>个月内如公司股票连续</w:t>
            </w:r>
            <w:r>
              <w:rPr>
                <w:rFonts w:ascii="Times New Roman" w:eastAsia="宋体" w:hAnsi="Times New Roman" w:cs="Times New Roman"/>
                <w:sz w:val="18"/>
                <w:szCs w:val="18"/>
              </w:rPr>
              <w:t>20</w:t>
            </w:r>
            <w:r>
              <w:rPr>
                <w:rFonts w:ascii="Times New Roman" w:eastAsia="宋体" w:hAnsi="Times New Roman" w:cs="Times New Roman"/>
                <w:sz w:val="18"/>
                <w:szCs w:val="18"/>
              </w:rPr>
              <w:t>个交易日的收盘价均低于发行价，或者上市后</w:t>
            </w:r>
            <w:r>
              <w:rPr>
                <w:rFonts w:ascii="Times New Roman" w:eastAsia="宋体" w:hAnsi="Times New Roman" w:cs="Times New Roman"/>
                <w:sz w:val="18"/>
                <w:szCs w:val="18"/>
              </w:rPr>
              <w:t>6</w:t>
            </w:r>
            <w:r>
              <w:rPr>
                <w:rFonts w:ascii="Times New Roman" w:eastAsia="宋体" w:hAnsi="Times New Roman" w:cs="Times New Roman"/>
                <w:sz w:val="18"/>
                <w:szCs w:val="18"/>
              </w:rPr>
              <w:t>个月期末收盘价低于发行价，本人持有公司股票的锁定期限自动延长</w:t>
            </w:r>
            <w:r>
              <w:rPr>
                <w:rFonts w:ascii="Times New Roman" w:eastAsia="宋体" w:hAnsi="Times New Roman" w:cs="Times New Roman"/>
                <w:sz w:val="18"/>
                <w:szCs w:val="18"/>
              </w:rPr>
              <w:t>6</w:t>
            </w:r>
            <w:r>
              <w:rPr>
                <w:rFonts w:ascii="Times New Roman" w:eastAsia="宋体" w:hAnsi="Times New Roman" w:cs="Times New Roman"/>
                <w:sz w:val="18"/>
                <w:szCs w:val="18"/>
              </w:rPr>
              <w:t>个月。若公司股票在期间发生派息、送股、资本公积金转增股本等除权除息事项的，发行价将进行相应除权除息调整。</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若本人违反股份锁定承诺而获得股份转让收益的，转让收益无偿划归发行人所有；在转让收益全部缴付发行人前，如发行人进行现金分红的，可直接从本人应得现金分红中扣除尚未缴付的收益金额；转让收益全部缴付发行人前，不得转让直接或间接持有的发行人股份。</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上述承诺一经作出即对本人具有法律拘束力；本人不因在公司职务变更、离职等原因，而放弃履行承诺。</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2021</w:t>
            </w:r>
            <w:r>
              <w:rPr>
                <w:rFonts w:ascii="Times New Roman" w:eastAsia="宋体" w:hAnsi="Times New Roman" w:cs="Times New Roman"/>
                <w:sz w:val="18"/>
                <w:szCs w:val="18"/>
              </w:rPr>
              <w:t>年</w:t>
            </w:r>
            <w:r>
              <w:rPr>
                <w:rFonts w:ascii="Times New Roman" w:eastAsia="宋体" w:hAnsi="Times New Roman" w:cs="Times New Roman"/>
                <w:sz w:val="18"/>
                <w:szCs w:val="18"/>
              </w:rPr>
              <w:t>11</w:t>
            </w:r>
            <w:r>
              <w:rPr>
                <w:rFonts w:ascii="Times New Roman" w:eastAsia="宋体" w:hAnsi="Times New Roman" w:cs="Times New Roman"/>
                <w:sz w:val="18"/>
                <w:szCs w:val="18"/>
              </w:rPr>
              <w:t>月</w:t>
            </w:r>
            <w:r>
              <w:rPr>
                <w:rFonts w:ascii="Times New Roman" w:eastAsia="宋体" w:hAnsi="Times New Roman" w:cs="Times New Roman"/>
                <w:sz w:val="18"/>
                <w:szCs w:val="18"/>
              </w:rPr>
              <w:t>11</w:t>
            </w:r>
            <w:r>
              <w:rPr>
                <w:rFonts w:ascii="Times New Roman" w:eastAsia="宋体" w:hAnsi="Times New Roman" w:cs="Times New Roman"/>
                <w:sz w:val="18"/>
                <w:szCs w:val="18"/>
              </w:rPr>
              <w:t>日</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2025-05-11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报告期内履行完毕</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承诺是否按时履行</w:t>
            </w:r>
          </w:p>
        </w:tc>
        <w:tc>
          <w:tcPr>
            <w:tcW w:w="0" w:type="auto"/>
            <w:gridSpan w:val="6"/>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是</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如承诺超期未履行完毕的，应当详细说明未完成履行的具体原因及下一步的工作计划</w:t>
            </w:r>
          </w:p>
        </w:tc>
        <w:tc>
          <w:tcPr>
            <w:tcW w:w="0" w:type="auto"/>
            <w:gridSpan w:val="6"/>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r>
    </w:tbl>
    <w:p w:rsidR="00CE3C32" w:rsidRDefault="006413B8">
      <w:pPr>
        <w:pStyle w:val="2"/>
        <w:spacing w:before="300" w:after="300" w:line="320" w:lineRule="exact"/>
        <w:rPr>
          <w:rFonts w:ascii="Times New Roman" w:eastAsia="宋体" w:hAnsi="Times New Roman" w:cs="Times New Roman"/>
          <w:b/>
          <w:bCs/>
          <w:sz w:val="24"/>
          <w:szCs w:val="24"/>
        </w:rPr>
      </w:pPr>
      <w:bookmarkStart w:id="57" w:name="_Toc988945"/>
      <w:r>
        <w:rPr>
          <w:rFonts w:ascii="Times New Roman" w:eastAsia="宋体" w:hAnsi="Times New Roman" w:cs="Times New Roman"/>
          <w:b/>
          <w:bCs/>
          <w:sz w:val="24"/>
          <w:szCs w:val="24"/>
        </w:rPr>
        <w:t>二、控股股东及其他关联方对上市公司的非经营性占用资金情况</w:t>
      </w:r>
      <w:bookmarkEnd w:id="57"/>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公司报告期不存在上市公司发生控股股东及其他关联方非经营性占用资金情况。</w:t>
      </w:r>
    </w:p>
    <w:p w:rsidR="00CE3C32" w:rsidRDefault="006413B8">
      <w:pPr>
        <w:pStyle w:val="2"/>
        <w:spacing w:before="300" w:after="300" w:line="320" w:lineRule="exact"/>
        <w:rPr>
          <w:rFonts w:ascii="Times New Roman" w:eastAsia="宋体" w:hAnsi="Times New Roman" w:cs="Times New Roman"/>
          <w:b/>
          <w:bCs/>
          <w:sz w:val="24"/>
          <w:szCs w:val="24"/>
        </w:rPr>
      </w:pPr>
      <w:bookmarkStart w:id="58" w:name="_Toc988946"/>
      <w:r>
        <w:rPr>
          <w:rFonts w:ascii="Times New Roman" w:eastAsia="宋体" w:hAnsi="Times New Roman" w:cs="Times New Roman"/>
          <w:b/>
          <w:bCs/>
          <w:sz w:val="24"/>
          <w:szCs w:val="24"/>
        </w:rPr>
        <w:t>三、违规对外担保情况</w:t>
      </w:r>
      <w:bookmarkEnd w:id="58"/>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公司报告期无违规对外担保情况。</w:t>
      </w:r>
    </w:p>
    <w:p w:rsidR="00CE3C32" w:rsidRDefault="006413B8">
      <w:pPr>
        <w:pStyle w:val="2"/>
        <w:spacing w:before="300" w:after="300" w:line="320" w:lineRule="exact"/>
        <w:rPr>
          <w:rFonts w:ascii="Times New Roman" w:eastAsia="宋体" w:hAnsi="Times New Roman" w:cs="Times New Roman"/>
          <w:b/>
          <w:bCs/>
          <w:sz w:val="24"/>
          <w:szCs w:val="24"/>
        </w:rPr>
      </w:pPr>
      <w:bookmarkStart w:id="59" w:name="_Toc988947"/>
      <w:r>
        <w:rPr>
          <w:rFonts w:ascii="Times New Roman" w:eastAsia="宋体" w:hAnsi="Times New Roman" w:cs="Times New Roman"/>
          <w:b/>
          <w:bCs/>
          <w:sz w:val="24"/>
          <w:szCs w:val="24"/>
        </w:rPr>
        <w:lastRenderedPageBreak/>
        <w:t>四、聘任、解聘会计师事务所情况</w:t>
      </w:r>
      <w:bookmarkEnd w:id="59"/>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半年度财务报告是否已经审计</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是</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否</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公司半年度报告未经审计。</w:t>
      </w:r>
    </w:p>
    <w:p w:rsidR="00CE3C32" w:rsidRDefault="006413B8">
      <w:pPr>
        <w:pStyle w:val="2"/>
        <w:spacing w:before="300" w:after="300" w:line="320" w:lineRule="exact"/>
        <w:rPr>
          <w:rFonts w:ascii="Times New Roman" w:eastAsia="宋体" w:hAnsi="Times New Roman" w:cs="Times New Roman"/>
          <w:b/>
          <w:bCs/>
          <w:sz w:val="24"/>
          <w:szCs w:val="24"/>
        </w:rPr>
      </w:pPr>
      <w:bookmarkStart w:id="60" w:name="_Toc988948"/>
      <w:r>
        <w:rPr>
          <w:rFonts w:ascii="Times New Roman" w:eastAsia="宋体" w:hAnsi="Times New Roman" w:cs="Times New Roman"/>
          <w:b/>
          <w:bCs/>
          <w:sz w:val="24"/>
          <w:szCs w:val="24"/>
        </w:rPr>
        <w:t>五、董事会、监事会、审计委员会对会计师事务所本报告期</w:t>
      </w:r>
      <w:r>
        <w:rPr>
          <w:rFonts w:ascii="Times New Roman" w:eastAsia="宋体" w:hAnsi="Times New Roman" w:cs="Times New Roman"/>
          <w:b/>
          <w:bCs/>
          <w:sz w:val="24"/>
          <w:szCs w:val="24"/>
        </w:rPr>
        <w:t>“</w:t>
      </w:r>
      <w:r>
        <w:rPr>
          <w:rFonts w:ascii="Times New Roman" w:eastAsia="宋体" w:hAnsi="Times New Roman" w:cs="Times New Roman"/>
          <w:b/>
          <w:bCs/>
          <w:sz w:val="24"/>
          <w:szCs w:val="24"/>
        </w:rPr>
        <w:t>非标准审计报告</w:t>
      </w:r>
      <w:r>
        <w:rPr>
          <w:rFonts w:ascii="Times New Roman" w:eastAsia="宋体" w:hAnsi="Times New Roman" w:cs="Times New Roman"/>
          <w:b/>
          <w:bCs/>
          <w:sz w:val="24"/>
          <w:szCs w:val="24"/>
        </w:rPr>
        <w:t>”</w:t>
      </w:r>
      <w:r>
        <w:rPr>
          <w:rFonts w:ascii="Times New Roman" w:eastAsia="宋体" w:hAnsi="Times New Roman" w:cs="Times New Roman"/>
          <w:b/>
          <w:bCs/>
          <w:sz w:val="24"/>
          <w:szCs w:val="24"/>
        </w:rPr>
        <w:t>的说明</w:t>
      </w:r>
      <w:bookmarkEnd w:id="60"/>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pStyle w:val="2"/>
        <w:spacing w:before="300" w:after="300" w:line="320" w:lineRule="exact"/>
        <w:rPr>
          <w:rFonts w:ascii="Times New Roman" w:eastAsia="宋体" w:hAnsi="Times New Roman" w:cs="Times New Roman"/>
          <w:b/>
          <w:bCs/>
          <w:sz w:val="24"/>
          <w:szCs w:val="24"/>
        </w:rPr>
      </w:pPr>
      <w:bookmarkStart w:id="61" w:name="_Toc988949"/>
      <w:r>
        <w:rPr>
          <w:rFonts w:ascii="Times New Roman" w:eastAsia="宋体" w:hAnsi="Times New Roman" w:cs="Times New Roman"/>
          <w:b/>
          <w:bCs/>
          <w:sz w:val="24"/>
          <w:szCs w:val="24"/>
        </w:rPr>
        <w:t>六、董事会对上年度</w:t>
      </w:r>
      <w:r>
        <w:rPr>
          <w:rFonts w:ascii="Times New Roman" w:eastAsia="宋体" w:hAnsi="Times New Roman" w:cs="Times New Roman"/>
          <w:b/>
          <w:bCs/>
          <w:sz w:val="24"/>
          <w:szCs w:val="24"/>
        </w:rPr>
        <w:t>“</w:t>
      </w:r>
      <w:r>
        <w:rPr>
          <w:rFonts w:ascii="Times New Roman" w:eastAsia="宋体" w:hAnsi="Times New Roman" w:cs="Times New Roman"/>
          <w:b/>
          <w:bCs/>
          <w:sz w:val="24"/>
          <w:szCs w:val="24"/>
        </w:rPr>
        <w:t>非标准审计报告</w:t>
      </w:r>
      <w:r>
        <w:rPr>
          <w:rFonts w:ascii="Times New Roman" w:eastAsia="宋体" w:hAnsi="Times New Roman" w:cs="Times New Roman"/>
          <w:b/>
          <w:bCs/>
          <w:sz w:val="24"/>
          <w:szCs w:val="24"/>
        </w:rPr>
        <w:t>”</w:t>
      </w:r>
      <w:r>
        <w:rPr>
          <w:rFonts w:ascii="Times New Roman" w:eastAsia="宋体" w:hAnsi="Times New Roman" w:cs="Times New Roman"/>
          <w:b/>
          <w:bCs/>
          <w:sz w:val="24"/>
          <w:szCs w:val="24"/>
        </w:rPr>
        <w:t>相关情况的说明</w:t>
      </w:r>
      <w:bookmarkEnd w:id="61"/>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pStyle w:val="2"/>
        <w:spacing w:before="300" w:after="300" w:line="320" w:lineRule="exact"/>
        <w:rPr>
          <w:rFonts w:ascii="Times New Roman" w:eastAsia="宋体" w:hAnsi="Times New Roman" w:cs="Times New Roman"/>
          <w:b/>
          <w:bCs/>
          <w:sz w:val="24"/>
          <w:szCs w:val="24"/>
        </w:rPr>
      </w:pPr>
      <w:bookmarkStart w:id="62" w:name="_Toc988950"/>
      <w:r>
        <w:rPr>
          <w:rFonts w:ascii="Times New Roman" w:eastAsia="宋体" w:hAnsi="Times New Roman" w:cs="Times New Roman"/>
          <w:b/>
          <w:bCs/>
          <w:sz w:val="24"/>
          <w:szCs w:val="24"/>
        </w:rPr>
        <w:t>七、破产重整相关事项</w:t>
      </w:r>
      <w:bookmarkEnd w:id="62"/>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公司报告期未发生破产重整相关事项。</w:t>
      </w:r>
    </w:p>
    <w:p w:rsidR="00CE3C32" w:rsidRDefault="006413B8">
      <w:pPr>
        <w:pStyle w:val="2"/>
        <w:spacing w:before="300" w:after="300" w:line="320" w:lineRule="exact"/>
        <w:rPr>
          <w:rFonts w:ascii="Times New Roman" w:eastAsia="宋体" w:hAnsi="Times New Roman" w:cs="Times New Roman"/>
          <w:b/>
          <w:bCs/>
          <w:sz w:val="24"/>
          <w:szCs w:val="24"/>
        </w:rPr>
      </w:pPr>
      <w:bookmarkStart w:id="63" w:name="_Toc988951"/>
      <w:r>
        <w:rPr>
          <w:rFonts w:ascii="Times New Roman" w:eastAsia="宋体" w:hAnsi="Times New Roman" w:cs="Times New Roman"/>
          <w:b/>
          <w:bCs/>
          <w:sz w:val="24"/>
          <w:szCs w:val="24"/>
        </w:rPr>
        <w:t>八、诉讼事项</w:t>
      </w:r>
      <w:bookmarkEnd w:id="63"/>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重大诉讼仲裁事项</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本报告期公司无重大诉讼、仲裁事项。</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其他诉讼事项</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pStyle w:val="2"/>
        <w:spacing w:before="300" w:after="300" w:line="320" w:lineRule="exact"/>
        <w:rPr>
          <w:rFonts w:ascii="Times New Roman" w:eastAsia="宋体" w:hAnsi="Times New Roman" w:cs="Times New Roman"/>
          <w:b/>
          <w:bCs/>
          <w:sz w:val="24"/>
          <w:szCs w:val="24"/>
        </w:rPr>
      </w:pPr>
      <w:bookmarkStart w:id="64" w:name="_Toc988952"/>
      <w:r>
        <w:rPr>
          <w:rFonts w:ascii="Times New Roman" w:eastAsia="宋体" w:hAnsi="Times New Roman" w:cs="Times New Roman"/>
          <w:b/>
          <w:bCs/>
          <w:sz w:val="24"/>
          <w:szCs w:val="24"/>
        </w:rPr>
        <w:t>九、处罚及整改情况</w:t>
      </w:r>
      <w:bookmarkEnd w:id="64"/>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公司报告期不存在处罚及整改情况。</w:t>
      </w:r>
    </w:p>
    <w:p w:rsidR="00CE3C32" w:rsidRDefault="006413B8">
      <w:pPr>
        <w:pStyle w:val="2"/>
        <w:spacing w:before="300" w:after="300" w:line="320" w:lineRule="exact"/>
        <w:rPr>
          <w:rFonts w:ascii="Times New Roman" w:eastAsia="宋体" w:hAnsi="Times New Roman" w:cs="Times New Roman"/>
          <w:b/>
          <w:bCs/>
          <w:sz w:val="24"/>
          <w:szCs w:val="24"/>
        </w:rPr>
      </w:pPr>
      <w:bookmarkStart w:id="65" w:name="_Toc988953"/>
      <w:r>
        <w:rPr>
          <w:rFonts w:ascii="Times New Roman" w:eastAsia="宋体" w:hAnsi="Times New Roman" w:cs="Times New Roman"/>
          <w:b/>
          <w:bCs/>
          <w:sz w:val="24"/>
          <w:szCs w:val="24"/>
        </w:rPr>
        <w:t>十、公司及其控股股东、实际控制人的诚信状况</w:t>
      </w:r>
      <w:bookmarkEnd w:id="65"/>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pStyle w:val="2"/>
        <w:spacing w:before="300" w:after="300" w:line="320" w:lineRule="exact"/>
        <w:rPr>
          <w:rFonts w:ascii="Times New Roman" w:eastAsia="宋体" w:hAnsi="Times New Roman" w:cs="Times New Roman"/>
          <w:b/>
          <w:bCs/>
          <w:sz w:val="24"/>
          <w:szCs w:val="24"/>
        </w:rPr>
      </w:pPr>
      <w:bookmarkStart w:id="66" w:name="_Toc988954"/>
      <w:r>
        <w:rPr>
          <w:rFonts w:ascii="Times New Roman" w:eastAsia="宋体" w:hAnsi="Times New Roman" w:cs="Times New Roman"/>
          <w:b/>
          <w:bCs/>
          <w:sz w:val="24"/>
          <w:szCs w:val="24"/>
        </w:rPr>
        <w:t>十一、重大关联交易</w:t>
      </w:r>
      <w:bookmarkEnd w:id="66"/>
    </w:p>
    <w:p w:rsidR="00CE3C32" w:rsidRDefault="006413B8">
      <w:pPr>
        <w:pStyle w:val="3"/>
        <w:spacing w:line="280" w:lineRule="exact"/>
        <w:jc w:val="left"/>
        <w:rPr>
          <w:rFonts w:ascii="Times New Roman" w:hAnsi="Times New Roman" w:cs="Times New Roman"/>
          <w:b/>
          <w:bCs/>
        </w:rPr>
      </w:pPr>
      <w:bookmarkStart w:id="67" w:name="_Toc988955"/>
      <w:r>
        <w:rPr>
          <w:rFonts w:ascii="Times New Roman" w:hAnsi="Times New Roman" w:cs="Times New Roman"/>
          <w:b/>
          <w:bCs/>
        </w:rPr>
        <w:t>1</w:t>
      </w:r>
      <w:r>
        <w:rPr>
          <w:rFonts w:ascii="Times New Roman" w:hAnsi="Times New Roman" w:cs="Times New Roman"/>
          <w:b/>
          <w:bCs/>
        </w:rPr>
        <w:t>、与日常经营相关的关联交易</w:t>
      </w:r>
      <w:bookmarkEnd w:id="67"/>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公司报告期未发生与日常经营相关的关联交易。</w:t>
      </w:r>
    </w:p>
    <w:p w:rsidR="00CE3C32" w:rsidRDefault="006413B8">
      <w:pPr>
        <w:pStyle w:val="3"/>
        <w:spacing w:line="280" w:lineRule="exact"/>
        <w:jc w:val="left"/>
        <w:rPr>
          <w:rFonts w:ascii="Times New Roman" w:hAnsi="Times New Roman" w:cs="Times New Roman"/>
          <w:b/>
          <w:bCs/>
        </w:rPr>
      </w:pPr>
      <w:bookmarkStart w:id="68" w:name="_Toc988956"/>
      <w:r>
        <w:rPr>
          <w:rFonts w:ascii="Times New Roman" w:hAnsi="Times New Roman" w:cs="Times New Roman"/>
          <w:b/>
          <w:bCs/>
        </w:rPr>
        <w:t>2</w:t>
      </w:r>
      <w:r>
        <w:rPr>
          <w:rFonts w:ascii="Times New Roman" w:hAnsi="Times New Roman" w:cs="Times New Roman"/>
          <w:b/>
          <w:bCs/>
        </w:rPr>
        <w:t>、资产或股权收购、出售发生的关联交易</w:t>
      </w:r>
      <w:bookmarkEnd w:id="68"/>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公司报告期未发生资产或股权收购、出售的关联交易。</w:t>
      </w:r>
    </w:p>
    <w:p w:rsidR="00CE3C32" w:rsidRDefault="006413B8">
      <w:pPr>
        <w:pStyle w:val="3"/>
        <w:spacing w:line="280" w:lineRule="exact"/>
        <w:jc w:val="left"/>
        <w:rPr>
          <w:rFonts w:ascii="Times New Roman" w:hAnsi="Times New Roman" w:cs="Times New Roman"/>
          <w:b/>
          <w:bCs/>
        </w:rPr>
      </w:pPr>
      <w:bookmarkStart w:id="69" w:name="_Toc988957"/>
      <w:r>
        <w:rPr>
          <w:rFonts w:ascii="Times New Roman" w:hAnsi="Times New Roman" w:cs="Times New Roman"/>
          <w:b/>
          <w:bCs/>
        </w:rPr>
        <w:lastRenderedPageBreak/>
        <w:t>3</w:t>
      </w:r>
      <w:r>
        <w:rPr>
          <w:rFonts w:ascii="Times New Roman" w:hAnsi="Times New Roman" w:cs="Times New Roman"/>
          <w:b/>
          <w:bCs/>
        </w:rPr>
        <w:t>、共同对外投资的关联交易</w:t>
      </w:r>
      <w:bookmarkEnd w:id="69"/>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公司报告期未发生共同对外投资的关联交易。</w:t>
      </w:r>
    </w:p>
    <w:p w:rsidR="00CE3C32" w:rsidRDefault="006413B8">
      <w:pPr>
        <w:pStyle w:val="3"/>
        <w:spacing w:line="280" w:lineRule="exact"/>
        <w:jc w:val="left"/>
        <w:rPr>
          <w:rFonts w:ascii="Times New Roman" w:hAnsi="Times New Roman" w:cs="Times New Roman"/>
          <w:b/>
          <w:bCs/>
        </w:rPr>
      </w:pPr>
      <w:bookmarkStart w:id="70" w:name="_Toc988958"/>
      <w:r>
        <w:rPr>
          <w:rFonts w:ascii="Times New Roman" w:hAnsi="Times New Roman" w:cs="Times New Roman"/>
          <w:b/>
          <w:bCs/>
        </w:rPr>
        <w:t>4</w:t>
      </w:r>
      <w:r>
        <w:rPr>
          <w:rFonts w:ascii="Times New Roman" w:hAnsi="Times New Roman" w:cs="Times New Roman"/>
          <w:b/>
          <w:bCs/>
        </w:rPr>
        <w:t>、关联债权债务往来</w:t>
      </w:r>
      <w:bookmarkEnd w:id="70"/>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公司报告期不存在关联债权债务往来。</w:t>
      </w:r>
    </w:p>
    <w:p w:rsidR="00CE3C32" w:rsidRDefault="006413B8">
      <w:pPr>
        <w:pStyle w:val="3"/>
        <w:spacing w:line="280" w:lineRule="exact"/>
        <w:jc w:val="left"/>
        <w:rPr>
          <w:rFonts w:ascii="Times New Roman" w:hAnsi="Times New Roman" w:cs="Times New Roman"/>
          <w:b/>
          <w:bCs/>
        </w:rPr>
      </w:pPr>
      <w:bookmarkStart w:id="71" w:name="_Toc988959"/>
      <w:r>
        <w:rPr>
          <w:rFonts w:ascii="Times New Roman" w:hAnsi="Times New Roman" w:cs="Times New Roman"/>
          <w:b/>
          <w:bCs/>
        </w:rPr>
        <w:t>5</w:t>
      </w:r>
      <w:r>
        <w:rPr>
          <w:rFonts w:ascii="Times New Roman" w:hAnsi="Times New Roman" w:cs="Times New Roman"/>
          <w:b/>
          <w:bCs/>
        </w:rPr>
        <w:t>、与存在关联关系的财务公司的往来情况</w:t>
      </w:r>
      <w:bookmarkEnd w:id="71"/>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公司与存在关联关系的财务公司、公司控股的财务公司与关联方之间不存在存款、贷款、授信或其他金融业务。</w:t>
      </w:r>
    </w:p>
    <w:p w:rsidR="00CE3C32" w:rsidRDefault="006413B8">
      <w:pPr>
        <w:pStyle w:val="3"/>
        <w:spacing w:line="280" w:lineRule="exact"/>
        <w:jc w:val="left"/>
        <w:rPr>
          <w:rFonts w:ascii="Times New Roman" w:hAnsi="Times New Roman" w:cs="Times New Roman"/>
          <w:b/>
          <w:bCs/>
        </w:rPr>
      </w:pPr>
      <w:bookmarkStart w:id="72" w:name="_Toc988960"/>
      <w:r>
        <w:rPr>
          <w:rFonts w:ascii="Times New Roman" w:hAnsi="Times New Roman" w:cs="Times New Roman"/>
          <w:b/>
          <w:bCs/>
        </w:rPr>
        <w:t>6</w:t>
      </w:r>
      <w:r>
        <w:rPr>
          <w:rFonts w:ascii="Times New Roman" w:hAnsi="Times New Roman" w:cs="Times New Roman"/>
          <w:b/>
          <w:bCs/>
        </w:rPr>
        <w:t>、公司控股的财务公司与关联方的往来情况</w:t>
      </w:r>
      <w:bookmarkEnd w:id="72"/>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公司控股的财务公司与关联方之间不存在存款、贷款、授信或其他金融业务。</w:t>
      </w:r>
    </w:p>
    <w:p w:rsidR="00CE3C32" w:rsidRDefault="006413B8">
      <w:pPr>
        <w:pStyle w:val="3"/>
        <w:spacing w:line="280" w:lineRule="exact"/>
        <w:jc w:val="left"/>
        <w:rPr>
          <w:rFonts w:ascii="Times New Roman" w:hAnsi="Times New Roman" w:cs="Times New Roman"/>
          <w:b/>
          <w:bCs/>
        </w:rPr>
      </w:pPr>
      <w:bookmarkStart w:id="73" w:name="_Toc988961"/>
      <w:r>
        <w:rPr>
          <w:rFonts w:ascii="Times New Roman" w:hAnsi="Times New Roman" w:cs="Times New Roman"/>
          <w:b/>
          <w:bCs/>
        </w:rPr>
        <w:t>7</w:t>
      </w:r>
      <w:r>
        <w:rPr>
          <w:rFonts w:ascii="Times New Roman" w:hAnsi="Times New Roman" w:cs="Times New Roman"/>
          <w:b/>
          <w:bCs/>
        </w:rPr>
        <w:t>、其他重大关联交易</w:t>
      </w:r>
      <w:bookmarkEnd w:id="73"/>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公司报告期无其他重大关联交易。</w:t>
      </w:r>
    </w:p>
    <w:p w:rsidR="00CE3C32" w:rsidRDefault="006413B8">
      <w:pPr>
        <w:pStyle w:val="2"/>
        <w:spacing w:before="300" w:after="300" w:line="320" w:lineRule="exact"/>
        <w:rPr>
          <w:rFonts w:ascii="Times New Roman" w:eastAsia="宋体" w:hAnsi="Times New Roman" w:cs="Times New Roman"/>
          <w:b/>
          <w:bCs/>
          <w:sz w:val="24"/>
          <w:szCs w:val="24"/>
        </w:rPr>
      </w:pPr>
      <w:bookmarkStart w:id="74" w:name="_Toc988962"/>
      <w:r>
        <w:rPr>
          <w:rFonts w:ascii="Times New Roman" w:eastAsia="宋体" w:hAnsi="Times New Roman" w:cs="Times New Roman"/>
          <w:b/>
          <w:bCs/>
          <w:sz w:val="24"/>
          <w:szCs w:val="24"/>
        </w:rPr>
        <w:t>十二、重大合同及其履行情况</w:t>
      </w:r>
      <w:bookmarkEnd w:id="74"/>
    </w:p>
    <w:p w:rsidR="00CE3C32" w:rsidRDefault="006413B8">
      <w:pPr>
        <w:pStyle w:val="3"/>
        <w:spacing w:line="280" w:lineRule="exact"/>
        <w:jc w:val="left"/>
        <w:rPr>
          <w:rFonts w:ascii="Times New Roman" w:hAnsi="Times New Roman" w:cs="Times New Roman"/>
          <w:b/>
          <w:bCs/>
        </w:rPr>
      </w:pPr>
      <w:bookmarkStart w:id="75" w:name="_Toc988963"/>
      <w:r>
        <w:rPr>
          <w:rFonts w:ascii="Times New Roman" w:hAnsi="Times New Roman" w:cs="Times New Roman"/>
          <w:b/>
          <w:bCs/>
        </w:rPr>
        <w:t>1</w:t>
      </w:r>
      <w:r>
        <w:rPr>
          <w:rFonts w:ascii="Times New Roman" w:hAnsi="Times New Roman" w:cs="Times New Roman"/>
          <w:b/>
          <w:bCs/>
        </w:rPr>
        <w:t>、托管、承包、租赁事项情况</w:t>
      </w:r>
      <w:bookmarkEnd w:id="75"/>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76" w:name="_Toc988964"/>
      <w:r>
        <w:rPr>
          <w:rFonts w:ascii="Times New Roman" w:eastAsia="宋体" w:hAnsi="Times New Roman" w:cs="Times New Roman"/>
          <w:b/>
          <w:bCs/>
          <w:sz w:val="18"/>
          <w:szCs w:val="18"/>
        </w:rPr>
        <w:t>（</w:t>
      </w:r>
      <w:r>
        <w:rPr>
          <w:rFonts w:ascii="Times New Roman" w:eastAsia="宋体" w:hAnsi="Times New Roman" w:cs="Times New Roman"/>
          <w:b/>
          <w:bCs/>
          <w:sz w:val="18"/>
          <w:szCs w:val="18"/>
        </w:rPr>
        <w:t>1</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托管情况</w:t>
      </w:r>
      <w:bookmarkEnd w:id="76"/>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公司报告期不存在托管情况。</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77" w:name="_Toc988965"/>
      <w:r>
        <w:rPr>
          <w:rFonts w:ascii="Times New Roman" w:eastAsia="宋体" w:hAnsi="Times New Roman" w:cs="Times New Roman"/>
          <w:b/>
          <w:bCs/>
          <w:sz w:val="18"/>
          <w:szCs w:val="18"/>
        </w:rPr>
        <w:t>（</w:t>
      </w:r>
      <w:r>
        <w:rPr>
          <w:rFonts w:ascii="Times New Roman" w:eastAsia="宋体" w:hAnsi="Times New Roman" w:cs="Times New Roman"/>
          <w:b/>
          <w:bCs/>
          <w:sz w:val="18"/>
          <w:szCs w:val="18"/>
        </w:rPr>
        <w:t>2</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承包情况</w:t>
      </w:r>
      <w:bookmarkEnd w:id="77"/>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公司报告期不存在承包情况。</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78" w:name="_Toc988966"/>
      <w:r>
        <w:rPr>
          <w:rFonts w:ascii="Times New Roman" w:eastAsia="宋体" w:hAnsi="Times New Roman" w:cs="Times New Roman"/>
          <w:b/>
          <w:bCs/>
          <w:sz w:val="18"/>
          <w:szCs w:val="18"/>
        </w:rPr>
        <w:t>（</w:t>
      </w:r>
      <w:r>
        <w:rPr>
          <w:rFonts w:ascii="Times New Roman" w:eastAsia="宋体" w:hAnsi="Times New Roman" w:cs="Times New Roman"/>
          <w:b/>
          <w:bCs/>
          <w:sz w:val="18"/>
          <w:szCs w:val="18"/>
        </w:rPr>
        <w:t>3</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租赁情况</w:t>
      </w:r>
      <w:bookmarkEnd w:id="78"/>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公司报告期不存在租赁情况。</w:t>
      </w:r>
    </w:p>
    <w:p w:rsidR="00CE3C32" w:rsidRDefault="006413B8">
      <w:pPr>
        <w:pStyle w:val="3"/>
        <w:spacing w:line="280" w:lineRule="exact"/>
        <w:jc w:val="left"/>
        <w:rPr>
          <w:rFonts w:ascii="Times New Roman" w:hAnsi="Times New Roman" w:cs="Times New Roman"/>
          <w:b/>
          <w:bCs/>
        </w:rPr>
      </w:pPr>
      <w:bookmarkStart w:id="79" w:name="_Toc988967"/>
      <w:r>
        <w:rPr>
          <w:rFonts w:ascii="Times New Roman" w:hAnsi="Times New Roman" w:cs="Times New Roman"/>
          <w:b/>
          <w:bCs/>
        </w:rPr>
        <w:t>2</w:t>
      </w:r>
      <w:r>
        <w:rPr>
          <w:rFonts w:ascii="Times New Roman" w:hAnsi="Times New Roman" w:cs="Times New Roman"/>
          <w:b/>
          <w:bCs/>
        </w:rPr>
        <w:t>、重大担保</w:t>
      </w:r>
      <w:bookmarkEnd w:id="79"/>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单位：万元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7"/>
        <w:gridCol w:w="876"/>
        <w:gridCol w:w="877"/>
        <w:gridCol w:w="876"/>
        <w:gridCol w:w="877"/>
        <w:gridCol w:w="876"/>
        <w:gridCol w:w="876"/>
        <w:gridCol w:w="876"/>
        <w:gridCol w:w="876"/>
        <w:gridCol w:w="877"/>
      </w:tblGrid>
      <w:tr w:rsidR="00CE3C32">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公司及其子公司对外担保情况（不包括对子公司的担保）</w:t>
            </w: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担保对象名称</w:t>
            </w:r>
          </w:p>
        </w:tc>
        <w:tc>
          <w:tcPr>
            <w:tcW w:w="8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担保额度相关公告披露日期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担保额度</w:t>
            </w:r>
          </w:p>
        </w:tc>
        <w:tc>
          <w:tcPr>
            <w:tcW w:w="8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实际发生日期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实际担保金额</w:t>
            </w:r>
          </w:p>
        </w:tc>
        <w:tc>
          <w:tcPr>
            <w:tcW w:w="8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担保类型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担保物（如有）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反担保情况（如有）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是否履行完毕</w:t>
            </w:r>
          </w:p>
        </w:tc>
        <w:tc>
          <w:tcPr>
            <w:tcW w:w="8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是否为关联方担保</w:t>
            </w:r>
          </w:p>
        </w:tc>
      </w:tr>
      <w:tr w:rsidR="00CE3C32">
        <w:trPr>
          <w:trHeight w:val="240"/>
        </w:trPr>
        <w:tc>
          <w:tcPr>
            <w:tcW w:w="175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报告期内审批的对外担保额度合计（</w:t>
            </w:r>
            <w:r>
              <w:rPr>
                <w:rFonts w:ascii="Times New Roman" w:eastAsia="宋体" w:hAnsi="Times New Roman" w:cs="Times New Roman"/>
                <w:sz w:val="18"/>
                <w:szCs w:val="18"/>
              </w:rPr>
              <w:t>A1</w:t>
            </w:r>
            <w:r>
              <w:rPr>
                <w:rFonts w:ascii="Times New Roman" w:eastAsia="宋体" w:hAnsi="Times New Roman" w:cs="Times New Roman"/>
                <w:sz w:val="18"/>
                <w:szCs w:val="18"/>
              </w:rPr>
              <w:t>）</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报告期内对外担保实际发生额合计（</w:t>
            </w:r>
            <w:r>
              <w:rPr>
                <w:rFonts w:ascii="Times New Roman" w:eastAsia="宋体" w:hAnsi="Times New Roman" w:cs="Times New Roman"/>
                <w:sz w:val="18"/>
                <w:szCs w:val="18"/>
              </w:rPr>
              <w:t>A2</w:t>
            </w:r>
            <w:r>
              <w:rPr>
                <w:rFonts w:ascii="Times New Roman" w:eastAsia="宋体" w:hAnsi="Times New Roman" w:cs="Times New Roman"/>
                <w:sz w:val="18"/>
                <w:szCs w:val="18"/>
              </w:rPr>
              <w:t>）</w:t>
            </w:r>
          </w:p>
        </w:tc>
        <w:tc>
          <w:tcPr>
            <w:tcW w:w="4381" w:type="dxa"/>
            <w:gridSpan w:val="5"/>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r>
      <w:tr w:rsidR="00CE3C32">
        <w:trPr>
          <w:trHeight w:val="240"/>
        </w:trPr>
        <w:tc>
          <w:tcPr>
            <w:tcW w:w="175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报告期末已审批的对外担保额度合计（</w:t>
            </w:r>
            <w:r>
              <w:rPr>
                <w:rFonts w:ascii="Times New Roman" w:eastAsia="宋体" w:hAnsi="Times New Roman" w:cs="Times New Roman"/>
                <w:sz w:val="18"/>
                <w:szCs w:val="18"/>
              </w:rPr>
              <w:t>A3</w:t>
            </w:r>
            <w:r>
              <w:rPr>
                <w:rFonts w:ascii="Times New Roman" w:eastAsia="宋体" w:hAnsi="Times New Roman" w:cs="Times New Roman"/>
                <w:sz w:val="18"/>
                <w:szCs w:val="18"/>
              </w:rPr>
              <w:t>）</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报告期末实际对外担保余额合计（</w:t>
            </w:r>
            <w:r>
              <w:rPr>
                <w:rFonts w:ascii="Times New Roman" w:eastAsia="宋体" w:hAnsi="Times New Roman" w:cs="Times New Roman"/>
                <w:sz w:val="18"/>
                <w:szCs w:val="18"/>
              </w:rPr>
              <w:t>A4</w:t>
            </w:r>
            <w:r>
              <w:rPr>
                <w:rFonts w:ascii="Times New Roman" w:eastAsia="宋体" w:hAnsi="Times New Roman" w:cs="Times New Roman"/>
                <w:sz w:val="18"/>
                <w:szCs w:val="18"/>
              </w:rPr>
              <w:t>）</w:t>
            </w:r>
          </w:p>
        </w:tc>
        <w:tc>
          <w:tcPr>
            <w:tcW w:w="4381" w:type="dxa"/>
            <w:gridSpan w:val="5"/>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r>
      <w:tr w:rsidR="00CE3C32">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公司对子公司的担保情况</w:t>
            </w: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担保对象名称</w:t>
            </w:r>
          </w:p>
        </w:tc>
        <w:tc>
          <w:tcPr>
            <w:tcW w:w="8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担保额度相关公告披露日期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担保额度</w:t>
            </w:r>
          </w:p>
        </w:tc>
        <w:tc>
          <w:tcPr>
            <w:tcW w:w="8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实际发生日期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实际担保金额</w:t>
            </w:r>
          </w:p>
        </w:tc>
        <w:tc>
          <w:tcPr>
            <w:tcW w:w="8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担保类型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担保物（如有）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反担保情况（如有）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是否履行完毕</w:t>
            </w:r>
          </w:p>
        </w:tc>
        <w:tc>
          <w:tcPr>
            <w:tcW w:w="8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是否为关联方担保</w:t>
            </w: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香港天亿马</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天亿马信息技术</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2023</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28</w:t>
            </w:r>
            <w:r>
              <w:rPr>
                <w:rFonts w:ascii="Times New Roman" w:eastAsia="宋体" w:hAnsi="Times New Roman" w:cs="Times New Roman"/>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14,194.8</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2023</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27</w:t>
            </w:r>
            <w:r>
              <w:rPr>
                <w:rFonts w:ascii="Times New Roman" w:eastAsia="宋体" w:hAnsi="Times New Roman" w:cs="Times New Roman"/>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923.03</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连带责任担保</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2023.12.27-2028.11.22</w:t>
            </w:r>
            <w:r>
              <w:rPr>
                <w:rFonts w:ascii="Times New Roman" w:eastAsia="宋体" w:hAnsi="Times New Roman" w:cs="Times New Roman"/>
                <w:sz w:val="18"/>
                <w:szCs w:val="18"/>
              </w:rPr>
              <w:t>，履行债务期限届满之日起三年</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天亿马信息技术</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2023</w:t>
            </w:r>
            <w:r>
              <w:rPr>
                <w:rFonts w:ascii="Times New Roman" w:eastAsia="宋体" w:hAnsi="Times New Roman" w:cs="Times New Roman"/>
                <w:sz w:val="18"/>
                <w:szCs w:val="18"/>
              </w:rPr>
              <w:t>年</w:t>
            </w:r>
            <w:r>
              <w:rPr>
                <w:rFonts w:ascii="Times New Roman" w:eastAsia="宋体" w:hAnsi="Times New Roman" w:cs="Times New Roman"/>
                <w:sz w:val="18"/>
                <w:szCs w:val="18"/>
              </w:rPr>
              <w:t>04</w:t>
            </w:r>
            <w:r>
              <w:rPr>
                <w:rFonts w:ascii="Times New Roman" w:eastAsia="宋体" w:hAnsi="Times New Roman" w:cs="Times New Roman"/>
                <w:sz w:val="18"/>
                <w:szCs w:val="18"/>
              </w:rPr>
              <w:t>月</w:t>
            </w:r>
            <w:r>
              <w:rPr>
                <w:rFonts w:ascii="Times New Roman" w:eastAsia="宋体" w:hAnsi="Times New Roman" w:cs="Times New Roman"/>
                <w:sz w:val="18"/>
                <w:szCs w:val="18"/>
              </w:rPr>
              <w:t>20</w:t>
            </w:r>
            <w:r>
              <w:rPr>
                <w:rFonts w:ascii="Times New Roman" w:eastAsia="宋体" w:hAnsi="Times New Roman" w:cs="Times New Roman"/>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8,000</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2023</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27</w:t>
            </w:r>
            <w:r>
              <w:rPr>
                <w:rFonts w:ascii="Times New Roman" w:eastAsia="宋体" w:hAnsi="Times New Roman" w:cs="Times New Roman"/>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1,300</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连带责任担保</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2023.12.27-2028.11.22</w:t>
            </w:r>
            <w:r>
              <w:rPr>
                <w:rFonts w:ascii="Times New Roman" w:eastAsia="宋体" w:hAnsi="Times New Roman" w:cs="Times New Roman"/>
                <w:sz w:val="18"/>
                <w:szCs w:val="18"/>
              </w:rPr>
              <w:t>，履行债务期限届满之日起三年</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天亿马信息技术</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2023</w:t>
            </w:r>
            <w:r>
              <w:rPr>
                <w:rFonts w:ascii="Times New Roman" w:eastAsia="宋体" w:hAnsi="Times New Roman" w:cs="Times New Roman"/>
                <w:sz w:val="18"/>
                <w:szCs w:val="18"/>
              </w:rPr>
              <w:t>年</w:t>
            </w:r>
            <w:r>
              <w:rPr>
                <w:rFonts w:ascii="Times New Roman" w:eastAsia="宋体" w:hAnsi="Times New Roman" w:cs="Times New Roman"/>
                <w:sz w:val="18"/>
                <w:szCs w:val="18"/>
              </w:rPr>
              <w:t>04</w:t>
            </w:r>
            <w:r>
              <w:rPr>
                <w:rFonts w:ascii="Times New Roman" w:eastAsia="宋体" w:hAnsi="Times New Roman" w:cs="Times New Roman"/>
                <w:sz w:val="18"/>
                <w:szCs w:val="18"/>
              </w:rPr>
              <w:t>月</w:t>
            </w:r>
            <w:r>
              <w:rPr>
                <w:rFonts w:ascii="Times New Roman" w:eastAsia="宋体" w:hAnsi="Times New Roman" w:cs="Times New Roman"/>
                <w:sz w:val="18"/>
                <w:szCs w:val="18"/>
              </w:rPr>
              <w:t>20</w:t>
            </w:r>
            <w:r>
              <w:rPr>
                <w:rFonts w:ascii="Times New Roman" w:eastAsia="宋体" w:hAnsi="Times New Roman" w:cs="Times New Roman"/>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8,000</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2023</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18</w:t>
            </w:r>
            <w:r>
              <w:rPr>
                <w:rFonts w:ascii="Times New Roman" w:eastAsia="宋体" w:hAnsi="Times New Roman" w:cs="Times New Roman"/>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3,000</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连带责任担保</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2023.12.18-2028.12.18</w:t>
            </w:r>
            <w:r>
              <w:rPr>
                <w:rFonts w:ascii="Times New Roman" w:eastAsia="宋体" w:hAnsi="Times New Roman" w:cs="Times New Roman"/>
                <w:sz w:val="18"/>
                <w:szCs w:val="18"/>
              </w:rPr>
              <w:t>，履行债务期限届满之日起三年</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天亿马信息技术</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2023</w:t>
            </w:r>
            <w:r>
              <w:rPr>
                <w:rFonts w:ascii="Times New Roman" w:eastAsia="宋体" w:hAnsi="Times New Roman" w:cs="Times New Roman"/>
                <w:sz w:val="18"/>
                <w:szCs w:val="18"/>
              </w:rPr>
              <w:t>年</w:t>
            </w:r>
            <w:r>
              <w:rPr>
                <w:rFonts w:ascii="Times New Roman" w:eastAsia="宋体" w:hAnsi="Times New Roman" w:cs="Times New Roman"/>
                <w:sz w:val="18"/>
                <w:szCs w:val="18"/>
              </w:rPr>
              <w:t>04</w:t>
            </w:r>
            <w:r>
              <w:rPr>
                <w:rFonts w:ascii="Times New Roman" w:eastAsia="宋体" w:hAnsi="Times New Roman" w:cs="Times New Roman"/>
                <w:sz w:val="18"/>
                <w:szCs w:val="18"/>
              </w:rPr>
              <w:t>月</w:t>
            </w:r>
            <w:r>
              <w:rPr>
                <w:rFonts w:ascii="Times New Roman" w:eastAsia="宋体" w:hAnsi="Times New Roman" w:cs="Times New Roman"/>
                <w:sz w:val="18"/>
                <w:szCs w:val="18"/>
              </w:rPr>
              <w:t>20</w:t>
            </w:r>
            <w:r>
              <w:rPr>
                <w:rFonts w:ascii="Times New Roman" w:eastAsia="宋体" w:hAnsi="Times New Roman" w:cs="Times New Roman"/>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8,000</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2024</w:t>
            </w:r>
            <w:r>
              <w:rPr>
                <w:rFonts w:ascii="Times New Roman" w:eastAsia="宋体" w:hAnsi="Times New Roman" w:cs="Times New Roman"/>
                <w:sz w:val="18"/>
                <w:szCs w:val="18"/>
              </w:rPr>
              <w:t>年</w:t>
            </w:r>
            <w:r>
              <w:rPr>
                <w:rFonts w:ascii="Times New Roman" w:eastAsia="宋体" w:hAnsi="Times New Roman" w:cs="Times New Roman"/>
                <w:sz w:val="18"/>
                <w:szCs w:val="18"/>
              </w:rPr>
              <w:t>02</w:t>
            </w:r>
            <w:r>
              <w:rPr>
                <w:rFonts w:ascii="Times New Roman" w:eastAsia="宋体" w:hAnsi="Times New Roman" w:cs="Times New Roman"/>
                <w:sz w:val="18"/>
                <w:szCs w:val="18"/>
              </w:rPr>
              <w:t>月</w:t>
            </w:r>
            <w:r>
              <w:rPr>
                <w:rFonts w:ascii="Times New Roman" w:eastAsia="宋体" w:hAnsi="Times New Roman" w:cs="Times New Roman"/>
                <w:sz w:val="18"/>
                <w:szCs w:val="18"/>
              </w:rPr>
              <w:t>06</w:t>
            </w:r>
            <w:r>
              <w:rPr>
                <w:rFonts w:ascii="Times New Roman" w:eastAsia="宋体" w:hAnsi="Times New Roman" w:cs="Times New Roman"/>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连带责任担保</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履行债务期限届满之日起三年</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天亿马信息科技</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2023</w:t>
            </w:r>
            <w:r>
              <w:rPr>
                <w:rFonts w:ascii="Times New Roman" w:eastAsia="宋体" w:hAnsi="Times New Roman" w:cs="Times New Roman"/>
                <w:sz w:val="18"/>
                <w:szCs w:val="18"/>
              </w:rPr>
              <w:t>年</w:t>
            </w:r>
            <w:r>
              <w:rPr>
                <w:rFonts w:ascii="Times New Roman" w:eastAsia="宋体" w:hAnsi="Times New Roman" w:cs="Times New Roman"/>
                <w:sz w:val="18"/>
                <w:szCs w:val="18"/>
              </w:rPr>
              <w:t>04</w:t>
            </w:r>
            <w:r>
              <w:rPr>
                <w:rFonts w:ascii="Times New Roman" w:eastAsia="宋体" w:hAnsi="Times New Roman" w:cs="Times New Roman"/>
                <w:sz w:val="18"/>
                <w:szCs w:val="18"/>
              </w:rPr>
              <w:t>月</w:t>
            </w:r>
            <w:r>
              <w:rPr>
                <w:rFonts w:ascii="Times New Roman" w:eastAsia="宋体" w:hAnsi="Times New Roman" w:cs="Times New Roman"/>
                <w:sz w:val="18"/>
                <w:szCs w:val="18"/>
              </w:rPr>
              <w:t>20</w:t>
            </w:r>
            <w:r>
              <w:rPr>
                <w:rFonts w:ascii="Times New Roman" w:eastAsia="宋体" w:hAnsi="Times New Roman" w:cs="Times New Roman"/>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4,000</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2023</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27</w:t>
            </w:r>
            <w:r>
              <w:rPr>
                <w:rFonts w:ascii="Times New Roman" w:eastAsia="宋体" w:hAnsi="Times New Roman" w:cs="Times New Roman"/>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2,600</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连带责任担保</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2023.12.27-2028.11.22</w:t>
            </w:r>
            <w:r>
              <w:rPr>
                <w:rFonts w:ascii="Times New Roman" w:eastAsia="宋体" w:hAnsi="Times New Roman" w:cs="Times New Roman"/>
                <w:sz w:val="18"/>
                <w:szCs w:val="18"/>
              </w:rPr>
              <w:t>，履行债务期限届满之日起三年</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天亿马信息科</w:t>
            </w:r>
            <w:r>
              <w:rPr>
                <w:rFonts w:ascii="Times New Roman" w:eastAsia="宋体" w:hAnsi="Times New Roman" w:cs="Times New Roman"/>
                <w:sz w:val="18"/>
                <w:szCs w:val="18"/>
              </w:rPr>
              <w:lastRenderedPageBreak/>
              <w:t>技</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2023</w:t>
            </w:r>
            <w:r>
              <w:rPr>
                <w:rFonts w:ascii="Times New Roman" w:eastAsia="宋体" w:hAnsi="Times New Roman" w:cs="Times New Roman"/>
                <w:sz w:val="18"/>
                <w:szCs w:val="18"/>
              </w:rPr>
              <w:t>年</w:t>
            </w:r>
            <w:r>
              <w:rPr>
                <w:rFonts w:ascii="Times New Roman" w:eastAsia="宋体" w:hAnsi="Times New Roman" w:cs="Times New Roman"/>
                <w:sz w:val="18"/>
                <w:szCs w:val="18"/>
              </w:rPr>
              <w:t>04</w:t>
            </w:r>
            <w:r>
              <w:rPr>
                <w:rFonts w:ascii="Times New Roman" w:eastAsia="宋体" w:hAnsi="Times New Roman" w:cs="Times New Roman"/>
                <w:sz w:val="18"/>
                <w:szCs w:val="18"/>
              </w:rPr>
              <w:t>月</w:t>
            </w:r>
            <w:r>
              <w:rPr>
                <w:rFonts w:ascii="Times New Roman" w:eastAsia="宋体" w:hAnsi="Times New Roman" w:cs="Times New Roman"/>
                <w:sz w:val="18"/>
                <w:szCs w:val="18"/>
              </w:rPr>
              <w:t>20</w:t>
            </w:r>
            <w:r>
              <w:rPr>
                <w:rFonts w:ascii="Times New Roman" w:eastAsia="宋体" w:hAnsi="Times New Roman" w:cs="Times New Roman"/>
                <w:sz w:val="18"/>
                <w:szCs w:val="18"/>
              </w:rPr>
              <w:lastRenderedPageBreak/>
              <w:t>日</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lastRenderedPageBreak/>
              <w:t>4,000</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2024</w:t>
            </w:r>
            <w:r>
              <w:rPr>
                <w:rFonts w:ascii="Times New Roman" w:eastAsia="宋体" w:hAnsi="Times New Roman" w:cs="Times New Roman"/>
                <w:sz w:val="18"/>
                <w:szCs w:val="18"/>
              </w:rPr>
              <w:t>年</w:t>
            </w:r>
            <w:r>
              <w:rPr>
                <w:rFonts w:ascii="Times New Roman" w:eastAsia="宋体" w:hAnsi="Times New Roman" w:cs="Times New Roman"/>
                <w:sz w:val="18"/>
                <w:szCs w:val="18"/>
              </w:rPr>
              <w:t>02</w:t>
            </w:r>
            <w:r>
              <w:rPr>
                <w:rFonts w:ascii="Times New Roman" w:eastAsia="宋体" w:hAnsi="Times New Roman" w:cs="Times New Roman"/>
                <w:sz w:val="18"/>
                <w:szCs w:val="18"/>
              </w:rPr>
              <w:t>月</w:t>
            </w:r>
            <w:r>
              <w:rPr>
                <w:rFonts w:ascii="Times New Roman" w:eastAsia="宋体" w:hAnsi="Times New Roman" w:cs="Times New Roman"/>
                <w:sz w:val="18"/>
                <w:szCs w:val="18"/>
              </w:rPr>
              <w:t>06</w:t>
            </w:r>
            <w:r>
              <w:rPr>
                <w:rFonts w:ascii="Times New Roman" w:eastAsia="宋体" w:hAnsi="Times New Roman" w:cs="Times New Roman"/>
                <w:sz w:val="18"/>
                <w:szCs w:val="18"/>
              </w:rPr>
              <w:lastRenderedPageBreak/>
              <w:t>日</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lastRenderedPageBreak/>
              <w:t>1,000</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连带责任担保</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履行债务期限</w:t>
            </w:r>
            <w:r>
              <w:rPr>
                <w:rFonts w:ascii="Times New Roman" w:eastAsia="宋体" w:hAnsi="Times New Roman" w:cs="Times New Roman"/>
                <w:sz w:val="18"/>
                <w:szCs w:val="18"/>
              </w:rPr>
              <w:lastRenderedPageBreak/>
              <w:t>届满之日起三年</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否</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数字能源</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2024</w:t>
            </w:r>
            <w:r>
              <w:rPr>
                <w:rFonts w:ascii="Times New Roman" w:eastAsia="宋体" w:hAnsi="Times New Roman" w:cs="Times New Roman"/>
                <w:sz w:val="18"/>
                <w:szCs w:val="18"/>
              </w:rPr>
              <w:t>年</w:t>
            </w:r>
            <w:r>
              <w:rPr>
                <w:rFonts w:ascii="Times New Roman" w:eastAsia="宋体" w:hAnsi="Times New Roman" w:cs="Times New Roman"/>
                <w:sz w:val="18"/>
                <w:szCs w:val="18"/>
              </w:rPr>
              <w:t>04</w:t>
            </w:r>
            <w:r>
              <w:rPr>
                <w:rFonts w:ascii="Times New Roman" w:eastAsia="宋体" w:hAnsi="Times New Roman" w:cs="Times New Roman"/>
                <w:sz w:val="18"/>
                <w:szCs w:val="18"/>
              </w:rPr>
              <w:t>月</w:t>
            </w:r>
            <w:r>
              <w:rPr>
                <w:rFonts w:ascii="Times New Roman" w:eastAsia="宋体" w:hAnsi="Times New Roman" w:cs="Times New Roman"/>
                <w:sz w:val="18"/>
                <w:szCs w:val="18"/>
              </w:rPr>
              <w:t>29</w:t>
            </w:r>
            <w:r>
              <w:rPr>
                <w:rFonts w:ascii="Times New Roman" w:eastAsia="宋体" w:hAnsi="Times New Roman" w:cs="Times New Roman"/>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2024</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17</w:t>
            </w:r>
            <w:r>
              <w:rPr>
                <w:rFonts w:ascii="Times New Roman" w:eastAsia="宋体" w:hAnsi="Times New Roman" w:cs="Times New Roman"/>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3,700</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连带责任担保</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履行债务期限届满之日起三年</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湖南天晨</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2024</w:t>
            </w:r>
            <w:r>
              <w:rPr>
                <w:rFonts w:ascii="Times New Roman" w:eastAsia="宋体" w:hAnsi="Times New Roman" w:cs="Times New Roman"/>
                <w:sz w:val="18"/>
                <w:szCs w:val="18"/>
              </w:rPr>
              <w:t>年</w:t>
            </w:r>
            <w:r>
              <w:rPr>
                <w:rFonts w:ascii="Times New Roman" w:eastAsia="宋体" w:hAnsi="Times New Roman" w:cs="Times New Roman"/>
                <w:sz w:val="18"/>
                <w:szCs w:val="18"/>
              </w:rPr>
              <w:t>06</w:t>
            </w:r>
            <w:r>
              <w:rPr>
                <w:rFonts w:ascii="Times New Roman" w:eastAsia="宋体" w:hAnsi="Times New Roman" w:cs="Times New Roman"/>
                <w:sz w:val="18"/>
                <w:szCs w:val="18"/>
              </w:rPr>
              <w:t>月</w:t>
            </w:r>
            <w:r>
              <w:rPr>
                <w:rFonts w:ascii="Times New Roman" w:eastAsia="宋体" w:hAnsi="Times New Roman" w:cs="Times New Roman"/>
                <w:sz w:val="18"/>
                <w:szCs w:val="18"/>
              </w:rPr>
              <w:t>15</w:t>
            </w:r>
            <w:r>
              <w:rPr>
                <w:rFonts w:ascii="Times New Roman" w:eastAsia="宋体" w:hAnsi="Times New Roman" w:cs="Times New Roman"/>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5,922</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2024</w:t>
            </w:r>
            <w:r>
              <w:rPr>
                <w:rFonts w:ascii="Times New Roman" w:eastAsia="宋体" w:hAnsi="Times New Roman" w:cs="Times New Roman"/>
                <w:sz w:val="18"/>
                <w:szCs w:val="18"/>
              </w:rPr>
              <w:t>年</w:t>
            </w:r>
            <w:r>
              <w:rPr>
                <w:rFonts w:ascii="Times New Roman" w:eastAsia="宋体" w:hAnsi="Times New Roman" w:cs="Times New Roman"/>
                <w:sz w:val="18"/>
                <w:szCs w:val="18"/>
              </w:rPr>
              <w:t>07</w:t>
            </w:r>
            <w:r>
              <w:rPr>
                <w:rFonts w:ascii="Times New Roman" w:eastAsia="宋体" w:hAnsi="Times New Roman" w:cs="Times New Roman"/>
                <w:sz w:val="18"/>
                <w:szCs w:val="18"/>
              </w:rPr>
              <w:t>月</w:t>
            </w:r>
            <w:r>
              <w:rPr>
                <w:rFonts w:ascii="Times New Roman" w:eastAsia="宋体" w:hAnsi="Times New Roman" w:cs="Times New Roman"/>
                <w:sz w:val="18"/>
                <w:szCs w:val="18"/>
              </w:rPr>
              <w:t>08</w:t>
            </w:r>
            <w:r>
              <w:rPr>
                <w:rFonts w:ascii="Times New Roman" w:eastAsia="宋体" w:hAnsi="Times New Roman" w:cs="Times New Roman"/>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5,922</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连带责任担保</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2024.6.11-2036.12.31</w:t>
            </w:r>
            <w:r>
              <w:rPr>
                <w:rFonts w:ascii="Times New Roman" w:eastAsia="宋体" w:hAnsi="Times New Roman" w:cs="Times New Roman"/>
                <w:sz w:val="18"/>
                <w:szCs w:val="18"/>
              </w:rPr>
              <w:t>，履行债务期限届满之日起三年</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邯郸庚源</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03</w:t>
            </w:r>
            <w:r>
              <w:rPr>
                <w:rFonts w:ascii="Times New Roman" w:eastAsia="宋体" w:hAnsi="Times New Roman" w:cs="Times New Roman"/>
                <w:sz w:val="18"/>
                <w:szCs w:val="18"/>
              </w:rPr>
              <w:t>月</w:t>
            </w:r>
            <w:r>
              <w:rPr>
                <w:rFonts w:ascii="Times New Roman" w:eastAsia="宋体" w:hAnsi="Times New Roman" w:cs="Times New Roman"/>
                <w:sz w:val="18"/>
                <w:szCs w:val="18"/>
              </w:rPr>
              <w:t>01</w:t>
            </w:r>
            <w:r>
              <w:rPr>
                <w:rFonts w:ascii="Times New Roman" w:eastAsia="宋体" w:hAnsi="Times New Roman" w:cs="Times New Roman"/>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6,750</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互联精英</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04</w:t>
            </w:r>
            <w:r>
              <w:rPr>
                <w:rFonts w:ascii="Times New Roman" w:eastAsia="宋体" w:hAnsi="Times New Roman" w:cs="Times New Roman"/>
                <w:sz w:val="18"/>
                <w:szCs w:val="18"/>
              </w:rPr>
              <w:t>月</w:t>
            </w:r>
            <w:r>
              <w:rPr>
                <w:rFonts w:ascii="Times New Roman" w:eastAsia="宋体" w:hAnsi="Times New Roman" w:cs="Times New Roman"/>
                <w:sz w:val="18"/>
                <w:szCs w:val="18"/>
              </w:rPr>
              <w:t>22</w:t>
            </w:r>
            <w:r>
              <w:rPr>
                <w:rFonts w:ascii="Times New Roman" w:eastAsia="宋体" w:hAnsi="Times New Roman" w:cs="Times New Roman"/>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5,000</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天亿马信息技术</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04</w:t>
            </w:r>
            <w:r>
              <w:rPr>
                <w:rFonts w:ascii="Times New Roman" w:eastAsia="宋体" w:hAnsi="Times New Roman" w:cs="Times New Roman"/>
                <w:sz w:val="18"/>
                <w:szCs w:val="18"/>
              </w:rPr>
              <w:t>月</w:t>
            </w:r>
            <w:r>
              <w:rPr>
                <w:rFonts w:ascii="Times New Roman" w:eastAsia="宋体" w:hAnsi="Times New Roman" w:cs="Times New Roman"/>
                <w:sz w:val="18"/>
                <w:szCs w:val="18"/>
              </w:rPr>
              <w:t>22</w:t>
            </w:r>
            <w:r>
              <w:rPr>
                <w:rFonts w:ascii="Times New Roman" w:eastAsia="宋体" w:hAnsi="Times New Roman" w:cs="Times New Roman"/>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7,000</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天亿马信息科技</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04</w:t>
            </w:r>
            <w:r>
              <w:rPr>
                <w:rFonts w:ascii="Times New Roman" w:eastAsia="宋体" w:hAnsi="Times New Roman" w:cs="Times New Roman"/>
                <w:sz w:val="18"/>
                <w:szCs w:val="18"/>
              </w:rPr>
              <w:t>月</w:t>
            </w:r>
            <w:r>
              <w:rPr>
                <w:rFonts w:ascii="Times New Roman" w:eastAsia="宋体" w:hAnsi="Times New Roman" w:cs="Times New Roman"/>
                <w:sz w:val="18"/>
                <w:szCs w:val="18"/>
              </w:rPr>
              <w:t>22</w:t>
            </w:r>
            <w:r>
              <w:rPr>
                <w:rFonts w:ascii="Times New Roman" w:eastAsia="宋体" w:hAnsi="Times New Roman" w:cs="Times New Roman"/>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数字能源</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04</w:t>
            </w:r>
            <w:r>
              <w:rPr>
                <w:rFonts w:ascii="Times New Roman" w:eastAsia="宋体" w:hAnsi="Times New Roman" w:cs="Times New Roman"/>
                <w:sz w:val="18"/>
                <w:szCs w:val="18"/>
              </w:rPr>
              <w:t>月</w:t>
            </w:r>
            <w:r>
              <w:rPr>
                <w:rFonts w:ascii="Times New Roman" w:eastAsia="宋体" w:hAnsi="Times New Roman" w:cs="Times New Roman"/>
                <w:sz w:val="18"/>
                <w:szCs w:val="18"/>
              </w:rPr>
              <w:t>22</w:t>
            </w:r>
            <w:r>
              <w:rPr>
                <w:rFonts w:ascii="Times New Roman" w:eastAsia="宋体" w:hAnsi="Times New Roman" w:cs="Times New Roman"/>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5,000</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天亿马新能源产业</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04</w:t>
            </w:r>
            <w:r>
              <w:rPr>
                <w:rFonts w:ascii="Times New Roman" w:eastAsia="宋体" w:hAnsi="Times New Roman" w:cs="Times New Roman"/>
                <w:sz w:val="18"/>
                <w:szCs w:val="18"/>
              </w:rPr>
              <w:t>月</w:t>
            </w:r>
            <w:r>
              <w:rPr>
                <w:rFonts w:ascii="Times New Roman" w:eastAsia="宋体" w:hAnsi="Times New Roman" w:cs="Times New Roman"/>
                <w:sz w:val="18"/>
                <w:szCs w:val="18"/>
              </w:rPr>
              <w:t>22</w:t>
            </w:r>
            <w:r>
              <w:rPr>
                <w:rFonts w:ascii="Times New Roman" w:eastAsia="宋体" w:hAnsi="Times New Roman" w:cs="Times New Roman"/>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w:t>
            </w: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175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报告期内审批对子公司担保额度合计（</w:t>
            </w:r>
            <w:r>
              <w:rPr>
                <w:rFonts w:ascii="Times New Roman" w:eastAsia="宋体" w:hAnsi="Times New Roman" w:cs="Times New Roman"/>
                <w:sz w:val="18"/>
                <w:szCs w:val="18"/>
              </w:rPr>
              <w:t>B1</w:t>
            </w:r>
            <w:r>
              <w:rPr>
                <w:rFonts w:ascii="Times New Roman" w:eastAsia="宋体" w:hAnsi="Times New Roman" w:cs="Times New Roman"/>
                <w:sz w:val="18"/>
                <w:szCs w:val="18"/>
              </w:rPr>
              <w:t>）</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34,750</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报告期内对子公司担保实际发生额合计（</w:t>
            </w:r>
            <w:r>
              <w:rPr>
                <w:rFonts w:ascii="Times New Roman" w:eastAsia="宋体" w:hAnsi="Times New Roman" w:cs="Times New Roman"/>
                <w:sz w:val="18"/>
                <w:szCs w:val="18"/>
              </w:rPr>
              <w:t>B2</w:t>
            </w:r>
            <w:r>
              <w:rPr>
                <w:rFonts w:ascii="Times New Roman" w:eastAsia="宋体" w:hAnsi="Times New Roman" w:cs="Times New Roman"/>
                <w:sz w:val="18"/>
                <w:szCs w:val="18"/>
              </w:rPr>
              <w:t>）</w:t>
            </w:r>
          </w:p>
        </w:tc>
        <w:tc>
          <w:tcPr>
            <w:tcW w:w="4381" w:type="dxa"/>
            <w:gridSpan w:val="5"/>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75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报告期末已审批的对子公司担保额度合计（</w:t>
            </w:r>
            <w:r>
              <w:rPr>
                <w:rFonts w:ascii="Times New Roman" w:eastAsia="宋体" w:hAnsi="Times New Roman" w:cs="Times New Roman"/>
                <w:sz w:val="18"/>
                <w:szCs w:val="18"/>
              </w:rPr>
              <w:t>B3</w:t>
            </w:r>
            <w:r>
              <w:rPr>
                <w:rFonts w:ascii="Times New Roman" w:eastAsia="宋体" w:hAnsi="Times New Roman" w:cs="Times New Roman"/>
                <w:sz w:val="18"/>
                <w:szCs w:val="18"/>
              </w:rPr>
              <w:t>）</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48,944.8</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报告期末对子公司实际担保余额合计（</w:t>
            </w:r>
            <w:r>
              <w:rPr>
                <w:rFonts w:ascii="Times New Roman" w:eastAsia="宋体" w:hAnsi="Times New Roman" w:cs="Times New Roman"/>
                <w:sz w:val="18"/>
                <w:szCs w:val="18"/>
              </w:rPr>
              <w:t>B4</w:t>
            </w:r>
            <w:r>
              <w:rPr>
                <w:rFonts w:ascii="Times New Roman" w:eastAsia="宋体" w:hAnsi="Times New Roman" w:cs="Times New Roman"/>
                <w:sz w:val="18"/>
                <w:szCs w:val="18"/>
              </w:rPr>
              <w:t>）</w:t>
            </w:r>
          </w:p>
        </w:tc>
        <w:tc>
          <w:tcPr>
            <w:tcW w:w="4381" w:type="dxa"/>
            <w:gridSpan w:val="5"/>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19,445.03</w:t>
            </w:r>
          </w:p>
        </w:tc>
      </w:tr>
      <w:tr w:rsidR="00CE3C32">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子公司对子公司的担保情况</w:t>
            </w: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担保对象名称</w:t>
            </w:r>
          </w:p>
        </w:tc>
        <w:tc>
          <w:tcPr>
            <w:tcW w:w="8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担保额度相关公告披露日期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担保额度</w:t>
            </w:r>
          </w:p>
        </w:tc>
        <w:tc>
          <w:tcPr>
            <w:tcW w:w="8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实际发生日期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实际担保金额</w:t>
            </w:r>
          </w:p>
        </w:tc>
        <w:tc>
          <w:tcPr>
            <w:tcW w:w="8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担保类型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担保物（如有）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反担保情况（如有）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是否履行完毕</w:t>
            </w:r>
          </w:p>
        </w:tc>
        <w:tc>
          <w:tcPr>
            <w:tcW w:w="8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是否为关联方担保</w:t>
            </w:r>
          </w:p>
        </w:tc>
      </w:tr>
      <w:tr w:rsidR="00CE3C32">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公司担保总额（即前三大项的合计）</w:t>
            </w:r>
          </w:p>
        </w:tc>
      </w:tr>
      <w:tr w:rsidR="00CE3C32">
        <w:trPr>
          <w:trHeight w:val="240"/>
        </w:trPr>
        <w:tc>
          <w:tcPr>
            <w:tcW w:w="175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报告期内审批担保额度合计（</w:t>
            </w:r>
            <w:r>
              <w:rPr>
                <w:rFonts w:ascii="Times New Roman" w:eastAsia="宋体" w:hAnsi="Times New Roman" w:cs="Times New Roman"/>
                <w:sz w:val="18"/>
                <w:szCs w:val="18"/>
              </w:rPr>
              <w:t>A1+B1+C1</w:t>
            </w:r>
            <w:r>
              <w:rPr>
                <w:rFonts w:ascii="Times New Roman" w:eastAsia="宋体" w:hAnsi="Times New Roman" w:cs="Times New Roman"/>
                <w:sz w:val="18"/>
                <w:szCs w:val="18"/>
              </w:rPr>
              <w:t>）</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34,750</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报告期内担保实际发生额合计（</w:t>
            </w:r>
            <w:r>
              <w:rPr>
                <w:rFonts w:ascii="Times New Roman" w:eastAsia="宋体" w:hAnsi="Times New Roman" w:cs="Times New Roman"/>
                <w:sz w:val="18"/>
                <w:szCs w:val="18"/>
              </w:rPr>
              <w:t>A2+B2+C2</w:t>
            </w:r>
            <w:r>
              <w:rPr>
                <w:rFonts w:ascii="Times New Roman" w:eastAsia="宋体" w:hAnsi="Times New Roman" w:cs="Times New Roman"/>
                <w:sz w:val="18"/>
                <w:szCs w:val="18"/>
              </w:rPr>
              <w:t>）</w:t>
            </w:r>
          </w:p>
        </w:tc>
        <w:tc>
          <w:tcPr>
            <w:tcW w:w="4381" w:type="dxa"/>
            <w:gridSpan w:val="5"/>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75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报告期末已审批的担保额度合计（</w:t>
            </w:r>
            <w:r>
              <w:rPr>
                <w:rFonts w:ascii="Times New Roman" w:eastAsia="宋体" w:hAnsi="Times New Roman" w:cs="Times New Roman"/>
                <w:sz w:val="18"/>
                <w:szCs w:val="18"/>
              </w:rPr>
              <w:t>A3+B3+C3</w:t>
            </w:r>
            <w:r>
              <w:rPr>
                <w:rFonts w:ascii="Times New Roman" w:eastAsia="宋体" w:hAnsi="Times New Roman" w:cs="Times New Roman"/>
                <w:sz w:val="18"/>
                <w:szCs w:val="18"/>
              </w:rPr>
              <w:t>）</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48,944.8</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报告期末实际担保余额合计（</w:t>
            </w:r>
            <w:r>
              <w:rPr>
                <w:rFonts w:ascii="Times New Roman" w:eastAsia="宋体" w:hAnsi="Times New Roman" w:cs="Times New Roman"/>
                <w:sz w:val="18"/>
                <w:szCs w:val="18"/>
              </w:rPr>
              <w:t>A4+B4+C4</w:t>
            </w:r>
            <w:r>
              <w:rPr>
                <w:rFonts w:ascii="Times New Roman" w:eastAsia="宋体" w:hAnsi="Times New Roman" w:cs="Times New Roman"/>
                <w:sz w:val="18"/>
                <w:szCs w:val="18"/>
              </w:rPr>
              <w:t>）</w:t>
            </w:r>
          </w:p>
        </w:tc>
        <w:tc>
          <w:tcPr>
            <w:tcW w:w="4381" w:type="dxa"/>
            <w:gridSpan w:val="5"/>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19,445.03</w:t>
            </w:r>
          </w:p>
        </w:tc>
      </w:tr>
      <w:tr w:rsidR="00CE3C32">
        <w:trPr>
          <w:trHeight w:val="240"/>
        </w:trPr>
        <w:tc>
          <w:tcPr>
            <w:tcW w:w="3505"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实际担保总额（即</w:t>
            </w:r>
            <w:r>
              <w:rPr>
                <w:rFonts w:ascii="Times New Roman" w:eastAsia="宋体" w:hAnsi="Times New Roman" w:cs="Times New Roman"/>
                <w:sz w:val="18"/>
                <w:szCs w:val="18"/>
              </w:rPr>
              <w:t>A4+B4+C4</w:t>
            </w:r>
            <w:r>
              <w:rPr>
                <w:rFonts w:ascii="Times New Roman" w:eastAsia="宋体" w:hAnsi="Times New Roman" w:cs="Times New Roman"/>
                <w:sz w:val="18"/>
                <w:szCs w:val="18"/>
              </w:rPr>
              <w:t>）占公司净资产的比例</w:t>
            </w:r>
          </w:p>
        </w:tc>
        <w:tc>
          <w:tcPr>
            <w:tcW w:w="6134" w:type="dxa"/>
            <w:gridSpan w:val="7"/>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25.26%</w:t>
            </w:r>
          </w:p>
        </w:tc>
      </w:tr>
      <w:tr w:rsidR="00CE3C32">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其中：</w:t>
            </w:r>
          </w:p>
        </w:tc>
      </w:tr>
      <w:tr w:rsidR="00CE3C32">
        <w:trPr>
          <w:trHeight w:val="240"/>
        </w:trPr>
        <w:tc>
          <w:tcPr>
            <w:tcW w:w="3505"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直接或间接为资产负债率超过</w:t>
            </w:r>
            <w:r>
              <w:rPr>
                <w:rFonts w:ascii="Times New Roman" w:eastAsia="宋体" w:hAnsi="Times New Roman" w:cs="Times New Roman"/>
                <w:sz w:val="18"/>
                <w:szCs w:val="18"/>
              </w:rPr>
              <w:t>70%</w:t>
            </w:r>
            <w:r>
              <w:rPr>
                <w:rFonts w:ascii="Times New Roman" w:eastAsia="宋体" w:hAnsi="Times New Roman" w:cs="Times New Roman"/>
                <w:sz w:val="18"/>
                <w:szCs w:val="18"/>
              </w:rPr>
              <w:t>的被担保对象提供的债务担保余额（</w:t>
            </w:r>
            <w:r>
              <w:rPr>
                <w:rFonts w:ascii="Times New Roman" w:eastAsia="宋体" w:hAnsi="Times New Roman" w:cs="Times New Roman"/>
                <w:sz w:val="18"/>
                <w:szCs w:val="18"/>
              </w:rPr>
              <w:t>E</w:t>
            </w:r>
            <w:r>
              <w:rPr>
                <w:rFonts w:ascii="Times New Roman" w:eastAsia="宋体" w:hAnsi="Times New Roman" w:cs="Times New Roman"/>
                <w:sz w:val="18"/>
                <w:szCs w:val="18"/>
              </w:rPr>
              <w:t>）</w:t>
            </w:r>
          </w:p>
        </w:tc>
        <w:tc>
          <w:tcPr>
            <w:tcW w:w="6134" w:type="dxa"/>
            <w:gridSpan w:val="7"/>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9,622</w:t>
            </w:r>
          </w:p>
        </w:tc>
      </w:tr>
      <w:tr w:rsidR="00CE3C32">
        <w:trPr>
          <w:trHeight w:val="240"/>
        </w:trPr>
        <w:tc>
          <w:tcPr>
            <w:tcW w:w="3505"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上述三项担保金额合计（</w:t>
            </w:r>
            <w:r>
              <w:rPr>
                <w:rFonts w:ascii="Times New Roman" w:eastAsia="宋体" w:hAnsi="Times New Roman" w:cs="Times New Roman"/>
                <w:sz w:val="18"/>
                <w:szCs w:val="18"/>
              </w:rPr>
              <w:t>D+E+F</w:t>
            </w:r>
            <w:r>
              <w:rPr>
                <w:rFonts w:ascii="Times New Roman" w:eastAsia="宋体" w:hAnsi="Times New Roman" w:cs="Times New Roman"/>
                <w:sz w:val="18"/>
                <w:szCs w:val="18"/>
              </w:rPr>
              <w:t>）</w:t>
            </w:r>
          </w:p>
        </w:tc>
        <w:tc>
          <w:tcPr>
            <w:tcW w:w="6134" w:type="dxa"/>
            <w:gridSpan w:val="7"/>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9,622</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采用复合方式担保的具体情况说明</w:t>
      </w:r>
    </w:p>
    <w:p w:rsidR="00CE3C32" w:rsidRDefault="006413B8">
      <w:pPr>
        <w:pStyle w:val="a6"/>
        <w:spacing w:before="0" w:beforeAutospacing="0" w:after="0" w:afterAutospacing="0"/>
        <w:rPr>
          <w:rFonts w:ascii="Times New Roman" w:hAnsi="Times New Roman" w:cs="Times New Roman"/>
          <w:sz w:val="21"/>
          <w:szCs w:val="21"/>
        </w:rPr>
      </w:pPr>
      <w:r>
        <w:rPr>
          <w:rFonts w:ascii="Times New Roman" w:hAnsi="Times New Roman" w:cs="Times New Roman"/>
          <w:sz w:val="18"/>
          <w:szCs w:val="18"/>
        </w:rPr>
        <w:t>1.</w:t>
      </w:r>
      <w:r>
        <w:rPr>
          <w:rFonts w:ascii="Times New Roman" w:hAnsi="Times New Roman" w:cs="Times New Roman"/>
          <w:sz w:val="18"/>
          <w:szCs w:val="18"/>
        </w:rPr>
        <w:t>湖南天晨向中国银行股份有限公司娄底分行固定资产贷款，由公司和其他股东湖南宝田实业有限公司共同提供连带责任保证担保，并以湖南天晨应收账款</w:t>
      </w:r>
      <w:r>
        <w:rPr>
          <w:rFonts w:ascii="Times New Roman" w:hAnsi="Times New Roman" w:cs="Times New Roman"/>
          <w:sz w:val="18"/>
          <w:szCs w:val="18"/>
        </w:rPr>
        <w:t>-</w:t>
      </w:r>
      <w:r>
        <w:rPr>
          <w:rFonts w:ascii="Times New Roman" w:hAnsi="Times New Roman" w:cs="Times New Roman"/>
          <w:sz w:val="18"/>
          <w:szCs w:val="18"/>
        </w:rPr>
        <w:t>售电收费权提供质押担保。</w:t>
      </w:r>
      <w:r>
        <w:rPr>
          <w:rFonts w:ascii="Times New Roman" w:hAnsi="Times New Roman" w:cs="Times New Roman"/>
          <w:sz w:val="18"/>
          <w:szCs w:val="18"/>
        </w:rPr>
        <w:t xml:space="preserve"> </w:t>
      </w:r>
    </w:p>
    <w:p w:rsidR="00CE3C32" w:rsidRDefault="006413B8">
      <w:pPr>
        <w:pStyle w:val="a6"/>
        <w:spacing w:before="0" w:beforeAutospacing="0" w:after="0" w:afterAutospacing="0"/>
        <w:rPr>
          <w:rFonts w:ascii="Times New Roman" w:hAnsi="Times New Roman" w:cs="Times New Roman"/>
          <w:sz w:val="21"/>
          <w:szCs w:val="21"/>
        </w:rPr>
      </w:pPr>
      <w:r>
        <w:rPr>
          <w:rFonts w:ascii="Times New Roman" w:hAnsi="Times New Roman" w:cs="Times New Roman"/>
          <w:sz w:val="18"/>
          <w:szCs w:val="18"/>
        </w:rPr>
        <w:t>2.</w:t>
      </w:r>
      <w:r>
        <w:rPr>
          <w:rFonts w:ascii="Times New Roman" w:hAnsi="Times New Roman" w:cs="Times New Roman"/>
          <w:sz w:val="18"/>
          <w:szCs w:val="18"/>
        </w:rPr>
        <w:t>桓台爱道向华润融资租赁有限公司申请综合授信，由公司提供连带责任保证担保，并以桓台爱道应收账款</w:t>
      </w:r>
      <w:r>
        <w:rPr>
          <w:rFonts w:ascii="Times New Roman" w:hAnsi="Times New Roman" w:cs="Times New Roman"/>
          <w:sz w:val="18"/>
          <w:szCs w:val="18"/>
        </w:rPr>
        <w:t>-</w:t>
      </w:r>
      <w:r>
        <w:rPr>
          <w:rFonts w:ascii="Times New Roman" w:hAnsi="Times New Roman" w:cs="Times New Roman"/>
          <w:sz w:val="18"/>
          <w:szCs w:val="18"/>
        </w:rPr>
        <w:t>售电收费权提供质押担保。</w:t>
      </w:r>
    </w:p>
    <w:p w:rsidR="00CE3C32" w:rsidRDefault="006413B8">
      <w:pPr>
        <w:pStyle w:val="3"/>
        <w:spacing w:line="280" w:lineRule="exact"/>
        <w:jc w:val="left"/>
        <w:rPr>
          <w:rFonts w:ascii="Times New Roman" w:hAnsi="Times New Roman" w:cs="Times New Roman"/>
          <w:b/>
          <w:bCs/>
        </w:rPr>
      </w:pPr>
      <w:bookmarkStart w:id="80" w:name="_Toc988968"/>
      <w:r>
        <w:rPr>
          <w:rFonts w:ascii="Times New Roman" w:hAnsi="Times New Roman" w:cs="Times New Roman"/>
          <w:b/>
          <w:bCs/>
        </w:rPr>
        <w:t>3</w:t>
      </w:r>
      <w:r>
        <w:rPr>
          <w:rFonts w:ascii="Times New Roman" w:hAnsi="Times New Roman" w:cs="Times New Roman"/>
          <w:b/>
          <w:bCs/>
        </w:rPr>
        <w:t>、日常经营重大合同</w:t>
      </w:r>
      <w:bookmarkEnd w:id="80"/>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单位：万元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CE3C32">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合同订立公司方名称</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合同订立对方名称</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合同总金额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合同履行的进度</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本期确认的销售收入金额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累计确认的销售收入金额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应收账款回款情况</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影响重大合同履行的各项条件是否发生重大变化</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是否存在合同无法履行的重大风险</w:t>
            </w:r>
          </w:p>
        </w:tc>
      </w:tr>
      <w:tr w:rsidR="00CE3C32">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广东天亿马信息产业股份有限公司</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中国移动通信集团广东有限公司深圳分公司</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33,086.04</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8.33%</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2,601.10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2,601.10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1,654.30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广东天亿马信息产业股份有限公司</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中国移动通信集团广东有限公司深圳分公司</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5,169.76</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8.33%</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406.43</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406.43</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258.49</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tc>
      </w:tr>
    </w:tbl>
    <w:p w:rsidR="00CE3C32" w:rsidRDefault="006413B8">
      <w:pPr>
        <w:pStyle w:val="3"/>
        <w:spacing w:line="280" w:lineRule="exact"/>
        <w:jc w:val="left"/>
        <w:rPr>
          <w:rFonts w:ascii="Times New Roman" w:hAnsi="Times New Roman" w:cs="Times New Roman"/>
          <w:b/>
          <w:bCs/>
        </w:rPr>
      </w:pPr>
      <w:bookmarkStart w:id="81" w:name="_Toc988969"/>
      <w:r>
        <w:rPr>
          <w:rFonts w:ascii="Times New Roman" w:hAnsi="Times New Roman" w:cs="Times New Roman"/>
          <w:b/>
          <w:bCs/>
        </w:rPr>
        <w:t>4</w:t>
      </w:r>
      <w:r>
        <w:rPr>
          <w:rFonts w:ascii="Times New Roman" w:hAnsi="Times New Roman" w:cs="Times New Roman"/>
          <w:b/>
          <w:bCs/>
        </w:rPr>
        <w:t>、其他重大合同</w:t>
      </w:r>
      <w:bookmarkEnd w:id="81"/>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公司报告期不存在其他重大合同。</w:t>
      </w:r>
    </w:p>
    <w:p w:rsidR="00CE3C32" w:rsidRDefault="006413B8">
      <w:pPr>
        <w:pStyle w:val="2"/>
        <w:spacing w:before="300" w:after="300" w:line="320" w:lineRule="exact"/>
        <w:rPr>
          <w:rFonts w:ascii="Times New Roman" w:eastAsia="宋体" w:hAnsi="Times New Roman" w:cs="Times New Roman"/>
          <w:b/>
          <w:bCs/>
          <w:sz w:val="24"/>
          <w:szCs w:val="24"/>
        </w:rPr>
      </w:pPr>
      <w:bookmarkStart w:id="82" w:name="_Toc988970"/>
      <w:r>
        <w:rPr>
          <w:rFonts w:ascii="Times New Roman" w:eastAsia="宋体" w:hAnsi="Times New Roman" w:cs="Times New Roman"/>
          <w:b/>
          <w:bCs/>
          <w:sz w:val="24"/>
          <w:szCs w:val="24"/>
        </w:rPr>
        <w:t>十三、其他重大事项的说明</w:t>
      </w:r>
      <w:bookmarkEnd w:id="82"/>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（一）关于发行股份及支付现金购买资产并募集配套资金暨关联交易事项</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天亿马拟以发行股份及支付现金的方式向陈耿豪、南通成为常青股权投资合伙企业（有限合伙）等共</w:t>
      </w:r>
      <w:r>
        <w:rPr>
          <w:rFonts w:ascii="Times New Roman" w:hAnsi="Times New Roman" w:cs="Times New Roman"/>
          <w:sz w:val="21"/>
          <w:szCs w:val="21"/>
        </w:rPr>
        <w:t>22</w:t>
      </w:r>
      <w:r>
        <w:rPr>
          <w:rFonts w:ascii="Times New Roman" w:hAnsi="Times New Roman" w:cs="Times New Roman"/>
          <w:sz w:val="21"/>
          <w:szCs w:val="21"/>
        </w:rPr>
        <w:t>名交易对方购买其合计持有的星云开物</w:t>
      </w:r>
      <w:r>
        <w:rPr>
          <w:rFonts w:ascii="Times New Roman" w:hAnsi="Times New Roman" w:cs="Times New Roman"/>
          <w:sz w:val="21"/>
          <w:szCs w:val="21"/>
        </w:rPr>
        <w:t>100%</w:t>
      </w:r>
      <w:r>
        <w:rPr>
          <w:rFonts w:ascii="Times New Roman" w:hAnsi="Times New Roman" w:cs="Times New Roman"/>
          <w:sz w:val="21"/>
          <w:szCs w:val="21"/>
        </w:rPr>
        <w:t>的股权。其中，天亿马以支付现金方式购买交易对方合法持有的星云开物</w:t>
      </w:r>
      <w:r>
        <w:rPr>
          <w:rFonts w:ascii="Times New Roman" w:hAnsi="Times New Roman" w:cs="Times New Roman"/>
          <w:sz w:val="21"/>
          <w:szCs w:val="21"/>
        </w:rPr>
        <w:t>51%</w:t>
      </w:r>
      <w:r>
        <w:rPr>
          <w:rFonts w:ascii="Times New Roman" w:hAnsi="Times New Roman" w:cs="Times New Roman"/>
          <w:sz w:val="21"/>
          <w:szCs w:val="21"/>
        </w:rPr>
        <w:t>股权；以发行股份方式购买交易对方合法持有的星云开物</w:t>
      </w:r>
      <w:r>
        <w:rPr>
          <w:rFonts w:ascii="Times New Roman" w:hAnsi="Times New Roman" w:cs="Times New Roman"/>
          <w:sz w:val="21"/>
          <w:szCs w:val="21"/>
        </w:rPr>
        <w:t>49%</w:t>
      </w:r>
      <w:r>
        <w:rPr>
          <w:rFonts w:ascii="Times New Roman" w:hAnsi="Times New Roman" w:cs="Times New Roman"/>
          <w:sz w:val="21"/>
          <w:szCs w:val="21"/>
        </w:rPr>
        <w:t>股权。本次交易前，天亿马未持有星云开物股权；本次交易完成后，星云开物将成为天亿马的全资子公司，纳入天亿马合并财务报表范围。本次交易预案已经公司第三届董事会第三十二次会议、第三届监事会第二十八次会议审议通过。待审计、评估及尽职调查等工作完成后，公司将再次召开董事会审议本次交易相关的议案，提交公司股东会审议通过，并经深圳证券交易所审核同意及中国证监会注册后方可正式实施。</w:t>
      </w:r>
      <w:r>
        <w:rPr>
          <w:rFonts w:ascii="Times New Roman" w:hAnsi="Times New Roman" w:cs="Times New Roman"/>
          <w:sz w:val="21"/>
          <w:szCs w:val="21"/>
        </w:rPr>
        <w:t xml:space="preserve"> </w:t>
      </w:r>
      <w:r>
        <w:rPr>
          <w:rFonts w:ascii="Times New Roman" w:hAnsi="Times New Roman" w:cs="Times New Roman"/>
          <w:sz w:val="21"/>
          <w:szCs w:val="21"/>
        </w:rPr>
        <w:t>该事项存在不确定性，请投资者注意投资风险。</w:t>
      </w:r>
    </w:p>
    <w:p w:rsidR="00CE3C32" w:rsidRDefault="006413B8">
      <w:pPr>
        <w:pStyle w:val="2"/>
        <w:spacing w:before="300" w:after="300" w:line="320" w:lineRule="exact"/>
        <w:rPr>
          <w:rFonts w:ascii="Times New Roman" w:eastAsia="宋体" w:hAnsi="Times New Roman" w:cs="Times New Roman"/>
          <w:b/>
          <w:bCs/>
          <w:sz w:val="24"/>
          <w:szCs w:val="24"/>
        </w:rPr>
      </w:pPr>
      <w:bookmarkStart w:id="83" w:name="_Toc988971"/>
      <w:r>
        <w:rPr>
          <w:rFonts w:ascii="Times New Roman" w:eastAsia="宋体" w:hAnsi="Times New Roman" w:cs="Times New Roman"/>
          <w:b/>
          <w:bCs/>
          <w:sz w:val="24"/>
          <w:szCs w:val="24"/>
        </w:rPr>
        <w:lastRenderedPageBreak/>
        <w:t>十四、公司子公司重大事项</w:t>
      </w:r>
      <w:bookmarkEnd w:id="83"/>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rPr>
          <w:rFonts w:ascii="Times New Roman" w:hAnsi="Times New Roman" w:cs="Times New Roman"/>
        </w:rPr>
      </w:pPr>
      <w:r>
        <w:rPr>
          <w:rFonts w:ascii="Times New Roman" w:hAnsi="Times New Roman" w:cs="Times New Roman"/>
        </w:rPr>
        <w:br w:type="page"/>
      </w:r>
    </w:p>
    <w:p w:rsidR="00CE3C32" w:rsidRDefault="006413B8">
      <w:pPr>
        <w:pStyle w:val="headingh1"/>
        <w:spacing w:before="340" w:after="330" w:line="773" w:lineRule="exact"/>
        <w:jc w:val="center"/>
        <w:rPr>
          <w:rFonts w:ascii="Times New Roman" w:eastAsia="宋体" w:hAnsi="Times New Roman" w:cs="Times New Roman"/>
          <w:b/>
          <w:bCs/>
          <w:sz w:val="32"/>
          <w:szCs w:val="32"/>
        </w:rPr>
      </w:pPr>
      <w:bookmarkStart w:id="84" w:name="_Toc988972"/>
      <w:r>
        <w:rPr>
          <w:rFonts w:ascii="Times New Roman" w:eastAsia="宋体" w:hAnsi="Times New Roman" w:cs="Times New Roman"/>
          <w:b/>
          <w:bCs/>
          <w:sz w:val="32"/>
          <w:szCs w:val="32"/>
        </w:rPr>
        <w:lastRenderedPageBreak/>
        <w:t>第六节</w:t>
      </w:r>
      <w:r>
        <w:rPr>
          <w:rFonts w:ascii="Times New Roman" w:eastAsia="宋体" w:hAnsi="Times New Roman" w:cs="Times New Roman"/>
          <w:b/>
          <w:bCs/>
          <w:sz w:val="32"/>
          <w:szCs w:val="32"/>
        </w:rPr>
        <w:t xml:space="preserve"> </w:t>
      </w:r>
      <w:r>
        <w:rPr>
          <w:rFonts w:ascii="Times New Roman" w:eastAsia="宋体" w:hAnsi="Times New Roman" w:cs="Times New Roman"/>
          <w:b/>
          <w:bCs/>
          <w:sz w:val="32"/>
          <w:szCs w:val="32"/>
        </w:rPr>
        <w:t>股份变动及股东情况</w:t>
      </w:r>
      <w:bookmarkEnd w:id="84"/>
    </w:p>
    <w:p w:rsidR="00CE3C32" w:rsidRDefault="006413B8">
      <w:pPr>
        <w:pStyle w:val="2"/>
        <w:spacing w:before="300" w:after="300" w:line="320" w:lineRule="exact"/>
        <w:rPr>
          <w:rFonts w:ascii="Times New Roman" w:eastAsia="宋体" w:hAnsi="Times New Roman" w:cs="Times New Roman"/>
          <w:b/>
          <w:bCs/>
          <w:sz w:val="24"/>
          <w:szCs w:val="24"/>
        </w:rPr>
      </w:pPr>
      <w:bookmarkStart w:id="85" w:name="_Toc988973"/>
      <w:r>
        <w:rPr>
          <w:rFonts w:ascii="Times New Roman" w:eastAsia="宋体" w:hAnsi="Times New Roman" w:cs="Times New Roman"/>
          <w:b/>
          <w:bCs/>
          <w:sz w:val="24"/>
          <w:szCs w:val="24"/>
        </w:rPr>
        <w:t>一、股份变动情况</w:t>
      </w:r>
      <w:bookmarkEnd w:id="85"/>
    </w:p>
    <w:p w:rsidR="00CE3C32" w:rsidRDefault="006413B8">
      <w:pPr>
        <w:pStyle w:val="3"/>
        <w:spacing w:line="280" w:lineRule="exact"/>
        <w:jc w:val="left"/>
        <w:rPr>
          <w:rFonts w:ascii="Times New Roman" w:hAnsi="Times New Roman" w:cs="Times New Roman"/>
          <w:b/>
          <w:bCs/>
        </w:rPr>
      </w:pPr>
      <w:bookmarkStart w:id="86" w:name="_Toc988974"/>
      <w:r>
        <w:rPr>
          <w:rFonts w:ascii="Times New Roman" w:hAnsi="Times New Roman" w:cs="Times New Roman"/>
          <w:b/>
          <w:bCs/>
        </w:rPr>
        <w:t>1</w:t>
      </w:r>
      <w:r>
        <w:rPr>
          <w:rFonts w:ascii="Times New Roman" w:hAnsi="Times New Roman" w:cs="Times New Roman"/>
          <w:b/>
          <w:bCs/>
        </w:rPr>
        <w:t>、股份变动情况</w:t>
      </w:r>
      <w:bookmarkEnd w:id="86"/>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单位：股</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63"/>
        <w:gridCol w:w="964"/>
        <w:gridCol w:w="964"/>
        <w:gridCol w:w="964"/>
        <w:gridCol w:w="964"/>
        <w:gridCol w:w="964"/>
        <w:gridCol w:w="964"/>
        <w:gridCol w:w="964"/>
        <w:gridCol w:w="964"/>
        <w:gridCol w:w="964"/>
      </w:tblGrid>
      <w:tr w:rsidR="00CE3C32">
        <w:trPr>
          <w:trHeight w:val="240"/>
        </w:trPr>
        <w:tc>
          <w:tcPr>
            <w:tcW w:w="964"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本次变动前</w:t>
            </w:r>
          </w:p>
        </w:tc>
        <w:tc>
          <w:tcPr>
            <w:tcW w:w="4820"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本次变动增减（＋，－）</w:t>
            </w:r>
          </w:p>
        </w:tc>
        <w:tc>
          <w:tcPr>
            <w:tcW w:w="1928"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本次变动后</w:t>
            </w:r>
          </w:p>
        </w:tc>
      </w:tr>
      <w:tr w:rsidR="00CE3C32">
        <w:trPr>
          <w:trHeight w:val="240"/>
        </w:trPr>
        <w:tc>
          <w:tcPr>
            <w:tcW w:w="964"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数量</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比例</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发行新股</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送股</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公积金转股</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小计</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数量</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比例</w:t>
            </w:r>
          </w:p>
        </w:tc>
      </w:tr>
      <w:tr w:rsidR="00CE3C32">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一、有限售条件股份</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23,509,944.00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35.04%</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-5,877,486.00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-5,877,486.00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17,632,458.00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26.28%</w:t>
            </w:r>
          </w:p>
        </w:tc>
      </w:tr>
      <w:tr w:rsidR="00CE3C32">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、国家持股</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r>
      <w:tr w:rsidR="00CE3C32">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、国有法人持股</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r>
      <w:tr w:rsidR="00CE3C32">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、其他内资持股</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23,509,944.00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35.04%</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-5,877,486.00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-5,877,486.00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17,632,458.00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26.28%</w:t>
            </w:r>
          </w:p>
        </w:tc>
      </w:tr>
      <w:tr w:rsidR="00CE3C32">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其中：境内法人持股</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r>
      <w:tr w:rsidR="00CE3C32">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境内自然人持股</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23,509,944.00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35.04%</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-5,877,486.00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-5,877,486.00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17,632,458.00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26.28%</w:t>
            </w:r>
          </w:p>
        </w:tc>
      </w:tr>
      <w:tr w:rsidR="00CE3C32">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、外资持股</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r>
      <w:tr w:rsidR="00CE3C32">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其中：境外法人持股</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r>
      <w:tr w:rsidR="00CE3C32">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境外自然人持股</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r>
      <w:tr w:rsidR="00CE3C32">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二、无限售条件股份</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43,598,856.00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64.97%</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5,877,486.00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5,877,486.00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49,476,342.00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73.73%</w:t>
            </w:r>
          </w:p>
        </w:tc>
      </w:tr>
      <w:tr w:rsidR="00CE3C32">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、人民币普通股</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43,598,856.00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64.97%</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5,877,486.00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5,877,486.00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49,476,342.00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73.73%</w:t>
            </w:r>
          </w:p>
        </w:tc>
      </w:tr>
      <w:tr w:rsidR="00CE3C32">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、境内上市的外资股</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r>
      <w:tr w:rsidR="00CE3C32">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、境外上市的外资股</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r>
      <w:tr w:rsidR="00CE3C32">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、其</w:t>
            </w:r>
            <w:r>
              <w:rPr>
                <w:rFonts w:ascii="Times New Roman" w:eastAsia="宋体" w:hAnsi="Times New Roman" w:cs="Times New Roman"/>
                <w:sz w:val="18"/>
                <w:szCs w:val="18"/>
              </w:rPr>
              <w:lastRenderedPageBreak/>
              <w:t>他</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lastRenderedPageBreak/>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r>
      <w:tr w:rsidR="00CE3C32">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三、股份总数</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67,108,800.00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67,108,800.00</w:t>
            </w:r>
          </w:p>
        </w:tc>
        <w:tc>
          <w:tcPr>
            <w:tcW w:w="96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股份变动的原因</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股份变动的批准情况</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股份变动的过户情况</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股份回购的实施进展情况</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公司于</w:t>
      </w:r>
      <w:r>
        <w:rPr>
          <w:rFonts w:ascii="Times New Roman" w:hAnsi="Times New Roman" w:cs="Times New Roman"/>
          <w:sz w:val="21"/>
          <w:szCs w:val="21"/>
        </w:rPr>
        <w:t>2024</w:t>
      </w:r>
      <w:r>
        <w:rPr>
          <w:rFonts w:ascii="Times New Roman" w:hAnsi="Times New Roman" w:cs="Times New Roman"/>
          <w:sz w:val="21"/>
          <w:szCs w:val="21"/>
        </w:rPr>
        <w:t>年</w:t>
      </w:r>
      <w:r>
        <w:rPr>
          <w:rFonts w:ascii="Times New Roman" w:hAnsi="Times New Roman" w:cs="Times New Roman"/>
          <w:sz w:val="21"/>
          <w:szCs w:val="21"/>
        </w:rPr>
        <w:t>2</w:t>
      </w:r>
      <w:r>
        <w:rPr>
          <w:rFonts w:ascii="Times New Roman" w:hAnsi="Times New Roman" w:cs="Times New Roman"/>
          <w:sz w:val="21"/>
          <w:szCs w:val="21"/>
        </w:rPr>
        <w:t>月</w:t>
      </w:r>
      <w:r>
        <w:rPr>
          <w:rFonts w:ascii="Times New Roman" w:hAnsi="Times New Roman" w:cs="Times New Roman"/>
          <w:sz w:val="21"/>
          <w:szCs w:val="21"/>
        </w:rPr>
        <w:t>5</w:t>
      </w:r>
      <w:r>
        <w:rPr>
          <w:rFonts w:ascii="Times New Roman" w:hAnsi="Times New Roman" w:cs="Times New Roman"/>
          <w:sz w:val="21"/>
          <w:szCs w:val="21"/>
        </w:rPr>
        <w:t>日召开的第三届董事会第二十一次会议、第三届监事会第十九次会议审议通过了《关于回购公司股份方案的议案》，计划使用自有资金或自筹资金通过深圳证券交易所集中竞价交易方式回购公司部分社会公众股份，用于实施员工持股计划或股权激励。本次回购的资金总额不低于人民币</w:t>
      </w:r>
      <w:r>
        <w:rPr>
          <w:rFonts w:ascii="Times New Roman" w:hAnsi="Times New Roman" w:cs="Times New Roman"/>
          <w:sz w:val="21"/>
          <w:szCs w:val="21"/>
        </w:rPr>
        <w:t>1,500</w:t>
      </w:r>
      <w:r>
        <w:rPr>
          <w:rFonts w:ascii="Times New Roman" w:hAnsi="Times New Roman" w:cs="Times New Roman"/>
          <w:sz w:val="21"/>
          <w:szCs w:val="21"/>
        </w:rPr>
        <w:t>万元（含），不超过人民币</w:t>
      </w:r>
      <w:r>
        <w:rPr>
          <w:rFonts w:ascii="Times New Roman" w:hAnsi="Times New Roman" w:cs="Times New Roman"/>
          <w:sz w:val="21"/>
          <w:szCs w:val="21"/>
        </w:rPr>
        <w:t>3,000</w:t>
      </w:r>
      <w:r>
        <w:rPr>
          <w:rFonts w:ascii="Times New Roman" w:hAnsi="Times New Roman" w:cs="Times New Roman"/>
          <w:sz w:val="21"/>
          <w:szCs w:val="21"/>
        </w:rPr>
        <w:t>万元（含）；回购价格不超过人民币</w:t>
      </w:r>
      <w:r>
        <w:rPr>
          <w:rFonts w:ascii="Times New Roman" w:hAnsi="Times New Roman" w:cs="Times New Roman"/>
          <w:sz w:val="21"/>
          <w:szCs w:val="21"/>
        </w:rPr>
        <w:t>28.42</w:t>
      </w:r>
      <w:r>
        <w:rPr>
          <w:rFonts w:ascii="Times New Roman" w:hAnsi="Times New Roman" w:cs="Times New Roman"/>
          <w:sz w:val="21"/>
          <w:szCs w:val="21"/>
        </w:rPr>
        <w:t>元</w:t>
      </w:r>
      <w:r>
        <w:rPr>
          <w:rFonts w:ascii="Times New Roman" w:hAnsi="Times New Roman" w:cs="Times New Roman"/>
          <w:sz w:val="21"/>
          <w:szCs w:val="21"/>
        </w:rPr>
        <w:t>/</w:t>
      </w:r>
      <w:r>
        <w:rPr>
          <w:rFonts w:ascii="Times New Roman" w:hAnsi="Times New Roman" w:cs="Times New Roman"/>
          <w:sz w:val="21"/>
          <w:szCs w:val="21"/>
        </w:rPr>
        <w:t>股（含），实施期限为自公司董事会审议通过本次回购股份方案之日起不超过</w:t>
      </w:r>
      <w:r>
        <w:rPr>
          <w:rFonts w:ascii="Times New Roman" w:hAnsi="Times New Roman" w:cs="Times New Roman"/>
          <w:sz w:val="21"/>
          <w:szCs w:val="21"/>
        </w:rPr>
        <w:t>12</w:t>
      </w:r>
      <w:r>
        <w:rPr>
          <w:rFonts w:ascii="Times New Roman" w:hAnsi="Times New Roman" w:cs="Times New Roman"/>
          <w:sz w:val="21"/>
          <w:szCs w:val="21"/>
        </w:rPr>
        <w:t>个月。公司于</w:t>
      </w:r>
      <w:r>
        <w:rPr>
          <w:rFonts w:ascii="Times New Roman" w:hAnsi="Times New Roman" w:cs="Times New Roman"/>
          <w:sz w:val="21"/>
          <w:szCs w:val="21"/>
        </w:rPr>
        <w:t>2024</w:t>
      </w:r>
      <w:r>
        <w:rPr>
          <w:rFonts w:ascii="Times New Roman" w:hAnsi="Times New Roman" w:cs="Times New Roman"/>
          <w:sz w:val="21"/>
          <w:szCs w:val="21"/>
        </w:rPr>
        <w:t>年</w:t>
      </w:r>
      <w:r>
        <w:rPr>
          <w:rFonts w:ascii="Times New Roman" w:hAnsi="Times New Roman" w:cs="Times New Roman"/>
          <w:sz w:val="21"/>
          <w:szCs w:val="21"/>
        </w:rPr>
        <w:t>7</w:t>
      </w:r>
      <w:r>
        <w:rPr>
          <w:rFonts w:ascii="Times New Roman" w:hAnsi="Times New Roman" w:cs="Times New Roman"/>
          <w:sz w:val="21"/>
          <w:szCs w:val="21"/>
        </w:rPr>
        <w:t>月</w:t>
      </w:r>
      <w:r>
        <w:rPr>
          <w:rFonts w:ascii="Times New Roman" w:hAnsi="Times New Roman" w:cs="Times New Roman"/>
          <w:sz w:val="21"/>
          <w:szCs w:val="21"/>
        </w:rPr>
        <w:t>12</w:t>
      </w:r>
      <w:r>
        <w:rPr>
          <w:rFonts w:ascii="Times New Roman" w:hAnsi="Times New Roman" w:cs="Times New Roman"/>
          <w:sz w:val="21"/>
          <w:szCs w:val="21"/>
        </w:rPr>
        <w:t>日实施</w:t>
      </w:r>
      <w:r>
        <w:rPr>
          <w:rFonts w:ascii="Times New Roman" w:hAnsi="Times New Roman" w:cs="Times New Roman"/>
          <w:sz w:val="21"/>
          <w:szCs w:val="21"/>
        </w:rPr>
        <w:t>2023</w:t>
      </w:r>
      <w:r>
        <w:rPr>
          <w:rFonts w:ascii="Times New Roman" w:hAnsi="Times New Roman" w:cs="Times New Roman"/>
          <w:sz w:val="21"/>
          <w:szCs w:val="21"/>
        </w:rPr>
        <w:t>年度权益分派；权益分派实施完成后，回购股份的价格由不超过人民币</w:t>
      </w:r>
      <w:r>
        <w:rPr>
          <w:rFonts w:ascii="Times New Roman" w:hAnsi="Times New Roman" w:cs="Times New Roman"/>
          <w:sz w:val="21"/>
          <w:szCs w:val="21"/>
        </w:rPr>
        <w:t>28.42</w:t>
      </w:r>
      <w:r>
        <w:rPr>
          <w:rFonts w:ascii="Times New Roman" w:hAnsi="Times New Roman" w:cs="Times New Roman"/>
          <w:sz w:val="21"/>
          <w:szCs w:val="21"/>
        </w:rPr>
        <w:t>元</w:t>
      </w:r>
      <w:r>
        <w:rPr>
          <w:rFonts w:ascii="Times New Roman" w:hAnsi="Times New Roman" w:cs="Times New Roman"/>
          <w:sz w:val="21"/>
          <w:szCs w:val="21"/>
        </w:rPr>
        <w:t>/</w:t>
      </w:r>
      <w:r>
        <w:rPr>
          <w:rFonts w:ascii="Times New Roman" w:hAnsi="Times New Roman" w:cs="Times New Roman"/>
          <w:sz w:val="21"/>
          <w:szCs w:val="21"/>
        </w:rPr>
        <w:t>股（含）调整为不超过</w:t>
      </w:r>
      <w:r>
        <w:rPr>
          <w:rFonts w:ascii="Times New Roman" w:hAnsi="Times New Roman" w:cs="Times New Roman"/>
          <w:sz w:val="21"/>
          <w:szCs w:val="21"/>
        </w:rPr>
        <w:t>28.32</w:t>
      </w:r>
      <w:r>
        <w:rPr>
          <w:rFonts w:ascii="Times New Roman" w:hAnsi="Times New Roman" w:cs="Times New Roman"/>
          <w:sz w:val="21"/>
          <w:szCs w:val="21"/>
        </w:rPr>
        <w:t>元</w:t>
      </w:r>
      <w:r>
        <w:rPr>
          <w:rFonts w:ascii="Times New Roman" w:hAnsi="Times New Roman" w:cs="Times New Roman"/>
          <w:sz w:val="21"/>
          <w:szCs w:val="21"/>
        </w:rPr>
        <w:t>/</w:t>
      </w:r>
      <w:r>
        <w:rPr>
          <w:rFonts w:ascii="Times New Roman" w:hAnsi="Times New Roman" w:cs="Times New Roman"/>
          <w:sz w:val="21"/>
          <w:szCs w:val="21"/>
        </w:rPr>
        <w:t>股（含）。</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截至</w:t>
      </w:r>
      <w:r>
        <w:rPr>
          <w:rFonts w:ascii="Times New Roman" w:hAnsi="Times New Roman" w:cs="Times New Roman"/>
          <w:sz w:val="21"/>
          <w:szCs w:val="21"/>
        </w:rPr>
        <w:t>2025</w:t>
      </w:r>
      <w:r>
        <w:rPr>
          <w:rFonts w:ascii="Times New Roman" w:hAnsi="Times New Roman" w:cs="Times New Roman"/>
          <w:sz w:val="21"/>
          <w:szCs w:val="21"/>
        </w:rPr>
        <w:t>年</w:t>
      </w:r>
      <w:r>
        <w:rPr>
          <w:rFonts w:ascii="Times New Roman" w:hAnsi="Times New Roman" w:cs="Times New Roman"/>
          <w:sz w:val="21"/>
          <w:szCs w:val="21"/>
        </w:rPr>
        <w:t>2</w:t>
      </w:r>
      <w:r>
        <w:rPr>
          <w:rFonts w:ascii="Times New Roman" w:hAnsi="Times New Roman" w:cs="Times New Roman"/>
          <w:sz w:val="21"/>
          <w:szCs w:val="21"/>
        </w:rPr>
        <w:t>月</w:t>
      </w:r>
      <w:r>
        <w:rPr>
          <w:rFonts w:ascii="Times New Roman" w:hAnsi="Times New Roman" w:cs="Times New Roman"/>
          <w:sz w:val="21"/>
          <w:szCs w:val="21"/>
        </w:rPr>
        <w:t>5</w:t>
      </w:r>
      <w:r>
        <w:rPr>
          <w:rFonts w:ascii="Times New Roman" w:hAnsi="Times New Roman" w:cs="Times New Roman"/>
          <w:sz w:val="21"/>
          <w:szCs w:val="21"/>
        </w:rPr>
        <w:t>日，公司股份回购方案已实施完毕。公司本次实际实施回购股份的时间区间为</w:t>
      </w:r>
      <w:r>
        <w:rPr>
          <w:rFonts w:ascii="Times New Roman" w:hAnsi="Times New Roman" w:cs="Times New Roman"/>
          <w:sz w:val="21"/>
          <w:szCs w:val="21"/>
        </w:rPr>
        <w:t>2024</w:t>
      </w:r>
      <w:r>
        <w:rPr>
          <w:rFonts w:ascii="Times New Roman" w:hAnsi="Times New Roman" w:cs="Times New Roman"/>
          <w:sz w:val="21"/>
          <w:szCs w:val="21"/>
        </w:rPr>
        <w:t>年</w:t>
      </w:r>
      <w:r>
        <w:rPr>
          <w:rFonts w:ascii="Times New Roman" w:hAnsi="Times New Roman" w:cs="Times New Roman"/>
          <w:sz w:val="21"/>
          <w:szCs w:val="21"/>
        </w:rPr>
        <w:t>2</w:t>
      </w:r>
      <w:r>
        <w:rPr>
          <w:rFonts w:ascii="Times New Roman" w:hAnsi="Times New Roman" w:cs="Times New Roman"/>
          <w:sz w:val="21"/>
          <w:szCs w:val="21"/>
        </w:rPr>
        <w:t>月</w:t>
      </w:r>
      <w:r>
        <w:rPr>
          <w:rFonts w:ascii="Times New Roman" w:hAnsi="Times New Roman" w:cs="Times New Roman"/>
          <w:sz w:val="21"/>
          <w:szCs w:val="21"/>
        </w:rPr>
        <w:t>6</w:t>
      </w:r>
      <w:r>
        <w:rPr>
          <w:rFonts w:ascii="Times New Roman" w:hAnsi="Times New Roman" w:cs="Times New Roman"/>
          <w:sz w:val="21"/>
          <w:szCs w:val="21"/>
        </w:rPr>
        <w:t>日至</w:t>
      </w:r>
      <w:r>
        <w:rPr>
          <w:rFonts w:ascii="Times New Roman" w:hAnsi="Times New Roman" w:cs="Times New Roman"/>
          <w:sz w:val="21"/>
          <w:szCs w:val="21"/>
        </w:rPr>
        <w:t>2024</w:t>
      </w:r>
      <w:r>
        <w:rPr>
          <w:rFonts w:ascii="Times New Roman" w:hAnsi="Times New Roman" w:cs="Times New Roman"/>
          <w:sz w:val="21"/>
          <w:szCs w:val="21"/>
        </w:rPr>
        <w:t>年</w:t>
      </w:r>
      <w:r>
        <w:rPr>
          <w:rFonts w:ascii="Times New Roman" w:hAnsi="Times New Roman" w:cs="Times New Roman"/>
          <w:sz w:val="21"/>
          <w:szCs w:val="21"/>
        </w:rPr>
        <w:t>10</w:t>
      </w:r>
      <w:r>
        <w:rPr>
          <w:rFonts w:ascii="Times New Roman" w:hAnsi="Times New Roman" w:cs="Times New Roman"/>
          <w:sz w:val="21"/>
          <w:szCs w:val="21"/>
        </w:rPr>
        <w:t>月</w:t>
      </w:r>
      <w:r>
        <w:rPr>
          <w:rFonts w:ascii="Times New Roman" w:hAnsi="Times New Roman" w:cs="Times New Roman"/>
          <w:sz w:val="21"/>
          <w:szCs w:val="21"/>
        </w:rPr>
        <w:t>31</w:t>
      </w:r>
      <w:r>
        <w:rPr>
          <w:rFonts w:ascii="Times New Roman" w:hAnsi="Times New Roman" w:cs="Times New Roman"/>
          <w:sz w:val="21"/>
          <w:szCs w:val="21"/>
        </w:rPr>
        <w:t>日。本次回购股份实施期间，公司通过股份回购专用证券账户以集中竞价交易方式实际回购公司股份</w:t>
      </w:r>
      <w:r>
        <w:rPr>
          <w:rFonts w:ascii="Times New Roman" w:hAnsi="Times New Roman" w:cs="Times New Roman"/>
          <w:sz w:val="21"/>
          <w:szCs w:val="21"/>
        </w:rPr>
        <w:t>755,840</w:t>
      </w:r>
      <w:r>
        <w:rPr>
          <w:rFonts w:ascii="Times New Roman" w:hAnsi="Times New Roman" w:cs="Times New Roman"/>
          <w:sz w:val="21"/>
          <w:szCs w:val="21"/>
        </w:rPr>
        <w:t>股，占公司当前总股本</w:t>
      </w:r>
      <w:r>
        <w:rPr>
          <w:rFonts w:ascii="Times New Roman" w:hAnsi="Times New Roman" w:cs="Times New Roman"/>
          <w:sz w:val="21"/>
          <w:szCs w:val="21"/>
        </w:rPr>
        <w:t>1.1263%</w:t>
      </w:r>
      <w:r>
        <w:rPr>
          <w:rFonts w:ascii="Times New Roman" w:hAnsi="Times New Roman" w:cs="Times New Roman"/>
          <w:sz w:val="21"/>
          <w:szCs w:val="21"/>
        </w:rPr>
        <w:t>；回购实施过程中最高成交价为</w:t>
      </w:r>
      <w:r>
        <w:rPr>
          <w:rFonts w:ascii="Times New Roman" w:hAnsi="Times New Roman" w:cs="Times New Roman"/>
          <w:sz w:val="21"/>
          <w:szCs w:val="21"/>
        </w:rPr>
        <w:t>28.28</w:t>
      </w:r>
      <w:r>
        <w:rPr>
          <w:rFonts w:ascii="Times New Roman" w:hAnsi="Times New Roman" w:cs="Times New Roman"/>
          <w:sz w:val="21"/>
          <w:szCs w:val="21"/>
        </w:rPr>
        <w:t>元</w:t>
      </w:r>
      <w:r>
        <w:rPr>
          <w:rFonts w:ascii="Times New Roman" w:hAnsi="Times New Roman" w:cs="Times New Roman"/>
          <w:sz w:val="21"/>
          <w:szCs w:val="21"/>
        </w:rPr>
        <w:t>/</w:t>
      </w:r>
      <w:r>
        <w:rPr>
          <w:rFonts w:ascii="Times New Roman" w:hAnsi="Times New Roman" w:cs="Times New Roman"/>
          <w:sz w:val="21"/>
          <w:szCs w:val="21"/>
        </w:rPr>
        <w:t>股，最低成交价为</w:t>
      </w:r>
      <w:r>
        <w:rPr>
          <w:rFonts w:ascii="Times New Roman" w:hAnsi="Times New Roman" w:cs="Times New Roman"/>
          <w:sz w:val="21"/>
          <w:szCs w:val="21"/>
        </w:rPr>
        <w:t>14.66</w:t>
      </w:r>
      <w:r>
        <w:rPr>
          <w:rFonts w:ascii="Times New Roman" w:hAnsi="Times New Roman" w:cs="Times New Roman"/>
          <w:sz w:val="21"/>
          <w:szCs w:val="21"/>
        </w:rPr>
        <w:t>元</w:t>
      </w:r>
      <w:r>
        <w:rPr>
          <w:rFonts w:ascii="Times New Roman" w:hAnsi="Times New Roman" w:cs="Times New Roman"/>
          <w:sz w:val="21"/>
          <w:szCs w:val="21"/>
        </w:rPr>
        <w:t>/</w:t>
      </w:r>
      <w:r>
        <w:rPr>
          <w:rFonts w:ascii="Times New Roman" w:hAnsi="Times New Roman" w:cs="Times New Roman"/>
          <w:sz w:val="21"/>
          <w:szCs w:val="21"/>
        </w:rPr>
        <w:t>股，成交总金额为</w:t>
      </w:r>
      <w:r>
        <w:rPr>
          <w:rFonts w:ascii="Times New Roman" w:hAnsi="Times New Roman" w:cs="Times New Roman"/>
          <w:sz w:val="21"/>
          <w:szCs w:val="21"/>
        </w:rPr>
        <w:t>15,033,818.65</w:t>
      </w:r>
      <w:r>
        <w:rPr>
          <w:rFonts w:ascii="Times New Roman" w:hAnsi="Times New Roman" w:cs="Times New Roman"/>
          <w:sz w:val="21"/>
          <w:szCs w:val="21"/>
        </w:rPr>
        <w:t>元（不含交易费用）</w:t>
      </w:r>
      <w:r>
        <w:rPr>
          <w:rFonts w:ascii="Times New Roman" w:hAnsi="Times New Roman" w:cs="Times New Roman" w:hint="eastAsia"/>
          <w:sz w:val="21"/>
          <w:szCs w:val="21"/>
        </w:rPr>
        <w:t>，</w:t>
      </w:r>
      <w:r>
        <w:rPr>
          <w:rFonts w:ascii="Times New Roman" w:hAnsi="Times New Roman" w:cs="Times New Roman"/>
          <w:sz w:val="21"/>
          <w:szCs w:val="21"/>
        </w:rPr>
        <w:t>达到本次股份回购方案的回购资金总额下限，未超过回购资金总额上限，回购方案实施完毕。截至本公告日，公司回购专用证券账户持有股份数量为</w:t>
      </w:r>
      <w:r>
        <w:rPr>
          <w:rFonts w:ascii="Times New Roman" w:hAnsi="Times New Roman" w:cs="Times New Roman"/>
          <w:sz w:val="21"/>
          <w:szCs w:val="21"/>
        </w:rPr>
        <w:t>1,224,140</w:t>
      </w:r>
      <w:r>
        <w:rPr>
          <w:rFonts w:ascii="Times New Roman" w:hAnsi="Times New Roman" w:cs="Times New Roman"/>
          <w:sz w:val="21"/>
          <w:szCs w:val="21"/>
        </w:rPr>
        <w:t>股（含前次回购股份后未使用股份数</w:t>
      </w:r>
      <w:r>
        <w:rPr>
          <w:rFonts w:ascii="Times New Roman" w:hAnsi="Times New Roman" w:cs="Times New Roman"/>
          <w:sz w:val="21"/>
          <w:szCs w:val="21"/>
        </w:rPr>
        <w:t>468,300</w:t>
      </w:r>
      <w:r>
        <w:rPr>
          <w:rFonts w:ascii="Times New Roman" w:hAnsi="Times New Roman" w:cs="Times New Roman"/>
          <w:sz w:val="21"/>
          <w:szCs w:val="21"/>
        </w:rPr>
        <w:t>股）。</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采用集中竞价方式减持回购股份的实施进展情况</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股份变动对最近一年和最近一期基本每股收益和稀释每股收益、归属于公司普通股股东的每股净资产等财务指标的影响</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公司认为必要或证券监管机构要求披露的其他内容</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87" w:name="_Toc988975"/>
      <w:r>
        <w:rPr>
          <w:rFonts w:ascii="Times New Roman" w:hAnsi="Times New Roman" w:cs="Times New Roman"/>
          <w:b/>
          <w:bCs/>
        </w:rPr>
        <w:t>2</w:t>
      </w:r>
      <w:r>
        <w:rPr>
          <w:rFonts w:ascii="Times New Roman" w:hAnsi="Times New Roman" w:cs="Times New Roman"/>
          <w:b/>
          <w:bCs/>
        </w:rPr>
        <w:t>、限售股份变动情况</w:t>
      </w:r>
      <w:bookmarkEnd w:id="87"/>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单位：股</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88"/>
        <w:gridCol w:w="1122"/>
        <w:gridCol w:w="1193"/>
        <w:gridCol w:w="845"/>
        <w:gridCol w:w="1122"/>
        <w:gridCol w:w="1694"/>
        <w:gridCol w:w="3289"/>
      </w:tblGrid>
      <w:tr w:rsidR="00CE3C32">
        <w:trPr>
          <w:trHeight w:val="240"/>
          <w:tblHeader/>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股东名称</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期初限售股数</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本期解除限售股数</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本期增加限售股数</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期末限售股数</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限售原因</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拟解除限售日期</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林明玲</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19,327,824</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4,831,956</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14,495,868</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宋体" w:eastAsia="宋体" w:hAnsi="宋体" w:cs="宋体" w:hint="eastAsia"/>
                <w:sz w:val="18"/>
                <w:szCs w:val="18"/>
              </w:rPr>
              <w:t>①</w:t>
            </w:r>
            <w:r>
              <w:rPr>
                <w:rFonts w:ascii="Times New Roman" w:eastAsia="宋体" w:hAnsi="Times New Roman" w:cs="Times New Roman"/>
                <w:sz w:val="18"/>
                <w:szCs w:val="18"/>
              </w:rPr>
              <w:t>高管锁定股：</w:t>
            </w:r>
            <w:r>
              <w:rPr>
                <w:rFonts w:ascii="Times New Roman" w:eastAsia="宋体" w:hAnsi="Times New Roman" w:cs="Times New Roman"/>
                <w:sz w:val="18"/>
                <w:szCs w:val="18"/>
              </w:rPr>
              <w:t>13,919,868</w:t>
            </w:r>
            <w:r>
              <w:rPr>
                <w:rFonts w:ascii="Times New Roman" w:eastAsia="宋体" w:hAnsi="Times New Roman" w:cs="Times New Roman"/>
                <w:sz w:val="18"/>
                <w:szCs w:val="18"/>
              </w:rPr>
              <w:t>股；</w:t>
            </w:r>
          </w:p>
          <w:p w:rsidR="00CE3C32" w:rsidRDefault="006413B8">
            <w:pPr>
              <w:spacing w:line="240" w:lineRule="exact"/>
              <w:rPr>
                <w:rFonts w:ascii="Times New Roman" w:eastAsia="宋体" w:hAnsi="Times New Roman" w:cs="Times New Roman"/>
                <w:sz w:val="18"/>
                <w:szCs w:val="18"/>
              </w:rPr>
            </w:pPr>
            <w:r>
              <w:rPr>
                <w:rFonts w:ascii="宋体" w:eastAsia="宋体" w:hAnsi="宋体" w:cs="宋体" w:hint="eastAsia"/>
                <w:sz w:val="18"/>
                <w:szCs w:val="18"/>
              </w:rPr>
              <w:t>②</w:t>
            </w:r>
            <w:r>
              <w:rPr>
                <w:rFonts w:ascii="Times New Roman" w:eastAsia="宋体" w:hAnsi="Times New Roman" w:cs="Times New Roman"/>
                <w:sz w:val="18"/>
                <w:szCs w:val="18"/>
              </w:rPr>
              <w:t>股权激励限售股：</w:t>
            </w:r>
            <w:r>
              <w:rPr>
                <w:rFonts w:ascii="Times New Roman" w:eastAsia="宋体" w:hAnsi="Times New Roman" w:cs="Times New Roman"/>
                <w:sz w:val="18"/>
                <w:szCs w:val="18"/>
              </w:rPr>
              <w:t>576,000</w:t>
            </w:r>
            <w:r>
              <w:rPr>
                <w:rFonts w:ascii="Times New Roman" w:eastAsia="宋体" w:hAnsi="Times New Roman" w:cs="Times New Roman"/>
                <w:sz w:val="18"/>
                <w:szCs w:val="18"/>
              </w:rPr>
              <w:t>股。</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宋体" w:eastAsia="宋体" w:hAnsi="宋体" w:cs="宋体" w:hint="eastAsia"/>
                <w:sz w:val="18"/>
                <w:szCs w:val="18"/>
              </w:rPr>
              <w:t>①</w:t>
            </w:r>
            <w:r>
              <w:rPr>
                <w:rFonts w:ascii="Times New Roman" w:eastAsia="宋体" w:hAnsi="Times New Roman" w:cs="Times New Roman"/>
                <w:sz w:val="18"/>
                <w:szCs w:val="18"/>
              </w:rPr>
              <w:t>高管锁定股：公司董监高在任期间，每年按上年末持有股份数的</w:t>
            </w:r>
            <w:r>
              <w:rPr>
                <w:rFonts w:ascii="Times New Roman" w:eastAsia="宋体" w:hAnsi="Times New Roman" w:cs="Times New Roman"/>
                <w:sz w:val="18"/>
                <w:szCs w:val="18"/>
              </w:rPr>
              <w:t>25%</w:t>
            </w:r>
            <w:r>
              <w:rPr>
                <w:rFonts w:ascii="Times New Roman" w:eastAsia="宋体" w:hAnsi="Times New Roman" w:cs="Times New Roman"/>
                <w:sz w:val="18"/>
                <w:szCs w:val="18"/>
              </w:rPr>
              <w:t>；</w:t>
            </w:r>
          </w:p>
          <w:p w:rsidR="00CE3C32" w:rsidRDefault="006413B8">
            <w:pPr>
              <w:spacing w:line="240" w:lineRule="exact"/>
              <w:rPr>
                <w:rFonts w:ascii="Times New Roman" w:eastAsia="宋体" w:hAnsi="Times New Roman" w:cs="Times New Roman"/>
                <w:sz w:val="18"/>
                <w:szCs w:val="18"/>
              </w:rPr>
            </w:pPr>
            <w:r>
              <w:rPr>
                <w:rFonts w:ascii="宋体" w:eastAsia="宋体" w:hAnsi="宋体" w:cs="宋体" w:hint="eastAsia"/>
                <w:sz w:val="18"/>
                <w:szCs w:val="18"/>
              </w:rPr>
              <w:t>②</w:t>
            </w:r>
            <w:r>
              <w:rPr>
                <w:rFonts w:ascii="Times New Roman" w:eastAsia="宋体" w:hAnsi="Times New Roman" w:cs="Times New Roman"/>
                <w:sz w:val="18"/>
                <w:szCs w:val="18"/>
              </w:rPr>
              <w:t>股权激励限售股：</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7</w:t>
            </w:r>
            <w:r>
              <w:rPr>
                <w:rFonts w:ascii="Times New Roman" w:eastAsia="宋体" w:hAnsi="Times New Roman" w:cs="Times New Roman"/>
                <w:sz w:val="18"/>
                <w:szCs w:val="18"/>
              </w:rPr>
              <w:t>月</w:t>
            </w:r>
            <w:r>
              <w:rPr>
                <w:rFonts w:ascii="Times New Roman" w:eastAsia="宋体" w:hAnsi="Times New Roman" w:cs="Times New Roman"/>
                <w:sz w:val="18"/>
                <w:szCs w:val="18"/>
              </w:rPr>
              <w:t>28</w:t>
            </w:r>
            <w:r>
              <w:rPr>
                <w:rFonts w:ascii="Times New Roman" w:eastAsia="宋体" w:hAnsi="Times New Roman" w:cs="Times New Roman"/>
                <w:sz w:val="18"/>
                <w:szCs w:val="18"/>
              </w:rPr>
              <w:t>日，因公司层面业绩指标未达成，由公司回购并注销</w:t>
            </w:r>
            <w:r>
              <w:rPr>
                <w:rFonts w:ascii="Times New Roman" w:eastAsia="宋体" w:hAnsi="Times New Roman" w:cs="Times New Roman"/>
                <w:sz w:val="18"/>
                <w:szCs w:val="18"/>
              </w:rPr>
              <w:t>128,000</w:t>
            </w:r>
            <w:r>
              <w:rPr>
                <w:rFonts w:ascii="Times New Roman" w:eastAsia="宋体" w:hAnsi="Times New Roman" w:cs="Times New Roman"/>
                <w:sz w:val="18"/>
                <w:szCs w:val="18"/>
              </w:rPr>
              <w:t>股；</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如解锁条件达成，将于</w:t>
            </w:r>
            <w:r>
              <w:rPr>
                <w:rFonts w:ascii="Times New Roman" w:eastAsia="宋体" w:hAnsi="Times New Roman" w:cs="Times New Roman"/>
                <w:sz w:val="18"/>
                <w:szCs w:val="18"/>
              </w:rPr>
              <w:t>2026</w:t>
            </w:r>
            <w:r>
              <w:rPr>
                <w:rFonts w:ascii="Times New Roman" w:eastAsia="宋体" w:hAnsi="Times New Roman" w:cs="Times New Roman"/>
                <w:sz w:val="18"/>
                <w:szCs w:val="18"/>
              </w:rPr>
              <w:t>年</w:t>
            </w:r>
            <w:r>
              <w:rPr>
                <w:rFonts w:ascii="Times New Roman" w:eastAsia="宋体" w:hAnsi="Times New Roman" w:cs="Times New Roman"/>
                <w:sz w:val="18"/>
                <w:szCs w:val="18"/>
              </w:rPr>
              <w:t>9</w:t>
            </w:r>
            <w:r>
              <w:rPr>
                <w:rFonts w:ascii="Times New Roman" w:eastAsia="宋体" w:hAnsi="Times New Roman" w:cs="Times New Roman"/>
                <w:sz w:val="18"/>
                <w:szCs w:val="18"/>
              </w:rPr>
              <w:t>月</w:t>
            </w:r>
            <w:r>
              <w:rPr>
                <w:rFonts w:ascii="Times New Roman" w:eastAsia="宋体" w:hAnsi="Times New Roman" w:cs="Times New Roman"/>
                <w:sz w:val="18"/>
                <w:szCs w:val="18"/>
              </w:rPr>
              <w:t>11</w:t>
            </w:r>
            <w:r>
              <w:rPr>
                <w:rFonts w:ascii="Times New Roman" w:eastAsia="宋体" w:hAnsi="Times New Roman" w:cs="Times New Roman"/>
                <w:sz w:val="18"/>
                <w:szCs w:val="18"/>
              </w:rPr>
              <w:t>日解锁</w:t>
            </w:r>
            <w:r>
              <w:rPr>
                <w:rFonts w:ascii="Times New Roman" w:eastAsia="宋体" w:hAnsi="Times New Roman" w:cs="Times New Roman"/>
                <w:sz w:val="18"/>
                <w:szCs w:val="18"/>
              </w:rPr>
              <w:t>192,000</w:t>
            </w:r>
            <w:r>
              <w:rPr>
                <w:rFonts w:ascii="Times New Roman" w:eastAsia="宋体" w:hAnsi="Times New Roman" w:cs="Times New Roman"/>
                <w:sz w:val="18"/>
                <w:szCs w:val="18"/>
              </w:rPr>
              <w:t>股，于</w:t>
            </w:r>
            <w:r>
              <w:rPr>
                <w:rFonts w:ascii="Times New Roman" w:eastAsia="宋体" w:hAnsi="Times New Roman" w:cs="Times New Roman"/>
                <w:sz w:val="18"/>
                <w:szCs w:val="18"/>
              </w:rPr>
              <w:t>2027</w:t>
            </w:r>
            <w:r>
              <w:rPr>
                <w:rFonts w:ascii="Times New Roman" w:eastAsia="宋体" w:hAnsi="Times New Roman" w:cs="Times New Roman"/>
                <w:sz w:val="18"/>
                <w:szCs w:val="18"/>
              </w:rPr>
              <w:t>年</w:t>
            </w:r>
            <w:r>
              <w:rPr>
                <w:rFonts w:ascii="Times New Roman" w:eastAsia="宋体" w:hAnsi="Times New Roman" w:cs="Times New Roman"/>
                <w:sz w:val="18"/>
                <w:szCs w:val="18"/>
              </w:rPr>
              <w:t>9</w:t>
            </w:r>
            <w:r>
              <w:rPr>
                <w:rFonts w:ascii="Times New Roman" w:eastAsia="宋体" w:hAnsi="Times New Roman" w:cs="Times New Roman"/>
                <w:sz w:val="18"/>
                <w:szCs w:val="18"/>
              </w:rPr>
              <w:t>月</w:t>
            </w:r>
            <w:r>
              <w:rPr>
                <w:rFonts w:ascii="Times New Roman" w:eastAsia="宋体" w:hAnsi="Times New Roman" w:cs="Times New Roman"/>
                <w:sz w:val="18"/>
                <w:szCs w:val="18"/>
              </w:rPr>
              <w:t>11</w:t>
            </w:r>
            <w:r>
              <w:rPr>
                <w:rFonts w:ascii="Times New Roman" w:eastAsia="宋体" w:hAnsi="Times New Roman" w:cs="Times New Roman"/>
                <w:sz w:val="18"/>
                <w:szCs w:val="18"/>
              </w:rPr>
              <w:t>日解锁</w:t>
            </w:r>
            <w:r>
              <w:rPr>
                <w:rFonts w:ascii="Times New Roman" w:eastAsia="宋体" w:hAnsi="Times New Roman" w:cs="Times New Roman"/>
                <w:sz w:val="18"/>
                <w:szCs w:val="18"/>
              </w:rPr>
              <w:t>256,000</w:t>
            </w:r>
            <w:r>
              <w:rPr>
                <w:rFonts w:ascii="Times New Roman" w:eastAsia="宋体" w:hAnsi="Times New Roman" w:cs="Times New Roman"/>
                <w:sz w:val="18"/>
                <w:szCs w:val="18"/>
              </w:rPr>
              <w:t>股。</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马学沛</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4,182,120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1,045,530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3,136,590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宋体" w:eastAsia="宋体" w:hAnsi="宋体" w:cs="宋体" w:hint="eastAsia"/>
                <w:sz w:val="18"/>
                <w:szCs w:val="18"/>
              </w:rPr>
              <w:t>①</w:t>
            </w:r>
            <w:r>
              <w:rPr>
                <w:rFonts w:ascii="Times New Roman" w:eastAsia="宋体" w:hAnsi="Times New Roman" w:cs="Times New Roman"/>
                <w:sz w:val="18"/>
                <w:szCs w:val="18"/>
              </w:rPr>
              <w:t>高管锁定股：</w:t>
            </w:r>
            <w:r>
              <w:rPr>
                <w:rFonts w:ascii="Times New Roman" w:eastAsia="宋体" w:hAnsi="Times New Roman" w:cs="Times New Roman"/>
                <w:sz w:val="18"/>
                <w:szCs w:val="18"/>
              </w:rPr>
              <w:t>2560590.00</w:t>
            </w:r>
            <w:r>
              <w:rPr>
                <w:rFonts w:ascii="Times New Roman" w:eastAsia="宋体" w:hAnsi="Times New Roman" w:cs="Times New Roman"/>
                <w:sz w:val="18"/>
                <w:szCs w:val="18"/>
              </w:rPr>
              <w:t>股；</w:t>
            </w:r>
          </w:p>
          <w:p w:rsidR="00CE3C32" w:rsidRDefault="006413B8">
            <w:pPr>
              <w:spacing w:line="240" w:lineRule="exact"/>
              <w:rPr>
                <w:rFonts w:ascii="Times New Roman" w:eastAsia="宋体" w:hAnsi="Times New Roman" w:cs="Times New Roman"/>
                <w:sz w:val="18"/>
                <w:szCs w:val="18"/>
              </w:rPr>
            </w:pPr>
            <w:r>
              <w:rPr>
                <w:rFonts w:ascii="宋体" w:eastAsia="宋体" w:hAnsi="宋体" w:cs="宋体" w:hint="eastAsia"/>
                <w:sz w:val="18"/>
                <w:szCs w:val="18"/>
              </w:rPr>
              <w:t>②</w:t>
            </w:r>
            <w:r>
              <w:rPr>
                <w:rFonts w:ascii="Times New Roman" w:eastAsia="宋体" w:hAnsi="Times New Roman" w:cs="Times New Roman"/>
                <w:sz w:val="18"/>
                <w:szCs w:val="18"/>
              </w:rPr>
              <w:t>股权激励限售股：</w:t>
            </w:r>
            <w:r>
              <w:rPr>
                <w:rFonts w:ascii="Times New Roman" w:eastAsia="宋体" w:hAnsi="Times New Roman" w:cs="Times New Roman"/>
                <w:sz w:val="18"/>
                <w:szCs w:val="18"/>
              </w:rPr>
              <w:t>576,000</w:t>
            </w:r>
            <w:r>
              <w:rPr>
                <w:rFonts w:ascii="Times New Roman" w:eastAsia="宋体" w:hAnsi="Times New Roman" w:cs="Times New Roman"/>
                <w:sz w:val="18"/>
                <w:szCs w:val="18"/>
              </w:rPr>
              <w:t>股。</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宋体" w:eastAsia="宋体" w:hAnsi="宋体" w:cs="宋体" w:hint="eastAsia"/>
                <w:sz w:val="18"/>
                <w:szCs w:val="18"/>
              </w:rPr>
              <w:t>①</w:t>
            </w:r>
            <w:r>
              <w:rPr>
                <w:rFonts w:ascii="Times New Roman" w:eastAsia="宋体" w:hAnsi="Times New Roman" w:cs="Times New Roman"/>
                <w:sz w:val="18"/>
                <w:szCs w:val="18"/>
              </w:rPr>
              <w:t>高管锁定股：公司董监高在任期间，每年按上年末持有股份数的</w:t>
            </w:r>
            <w:r>
              <w:rPr>
                <w:rFonts w:ascii="Times New Roman" w:eastAsia="宋体" w:hAnsi="Times New Roman" w:cs="Times New Roman"/>
                <w:sz w:val="18"/>
                <w:szCs w:val="18"/>
              </w:rPr>
              <w:t>25%</w:t>
            </w:r>
            <w:r>
              <w:rPr>
                <w:rFonts w:ascii="Times New Roman" w:eastAsia="宋体" w:hAnsi="Times New Roman" w:cs="Times New Roman"/>
                <w:sz w:val="18"/>
                <w:szCs w:val="18"/>
              </w:rPr>
              <w:t>；</w:t>
            </w:r>
          </w:p>
          <w:p w:rsidR="00CE3C32" w:rsidRDefault="006413B8">
            <w:pPr>
              <w:spacing w:line="240" w:lineRule="exact"/>
              <w:rPr>
                <w:rFonts w:ascii="Times New Roman" w:eastAsia="宋体" w:hAnsi="Times New Roman" w:cs="Times New Roman"/>
                <w:sz w:val="18"/>
                <w:szCs w:val="18"/>
              </w:rPr>
            </w:pPr>
            <w:r>
              <w:rPr>
                <w:rFonts w:ascii="宋体" w:eastAsia="宋体" w:hAnsi="宋体" w:cs="宋体" w:hint="eastAsia"/>
                <w:sz w:val="18"/>
                <w:szCs w:val="18"/>
              </w:rPr>
              <w:t>②</w:t>
            </w:r>
            <w:r>
              <w:rPr>
                <w:rFonts w:ascii="Times New Roman" w:eastAsia="宋体" w:hAnsi="Times New Roman" w:cs="Times New Roman"/>
                <w:sz w:val="18"/>
                <w:szCs w:val="18"/>
              </w:rPr>
              <w:t>股权激励限售股：</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7</w:t>
            </w:r>
            <w:r>
              <w:rPr>
                <w:rFonts w:ascii="Times New Roman" w:eastAsia="宋体" w:hAnsi="Times New Roman" w:cs="Times New Roman"/>
                <w:sz w:val="18"/>
                <w:szCs w:val="18"/>
              </w:rPr>
              <w:t>月</w:t>
            </w:r>
            <w:r>
              <w:rPr>
                <w:rFonts w:ascii="Times New Roman" w:eastAsia="宋体" w:hAnsi="Times New Roman" w:cs="Times New Roman"/>
                <w:sz w:val="18"/>
                <w:szCs w:val="18"/>
              </w:rPr>
              <w:t>28</w:t>
            </w:r>
            <w:r>
              <w:rPr>
                <w:rFonts w:ascii="Times New Roman" w:eastAsia="宋体" w:hAnsi="Times New Roman" w:cs="Times New Roman"/>
                <w:sz w:val="18"/>
                <w:szCs w:val="18"/>
              </w:rPr>
              <w:t>日，因公司层面业绩指标未达成，由公司回购并注销</w:t>
            </w:r>
            <w:r>
              <w:rPr>
                <w:rFonts w:ascii="Times New Roman" w:eastAsia="宋体" w:hAnsi="Times New Roman" w:cs="Times New Roman"/>
                <w:sz w:val="18"/>
                <w:szCs w:val="18"/>
              </w:rPr>
              <w:t>128,000</w:t>
            </w:r>
            <w:r>
              <w:rPr>
                <w:rFonts w:ascii="Times New Roman" w:eastAsia="宋体" w:hAnsi="Times New Roman" w:cs="Times New Roman"/>
                <w:sz w:val="18"/>
                <w:szCs w:val="18"/>
              </w:rPr>
              <w:t>股；</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如解锁条件达成，将于</w:t>
            </w:r>
            <w:r>
              <w:rPr>
                <w:rFonts w:ascii="Times New Roman" w:eastAsia="宋体" w:hAnsi="Times New Roman" w:cs="Times New Roman"/>
                <w:sz w:val="18"/>
                <w:szCs w:val="18"/>
              </w:rPr>
              <w:t>2026</w:t>
            </w:r>
            <w:r>
              <w:rPr>
                <w:rFonts w:ascii="Times New Roman" w:eastAsia="宋体" w:hAnsi="Times New Roman" w:cs="Times New Roman"/>
                <w:sz w:val="18"/>
                <w:szCs w:val="18"/>
              </w:rPr>
              <w:t>年</w:t>
            </w:r>
            <w:r>
              <w:rPr>
                <w:rFonts w:ascii="Times New Roman" w:eastAsia="宋体" w:hAnsi="Times New Roman" w:cs="Times New Roman"/>
                <w:sz w:val="18"/>
                <w:szCs w:val="18"/>
              </w:rPr>
              <w:t>9</w:t>
            </w:r>
            <w:r>
              <w:rPr>
                <w:rFonts w:ascii="Times New Roman" w:eastAsia="宋体" w:hAnsi="Times New Roman" w:cs="Times New Roman"/>
                <w:sz w:val="18"/>
                <w:szCs w:val="18"/>
              </w:rPr>
              <w:t>月</w:t>
            </w:r>
            <w:r>
              <w:rPr>
                <w:rFonts w:ascii="Times New Roman" w:eastAsia="宋体" w:hAnsi="Times New Roman" w:cs="Times New Roman"/>
                <w:sz w:val="18"/>
                <w:szCs w:val="18"/>
              </w:rPr>
              <w:t>11</w:t>
            </w:r>
            <w:r>
              <w:rPr>
                <w:rFonts w:ascii="Times New Roman" w:eastAsia="宋体" w:hAnsi="Times New Roman" w:cs="Times New Roman"/>
                <w:sz w:val="18"/>
                <w:szCs w:val="18"/>
              </w:rPr>
              <w:t>日解锁</w:t>
            </w:r>
            <w:r>
              <w:rPr>
                <w:rFonts w:ascii="Times New Roman" w:eastAsia="宋体" w:hAnsi="Times New Roman" w:cs="Times New Roman"/>
                <w:sz w:val="18"/>
                <w:szCs w:val="18"/>
              </w:rPr>
              <w:t>192,000</w:t>
            </w:r>
            <w:r>
              <w:rPr>
                <w:rFonts w:ascii="Times New Roman" w:eastAsia="宋体" w:hAnsi="Times New Roman" w:cs="Times New Roman"/>
                <w:sz w:val="18"/>
                <w:szCs w:val="18"/>
              </w:rPr>
              <w:t>股，于</w:t>
            </w:r>
            <w:r>
              <w:rPr>
                <w:rFonts w:ascii="Times New Roman" w:eastAsia="宋体" w:hAnsi="Times New Roman" w:cs="Times New Roman"/>
                <w:sz w:val="18"/>
                <w:szCs w:val="18"/>
              </w:rPr>
              <w:t>2027</w:t>
            </w:r>
            <w:r>
              <w:rPr>
                <w:rFonts w:ascii="Times New Roman" w:eastAsia="宋体" w:hAnsi="Times New Roman" w:cs="Times New Roman"/>
                <w:sz w:val="18"/>
                <w:szCs w:val="18"/>
              </w:rPr>
              <w:t>年</w:t>
            </w:r>
            <w:r>
              <w:rPr>
                <w:rFonts w:ascii="Times New Roman" w:eastAsia="宋体" w:hAnsi="Times New Roman" w:cs="Times New Roman"/>
                <w:sz w:val="18"/>
                <w:szCs w:val="18"/>
              </w:rPr>
              <w:t>9</w:t>
            </w:r>
            <w:r>
              <w:rPr>
                <w:rFonts w:ascii="Times New Roman" w:eastAsia="宋体" w:hAnsi="Times New Roman" w:cs="Times New Roman"/>
                <w:sz w:val="18"/>
                <w:szCs w:val="18"/>
              </w:rPr>
              <w:t>月</w:t>
            </w:r>
            <w:r>
              <w:rPr>
                <w:rFonts w:ascii="Times New Roman" w:eastAsia="宋体" w:hAnsi="Times New Roman" w:cs="Times New Roman"/>
                <w:sz w:val="18"/>
                <w:szCs w:val="18"/>
              </w:rPr>
              <w:t>11</w:t>
            </w:r>
            <w:r>
              <w:rPr>
                <w:rFonts w:ascii="Times New Roman" w:eastAsia="宋体" w:hAnsi="Times New Roman" w:cs="Times New Roman"/>
                <w:sz w:val="18"/>
                <w:szCs w:val="18"/>
              </w:rPr>
              <w:t>日解锁</w:t>
            </w:r>
            <w:r>
              <w:rPr>
                <w:rFonts w:ascii="Times New Roman" w:eastAsia="宋体" w:hAnsi="Times New Roman" w:cs="Times New Roman"/>
                <w:sz w:val="18"/>
                <w:szCs w:val="18"/>
              </w:rPr>
              <w:t>256,000</w:t>
            </w:r>
            <w:r>
              <w:rPr>
                <w:rFonts w:ascii="Times New Roman" w:eastAsia="宋体" w:hAnsi="Times New Roman" w:cs="Times New Roman"/>
                <w:sz w:val="18"/>
                <w:szCs w:val="18"/>
              </w:rPr>
              <w:t>股。</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23,509,944</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5,877,486</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17,632,458</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r>
    </w:tbl>
    <w:p w:rsidR="00CE3C32" w:rsidRDefault="006413B8">
      <w:pPr>
        <w:pStyle w:val="2"/>
        <w:spacing w:before="300" w:after="300" w:line="320" w:lineRule="exact"/>
        <w:rPr>
          <w:rFonts w:ascii="Times New Roman" w:eastAsia="宋体" w:hAnsi="Times New Roman" w:cs="Times New Roman"/>
          <w:b/>
          <w:bCs/>
          <w:sz w:val="24"/>
          <w:szCs w:val="24"/>
        </w:rPr>
      </w:pPr>
      <w:bookmarkStart w:id="88" w:name="_Toc988976"/>
      <w:r>
        <w:rPr>
          <w:rFonts w:ascii="Times New Roman" w:eastAsia="宋体" w:hAnsi="Times New Roman" w:cs="Times New Roman"/>
          <w:b/>
          <w:bCs/>
          <w:sz w:val="24"/>
          <w:szCs w:val="24"/>
        </w:rPr>
        <w:t>二、证券发行与上市情况</w:t>
      </w:r>
      <w:bookmarkEnd w:id="88"/>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pStyle w:val="2"/>
        <w:spacing w:before="300" w:after="300" w:line="320" w:lineRule="exact"/>
        <w:rPr>
          <w:rFonts w:ascii="Times New Roman" w:eastAsia="宋体" w:hAnsi="Times New Roman" w:cs="Times New Roman"/>
          <w:b/>
          <w:bCs/>
          <w:sz w:val="24"/>
          <w:szCs w:val="24"/>
        </w:rPr>
      </w:pPr>
      <w:bookmarkStart w:id="89" w:name="_Toc988977"/>
      <w:r>
        <w:rPr>
          <w:rFonts w:ascii="Times New Roman" w:eastAsia="宋体" w:hAnsi="Times New Roman" w:cs="Times New Roman"/>
          <w:b/>
          <w:bCs/>
          <w:sz w:val="24"/>
          <w:szCs w:val="24"/>
        </w:rPr>
        <w:t>三、公司股东数量及持股情况</w:t>
      </w:r>
      <w:bookmarkEnd w:id="89"/>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单位：股</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767"/>
        <w:gridCol w:w="1134"/>
        <w:gridCol w:w="992"/>
        <w:gridCol w:w="1418"/>
        <w:gridCol w:w="71"/>
        <w:gridCol w:w="1205"/>
        <w:gridCol w:w="992"/>
        <w:gridCol w:w="1309"/>
      </w:tblGrid>
      <w:tr w:rsidR="00CE3C32">
        <w:trPr>
          <w:trHeight w:val="240"/>
        </w:trPr>
        <w:tc>
          <w:tcPr>
            <w:tcW w:w="1751"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报告期末普通股股东总数</w:t>
            </w:r>
          </w:p>
        </w:tc>
        <w:tc>
          <w:tcPr>
            <w:tcW w:w="1901"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10,092</w:t>
            </w:r>
          </w:p>
        </w:tc>
        <w:tc>
          <w:tcPr>
            <w:tcW w:w="2410"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报告期末表决权恢复的优先股股东总数（如有）（参见注</w:t>
            </w:r>
            <w:r>
              <w:rPr>
                <w:rFonts w:ascii="Times New Roman" w:eastAsia="宋体" w:hAnsi="Times New Roman" w:cs="Times New Roman"/>
                <w:sz w:val="18"/>
                <w:szCs w:val="18"/>
              </w:rPr>
              <w:t>8</w:t>
            </w:r>
            <w:r>
              <w:rPr>
                <w:rFonts w:ascii="Times New Roman" w:eastAsia="宋体" w:hAnsi="Times New Roman" w:cs="Times New Roman"/>
                <w:sz w:val="18"/>
                <w:szCs w:val="18"/>
              </w:rPr>
              <w:t>）</w:t>
            </w:r>
          </w:p>
        </w:tc>
        <w:tc>
          <w:tcPr>
            <w:tcW w:w="1276"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持有特别表决权股份的股东总数（如有）</w:t>
            </w:r>
          </w:p>
        </w:tc>
        <w:tc>
          <w:tcPr>
            <w:tcW w:w="13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r>
      <w:tr w:rsidR="00CE3C32">
        <w:trPr>
          <w:trHeight w:val="240"/>
        </w:trPr>
        <w:tc>
          <w:tcPr>
            <w:tcW w:w="9639" w:type="dxa"/>
            <w:gridSpan w:val="10"/>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持股</w:t>
            </w:r>
            <w:r>
              <w:rPr>
                <w:rFonts w:ascii="Times New Roman" w:eastAsia="宋体" w:hAnsi="Times New Roman" w:cs="Times New Roman"/>
                <w:sz w:val="18"/>
                <w:szCs w:val="18"/>
              </w:rPr>
              <w:t>5%</w:t>
            </w:r>
            <w:r>
              <w:rPr>
                <w:rFonts w:ascii="Times New Roman" w:eastAsia="宋体" w:hAnsi="Times New Roman" w:cs="Times New Roman"/>
                <w:sz w:val="18"/>
                <w:szCs w:val="18"/>
              </w:rPr>
              <w:t>以上的股东或前</w:t>
            </w:r>
            <w:r>
              <w:rPr>
                <w:rFonts w:ascii="Times New Roman" w:eastAsia="宋体" w:hAnsi="Times New Roman" w:cs="Times New Roman"/>
                <w:sz w:val="18"/>
                <w:szCs w:val="18"/>
              </w:rPr>
              <w:t>10</w:t>
            </w:r>
            <w:r>
              <w:rPr>
                <w:rFonts w:ascii="Times New Roman" w:eastAsia="宋体" w:hAnsi="Times New Roman" w:cs="Times New Roman"/>
                <w:sz w:val="18"/>
                <w:szCs w:val="18"/>
              </w:rPr>
              <w:t>名股东持股情况（不含通过转融通出借股份）</w:t>
            </w:r>
          </w:p>
        </w:tc>
      </w:tr>
      <w:tr w:rsidR="00CE3C32">
        <w:trPr>
          <w:trHeight w:val="240"/>
        </w:trPr>
        <w:tc>
          <w:tcPr>
            <w:tcW w:w="87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股东名称</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股东性质</w:t>
            </w:r>
          </w:p>
        </w:tc>
        <w:tc>
          <w:tcPr>
            <w:tcW w:w="76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持股比例</w:t>
            </w:r>
          </w:p>
        </w:tc>
        <w:tc>
          <w:tcPr>
            <w:tcW w:w="1134"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报告期末持股数量</w:t>
            </w:r>
          </w:p>
        </w:tc>
        <w:tc>
          <w:tcPr>
            <w:tcW w:w="99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报告期内增减变动情况</w:t>
            </w:r>
          </w:p>
        </w:tc>
        <w:tc>
          <w:tcPr>
            <w:tcW w:w="141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持有有限售条件的股份数量</w:t>
            </w:r>
          </w:p>
        </w:tc>
        <w:tc>
          <w:tcPr>
            <w:tcW w:w="1276"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持有无限售条件的股份数量</w:t>
            </w:r>
          </w:p>
        </w:tc>
        <w:tc>
          <w:tcPr>
            <w:tcW w:w="2301"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质押、标记或冻结情况</w:t>
            </w:r>
          </w:p>
        </w:tc>
      </w:tr>
      <w:tr w:rsidR="00CE3C32">
        <w:trPr>
          <w:trHeight w:val="240"/>
        </w:trPr>
        <w:tc>
          <w:tcPr>
            <w:tcW w:w="875"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76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134"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992"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41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276"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股份状态</w:t>
            </w:r>
          </w:p>
        </w:tc>
        <w:tc>
          <w:tcPr>
            <w:tcW w:w="13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数量</w:t>
            </w: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林明玲</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境内自然人</w:t>
            </w:r>
          </w:p>
        </w:tc>
        <w:tc>
          <w:tcPr>
            <w:tcW w:w="76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28.80%</w:t>
            </w:r>
          </w:p>
        </w:tc>
        <w:tc>
          <w:tcPr>
            <w:tcW w:w="113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19,327,824</w:t>
            </w:r>
          </w:p>
        </w:tc>
        <w:tc>
          <w:tcPr>
            <w:tcW w:w="99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c>
          <w:tcPr>
            <w:tcW w:w="141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14,495,868</w:t>
            </w:r>
          </w:p>
        </w:tc>
        <w:tc>
          <w:tcPr>
            <w:tcW w:w="1276"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4,831,956</w:t>
            </w:r>
          </w:p>
        </w:tc>
        <w:tc>
          <w:tcPr>
            <w:tcW w:w="99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质押</w:t>
            </w:r>
          </w:p>
        </w:tc>
        <w:tc>
          <w:tcPr>
            <w:tcW w:w="13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5,180,000</w:t>
            </w: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马学沛</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境内自然人</w:t>
            </w:r>
          </w:p>
        </w:tc>
        <w:tc>
          <w:tcPr>
            <w:tcW w:w="76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6.23%</w:t>
            </w:r>
          </w:p>
        </w:tc>
        <w:tc>
          <w:tcPr>
            <w:tcW w:w="113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4,182,120</w:t>
            </w:r>
          </w:p>
        </w:tc>
        <w:tc>
          <w:tcPr>
            <w:tcW w:w="99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c>
          <w:tcPr>
            <w:tcW w:w="141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3,136,590</w:t>
            </w:r>
          </w:p>
        </w:tc>
        <w:tc>
          <w:tcPr>
            <w:tcW w:w="1276"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1,045,530</w:t>
            </w:r>
          </w:p>
        </w:tc>
        <w:tc>
          <w:tcPr>
            <w:tcW w:w="99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质押</w:t>
            </w:r>
          </w:p>
        </w:tc>
        <w:tc>
          <w:tcPr>
            <w:tcW w:w="13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3,600,000</w:t>
            </w: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共青城东兴博元投资中心（有限合伙）</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境内非国有法人</w:t>
            </w:r>
          </w:p>
        </w:tc>
        <w:tc>
          <w:tcPr>
            <w:tcW w:w="76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3.63%</w:t>
            </w:r>
          </w:p>
        </w:tc>
        <w:tc>
          <w:tcPr>
            <w:tcW w:w="113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2,438,401</w:t>
            </w:r>
          </w:p>
        </w:tc>
        <w:tc>
          <w:tcPr>
            <w:tcW w:w="99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c>
          <w:tcPr>
            <w:tcW w:w="1418" w:type="dxa"/>
            <w:tcBorders>
              <w:top w:val="single" w:sz="2" w:space="0" w:color="auto"/>
              <w:left w:val="single" w:sz="2" w:space="0" w:color="auto"/>
              <w:bottom w:val="single" w:sz="2" w:space="0" w:color="auto"/>
              <w:right w:val="single" w:sz="2" w:space="0" w:color="auto"/>
            </w:tcBorders>
            <w:vAlign w:val="center"/>
          </w:tcPr>
          <w:p w:rsidR="00CE3C32" w:rsidRDefault="006413B8">
            <w:pPr>
              <w:jc w:val="right"/>
            </w:pPr>
            <w:r>
              <w:rPr>
                <w:rFonts w:ascii="Times New Roman" w:eastAsia="宋体" w:hAnsi="Times New Roman" w:cs="Times New Roman"/>
                <w:sz w:val="18"/>
                <w:szCs w:val="18"/>
              </w:rPr>
              <w:t>0</w:t>
            </w:r>
          </w:p>
        </w:tc>
        <w:tc>
          <w:tcPr>
            <w:tcW w:w="1276"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jc w:val="right"/>
            </w:pPr>
            <w:r>
              <w:rPr>
                <w:rFonts w:ascii="Times New Roman" w:eastAsia="宋体" w:hAnsi="Times New Roman" w:cs="Times New Roman"/>
                <w:sz w:val="18"/>
                <w:szCs w:val="18"/>
              </w:rPr>
              <w:t>0</w:t>
            </w:r>
          </w:p>
        </w:tc>
        <w:tc>
          <w:tcPr>
            <w:tcW w:w="99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c>
          <w:tcPr>
            <w:tcW w:w="13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南京优志投资管理合伙企业（有限合伙）</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境内非国有法人</w:t>
            </w:r>
          </w:p>
        </w:tc>
        <w:tc>
          <w:tcPr>
            <w:tcW w:w="76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3.01%</w:t>
            </w:r>
          </w:p>
        </w:tc>
        <w:tc>
          <w:tcPr>
            <w:tcW w:w="113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2,017,000</w:t>
            </w:r>
          </w:p>
        </w:tc>
        <w:tc>
          <w:tcPr>
            <w:tcW w:w="99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-858</w:t>
            </w:r>
            <w:r>
              <w:rPr>
                <w:rFonts w:ascii="Times New Roman" w:eastAsia="宋体" w:hAnsi="Times New Roman" w:cs="Times New Roman" w:hint="eastAsia"/>
                <w:sz w:val="18"/>
                <w:szCs w:val="18"/>
              </w:rPr>
              <w:t>,</w:t>
            </w:r>
            <w:r>
              <w:rPr>
                <w:rFonts w:ascii="Times New Roman" w:eastAsia="宋体" w:hAnsi="Times New Roman" w:cs="Times New Roman"/>
                <w:sz w:val="18"/>
                <w:szCs w:val="18"/>
              </w:rPr>
              <w:t>000</w:t>
            </w:r>
          </w:p>
        </w:tc>
        <w:tc>
          <w:tcPr>
            <w:tcW w:w="1418" w:type="dxa"/>
            <w:tcBorders>
              <w:top w:val="single" w:sz="2" w:space="0" w:color="auto"/>
              <w:left w:val="single" w:sz="2" w:space="0" w:color="auto"/>
              <w:bottom w:val="single" w:sz="2" w:space="0" w:color="auto"/>
              <w:right w:val="single" w:sz="2" w:space="0" w:color="auto"/>
            </w:tcBorders>
            <w:vAlign w:val="center"/>
          </w:tcPr>
          <w:p w:rsidR="00CE3C32" w:rsidRDefault="006413B8">
            <w:pPr>
              <w:jc w:val="right"/>
            </w:pPr>
            <w:r>
              <w:rPr>
                <w:rFonts w:ascii="Times New Roman" w:eastAsia="宋体" w:hAnsi="Times New Roman" w:cs="Times New Roman"/>
                <w:sz w:val="18"/>
                <w:szCs w:val="18"/>
              </w:rPr>
              <w:t>0</w:t>
            </w:r>
          </w:p>
        </w:tc>
        <w:tc>
          <w:tcPr>
            <w:tcW w:w="1276"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jc w:val="right"/>
            </w:pPr>
            <w:r>
              <w:rPr>
                <w:rFonts w:ascii="Times New Roman" w:eastAsia="宋体" w:hAnsi="Times New Roman" w:cs="Times New Roman"/>
                <w:sz w:val="18"/>
                <w:szCs w:val="18"/>
              </w:rPr>
              <w:t>0</w:t>
            </w:r>
          </w:p>
        </w:tc>
        <w:tc>
          <w:tcPr>
            <w:tcW w:w="99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质押</w:t>
            </w:r>
          </w:p>
        </w:tc>
        <w:tc>
          <w:tcPr>
            <w:tcW w:w="13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1,500,000</w:t>
            </w: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前海大唐英加（深圳）基金管理</w:t>
            </w:r>
            <w:r>
              <w:rPr>
                <w:rFonts w:ascii="Times New Roman" w:eastAsia="宋体" w:hAnsi="Times New Roman" w:cs="Times New Roman"/>
                <w:sz w:val="18"/>
                <w:szCs w:val="18"/>
              </w:rPr>
              <w:lastRenderedPageBreak/>
              <w:t>有限公司－英加黑马八十一号私募证券投资基金</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其他</w:t>
            </w:r>
          </w:p>
        </w:tc>
        <w:tc>
          <w:tcPr>
            <w:tcW w:w="76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1.70%</w:t>
            </w:r>
          </w:p>
        </w:tc>
        <w:tc>
          <w:tcPr>
            <w:tcW w:w="113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1,140,000</w:t>
            </w:r>
          </w:p>
        </w:tc>
        <w:tc>
          <w:tcPr>
            <w:tcW w:w="99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hint="eastAsia"/>
                <w:sz w:val="18"/>
                <w:szCs w:val="18"/>
              </w:rPr>
              <w:t>,</w:t>
            </w:r>
            <w:r>
              <w:rPr>
                <w:rFonts w:ascii="Times New Roman" w:eastAsia="宋体" w:hAnsi="Times New Roman" w:cs="Times New Roman"/>
                <w:sz w:val="18"/>
                <w:szCs w:val="18"/>
              </w:rPr>
              <w:t>140</w:t>
            </w:r>
            <w:r>
              <w:rPr>
                <w:rFonts w:ascii="Times New Roman" w:eastAsia="宋体" w:hAnsi="Times New Roman" w:cs="Times New Roman" w:hint="eastAsia"/>
                <w:sz w:val="18"/>
                <w:szCs w:val="18"/>
              </w:rPr>
              <w:t>,</w:t>
            </w:r>
            <w:r>
              <w:rPr>
                <w:rFonts w:ascii="Times New Roman" w:eastAsia="宋体" w:hAnsi="Times New Roman" w:cs="Times New Roman"/>
                <w:sz w:val="18"/>
                <w:szCs w:val="18"/>
              </w:rPr>
              <w:t>000</w:t>
            </w:r>
          </w:p>
        </w:tc>
        <w:tc>
          <w:tcPr>
            <w:tcW w:w="141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c>
          <w:tcPr>
            <w:tcW w:w="1276"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jc w:val="right"/>
            </w:pPr>
            <w:r>
              <w:rPr>
                <w:rFonts w:ascii="Times New Roman" w:eastAsia="宋体" w:hAnsi="Times New Roman" w:cs="Times New Roman"/>
                <w:sz w:val="18"/>
                <w:szCs w:val="18"/>
              </w:rPr>
              <w:t>0</w:t>
            </w:r>
          </w:p>
        </w:tc>
        <w:tc>
          <w:tcPr>
            <w:tcW w:w="99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c>
          <w:tcPr>
            <w:tcW w:w="13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南京乐遂信息咨询管理合伙企业（有限合伙）</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境内非国有法人</w:t>
            </w:r>
          </w:p>
        </w:tc>
        <w:tc>
          <w:tcPr>
            <w:tcW w:w="76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0.98%</w:t>
            </w:r>
          </w:p>
        </w:tc>
        <w:tc>
          <w:tcPr>
            <w:tcW w:w="113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658,846</w:t>
            </w:r>
          </w:p>
        </w:tc>
        <w:tc>
          <w:tcPr>
            <w:tcW w:w="99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-324</w:t>
            </w:r>
            <w:r>
              <w:rPr>
                <w:rFonts w:ascii="Times New Roman" w:eastAsia="宋体" w:hAnsi="Times New Roman" w:cs="Times New Roman" w:hint="eastAsia"/>
                <w:sz w:val="18"/>
                <w:szCs w:val="18"/>
              </w:rPr>
              <w:t>,</w:t>
            </w:r>
            <w:r>
              <w:rPr>
                <w:rFonts w:ascii="Times New Roman" w:eastAsia="宋体" w:hAnsi="Times New Roman" w:cs="Times New Roman"/>
                <w:sz w:val="18"/>
                <w:szCs w:val="18"/>
              </w:rPr>
              <w:t>340</w:t>
            </w:r>
          </w:p>
        </w:tc>
        <w:tc>
          <w:tcPr>
            <w:tcW w:w="141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c>
          <w:tcPr>
            <w:tcW w:w="1276"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jc w:val="right"/>
            </w:pPr>
            <w:r>
              <w:rPr>
                <w:rFonts w:ascii="Times New Roman" w:eastAsia="宋体" w:hAnsi="Times New Roman" w:cs="Times New Roman"/>
                <w:sz w:val="18"/>
                <w:szCs w:val="18"/>
              </w:rPr>
              <w:t>0</w:t>
            </w:r>
          </w:p>
        </w:tc>
        <w:tc>
          <w:tcPr>
            <w:tcW w:w="99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c>
          <w:tcPr>
            <w:tcW w:w="13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广东天亿马信息产业股份有限公司－</w:t>
            </w:r>
            <w:r>
              <w:rPr>
                <w:rFonts w:ascii="Times New Roman" w:eastAsia="宋体" w:hAnsi="Times New Roman" w:cs="Times New Roman"/>
                <w:sz w:val="18"/>
                <w:szCs w:val="18"/>
              </w:rPr>
              <w:t>2023</w:t>
            </w:r>
            <w:r>
              <w:rPr>
                <w:rFonts w:ascii="Times New Roman" w:eastAsia="宋体" w:hAnsi="Times New Roman" w:cs="Times New Roman"/>
                <w:sz w:val="18"/>
                <w:szCs w:val="18"/>
              </w:rPr>
              <w:t>年员工持股计划</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76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0.70%</w:t>
            </w:r>
          </w:p>
        </w:tc>
        <w:tc>
          <w:tcPr>
            <w:tcW w:w="113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472,400</w:t>
            </w:r>
          </w:p>
        </w:tc>
        <w:tc>
          <w:tcPr>
            <w:tcW w:w="99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c>
          <w:tcPr>
            <w:tcW w:w="141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c>
          <w:tcPr>
            <w:tcW w:w="1276"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jc w:val="right"/>
            </w:pPr>
            <w:bookmarkStart w:id="90" w:name="OLE_LINK1"/>
            <w:bookmarkStart w:id="91" w:name="OLE_LINK2"/>
            <w:r>
              <w:rPr>
                <w:rFonts w:ascii="Times New Roman" w:eastAsia="宋体" w:hAnsi="Times New Roman" w:cs="Times New Roman"/>
                <w:sz w:val="18"/>
                <w:szCs w:val="18"/>
              </w:rPr>
              <w:t>0</w:t>
            </w:r>
            <w:bookmarkEnd w:id="90"/>
            <w:bookmarkEnd w:id="91"/>
          </w:p>
        </w:tc>
        <w:tc>
          <w:tcPr>
            <w:tcW w:w="99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c>
          <w:tcPr>
            <w:tcW w:w="13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刘晋礼</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境内自然人</w:t>
            </w:r>
          </w:p>
        </w:tc>
        <w:tc>
          <w:tcPr>
            <w:tcW w:w="76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0.58%</w:t>
            </w:r>
          </w:p>
        </w:tc>
        <w:tc>
          <w:tcPr>
            <w:tcW w:w="113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391,100</w:t>
            </w:r>
          </w:p>
        </w:tc>
        <w:tc>
          <w:tcPr>
            <w:tcW w:w="99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391</w:t>
            </w:r>
            <w:r>
              <w:rPr>
                <w:rFonts w:ascii="Times New Roman" w:eastAsia="宋体" w:hAnsi="Times New Roman" w:cs="Times New Roman" w:hint="eastAsia"/>
                <w:sz w:val="18"/>
                <w:szCs w:val="18"/>
              </w:rPr>
              <w:t>,</w:t>
            </w:r>
            <w:r>
              <w:rPr>
                <w:rFonts w:ascii="Times New Roman" w:eastAsia="宋体" w:hAnsi="Times New Roman" w:cs="Times New Roman"/>
                <w:sz w:val="18"/>
                <w:szCs w:val="18"/>
              </w:rPr>
              <w:t>100</w:t>
            </w:r>
          </w:p>
        </w:tc>
        <w:tc>
          <w:tcPr>
            <w:tcW w:w="1418" w:type="dxa"/>
            <w:tcBorders>
              <w:top w:val="single" w:sz="2" w:space="0" w:color="auto"/>
              <w:left w:val="single" w:sz="2" w:space="0" w:color="auto"/>
              <w:bottom w:val="single" w:sz="2" w:space="0" w:color="auto"/>
              <w:right w:val="single" w:sz="2" w:space="0" w:color="auto"/>
            </w:tcBorders>
            <w:vAlign w:val="center"/>
          </w:tcPr>
          <w:p w:rsidR="00CE3C32" w:rsidRDefault="006413B8">
            <w:pPr>
              <w:jc w:val="right"/>
            </w:pPr>
            <w:r>
              <w:rPr>
                <w:rFonts w:ascii="Times New Roman" w:eastAsia="宋体" w:hAnsi="Times New Roman" w:cs="Times New Roman"/>
                <w:sz w:val="18"/>
                <w:szCs w:val="18"/>
              </w:rPr>
              <w:t>0</w:t>
            </w:r>
          </w:p>
        </w:tc>
        <w:tc>
          <w:tcPr>
            <w:tcW w:w="1276"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jc w:val="right"/>
            </w:pPr>
            <w:r>
              <w:rPr>
                <w:rFonts w:ascii="Times New Roman" w:eastAsia="宋体" w:hAnsi="Times New Roman" w:cs="Times New Roman"/>
                <w:sz w:val="18"/>
                <w:szCs w:val="18"/>
              </w:rPr>
              <w:t>0</w:t>
            </w:r>
          </w:p>
        </w:tc>
        <w:tc>
          <w:tcPr>
            <w:tcW w:w="99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c>
          <w:tcPr>
            <w:tcW w:w="13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张国华</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境内自然人</w:t>
            </w:r>
          </w:p>
        </w:tc>
        <w:tc>
          <w:tcPr>
            <w:tcW w:w="76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0.57%</w:t>
            </w:r>
          </w:p>
        </w:tc>
        <w:tc>
          <w:tcPr>
            <w:tcW w:w="113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380,000</w:t>
            </w:r>
          </w:p>
        </w:tc>
        <w:tc>
          <w:tcPr>
            <w:tcW w:w="99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380</w:t>
            </w:r>
            <w:r>
              <w:rPr>
                <w:rFonts w:ascii="Times New Roman" w:eastAsia="宋体" w:hAnsi="Times New Roman" w:cs="Times New Roman" w:hint="eastAsia"/>
                <w:sz w:val="18"/>
                <w:szCs w:val="18"/>
              </w:rPr>
              <w:t>,</w:t>
            </w:r>
            <w:r>
              <w:rPr>
                <w:rFonts w:ascii="Times New Roman" w:eastAsia="宋体" w:hAnsi="Times New Roman" w:cs="Times New Roman"/>
                <w:sz w:val="18"/>
                <w:szCs w:val="18"/>
              </w:rPr>
              <w:t>000</w:t>
            </w:r>
          </w:p>
        </w:tc>
        <w:tc>
          <w:tcPr>
            <w:tcW w:w="1418" w:type="dxa"/>
            <w:tcBorders>
              <w:top w:val="single" w:sz="2" w:space="0" w:color="auto"/>
              <w:left w:val="single" w:sz="2" w:space="0" w:color="auto"/>
              <w:bottom w:val="single" w:sz="2" w:space="0" w:color="auto"/>
              <w:right w:val="single" w:sz="2" w:space="0" w:color="auto"/>
            </w:tcBorders>
            <w:vAlign w:val="center"/>
          </w:tcPr>
          <w:p w:rsidR="00CE3C32" w:rsidRDefault="006413B8">
            <w:pPr>
              <w:jc w:val="right"/>
            </w:pPr>
            <w:r>
              <w:rPr>
                <w:rFonts w:ascii="Times New Roman" w:eastAsia="宋体" w:hAnsi="Times New Roman" w:cs="Times New Roman"/>
                <w:sz w:val="18"/>
                <w:szCs w:val="18"/>
              </w:rPr>
              <w:t>0</w:t>
            </w:r>
          </w:p>
        </w:tc>
        <w:tc>
          <w:tcPr>
            <w:tcW w:w="1276"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jc w:val="right"/>
            </w:pPr>
            <w:r>
              <w:rPr>
                <w:rFonts w:ascii="Times New Roman" w:eastAsia="宋体" w:hAnsi="Times New Roman" w:cs="Times New Roman"/>
                <w:sz w:val="18"/>
                <w:szCs w:val="18"/>
              </w:rPr>
              <w:t>0</w:t>
            </w:r>
          </w:p>
        </w:tc>
        <w:tc>
          <w:tcPr>
            <w:tcW w:w="99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c>
          <w:tcPr>
            <w:tcW w:w="13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r>
      <w:tr w:rsidR="00CE3C32">
        <w:trPr>
          <w:trHeight w:val="240"/>
        </w:trPr>
        <w:tc>
          <w:tcPr>
            <w:tcW w:w="87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前海大唐英加（深圳）基金管理有限公司－大唐英加红马八八号私募证券投资基金</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76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0.53%</w:t>
            </w:r>
          </w:p>
        </w:tc>
        <w:tc>
          <w:tcPr>
            <w:tcW w:w="113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353,000</w:t>
            </w:r>
          </w:p>
        </w:tc>
        <w:tc>
          <w:tcPr>
            <w:tcW w:w="99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353</w:t>
            </w:r>
            <w:r>
              <w:rPr>
                <w:rFonts w:ascii="Times New Roman" w:eastAsia="宋体" w:hAnsi="Times New Roman" w:cs="Times New Roman" w:hint="eastAsia"/>
                <w:sz w:val="18"/>
                <w:szCs w:val="18"/>
              </w:rPr>
              <w:t>,</w:t>
            </w:r>
            <w:r>
              <w:rPr>
                <w:rFonts w:ascii="Times New Roman" w:eastAsia="宋体" w:hAnsi="Times New Roman" w:cs="Times New Roman"/>
                <w:sz w:val="18"/>
                <w:szCs w:val="18"/>
              </w:rPr>
              <w:t>000</w:t>
            </w:r>
          </w:p>
        </w:tc>
        <w:tc>
          <w:tcPr>
            <w:tcW w:w="1418" w:type="dxa"/>
            <w:tcBorders>
              <w:top w:val="single" w:sz="2" w:space="0" w:color="auto"/>
              <w:left w:val="single" w:sz="2" w:space="0" w:color="auto"/>
              <w:bottom w:val="single" w:sz="2" w:space="0" w:color="auto"/>
              <w:right w:val="single" w:sz="2" w:space="0" w:color="auto"/>
            </w:tcBorders>
            <w:vAlign w:val="center"/>
          </w:tcPr>
          <w:p w:rsidR="00CE3C32" w:rsidRDefault="006413B8">
            <w:pPr>
              <w:jc w:val="right"/>
            </w:pPr>
            <w:r>
              <w:rPr>
                <w:rFonts w:ascii="Times New Roman" w:eastAsia="宋体" w:hAnsi="Times New Roman" w:cs="Times New Roman"/>
                <w:sz w:val="18"/>
                <w:szCs w:val="18"/>
              </w:rPr>
              <w:t>0</w:t>
            </w:r>
          </w:p>
        </w:tc>
        <w:tc>
          <w:tcPr>
            <w:tcW w:w="1276"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jc w:val="right"/>
            </w:pPr>
            <w:r>
              <w:rPr>
                <w:rFonts w:ascii="Times New Roman" w:eastAsia="宋体" w:hAnsi="Times New Roman" w:cs="Times New Roman"/>
                <w:sz w:val="18"/>
                <w:szCs w:val="18"/>
              </w:rPr>
              <w:t>0</w:t>
            </w:r>
          </w:p>
        </w:tc>
        <w:tc>
          <w:tcPr>
            <w:tcW w:w="99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tc>
        <w:tc>
          <w:tcPr>
            <w:tcW w:w="13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r>
      <w:tr w:rsidR="00CE3C32">
        <w:trPr>
          <w:trHeight w:val="240"/>
        </w:trPr>
        <w:tc>
          <w:tcPr>
            <w:tcW w:w="1751"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战略投资者或一般法人因配售新股成为前</w:t>
            </w:r>
            <w:r>
              <w:rPr>
                <w:rFonts w:ascii="Times New Roman" w:eastAsia="宋体" w:hAnsi="Times New Roman" w:cs="Times New Roman"/>
                <w:sz w:val="18"/>
                <w:szCs w:val="18"/>
              </w:rPr>
              <w:t>10</w:t>
            </w:r>
            <w:r>
              <w:rPr>
                <w:rFonts w:ascii="Times New Roman" w:eastAsia="宋体" w:hAnsi="Times New Roman" w:cs="Times New Roman"/>
                <w:sz w:val="18"/>
                <w:szCs w:val="18"/>
              </w:rPr>
              <w:t>名股东的情况（如有）（参见注</w:t>
            </w:r>
            <w:r>
              <w:rPr>
                <w:rFonts w:ascii="Times New Roman" w:eastAsia="宋体" w:hAnsi="Times New Roman" w:cs="Times New Roman"/>
                <w:sz w:val="18"/>
                <w:szCs w:val="18"/>
              </w:rPr>
              <w:t>3</w:t>
            </w:r>
            <w:r>
              <w:rPr>
                <w:rFonts w:ascii="Times New Roman" w:eastAsia="宋体" w:hAnsi="Times New Roman" w:cs="Times New Roman"/>
                <w:sz w:val="18"/>
                <w:szCs w:val="18"/>
              </w:rPr>
              <w:t>）</w:t>
            </w:r>
          </w:p>
        </w:tc>
        <w:tc>
          <w:tcPr>
            <w:tcW w:w="7888" w:type="dxa"/>
            <w:gridSpan w:val="8"/>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r>
      <w:tr w:rsidR="00CE3C32">
        <w:trPr>
          <w:trHeight w:val="240"/>
        </w:trPr>
        <w:tc>
          <w:tcPr>
            <w:tcW w:w="1751"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上述股东关联关系或一致行动的说明</w:t>
            </w:r>
          </w:p>
        </w:tc>
        <w:tc>
          <w:tcPr>
            <w:tcW w:w="7888" w:type="dxa"/>
            <w:gridSpan w:val="8"/>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上述股东之间，马学沛与林明玲系夫妻关系，马学沛为南京优志投资管理合伙企业（有限合伙）的有限合伙人。此外，上述其他股东之间未知是否存在关联关系或属于一致行动人。</w:t>
            </w:r>
          </w:p>
        </w:tc>
      </w:tr>
      <w:tr w:rsidR="00CE3C32">
        <w:trPr>
          <w:trHeight w:val="240"/>
        </w:trPr>
        <w:tc>
          <w:tcPr>
            <w:tcW w:w="1751"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上述股东涉及委托</w:t>
            </w:r>
            <w:r>
              <w:rPr>
                <w:rFonts w:ascii="Times New Roman" w:eastAsia="宋体" w:hAnsi="Times New Roman" w:cs="Times New Roman"/>
                <w:sz w:val="18"/>
                <w:szCs w:val="18"/>
              </w:rPr>
              <w:t>/</w:t>
            </w:r>
            <w:r>
              <w:rPr>
                <w:rFonts w:ascii="Times New Roman" w:eastAsia="宋体" w:hAnsi="Times New Roman" w:cs="Times New Roman"/>
                <w:sz w:val="18"/>
                <w:szCs w:val="18"/>
              </w:rPr>
              <w:t>受托表决权、放弃表决权情况的说明</w:t>
            </w:r>
          </w:p>
        </w:tc>
        <w:tc>
          <w:tcPr>
            <w:tcW w:w="7888" w:type="dxa"/>
            <w:gridSpan w:val="8"/>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r>
      <w:tr w:rsidR="00CE3C32">
        <w:trPr>
          <w:trHeight w:val="240"/>
        </w:trPr>
        <w:tc>
          <w:tcPr>
            <w:tcW w:w="1751"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前</w:t>
            </w:r>
            <w:r>
              <w:rPr>
                <w:rFonts w:ascii="Times New Roman" w:eastAsia="宋体" w:hAnsi="Times New Roman" w:cs="Times New Roman"/>
                <w:sz w:val="18"/>
                <w:szCs w:val="18"/>
              </w:rPr>
              <w:t>10</w:t>
            </w:r>
            <w:r>
              <w:rPr>
                <w:rFonts w:ascii="Times New Roman" w:eastAsia="宋体" w:hAnsi="Times New Roman" w:cs="Times New Roman"/>
                <w:sz w:val="18"/>
                <w:szCs w:val="18"/>
              </w:rPr>
              <w:t>名股东中存在回购专户的特别说明（参见注</w:t>
            </w:r>
            <w:r>
              <w:rPr>
                <w:rFonts w:ascii="Times New Roman" w:eastAsia="宋体" w:hAnsi="Times New Roman" w:cs="Times New Roman"/>
                <w:sz w:val="18"/>
                <w:szCs w:val="18"/>
              </w:rPr>
              <w:t>11</w:t>
            </w:r>
            <w:r>
              <w:rPr>
                <w:rFonts w:ascii="Times New Roman" w:eastAsia="宋体" w:hAnsi="Times New Roman" w:cs="Times New Roman"/>
                <w:sz w:val="18"/>
                <w:szCs w:val="18"/>
              </w:rPr>
              <w:t>）</w:t>
            </w:r>
          </w:p>
        </w:tc>
        <w:tc>
          <w:tcPr>
            <w:tcW w:w="7888" w:type="dxa"/>
            <w:gridSpan w:val="8"/>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报告期末，公司回购专户</w:t>
            </w:r>
            <w:r>
              <w:rPr>
                <w:rFonts w:asciiTheme="majorEastAsia" w:eastAsiaTheme="majorEastAsia" w:hAnsiTheme="majorEastAsia" w:cs="Times New Roman"/>
                <w:sz w:val="18"/>
                <w:szCs w:val="18"/>
              </w:rPr>
              <w:t>“</w:t>
            </w:r>
            <w:r>
              <w:rPr>
                <w:rFonts w:ascii="Times New Roman" w:eastAsia="宋体" w:hAnsi="Times New Roman" w:cs="Times New Roman"/>
                <w:sz w:val="18"/>
                <w:szCs w:val="18"/>
              </w:rPr>
              <w:t>广东天亿马信息产业股份有限公司回购专用证券账户</w:t>
            </w:r>
            <w:r>
              <w:rPr>
                <w:rFonts w:asciiTheme="majorEastAsia" w:eastAsiaTheme="majorEastAsia" w:hAnsiTheme="majorEastAsia" w:cs="Times New Roman"/>
                <w:sz w:val="18"/>
                <w:szCs w:val="18"/>
              </w:rPr>
              <w:t>”</w:t>
            </w:r>
            <w:r>
              <w:rPr>
                <w:rFonts w:ascii="Times New Roman" w:eastAsia="宋体" w:hAnsi="Times New Roman" w:cs="Times New Roman"/>
                <w:sz w:val="18"/>
                <w:szCs w:val="18"/>
              </w:rPr>
              <w:t>持有公司股票</w:t>
            </w:r>
            <w:r>
              <w:rPr>
                <w:rFonts w:ascii="Times New Roman" w:eastAsia="宋体" w:hAnsi="Times New Roman" w:cs="Times New Roman"/>
                <w:sz w:val="18"/>
                <w:szCs w:val="18"/>
              </w:rPr>
              <w:t>1,224,140</w:t>
            </w:r>
            <w:r>
              <w:rPr>
                <w:rFonts w:ascii="Times New Roman" w:eastAsia="宋体" w:hAnsi="Times New Roman" w:cs="Times New Roman"/>
                <w:sz w:val="18"/>
                <w:szCs w:val="18"/>
              </w:rPr>
              <w:t>股，占公司报告期末总股本的</w:t>
            </w:r>
            <w:r>
              <w:rPr>
                <w:rFonts w:ascii="Times New Roman" w:eastAsia="宋体" w:hAnsi="Times New Roman" w:cs="Times New Roman"/>
                <w:sz w:val="18"/>
                <w:szCs w:val="18"/>
              </w:rPr>
              <w:t>1.82%</w:t>
            </w:r>
            <w:r>
              <w:rPr>
                <w:rFonts w:ascii="Times New Roman" w:eastAsia="宋体" w:hAnsi="Times New Roman" w:cs="Times New Roman"/>
                <w:sz w:val="18"/>
                <w:szCs w:val="18"/>
              </w:rPr>
              <w:t>。</w:t>
            </w:r>
          </w:p>
        </w:tc>
      </w:tr>
      <w:tr w:rsidR="00CE3C32">
        <w:trPr>
          <w:trHeight w:val="240"/>
        </w:trPr>
        <w:tc>
          <w:tcPr>
            <w:tcW w:w="9639" w:type="dxa"/>
            <w:gridSpan w:val="10"/>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前</w:t>
            </w:r>
            <w:r>
              <w:rPr>
                <w:rFonts w:ascii="Times New Roman" w:eastAsia="宋体" w:hAnsi="Times New Roman" w:cs="Times New Roman"/>
                <w:sz w:val="18"/>
                <w:szCs w:val="18"/>
              </w:rPr>
              <w:t>10</w:t>
            </w:r>
            <w:r>
              <w:rPr>
                <w:rFonts w:ascii="Times New Roman" w:eastAsia="宋体" w:hAnsi="Times New Roman" w:cs="Times New Roman"/>
                <w:sz w:val="18"/>
                <w:szCs w:val="18"/>
              </w:rPr>
              <w:t>名无限售条件股东持股情况（不含通过转融通出借股份、高管锁定股）</w:t>
            </w:r>
          </w:p>
        </w:tc>
      </w:tr>
      <w:tr w:rsidR="00CE3C32">
        <w:trPr>
          <w:trHeight w:val="240"/>
        </w:trPr>
        <w:tc>
          <w:tcPr>
            <w:tcW w:w="1751"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股东名称</w:t>
            </w:r>
          </w:p>
        </w:tc>
        <w:tc>
          <w:tcPr>
            <w:tcW w:w="4382" w:type="dxa"/>
            <w:gridSpan w:val="5"/>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报告期末持有无限售条件股份数量</w:t>
            </w:r>
          </w:p>
        </w:tc>
        <w:tc>
          <w:tcPr>
            <w:tcW w:w="3506"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股份种类</w:t>
            </w:r>
          </w:p>
        </w:tc>
      </w:tr>
      <w:tr w:rsidR="00CE3C32">
        <w:trPr>
          <w:trHeight w:val="240"/>
        </w:trPr>
        <w:tc>
          <w:tcPr>
            <w:tcW w:w="1751"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4382" w:type="dxa"/>
            <w:gridSpan w:val="5"/>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197"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股份种类</w:t>
            </w:r>
          </w:p>
        </w:tc>
        <w:tc>
          <w:tcPr>
            <w:tcW w:w="13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数量</w:t>
            </w:r>
          </w:p>
        </w:tc>
      </w:tr>
      <w:tr w:rsidR="00CE3C32">
        <w:trPr>
          <w:trHeight w:val="240"/>
        </w:trPr>
        <w:tc>
          <w:tcPr>
            <w:tcW w:w="1751"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林明玲</w:t>
            </w:r>
          </w:p>
        </w:tc>
        <w:tc>
          <w:tcPr>
            <w:tcW w:w="4382" w:type="dxa"/>
            <w:gridSpan w:val="5"/>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4,831,956.00</w:t>
            </w:r>
          </w:p>
        </w:tc>
        <w:tc>
          <w:tcPr>
            <w:tcW w:w="2197"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人民币普通股</w:t>
            </w:r>
          </w:p>
        </w:tc>
        <w:tc>
          <w:tcPr>
            <w:tcW w:w="13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4,831,956.00</w:t>
            </w:r>
          </w:p>
        </w:tc>
      </w:tr>
      <w:tr w:rsidR="00CE3C32">
        <w:trPr>
          <w:trHeight w:val="240"/>
        </w:trPr>
        <w:tc>
          <w:tcPr>
            <w:tcW w:w="1751"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共青城东兴博元投资中心（有限合伙）</w:t>
            </w:r>
          </w:p>
        </w:tc>
        <w:tc>
          <w:tcPr>
            <w:tcW w:w="4382" w:type="dxa"/>
            <w:gridSpan w:val="5"/>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2,438,401.00</w:t>
            </w:r>
          </w:p>
        </w:tc>
        <w:tc>
          <w:tcPr>
            <w:tcW w:w="2197"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人民币普通股</w:t>
            </w:r>
          </w:p>
        </w:tc>
        <w:tc>
          <w:tcPr>
            <w:tcW w:w="13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2,438,401.00</w:t>
            </w:r>
          </w:p>
        </w:tc>
      </w:tr>
      <w:tr w:rsidR="00CE3C32">
        <w:trPr>
          <w:trHeight w:val="240"/>
        </w:trPr>
        <w:tc>
          <w:tcPr>
            <w:tcW w:w="1751"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南京优志投资管理合伙企业（有限合伙）</w:t>
            </w:r>
          </w:p>
        </w:tc>
        <w:tc>
          <w:tcPr>
            <w:tcW w:w="4382" w:type="dxa"/>
            <w:gridSpan w:val="5"/>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2,017,000.00</w:t>
            </w:r>
          </w:p>
        </w:tc>
        <w:tc>
          <w:tcPr>
            <w:tcW w:w="2197"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人民币普通股</w:t>
            </w:r>
          </w:p>
        </w:tc>
        <w:tc>
          <w:tcPr>
            <w:tcW w:w="13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2,017,000.00</w:t>
            </w:r>
          </w:p>
        </w:tc>
      </w:tr>
      <w:tr w:rsidR="00CE3C32">
        <w:trPr>
          <w:trHeight w:val="240"/>
        </w:trPr>
        <w:tc>
          <w:tcPr>
            <w:tcW w:w="1751"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前海大唐英加（深圳）基金管理有限公司－英加黑马八十一号私募证券投资基金</w:t>
            </w:r>
          </w:p>
        </w:tc>
        <w:tc>
          <w:tcPr>
            <w:tcW w:w="4382" w:type="dxa"/>
            <w:gridSpan w:val="5"/>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1,140,000.00</w:t>
            </w:r>
          </w:p>
        </w:tc>
        <w:tc>
          <w:tcPr>
            <w:tcW w:w="2197"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人民币普通股</w:t>
            </w:r>
          </w:p>
        </w:tc>
        <w:tc>
          <w:tcPr>
            <w:tcW w:w="13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1,140,000.00</w:t>
            </w:r>
          </w:p>
        </w:tc>
      </w:tr>
      <w:tr w:rsidR="00CE3C32">
        <w:trPr>
          <w:trHeight w:val="240"/>
        </w:trPr>
        <w:tc>
          <w:tcPr>
            <w:tcW w:w="1751"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马学沛</w:t>
            </w:r>
          </w:p>
        </w:tc>
        <w:tc>
          <w:tcPr>
            <w:tcW w:w="4382" w:type="dxa"/>
            <w:gridSpan w:val="5"/>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1,045,530.00</w:t>
            </w:r>
          </w:p>
        </w:tc>
        <w:tc>
          <w:tcPr>
            <w:tcW w:w="2197"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人民币普通股</w:t>
            </w:r>
          </w:p>
        </w:tc>
        <w:tc>
          <w:tcPr>
            <w:tcW w:w="13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1,045,530.00</w:t>
            </w:r>
          </w:p>
        </w:tc>
      </w:tr>
      <w:tr w:rsidR="00CE3C32">
        <w:trPr>
          <w:trHeight w:val="240"/>
        </w:trPr>
        <w:tc>
          <w:tcPr>
            <w:tcW w:w="1751"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南京乐遂信息咨询管理合伙企业（有限合伙）</w:t>
            </w:r>
          </w:p>
        </w:tc>
        <w:tc>
          <w:tcPr>
            <w:tcW w:w="4382" w:type="dxa"/>
            <w:gridSpan w:val="5"/>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658,846.00</w:t>
            </w:r>
          </w:p>
        </w:tc>
        <w:tc>
          <w:tcPr>
            <w:tcW w:w="2197"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人民币普通股</w:t>
            </w:r>
          </w:p>
        </w:tc>
        <w:tc>
          <w:tcPr>
            <w:tcW w:w="13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658,846.00</w:t>
            </w:r>
          </w:p>
        </w:tc>
      </w:tr>
      <w:tr w:rsidR="00CE3C32">
        <w:trPr>
          <w:trHeight w:val="240"/>
        </w:trPr>
        <w:tc>
          <w:tcPr>
            <w:tcW w:w="1751"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广东天亿马信息产业股份有限公司－</w:t>
            </w:r>
            <w:r>
              <w:rPr>
                <w:rFonts w:ascii="Times New Roman" w:eastAsia="宋体" w:hAnsi="Times New Roman" w:cs="Times New Roman"/>
                <w:sz w:val="18"/>
                <w:szCs w:val="18"/>
              </w:rPr>
              <w:t>2023</w:t>
            </w:r>
            <w:r>
              <w:rPr>
                <w:rFonts w:ascii="Times New Roman" w:eastAsia="宋体" w:hAnsi="Times New Roman" w:cs="Times New Roman"/>
                <w:sz w:val="18"/>
                <w:szCs w:val="18"/>
              </w:rPr>
              <w:t>年员工持股计划</w:t>
            </w:r>
          </w:p>
        </w:tc>
        <w:tc>
          <w:tcPr>
            <w:tcW w:w="4382" w:type="dxa"/>
            <w:gridSpan w:val="5"/>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472,400.00</w:t>
            </w:r>
          </w:p>
        </w:tc>
        <w:tc>
          <w:tcPr>
            <w:tcW w:w="2197"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人民币普通股</w:t>
            </w:r>
          </w:p>
        </w:tc>
        <w:tc>
          <w:tcPr>
            <w:tcW w:w="13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472,400.00</w:t>
            </w:r>
          </w:p>
        </w:tc>
      </w:tr>
      <w:tr w:rsidR="00CE3C32">
        <w:trPr>
          <w:trHeight w:val="240"/>
        </w:trPr>
        <w:tc>
          <w:tcPr>
            <w:tcW w:w="1751"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刘晋礼</w:t>
            </w:r>
          </w:p>
        </w:tc>
        <w:tc>
          <w:tcPr>
            <w:tcW w:w="4382" w:type="dxa"/>
            <w:gridSpan w:val="5"/>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391,100.00</w:t>
            </w:r>
          </w:p>
        </w:tc>
        <w:tc>
          <w:tcPr>
            <w:tcW w:w="2197"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人民币普通股</w:t>
            </w:r>
          </w:p>
        </w:tc>
        <w:tc>
          <w:tcPr>
            <w:tcW w:w="13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391,100.00</w:t>
            </w:r>
          </w:p>
        </w:tc>
      </w:tr>
      <w:tr w:rsidR="00CE3C32">
        <w:trPr>
          <w:trHeight w:val="240"/>
        </w:trPr>
        <w:tc>
          <w:tcPr>
            <w:tcW w:w="1751"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张国华</w:t>
            </w:r>
          </w:p>
        </w:tc>
        <w:tc>
          <w:tcPr>
            <w:tcW w:w="4382" w:type="dxa"/>
            <w:gridSpan w:val="5"/>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380,000.00</w:t>
            </w:r>
          </w:p>
        </w:tc>
        <w:tc>
          <w:tcPr>
            <w:tcW w:w="2197"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人民币普通股</w:t>
            </w:r>
          </w:p>
        </w:tc>
        <w:tc>
          <w:tcPr>
            <w:tcW w:w="13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380,000.00</w:t>
            </w:r>
          </w:p>
        </w:tc>
      </w:tr>
      <w:tr w:rsidR="00CE3C32">
        <w:trPr>
          <w:trHeight w:val="240"/>
        </w:trPr>
        <w:tc>
          <w:tcPr>
            <w:tcW w:w="1751"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前海大唐英加（深圳）基金管理有限公司－大唐英加红马八八号私募证券投资基金</w:t>
            </w:r>
          </w:p>
        </w:tc>
        <w:tc>
          <w:tcPr>
            <w:tcW w:w="4382" w:type="dxa"/>
            <w:gridSpan w:val="5"/>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353,000.00</w:t>
            </w:r>
          </w:p>
        </w:tc>
        <w:tc>
          <w:tcPr>
            <w:tcW w:w="2197" w:type="dxa"/>
            <w:gridSpan w:val="2"/>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人民币普通股</w:t>
            </w:r>
          </w:p>
        </w:tc>
        <w:tc>
          <w:tcPr>
            <w:tcW w:w="13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353,000.00</w:t>
            </w:r>
          </w:p>
        </w:tc>
      </w:tr>
      <w:tr w:rsidR="00CE3C32">
        <w:trPr>
          <w:trHeight w:val="240"/>
        </w:trPr>
        <w:tc>
          <w:tcPr>
            <w:tcW w:w="1751"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前</w:t>
            </w:r>
            <w:r>
              <w:rPr>
                <w:rFonts w:ascii="Times New Roman" w:eastAsia="宋体" w:hAnsi="Times New Roman" w:cs="Times New Roman"/>
                <w:sz w:val="18"/>
                <w:szCs w:val="18"/>
              </w:rPr>
              <w:t>10</w:t>
            </w:r>
            <w:r>
              <w:rPr>
                <w:rFonts w:ascii="Times New Roman" w:eastAsia="宋体" w:hAnsi="Times New Roman" w:cs="Times New Roman"/>
                <w:sz w:val="18"/>
                <w:szCs w:val="18"/>
              </w:rPr>
              <w:t>名无限售流通股股东之间，以及前</w:t>
            </w:r>
            <w:r>
              <w:rPr>
                <w:rFonts w:ascii="Times New Roman" w:eastAsia="宋体" w:hAnsi="Times New Roman" w:cs="Times New Roman"/>
                <w:sz w:val="18"/>
                <w:szCs w:val="18"/>
              </w:rPr>
              <w:t>10</w:t>
            </w:r>
            <w:r>
              <w:rPr>
                <w:rFonts w:ascii="Times New Roman" w:eastAsia="宋体" w:hAnsi="Times New Roman" w:cs="Times New Roman"/>
                <w:sz w:val="18"/>
                <w:szCs w:val="18"/>
              </w:rPr>
              <w:t>名无限售流通股股东和前</w:t>
            </w:r>
            <w:r>
              <w:rPr>
                <w:rFonts w:ascii="Times New Roman" w:eastAsia="宋体" w:hAnsi="Times New Roman" w:cs="Times New Roman"/>
                <w:sz w:val="18"/>
                <w:szCs w:val="18"/>
              </w:rPr>
              <w:t>10</w:t>
            </w:r>
            <w:r>
              <w:rPr>
                <w:rFonts w:ascii="Times New Roman" w:eastAsia="宋体" w:hAnsi="Times New Roman" w:cs="Times New Roman"/>
                <w:sz w:val="18"/>
                <w:szCs w:val="18"/>
              </w:rPr>
              <w:t>名股东之间关联关系或一致行动的说明</w:t>
            </w:r>
          </w:p>
        </w:tc>
        <w:tc>
          <w:tcPr>
            <w:tcW w:w="7888" w:type="dxa"/>
            <w:gridSpan w:val="8"/>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上述股东之间，马学沛与林明玲系夫妻关系，马学沛为南京优志投资管理合伙企业（有限合伙）的有限合伙人。此外，上述其他股东之间未知是否存在关联关系或属于一致行动人。</w:t>
            </w:r>
          </w:p>
        </w:tc>
      </w:tr>
      <w:tr w:rsidR="00CE3C32">
        <w:trPr>
          <w:trHeight w:val="240"/>
        </w:trPr>
        <w:tc>
          <w:tcPr>
            <w:tcW w:w="1751"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前</w:t>
            </w:r>
            <w:r>
              <w:rPr>
                <w:rFonts w:ascii="Times New Roman" w:eastAsia="宋体" w:hAnsi="Times New Roman" w:cs="Times New Roman"/>
                <w:sz w:val="18"/>
                <w:szCs w:val="18"/>
              </w:rPr>
              <w:t>10</w:t>
            </w:r>
            <w:r>
              <w:rPr>
                <w:rFonts w:ascii="Times New Roman" w:eastAsia="宋体" w:hAnsi="Times New Roman" w:cs="Times New Roman"/>
                <w:sz w:val="18"/>
                <w:szCs w:val="18"/>
              </w:rPr>
              <w:t>名普通股股东参与融资融券业务股东情况说明（如有）（参见注</w:t>
            </w:r>
            <w:r>
              <w:rPr>
                <w:rFonts w:ascii="Times New Roman" w:eastAsia="宋体" w:hAnsi="Times New Roman" w:cs="Times New Roman"/>
                <w:sz w:val="18"/>
                <w:szCs w:val="18"/>
              </w:rPr>
              <w:t>4</w:t>
            </w:r>
            <w:r>
              <w:rPr>
                <w:rFonts w:ascii="Times New Roman" w:eastAsia="宋体" w:hAnsi="Times New Roman" w:cs="Times New Roman"/>
                <w:sz w:val="18"/>
                <w:szCs w:val="18"/>
              </w:rPr>
              <w:t>）</w:t>
            </w:r>
          </w:p>
        </w:tc>
        <w:tc>
          <w:tcPr>
            <w:tcW w:w="7888" w:type="dxa"/>
            <w:gridSpan w:val="8"/>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宋体" w:eastAsia="宋体" w:hAnsi="宋体" w:cs="宋体" w:hint="eastAsia"/>
                <w:sz w:val="18"/>
                <w:szCs w:val="18"/>
              </w:rPr>
              <w:t>①</w:t>
            </w:r>
            <w:r>
              <w:rPr>
                <w:rFonts w:ascii="Times New Roman" w:eastAsia="宋体" w:hAnsi="Times New Roman" w:cs="Times New Roman"/>
                <w:sz w:val="18"/>
                <w:szCs w:val="18"/>
              </w:rPr>
              <w:t>前海大唐英加（深圳）基金管理有限公司－英加黑马八十一号私募证券投资基金通过普通证券账户持有公司股份</w:t>
            </w:r>
            <w:r>
              <w:rPr>
                <w:rFonts w:ascii="Times New Roman" w:eastAsia="宋体" w:hAnsi="Times New Roman" w:cs="Times New Roman"/>
                <w:sz w:val="18"/>
                <w:szCs w:val="18"/>
              </w:rPr>
              <w:t>998,000</w:t>
            </w:r>
            <w:r>
              <w:rPr>
                <w:rFonts w:ascii="Times New Roman" w:eastAsia="宋体" w:hAnsi="Times New Roman" w:cs="Times New Roman"/>
                <w:sz w:val="18"/>
                <w:szCs w:val="18"/>
              </w:rPr>
              <w:t>股，通过投资者信用证券账户持有公司股份</w:t>
            </w:r>
            <w:r>
              <w:rPr>
                <w:rFonts w:ascii="Times New Roman" w:eastAsia="宋体" w:hAnsi="Times New Roman" w:cs="Times New Roman"/>
                <w:sz w:val="18"/>
                <w:szCs w:val="18"/>
              </w:rPr>
              <w:t>142,000</w:t>
            </w:r>
            <w:r>
              <w:rPr>
                <w:rFonts w:ascii="Times New Roman" w:eastAsia="宋体" w:hAnsi="Times New Roman" w:cs="Times New Roman"/>
                <w:sz w:val="18"/>
                <w:szCs w:val="18"/>
              </w:rPr>
              <w:t>股，合计持有公司股份</w:t>
            </w:r>
            <w:r>
              <w:rPr>
                <w:rFonts w:ascii="Times New Roman" w:eastAsia="宋体" w:hAnsi="Times New Roman" w:cs="Times New Roman"/>
                <w:sz w:val="18"/>
                <w:szCs w:val="18"/>
              </w:rPr>
              <w:t>1,140,000</w:t>
            </w:r>
            <w:r>
              <w:rPr>
                <w:rFonts w:ascii="Times New Roman" w:eastAsia="宋体" w:hAnsi="Times New Roman" w:cs="Times New Roman"/>
                <w:sz w:val="18"/>
                <w:szCs w:val="18"/>
              </w:rPr>
              <w:t>股；</w:t>
            </w:r>
          </w:p>
          <w:p w:rsidR="00CE3C32" w:rsidRDefault="006413B8">
            <w:pPr>
              <w:spacing w:line="240" w:lineRule="exact"/>
              <w:rPr>
                <w:rFonts w:ascii="Times New Roman" w:eastAsia="宋体" w:hAnsi="Times New Roman" w:cs="Times New Roman"/>
                <w:sz w:val="18"/>
                <w:szCs w:val="18"/>
              </w:rPr>
            </w:pPr>
            <w:r>
              <w:rPr>
                <w:rFonts w:ascii="宋体" w:eastAsia="宋体" w:hAnsi="宋体" w:cs="宋体" w:hint="eastAsia"/>
                <w:sz w:val="18"/>
                <w:szCs w:val="18"/>
              </w:rPr>
              <w:t>②</w:t>
            </w:r>
            <w:r>
              <w:rPr>
                <w:rFonts w:ascii="Times New Roman" w:eastAsia="宋体" w:hAnsi="Times New Roman" w:cs="Times New Roman"/>
                <w:sz w:val="18"/>
                <w:szCs w:val="18"/>
              </w:rPr>
              <w:t>张国华通过普通证券账户持有公司股份</w:t>
            </w:r>
            <w:r>
              <w:rPr>
                <w:rFonts w:ascii="Times New Roman" w:eastAsia="宋体" w:hAnsi="Times New Roman" w:cs="Times New Roman"/>
                <w:sz w:val="18"/>
                <w:szCs w:val="18"/>
              </w:rPr>
              <w:t>0</w:t>
            </w:r>
            <w:r>
              <w:rPr>
                <w:rFonts w:ascii="Times New Roman" w:eastAsia="宋体" w:hAnsi="Times New Roman" w:cs="Times New Roman"/>
                <w:sz w:val="18"/>
                <w:szCs w:val="18"/>
              </w:rPr>
              <w:t>股，通过投资者信用证券账户持有公司股份</w:t>
            </w:r>
            <w:r>
              <w:rPr>
                <w:rFonts w:ascii="Times New Roman" w:eastAsia="宋体" w:hAnsi="Times New Roman" w:cs="Times New Roman"/>
                <w:sz w:val="18"/>
                <w:szCs w:val="18"/>
              </w:rPr>
              <w:t>380,000</w:t>
            </w:r>
            <w:r>
              <w:rPr>
                <w:rFonts w:ascii="Times New Roman" w:eastAsia="宋体" w:hAnsi="Times New Roman" w:cs="Times New Roman"/>
                <w:sz w:val="18"/>
                <w:szCs w:val="18"/>
              </w:rPr>
              <w:t>股，合计持有公司股份</w:t>
            </w:r>
            <w:r>
              <w:rPr>
                <w:rFonts w:ascii="Times New Roman" w:eastAsia="宋体" w:hAnsi="Times New Roman" w:cs="Times New Roman"/>
                <w:sz w:val="18"/>
                <w:szCs w:val="18"/>
              </w:rPr>
              <w:t>380,000</w:t>
            </w:r>
            <w:r>
              <w:rPr>
                <w:rFonts w:ascii="Times New Roman" w:eastAsia="宋体" w:hAnsi="Times New Roman" w:cs="Times New Roman"/>
                <w:sz w:val="18"/>
                <w:szCs w:val="18"/>
              </w:rPr>
              <w:t>股；</w:t>
            </w:r>
          </w:p>
          <w:p w:rsidR="00CE3C32" w:rsidRDefault="006413B8">
            <w:pPr>
              <w:spacing w:line="240" w:lineRule="exact"/>
              <w:rPr>
                <w:rFonts w:ascii="Times New Roman" w:eastAsia="宋体" w:hAnsi="Times New Roman" w:cs="Times New Roman"/>
                <w:sz w:val="18"/>
                <w:szCs w:val="18"/>
              </w:rPr>
            </w:pPr>
            <w:r>
              <w:rPr>
                <w:rFonts w:ascii="宋体" w:eastAsia="宋体" w:hAnsi="宋体" w:cs="宋体" w:hint="eastAsia"/>
                <w:sz w:val="18"/>
                <w:szCs w:val="18"/>
              </w:rPr>
              <w:t>③</w:t>
            </w:r>
            <w:r>
              <w:rPr>
                <w:rFonts w:ascii="Times New Roman" w:eastAsia="宋体" w:hAnsi="Times New Roman" w:cs="Times New Roman"/>
                <w:sz w:val="18"/>
                <w:szCs w:val="18"/>
              </w:rPr>
              <w:t>前海大唐英加（深圳）基金管理有限公司－大唐英加红马八八号私募证券投资基金通过普通证券账户持有公司股份</w:t>
            </w:r>
            <w:r>
              <w:rPr>
                <w:rFonts w:ascii="Times New Roman" w:eastAsia="宋体" w:hAnsi="Times New Roman" w:cs="Times New Roman"/>
                <w:sz w:val="18"/>
                <w:szCs w:val="18"/>
              </w:rPr>
              <w:t>0</w:t>
            </w:r>
            <w:r>
              <w:rPr>
                <w:rFonts w:ascii="Times New Roman" w:eastAsia="宋体" w:hAnsi="Times New Roman" w:cs="Times New Roman"/>
                <w:sz w:val="18"/>
                <w:szCs w:val="18"/>
              </w:rPr>
              <w:t>股，通过投资者信用证券账户持有公司股份</w:t>
            </w:r>
            <w:r>
              <w:rPr>
                <w:rFonts w:ascii="Times New Roman" w:eastAsia="宋体" w:hAnsi="Times New Roman" w:cs="Times New Roman"/>
                <w:sz w:val="18"/>
                <w:szCs w:val="18"/>
              </w:rPr>
              <w:t>353,000</w:t>
            </w:r>
            <w:r>
              <w:rPr>
                <w:rFonts w:ascii="Times New Roman" w:eastAsia="宋体" w:hAnsi="Times New Roman" w:cs="Times New Roman"/>
                <w:sz w:val="18"/>
                <w:szCs w:val="18"/>
              </w:rPr>
              <w:t>股，合计持有公司股份</w:t>
            </w:r>
            <w:r>
              <w:rPr>
                <w:rFonts w:ascii="Times New Roman" w:eastAsia="宋体" w:hAnsi="Times New Roman" w:cs="Times New Roman"/>
                <w:sz w:val="18"/>
                <w:szCs w:val="18"/>
              </w:rPr>
              <w:t>353,000</w:t>
            </w:r>
            <w:r>
              <w:rPr>
                <w:rFonts w:ascii="Times New Roman" w:eastAsia="宋体" w:hAnsi="Times New Roman" w:cs="Times New Roman"/>
                <w:sz w:val="18"/>
                <w:szCs w:val="18"/>
              </w:rPr>
              <w:t>股。</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持股</w:t>
      </w:r>
      <w:r>
        <w:rPr>
          <w:rFonts w:ascii="Times New Roman" w:eastAsia="宋体" w:hAnsi="Times New Roman" w:cs="Times New Roman"/>
          <w:sz w:val="18"/>
          <w:szCs w:val="18"/>
        </w:rPr>
        <w:t>5%</w:t>
      </w:r>
      <w:r>
        <w:rPr>
          <w:rFonts w:ascii="Times New Roman" w:eastAsia="宋体" w:hAnsi="Times New Roman" w:cs="Times New Roman"/>
          <w:sz w:val="18"/>
          <w:szCs w:val="18"/>
        </w:rPr>
        <w:t>以上股东、前</w:t>
      </w:r>
      <w:r>
        <w:rPr>
          <w:rFonts w:ascii="Times New Roman" w:eastAsia="宋体" w:hAnsi="Times New Roman" w:cs="Times New Roman"/>
          <w:sz w:val="18"/>
          <w:szCs w:val="18"/>
        </w:rPr>
        <w:t>10</w:t>
      </w:r>
      <w:r>
        <w:rPr>
          <w:rFonts w:ascii="Times New Roman" w:eastAsia="宋体" w:hAnsi="Times New Roman" w:cs="Times New Roman"/>
          <w:sz w:val="18"/>
          <w:szCs w:val="18"/>
        </w:rPr>
        <w:t>名股东及前</w:t>
      </w:r>
      <w:r>
        <w:rPr>
          <w:rFonts w:ascii="Times New Roman" w:eastAsia="宋体" w:hAnsi="Times New Roman" w:cs="Times New Roman"/>
          <w:sz w:val="18"/>
          <w:szCs w:val="18"/>
        </w:rPr>
        <w:t>10</w:t>
      </w:r>
      <w:r>
        <w:rPr>
          <w:rFonts w:ascii="Times New Roman" w:eastAsia="宋体" w:hAnsi="Times New Roman" w:cs="Times New Roman"/>
          <w:sz w:val="18"/>
          <w:szCs w:val="18"/>
        </w:rPr>
        <w:t>名无限售流通股股东参与转融通业务出借股份情况</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前</w:t>
      </w:r>
      <w:r>
        <w:rPr>
          <w:rFonts w:ascii="Times New Roman" w:eastAsia="宋体" w:hAnsi="Times New Roman" w:cs="Times New Roman"/>
          <w:sz w:val="18"/>
          <w:szCs w:val="18"/>
        </w:rPr>
        <w:t>10</w:t>
      </w:r>
      <w:r>
        <w:rPr>
          <w:rFonts w:ascii="Times New Roman" w:eastAsia="宋体" w:hAnsi="Times New Roman" w:cs="Times New Roman"/>
          <w:sz w:val="18"/>
          <w:szCs w:val="18"/>
        </w:rPr>
        <w:t>名股东及前</w:t>
      </w:r>
      <w:r>
        <w:rPr>
          <w:rFonts w:ascii="Times New Roman" w:eastAsia="宋体" w:hAnsi="Times New Roman" w:cs="Times New Roman"/>
          <w:sz w:val="18"/>
          <w:szCs w:val="18"/>
        </w:rPr>
        <w:t>10</w:t>
      </w:r>
      <w:r>
        <w:rPr>
          <w:rFonts w:ascii="Times New Roman" w:eastAsia="宋体" w:hAnsi="Times New Roman" w:cs="Times New Roman"/>
          <w:sz w:val="18"/>
          <w:szCs w:val="18"/>
        </w:rPr>
        <w:t>名无限售流通股股东因转融通出借</w:t>
      </w:r>
      <w:r>
        <w:rPr>
          <w:rFonts w:ascii="Times New Roman" w:eastAsia="宋体" w:hAnsi="Times New Roman" w:cs="Times New Roman"/>
          <w:sz w:val="18"/>
          <w:szCs w:val="18"/>
        </w:rPr>
        <w:t>/</w:t>
      </w:r>
      <w:r>
        <w:rPr>
          <w:rFonts w:ascii="Times New Roman" w:eastAsia="宋体" w:hAnsi="Times New Roman" w:cs="Times New Roman"/>
          <w:sz w:val="18"/>
          <w:szCs w:val="18"/>
        </w:rPr>
        <w:t>归还原因导致较上期发生变化</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公司是否具有表决权差异安排</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是</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否</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公司前</w:t>
      </w:r>
      <w:r>
        <w:rPr>
          <w:rFonts w:ascii="Times New Roman" w:eastAsia="宋体" w:hAnsi="Times New Roman" w:cs="Times New Roman"/>
          <w:sz w:val="18"/>
          <w:szCs w:val="18"/>
        </w:rPr>
        <w:t>10</w:t>
      </w:r>
      <w:r>
        <w:rPr>
          <w:rFonts w:ascii="Times New Roman" w:eastAsia="宋体" w:hAnsi="Times New Roman" w:cs="Times New Roman"/>
          <w:sz w:val="18"/>
          <w:szCs w:val="18"/>
        </w:rPr>
        <w:t>名普通股股东、前</w:t>
      </w:r>
      <w:r>
        <w:rPr>
          <w:rFonts w:ascii="Times New Roman" w:eastAsia="宋体" w:hAnsi="Times New Roman" w:cs="Times New Roman"/>
          <w:sz w:val="18"/>
          <w:szCs w:val="18"/>
        </w:rPr>
        <w:t>10</w:t>
      </w:r>
      <w:r>
        <w:rPr>
          <w:rFonts w:ascii="Times New Roman" w:eastAsia="宋体" w:hAnsi="Times New Roman" w:cs="Times New Roman"/>
          <w:sz w:val="18"/>
          <w:szCs w:val="18"/>
        </w:rPr>
        <w:t>名无限售条件普通股股东在报告期内是否进行约定购回交易</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是</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否</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公司前</w:t>
      </w:r>
      <w:r>
        <w:rPr>
          <w:rFonts w:ascii="Times New Roman" w:eastAsia="宋体" w:hAnsi="Times New Roman" w:cs="Times New Roman"/>
          <w:sz w:val="18"/>
          <w:szCs w:val="18"/>
        </w:rPr>
        <w:t>10</w:t>
      </w:r>
      <w:r>
        <w:rPr>
          <w:rFonts w:ascii="Times New Roman" w:eastAsia="宋体" w:hAnsi="Times New Roman" w:cs="Times New Roman"/>
          <w:sz w:val="18"/>
          <w:szCs w:val="18"/>
        </w:rPr>
        <w:t>名普通股股东、前</w:t>
      </w:r>
      <w:r>
        <w:rPr>
          <w:rFonts w:ascii="Times New Roman" w:eastAsia="宋体" w:hAnsi="Times New Roman" w:cs="Times New Roman"/>
          <w:sz w:val="18"/>
          <w:szCs w:val="18"/>
        </w:rPr>
        <w:t>10</w:t>
      </w:r>
      <w:r>
        <w:rPr>
          <w:rFonts w:ascii="Times New Roman" w:eastAsia="宋体" w:hAnsi="Times New Roman" w:cs="Times New Roman"/>
          <w:sz w:val="18"/>
          <w:szCs w:val="18"/>
        </w:rPr>
        <w:t>名无限售条件普通股股东在报告期内未进行约定购回交易。</w:t>
      </w:r>
    </w:p>
    <w:p w:rsidR="00CE3C32" w:rsidRDefault="006413B8">
      <w:pPr>
        <w:pStyle w:val="2"/>
        <w:spacing w:before="300" w:after="300" w:line="320" w:lineRule="exact"/>
        <w:rPr>
          <w:rFonts w:ascii="Times New Roman" w:eastAsia="宋体" w:hAnsi="Times New Roman" w:cs="Times New Roman"/>
          <w:b/>
          <w:bCs/>
          <w:sz w:val="24"/>
          <w:szCs w:val="24"/>
        </w:rPr>
      </w:pPr>
      <w:bookmarkStart w:id="92" w:name="_Toc988978"/>
      <w:r>
        <w:rPr>
          <w:rFonts w:ascii="Times New Roman" w:eastAsia="宋体" w:hAnsi="Times New Roman" w:cs="Times New Roman"/>
          <w:b/>
          <w:bCs/>
          <w:sz w:val="24"/>
          <w:szCs w:val="24"/>
        </w:rPr>
        <w:lastRenderedPageBreak/>
        <w:t>四、董事、监事和高级管理人员持股变动</w:t>
      </w:r>
      <w:bookmarkEnd w:id="92"/>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公司董事、监事和高级管理人员在报告期持股情况没有发生变动，具体可参见</w:t>
      </w:r>
      <w:r>
        <w:rPr>
          <w:rFonts w:ascii="Times New Roman" w:eastAsia="宋体" w:hAnsi="Times New Roman" w:cs="Times New Roman"/>
          <w:sz w:val="18"/>
          <w:szCs w:val="18"/>
        </w:rPr>
        <w:t>2024</w:t>
      </w:r>
      <w:r>
        <w:rPr>
          <w:rFonts w:ascii="Times New Roman" w:eastAsia="宋体" w:hAnsi="Times New Roman" w:cs="Times New Roman"/>
          <w:sz w:val="18"/>
          <w:szCs w:val="18"/>
        </w:rPr>
        <w:t>年年报。</w:t>
      </w:r>
    </w:p>
    <w:p w:rsidR="00CE3C32" w:rsidRDefault="006413B8">
      <w:pPr>
        <w:pStyle w:val="2"/>
        <w:spacing w:before="300" w:after="300" w:line="320" w:lineRule="exact"/>
        <w:rPr>
          <w:rFonts w:ascii="Times New Roman" w:eastAsia="宋体" w:hAnsi="Times New Roman" w:cs="Times New Roman"/>
          <w:b/>
          <w:bCs/>
          <w:sz w:val="24"/>
          <w:szCs w:val="24"/>
        </w:rPr>
      </w:pPr>
      <w:bookmarkStart w:id="93" w:name="_Toc988979"/>
      <w:r>
        <w:rPr>
          <w:rFonts w:ascii="Times New Roman" w:eastAsia="宋体" w:hAnsi="Times New Roman" w:cs="Times New Roman"/>
          <w:b/>
          <w:bCs/>
          <w:sz w:val="24"/>
          <w:szCs w:val="24"/>
        </w:rPr>
        <w:t>五、控股股东或实际控制人变更情况</w:t>
      </w:r>
      <w:bookmarkEnd w:id="93"/>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控股股东报告期内变更</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公司报告期控股股东未发生变更。</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实际控制人报告期内变更</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公司报告期实际控制人未发生变更。</w:t>
      </w:r>
    </w:p>
    <w:p w:rsidR="00CE3C32" w:rsidRDefault="006413B8">
      <w:pPr>
        <w:rPr>
          <w:rFonts w:ascii="Times New Roman" w:hAnsi="Times New Roman" w:cs="Times New Roman"/>
        </w:rPr>
      </w:pPr>
      <w:r>
        <w:rPr>
          <w:rFonts w:ascii="Times New Roman" w:hAnsi="Times New Roman" w:cs="Times New Roman"/>
        </w:rPr>
        <w:br w:type="page"/>
      </w:r>
    </w:p>
    <w:p w:rsidR="00CE3C32" w:rsidRDefault="006413B8">
      <w:pPr>
        <w:pStyle w:val="2"/>
        <w:spacing w:before="300" w:after="300" w:line="320" w:lineRule="exact"/>
        <w:rPr>
          <w:rFonts w:ascii="Times New Roman" w:eastAsia="宋体" w:hAnsi="Times New Roman" w:cs="Times New Roman"/>
          <w:b/>
          <w:bCs/>
          <w:sz w:val="24"/>
          <w:szCs w:val="24"/>
        </w:rPr>
      </w:pPr>
      <w:bookmarkStart w:id="94" w:name="_Toc988980"/>
      <w:r>
        <w:rPr>
          <w:rFonts w:ascii="Times New Roman" w:eastAsia="宋体" w:hAnsi="Times New Roman" w:cs="Times New Roman"/>
          <w:b/>
          <w:bCs/>
          <w:sz w:val="24"/>
          <w:szCs w:val="24"/>
        </w:rPr>
        <w:lastRenderedPageBreak/>
        <w:t>六、优先股相关情况</w:t>
      </w:r>
      <w:bookmarkEnd w:id="94"/>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报告期公司不存在优先股。</w:t>
      </w:r>
    </w:p>
    <w:p w:rsidR="00CE3C32" w:rsidRDefault="006413B8">
      <w:pPr>
        <w:rPr>
          <w:rFonts w:ascii="Times New Roman" w:hAnsi="Times New Roman" w:cs="Times New Roman"/>
        </w:rPr>
      </w:pPr>
      <w:r>
        <w:rPr>
          <w:rFonts w:ascii="Times New Roman" w:hAnsi="Times New Roman" w:cs="Times New Roman"/>
        </w:rPr>
        <w:br w:type="page"/>
      </w:r>
    </w:p>
    <w:p w:rsidR="00CE3C32" w:rsidRDefault="006413B8">
      <w:pPr>
        <w:pStyle w:val="headingh1"/>
        <w:spacing w:before="340" w:after="330" w:line="773" w:lineRule="exact"/>
        <w:jc w:val="center"/>
        <w:rPr>
          <w:rFonts w:ascii="Times New Roman" w:eastAsia="宋体" w:hAnsi="Times New Roman" w:cs="Times New Roman"/>
          <w:b/>
          <w:bCs/>
          <w:sz w:val="32"/>
          <w:szCs w:val="32"/>
        </w:rPr>
      </w:pPr>
      <w:bookmarkStart w:id="95" w:name="_Toc988981"/>
      <w:r>
        <w:rPr>
          <w:rFonts w:ascii="Times New Roman" w:eastAsia="宋体" w:hAnsi="Times New Roman" w:cs="Times New Roman"/>
          <w:b/>
          <w:bCs/>
          <w:sz w:val="32"/>
          <w:szCs w:val="32"/>
        </w:rPr>
        <w:lastRenderedPageBreak/>
        <w:t>第七节</w:t>
      </w:r>
      <w:r>
        <w:rPr>
          <w:rFonts w:ascii="Times New Roman" w:eastAsia="宋体" w:hAnsi="Times New Roman" w:cs="Times New Roman"/>
          <w:b/>
          <w:bCs/>
          <w:sz w:val="32"/>
          <w:szCs w:val="32"/>
        </w:rPr>
        <w:t xml:space="preserve"> </w:t>
      </w:r>
      <w:r>
        <w:rPr>
          <w:rFonts w:ascii="Times New Roman" w:eastAsia="宋体" w:hAnsi="Times New Roman" w:cs="Times New Roman"/>
          <w:b/>
          <w:bCs/>
          <w:sz w:val="32"/>
          <w:szCs w:val="32"/>
        </w:rPr>
        <w:t>债券相关情况</w:t>
      </w:r>
      <w:bookmarkEnd w:id="95"/>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rPr>
          <w:rFonts w:ascii="Times New Roman" w:hAnsi="Times New Roman" w:cs="Times New Roman"/>
        </w:rPr>
      </w:pPr>
      <w:r>
        <w:rPr>
          <w:rFonts w:ascii="Times New Roman" w:hAnsi="Times New Roman" w:cs="Times New Roman"/>
        </w:rPr>
        <w:br w:type="page"/>
      </w:r>
    </w:p>
    <w:p w:rsidR="00CE3C32" w:rsidRDefault="006413B8">
      <w:pPr>
        <w:pStyle w:val="headingh1"/>
        <w:spacing w:before="340" w:after="330" w:line="773" w:lineRule="exact"/>
        <w:jc w:val="center"/>
        <w:rPr>
          <w:rFonts w:ascii="Times New Roman" w:eastAsia="宋体" w:hAnsi="Times New Roman" w:cs="Times New Roman"/>
          <w:b/>
          <w:bCs/>
          <w:sz w:val="32"/>
          <w:szCs w:val="32"/>
        </w:rPr>
      </w:pPr>
      <w:bookmarkStart w:id="96" w:name="_Toc988982"/>
      <w:r>
        <w:rPr>
          <w:rFonts w:ascii="Times New Roman" w:eastAsia="宋体" w:hAnsi="Times New Roman" w:cs="Times New Roman"/>
          <w:b/>
          <w:bCs/>
          <w:sz w:val="32"/>
          <w:szCs w:val="32"/>
        </w:rPr>
        <w:lastRenderedPageBreak/>
        <w:t>第八节</w:t>
      </w:r>
      <w:r>
        <w:rPr>
          <w:rFonts w:ascii="Times New Roman" w:eastAsia="宋体" w:hAnsi="Times New Roman" w:cs="Times New Roman"/>
          <w:b/>
          <w:bCs/>
          <w:sz w:val="32"/>
          <w:szCs w:val="32"/>
        </w:rPr>
        <w:t xml:space="preserve"> </w:t>
      </w:r>
      <w:r>
        <w:rPr>
          <w:rFonts w:ascii="Times New Roman" w:eastAsia="宋体" w:hAnsi="Times New Roman" w:cs="Times New Roman"/>
          <w:b/>
          <w:bCs/>
          <w:sz w:val="32"/>
          <w:szCs w:val="32"/>
        </w:rPr>
        <w:t>财务报告</w:t>
      </w:r>
      <w:bookmarkEnd w:id="96"/>
    </w:p>
    <w:p w:rsidR="00CE3C32" w:rsidRDefault="006413B8">
      <w:pPr>
        <w:pStyle w:val="2"/>
        <w:spacing w:before="300" w:after="300" w:line="320" w:lineRule="exact"/>
        <w:rPr>
          <w:rFonts w:ascii="Times New Roman" w:eastAsia="宋体" w:hAnsi="Times New Roman" w:cs="Times New Roman"/>
          <w:b/>
          <w:bCs/>
          <w:sz w:val="24"/>
          <w:szCs w:val="24"/>
        </w:rPr>
      </w:pPr>
      <w:bookmarkStart w:id="97" w:name="_Toc988983"/>
      <w:r>
        <w:rPr>
          <w:rFonts w:ascii="Times New Roman" w:eastAsia="宋体" w:hAnsi="Times New Roman" w:cs="Times New Roman"/>
          <w:b/>
          <w:bCs/>
          <w:sz w:val="24"/>
          <w:szCs w:val="24"/>
        </w:rPr>
        <w:t>一、审计报告</w:t>
      </w:r>
      <w:bookmarkEnd w:id="97"/>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半年度报告是否经过审计</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是</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否</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公司半年度财务报告未经审计。</w:t>
      </w:r>
    </w:p>
    <w:p w:rsidR="00CE3C32" w:rsidRDefault="006413B8">
      <w:pPr>
        <w:pStyle w:val="2"/>
        <w:spacing w:before="300" w:after="300" w:line="320" w:lineRule="exact"/>
        <w:rPr>
          <w:rFonts w:ascii="Times New Roman" w:eastAsia="宋体" w:hAnsi="Times New Roman" w:cs="Times New Roman"/>
          <w:b/>
          <w:bCs/>
          <w:sz w:val="24"/>
          <w:szCs w:val="24"/>
        </w:rPr>
      </w:pPr>
      <w:bookmarkStart w:id="98" w:name="_Toc988984"/>
      <w:r>
        <w:rPr>
          <w:rFonts w:ascii="Times New Roman" w:eastAsia="宋体" w:hAnsi="Times New Roman" w:cs="Times New Roman"/>
          <w:b/>
          <w:bCs/>
          <w:sz w:val="24"/>
          <w:szCs w:val="24"/>
        </w:rPr>
        <w:t>二、财务报表</w:t>
      </w:r>
      <w:bookmarkEnd w:id="98"/>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财务附注中报表的单位为：元</w:t>
      </w:r>
    </w:p>
    <w:p w:rsidR="00CE3C32" w:rsidRDefault="006413B8">
      <w:pPr>
        <w:pStyle w:val="3"/>
        <w:spacing w:line="280" w:lineRule="exact"/>
        <w:jc w:val="left"/>
        <w:rPr>
          <w:rFonts w:ascii="Times New Roman" w:hAnsi="Times New Roman" w:cs="Times New Roman"/>
          <w:b/>
          <w:bCs/>
        </w:rPr>
      </w:pPr>
      <w:bookmarkStart w:id="99" w:name="_Toc988985"/>
      <w:r>
        <w:rPr>
          <w:rFonts w:ascii="Times New Roman" w:hAnsi="Times New Roman" w:cs="Times New Roman"/>
          <w:b/>
          <w:bCs/>
        </w:rPr>
        <w:t>1</w:t>
      </w:r>
      <w:r>
        <w:rPr>
          <w:rFonts w:ascii="Times New Roman" w:hAnsi="Times New Roman" w:cs="Times New Roman"/>
          <w:b/>
          <w:bCs/>
        </w:rPr>
        <w:t>、合并资产负债表</w:t>
      </w:r>
      <w:bookmarkEnd w:id="99"/>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编制单位：广东天亿马信息产业股份有限公司</w:t>
      </w:r>
    </w:p>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06</w:t>
      </w:r>
      <w:r>
        <w:rPr>
          <w:rFonts w:ascii="Times New Roman" w:eastAsia="宋体" w:hAnsi="Times New Roman" w:cs="Times New Roman"/>
          <w:sz w:val="18"/>
          <w:szCs w:val="18"/>
        </w:rPr>
        <w:t>月</w:t>
      </w:r>
      <w:r>
        <w:rPr>
          <w:rFonts w:ascii="Times New Roman" w:eastAsia="宋体" w:hAnsi="Times New Roman" w:cs="Times New Roman"/>
          <w:sz w:val="18"/>
          <w:szCs w:val="18"/>
        </w:rPr>
        <w:t>30</w:t>
      </w:r>
      <w:r>
        <w:rPr>
          <w:rFonts w:ascii="Times New Roman" w:eastAsia="宋体" w:hAnsi="Times New Roman" w:cs="Times New Roman"/>
          <w:sz w:val="18"/>
          <w:szCs w:val="18"/>
        </w:rPr>
        <w:t>日</w:t>
      </w:r>
    </w:p>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276,853,579.25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334,623,835.24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结算备付金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拆出资金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衍生金融资产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应收票据</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2,859,571.00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2,570,000.00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应收账款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296,695,364.36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274,869,881.73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应收款项融资</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预付款项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18,777,386.08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17,067,136.59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应收保费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应收分保账款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应收分保合同准备金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4,025,404.00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3,640,083.65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其中：应收利息</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500" w:firstLine="900"/>
              <w:rPr>
                <w:rFonts w:ascii="Times New Roman" w:eastAsia="宋体" w:hAnsi="Times New Roman" w:cs="Times New Roman"/>
                <w:sz w:val="18"/>
                <w:szCs w:val="18"/>
              </w:rPr>
            </w:pPr>
            <w:r>
              <w:rPr>
                <w:rFonts w:ascii="Times New Roman" w:eastAsia="宋体" w:hAnsi="Times New Roman" w:cs="Times New Roman"/>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买入返售金融资产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141,231,354.58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81,221,817.39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合同资产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4,813,285.14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4,631,369.93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持有待售资产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一年内到期的非流动资产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23,865,338.15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24,399,620.88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其他流动资产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63,287,900.20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54,026,671.97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流动资产合计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832,409,182.76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797,050,417.38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非流动资产：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lastRenderedPageBreak/>
              <w:t>发放贷款和垫款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债权投资</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其他债权投资</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长期应收款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10,487,293.20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10,731,084.36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长期股权投资</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其他权益工具投资</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4,083,400.00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4,083,400.00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其他非流动金融资产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投资性房地产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531,579,387.66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125,026,382.09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3,192,307.78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350,737,899.50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生产性生物资产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油气资产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使用权资产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16,759,555.97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8,594,708.86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158,457.11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167,598.89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开发支出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109,621.70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109,621.70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商誉</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1,875,454.05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1,875,454.05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长期待摊费用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3,981,022.25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2,894,950.75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递延所得税资产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34,248,787.52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31,824,528.08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其他非流动资产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484,927.40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780,329.90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非流动资产合计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606,960,214.64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536,716,336.48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资产总计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1,439,369,397.40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1,333,766,753.86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短期借款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91,447,417.94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46,223,781.13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向中央银行借款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拆入资金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交易性金融负债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衍生金融负债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应付票据</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6,378,346.00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应付账款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93,313,369.88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310,695,296.44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预收款项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合同负债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66,939,345.90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48,564,228.45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卖出回购金融资产款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吸收存款及同业存放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代理买卖证券款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代理承销证券款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应付职工薪酬</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5,921,230.07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11,352,528.93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应交税费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46,580,432.58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49,472,293.38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25,426,182.99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29,616,531.12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其中：应付利息</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500" w:firstLine="900"/>
              <w:rPr>
                <w:rFonts w:ascii="Times New Roman" w:eastAsia="宋体" w:hAnsi="Times New Roman" w:cs="Times New Roman"/>
                <w:sz w:val="18"/>
                <w:szCs w:val="18"/>
              </w:rPr>
            </w:pPr>
            <w:r>
              <w:rPr>
                <w:rFonts w:ascii="Times New Roman" w:eastAsia="宋体" w:hAnsi="Times New Roman" w:cs="Times New Roman"/>
                <w:sz w:val="18"/>
                <w:szCs w:val="18"/>
              </w:rPr>
              <w:lastRenderedPageBreak/>
              <w:t>应付股利</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应付手续费及佣金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应付分保账款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持有待售负债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一年内到期的非流动负债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61,786,053.45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7,213,508.14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其他流动负债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流动负债合计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397,792,378.81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503,138,167.59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非流动负债：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保险合同准备金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长期借款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208,891,736.36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31,937,786.17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应付债券</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500" w:firstLine="900"/>
              <w:rPr>
                <w:rFonts w:ascii="Times New Roman" w:eastAsia="宋体" w:hAnsi="Times New Roman" w:cs="Times New Roman"/>
                <w:sz w:val="18"/>
                <w:szCs w:val="18"/>
              </w:rPr>
            </w:pPr>
            <w:r>
              <w:rPr>
                <w:rFonts w:ascii="Times New Roman" w:eastAsia="宋体" w:hAnsi="Times New Roman" w:cs="Times New Roman"/>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租赁负债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13,036,582.77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5,786,073.08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32,379,402.77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19,306,145.83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长期应付职工薪酬</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预计负债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递延收益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8,747,210.40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7,181,760.61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其他非流动负债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非流动负债合计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263,054,932.30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64,211,765.69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负债合计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660,847,311.11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567,349,933.28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所有者权益：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股本</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67,108,800.00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67,108,800.00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其他权益工具</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500" w:firstLine="900"/>
              <w:rPr>
                <w:rFonts w:ascii="Times New Roman" w:eastAsia="宋体" w:hAnsi="Times New Roman" w:cs="Times New Roman"/>
                <w:sz w:val="18"/>
                <w:szCs w:val="18"/>
              </w:rPr>
            </w:pPr>
            <w:r>
              <w:rPr>
                <w:rFonts w:ascii="Times New Roman" w:eastAsia="宋体" w:hAnsi="Times New Roman" w:cs="Times New Roman"/>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资本公积</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603,981,121.18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598,297,202.73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减：库存股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52,766,172.07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52,740,572.07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-654,948.82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-603,041.44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专项储备</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盈余公积</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25,904,440.33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25,904,440.33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一般风险准备</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未分配利润</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126,368,006.18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120,283,337.88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归属于母公司所有者权益合计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769,941,246.80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758,250,167.43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少数股东权益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8,580,839.49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8,166,653.15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778,522,086.29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766,416,820.58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负债和所有者权益总计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1,439,369,397.40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1,333,766,753.86</w:t>
            </w:r>
          </w:p>
        </w:tc>
      </w:tr>
    </w:tbl>
    <w:p w:rsidR="0003547B" w:rsidRDefault="0003547B">
      <w:pPr>
        <w:spacing w:before="100" w:after="100" w:line="240" w:lineRule="exact"/>
        <w:rPr>
          <w:rFonts w:ascii="Times New Roman" w:eastAsia="宋体" w:hAnsi="Times New Roman" w:cs="Times New Roman"/>
          <w:sz w:val="18"/>
          <w:szCs w:val="18"/>
        </w:rPr>
      </w:pP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法定代表人：林明玲</w:t>
      </w:r>
      <w:r>
        <w:rPr>
          <w:rFonts w:ascii="Times New Roman" w:eastAsia="宋体" w:hAnsi="Times New Roman" w:cs="Times New Roman"/>
          <w:sz w:val="18"/>
          <w:szCs w:val="18"/>
        </w:rPr>
        <w:t xml:space="preserve"> </w:t>
      </w:r>
      <w:r>
        <w:rPr>
          <w:rFonts w:ascii="Times New Roman" w:eastAsia="宋体" w:hAnsi="Times New Roman" w:cs="Times New Roman" w:hint="eastAsia"/>
          <w:sz w:val="18"/>
          <w:szCs w:val="18"/>
        </w:rPr>
        <w:t xml:space="preserve">                            </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主管会计工作负责人：陈焕盛</w:t>
      </w:r>
      <w:r>
        <w:rPr>
          <w:rFonts w:ascii="Times New Roman" w:eastAsia="宋体" w:hAnsi="Times New Roman" w:cs="Times New Roman"/>
          <w:sz w:val="18"/>
          <w:szCs w:val="18"/>
        </w:rPr>
        <w:t xml:space="preserve">    </w:t>
      </w:r>
      <w:r>
        <w:rPr>
          <w:rFonts w:ascii="Times New Roman" w:eastAsia="宋体" w:hAnsi="Times New Roman" w:cs="Times New Roman" w:hint="eastAsia"/>
          <w:sz w:val="18"/>
          <w:szCs w:val="18"/>
        </w:rPr>
        <w:t xml:space="preserve">                                  </w:t>
      </w:r>
      <w:r>
        <w:rPr>
          <w:rFonts w:ascii="Times New Roman" w:eastAsia="宋体" w:hAnsi="Times New Roman" w:cs="Times New Roman"/>
          <w:sz w:val="18"/>
          <w:szCs w:val="18"/>
        </w:rPr>
        <w:t>会计机构负责人：赖宏伟</w:t>
      </w:r>
    </w:p>
    <w:p w:rsidR="0003547B" w:rsidRDefault="0003547B">
      <w:pPr>
        <w:widowControl/>
        <w:rPr>
          <w:rFonts w:ascii="Times New Roman" w:eastAsia="宋体" w:hAnsi="Times New Roman" w:cs="Times New Roman"/>
          <w:sz w:val="18"/>
          <w:szCs w:val="18"/>
        </w:rPr>
      </w:pPr>
      <w:r>
        <w:rPr>
          <w:rFonts w:ascii="Times New Roman" w:eastAsia="宋体" w:hAnsi="Times New Roman" w:cs="Times New Roman"/>
          <w:sz w:val="18"/>
          <w:szCs w:val="18"/>
        </w:rPr>
        <w:br w:type="page"/>
      </w:r>
    </w:p>
    <w:p w:rsidR="00CE3C32" w:rsidRDefault="006413B8">
      <w:pPr>
        <w:pStyle w:val="3"/>
        <w:spacing w:line="320" w:lineRule="exact"/>
        <w:jc w:val="left"/>
        <w:rPr>
          <w:rFonts w:ascii="Times New Roman" w:hAnsi="Times New Roman" w:cs="Times New Roman"/>
          <w:b/>
          <w:bCs/>
          <w:sz w:val="24"/>
          <w:szCs w:val="24"/>
        </w:rPr>
      </w:pPr>
      <w:bookmarkStart w:id="100" w:name="_Toc988986"/>
      <w:r>
        <w:rPr>
          <w:rFonts w:ascii="Times New Roman" w:hAnsi="Times New Roman" w:cs="Times New Roman"/>
          <w:b/>
          <w:bCs/>
          <w:sz w:val="24"/>
          <w:szCs w:val="24"/>
        </w:rPr>
        <w:lastRenderedPageBreak/>
        <w:t>2</w:t>
      </w:r>
      <w:r>
        <w:rPr>
          <w:rFonts w:ascii="Times New Roman" w:hAnsi="Times New Roman" w:cs="Times New Roman"/>
          <w:b/>
          <w:bCs/>
          <w:sz w:val="24"/>
          <w:szCs w:val="24"/>
        </w:rPr>
        <w:t>、母公司资产负债表</w:t>
      </w:r>
      <w:bookmarkEnd w:id="100"/>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202,099,377.14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258,290,885.35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衍生金融资产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应收票据</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2,859,571.00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2,570,000.00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应收账款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219,418,948.34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205,179,639.83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应收款项融资</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预付款项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8,227,792.98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6,998,659.56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133,119,133.78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88,855,492.30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其中：应收利息</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500" w:firstLine="900"/>
              <w:rPr>
                <w:rFonts w:ascii="Times New Roman" w:eastAsia="宋体" w:hAnsi="Times New Roman" w:cs="Times New Roman"/>
                <w:sz w:val="18"/>
                <w:szCs w:val="18"/>
              </w:rPr>
            </w:pPr>
            <w:r>
              <w:rPr>
                <w:rFonts w:ascii="Times New Roman" w:eastAsia="宋体" w:hAnsi="Times New Roman" w:cs="Times New Roman"/>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97,896,693.71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58,680,414.54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合同资产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4,067,093.39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3,885,178.18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持有待售资产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一年内到期的非流动资产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18,358,217.31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18,892,500.04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其他流动资产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45,012,416.14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45,685,625.22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流动资产合计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731,059,243.79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689,038,395.02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非流动资产：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债权投资</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其他债权投资</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长期应收款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10,487,293.20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10,731,084.36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长期股权投资</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197,585,657.12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197,034,286.92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其他权益工具投资</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4,083,400.00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4,083,400.00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其他非流动金融资产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投资性房地产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294,480,250.94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14,779,543.61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294,247,787.62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生产性生物资产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油气资产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使用权资产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108,379.96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49,177.00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158,457.11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167,598.89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开发支出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商誉</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长期待摊费用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302,895.55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452,920.39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递延所得税资产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19,181,025.47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20,076,608.82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其他非流动资产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175,227.40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470,629.90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非流动资产合计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526,562,586.75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542,093,037.51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资产总计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1,257,621,830.54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1,231,131,432.53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短期借款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63,599,883.16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33,210,733.92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交易性金融负债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衍生金融负债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应付票据</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6,378,346.00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应付账款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95,704,159.34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333,640,717.40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预收款项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合同负债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51,767,325.45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41,970,984.31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应付职工薪酬</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2,221,852.27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5,548,544.54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应交税费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31,650,556.18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32,352,900.59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31,360,063.57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39,655,524.65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其中：应付利息</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500" w:firstLine="900"/>
              <w:rPr>
                <w:rFonts w:ascii="Times New Roman" w:eastAsia="宋体" w:hAnsi="Times New Roman" w:cs="Times New Roman"/>
                <w:sz w:val="18"/>
                <w:szCs w:val="18"/>
              </w:rPr>
            </w:pPr>
            <w:r>
              <w:rPr>
                <w:rFonts w:ascii="Times New Roman" w:eastAsia="宋体" w:hAnsi="Times New Roman" w:cs="Times New Roman"/>
                <w:sz w:val="18"/>
                <w:szCs w:val="18"/>
              </w:rPr>
              <w:t>应付股利</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持有待售负债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一年内到期的非流动负债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49,433,005.91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73,698.60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其他流动负债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流动负债合计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332,115,191.88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486,453,104.01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非流动负债：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长期借款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171,400,000.00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应付债券</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500" w:firstLine="900"/>
              <w:rPr>
                <w:rFonts w:ascii="Times New Roman" w:eastAsia="宋体" w:hAnsi="Times New Roman" w:cs="Times New Roman"/>
                <w:sz w:val="18"/>
                <w:szCs w:val="18"/>
              </w:rPr>
            </w:pPr>
            <w:r>
              <w:rPr>
                <w:rFonts w:ascii="Times New Roman" w:eastAsia="宋体" w:hAnsi="Times New Roman" w:cs="Times New Roman"/>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租赁负债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长期应付职工薪酬</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预计负债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递延收益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4,657,973.42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4,754,931.35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其他非流动负债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非流动负债合计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176,057,973.42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4,754,931.35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负债合计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508,173,165.30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491,208,035.36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所有者权益：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股本</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67,108,800.00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67,108,800.00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其他权益工具</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500" w:firstLine="900"/>
              <w:rPr>
                <w:rFonts w:ascii="Times New Roman" w:eastAsia="宋体" w:hAnsi="Times New Roman" w:cs="Times New Roman"/>
                <w:sz w:val="18"/>
                <w:szCs w:val="18"/>
              </w:rPr>
            </w:pPr>
            <w:r>
              <w:rPr>
                <w:rFonts w:ascii="Times New Roman" w:eastAsia="宋体" w:hAnsi="Times New Roman" w:cs="Times New Roman"/>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资本公积</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603,520,801.03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597,836,882.58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减：库存股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52,766,172.07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52,740,572.07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-269,110.00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-269,110.00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专项储备</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盈余公积</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25,904,440.33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25,904,440.33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未分配利润</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105,949,905.95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102,082,956.33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749,448,665.24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739,923,397.17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负债和所有者权益总计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1,257,621,830.54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1,231,131,432.53</w:t>
            </w:r>
          </w:p>
        </w:tc>
      </w:tr>
    </w:tbl>
    <w:p w:rsidR="00CE3C32" w:rsidRDefault="006413B8">
      <w:pPr>
        <w:spacing w:beforeLines="100" w:before="312" w:afterLines="100" w:after="312" w:line="240" w:lineRule="exact"/>
        <w:rPr>
          <w:rFonts w:ascii="Times New Roman" w:eastAsiaTheme="majorEastAsia" w:hAnsi="Times New Roman" w:cs="Times New Roman"/>
          <w:sz w:val="18"/>
          <w:szCs w:val="18"/>
        </w:rPr>
      </w:pPr>
      <w:bookmarkStart w:id="101" w:name="_Toc988987"/>
      <w:r>
        <w:rPr>
          <w:rFonts w:ascii="Times New Roman" w:eastAsiaTheme="majorEastAsia" w:hAnsi="Times New Roman" w:cs="Times New Roman"/>
          <w:sz w:val="18"/>
          <w:szCs w:val="18"/>
        </w:rPr>
        <w:t>法定代表人：林明玲</w:t>
      </w:r>
      <w:r>
        <w:rPr>
          <w:rFonts w:ascii="Times New Roman" w:eastAsiaTheme="majorEastAsia" w:hAnsi="Times New Roman" w:cs="Times New Roman"/>
          <w:sz w:val="18"/>
          <w:szCs w:val="18"/>
        </w:rPr>
        <w:t xml:space="preserve"> </w:t>
      </w:r>
      <w:r>
        <w:rPr>
          <w:rFonts w:ascii="Times New Roman" w:eastAsiaTheme="majorEastAsia" w:hAnsi="Times New Roman" w:cs="Times New Roman" w:hint="eastAsia"/>
          <w:sz w:val="18"/>
          <w:szCs w:val="18"/>
        </w:rPr>
        <w:t xml:space="preserve">                                              </w:t>
      </w:r>
      <w:r>
        <w:rPr>
          <w:rFonts w:ascii="Times New Roman" w:eastAsiaTheme="majorEastAsia" w:hAnsi="Times New Roman" w:cs="Times New Roman"/>
          <w:sz w:val="18"/>
          <w:szCs w:val="18"/>
        </w:rPr>
        <w:t xml:space="preserve">   </w:t>
      </w:r>
      <w:r>
        <w:rPr>
          <w:rFonts w:ascii="Times New Roman" w:eastAsiaTheme="majorEastAsia" w:hAnsi="Times New Roman" w:cs="Times New Roman"/>
          <w:sz w:val="18"/>
          <w:szCs w:val="18"/>
        </w:rPr>
        <w:t>主管会计工作负责人：陈焕盛</w:t>
      </w:r>
      <w:r>
        <w:rPr>
          <w:rFonts w:ascii="Times New Roman" w:eastAsiaTheme="majorEastAsia" w:hAnsi="Times New Roman" w:cs="Times New Roman"/>
          <w:sz w:val="18"/>
          <w:szCs w:val="18"/>
        </w:rPr>
        <w:t xml:space="preserve">   </w:t>
      </w:r>
      <w:r>
        <w:rPr>
          <w:rFonts w:ascii="Times New Roman" w:eastAsiaTheme="majorEastAsia" w:hAnsi="Times New Roman" w:cs="Times New Roman" w:hint="eastAsia"/>
          <w:sz w:val="18"/>
          <w:szCs w:val="18"/>
        </w:rPr>
        <w:t xml:space="preserve">                 </w:t>
      </w:r>
      <w:r>
        <w:rPr>
          <w:rFonts w:ascii="Times New Roman" w:eastAsiaTheme="majorEastAsia" w:hAnsi="Times New Roman" w:cs="Times New Roman"/>
          <w:sz w:val="18"/>
          <w:szCs w:val="18"/>
        </w:rPr>
        <w:t>会计机构负责人：赖宏伟</w:t>
      </w:r>
    </w:p>
    <w:p w:rsidR="00CE3C32" w:rsidRDefault="006413B8">
      <w:pPr>
        <w:pStyle w:val="3"/>
        <w:spacing w:line="280" w:lineRule="exact"/>
        <w:jc w:val="left"/>
        <w:rPr>
          <w:rFonts w:ascii="Times New Roman" w:hAnsi="Times New Roman" w:cs="Times New Roman"/>
          <w:b/>
          <w:bCs/>
        </w:rPr>
      </w:pPr>
      <w:r>
        <w:rPr>
          <w:rFonts w:ascii="Times New Roman" w:hAnsi="Times New Roman" w:cs="Times New Roman"/>
          <w:b/>
          <w:bCs/>
        </w:rPr>
        <w:t>3</w:t>
      </w:r>
      <w:r>
        <w:rPr>
          <w:rFonts w:ascii="Times New Roman" w:hAnsi="Times New Roman" w:cs="Times New Roman"/>
          <w:b/>
          <w:bCs/>
        </w:rPr>
        <w:t>、合并利润表</w:t>
      </w:r>
      <w:bookmarkEnd w:id="101"/>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年半年度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2024</w:t>
            </w:r>
            <w:r>
              <w:rPr>
                <w:rFonts w:ascii="Times New Roman" w:eastAsia="宋体" w:hAnsi="Times New Roman" w:cs="Times New Roman"/>
                <w:sz w:val="18"/>
                <w:szCs w:val="18"/>
              </w:rPr>
              <w:t>年半年度</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一、营业总收入</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145,629,526.57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89,214,406.37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其中：营业收入</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145,629,526.57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89,214,406.37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已赚保费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手续费及佣金收入</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二、营业总成本</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141,491,548.80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107,233,661.86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其中：营业成本</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101,465,019.80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71,975,011.29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利息支出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手续费及佣金支出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退保金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赔付支出净额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提取保险责任准备金净额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保单红利支出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分保费用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税金及附加</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476,872.74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389,806.64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销售费用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10,179,827.29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12,106,662.83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管理费用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16,041,559.50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17,478,466.54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研发费用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8,424,112.23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8,554,147.05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财务费用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4,904,157.24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-3,270,432.49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500" w:firstLine="900"/>
              <w:rPr>
                <w:rFonts w:ascii="Times New Roman" w:eastAsia="宋体" w:hAnsi="Times New Roman" w:cs="Times New Roman"/>
                <w:sz w:val="18"/>
                <w:szCs w:val="18"/>
              </w:rPr>
            </w:pPr>
            <w:r>
              <w:rPr>
                <w:rFonts w:ascii="Times New Roman" w:eastAsia="宋体" w:hAnsi="Times New Roman" w:cs="Times New Roman"/>
                <w:sz w:val="18"/>
                <w:szCs w:val="18"/>
              </w:rPr>
              <w:t>其中：利息费用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5,865,606.56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547,411.65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800" w:firstLine="1440"/>
              <w:rPr>
                <w:rFonts w:ascii="Times New Roman" w:eastAsia="宋体" w:hAnsi="Times New Roman" w:cs="Times New Roman"/>
                <w:sz w:val="18"/>
                <w:szCs w:val="18"/>
              </w:rPr>
            </w:pPr>
            <w:r>
              <w:rPr>
                <w:rFonts w:ascii="Times New Roman" w:eastAsia="宋体" w:hAnsi="Times New Roman" w:cs="Times New Roman"/>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1,163,837.96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3,855,537.74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加：其他收益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45,917.15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39,383.60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投资收益（损失以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-326,532.15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260,712.33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500" w:firstLine="900"/>
              <w:rPr>
                <w:rFonts w:ascii="Times New Roman" w:eastAsia="宋体" w:hAnsi="Times New Roman" w:cs="Times New Roman"/>
                <w:sz w:val="18"/>
                <w:szCs w:val="18"/>
              </w:rPr>
            </w:pPr>
            <w:r>
              <w:rPr>
                <w:rFonts w:ascii="Times New Roman" w:eastAsia="宋体" w:hAnsi="Times New Roman" w:cs="Times New Roman"/>
                <w:sz w:val="18"/>
                <w:szCs w:val="18"/>
              </w:rPr>
              <w:t>其中：对联营企业和合营企业的投资收益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800" w:firstLine="1440"/>
              <w:rPr>
                <w:rFonts w:ascii="Times New Roman" w:eastAsia="宋体" w:hAnsi="Times New Roman" w:cs="Times New Roman"/>
                <w:sz w:val="18"/>
                <w:szCs w:val="18"/>
              </w:rPr>
            </w:pPr>
            <w:r>
              <w:rPr>
                <w:rFonts w:ascii="Times New Roman" w:eastAsia="宋体" w:hAnsi="Times New Roman" w:cs="Times New Roman"/>
                <w:sz w:val="18"/>
                <w:szCs w:val="18"/>
              </w:rPr>
              <w:t>以摊余成本计量的金融资产终止确认收益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汇兑收益（损失以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净敞口套期收益（损失以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公允价值变动收益（损失以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-8,383.56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信用减值损失（损失以</w:t>
            </w:r>
            <w:r>
              <w:rPr>
                <w:rFonts w:ascii="Times New Roman" w:eastAsia="宋体" w:hAnsi="Times New Roman" w:cs="Times New Roman"/>
                <w:sz w:val="18"/>
                <w:szCs w:val="18"/>
              </w:rPr>
              <w:t>“—”</w:t>
            </w:r>
            <w:r>
              <w:rPr>
                <w:rFonts w:ascii="Times New Roman" w:eastAsia="宋体" w:hAnsi="Times New Roman" w:cs="Times New Roman"/>
                <w:sz w:val="18"/>
                <w:szCs w:val="18"/>
              </w:rPr>
              <w:t>号</w:t>
            </w:r>
            <w:r>
              <w:rPr>
                <w:rFonts w:ascii="Times New Roman" w:eastAsia="宋体" w:hAnsi="Times New Roman" w:cs="Times New Roman"/>
                <w:sz w:val="18"/>
                <w:szCs w:val="18"/>
              </w:rPr>
              <w:lastRenderedPageBreak/>
              <w:t>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lastRenderedPageBreak/>
              <w:t>2,808,053.20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1,946,533.66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lastRenderedPageBreak/>
              <w:t>资产减值损失（损失以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-434,270.60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-322,156.60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资产处置收益（损失以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61,058.74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三、营业利润（亏损以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6,231,145.37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-16,042,107.32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加：营业外收入</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2,153.31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减：营业外支出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1,035,079.98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2,131,823.90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四、利润总额（亏损总额以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5,198,218.70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-18,173,930.06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减：所得税费用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-811,560.39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-4,036,306.11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五、净利润（净亏损以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6,009,779.09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-14,137,623.95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（一）按经营持续性分类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持续经营净利润（净亏损以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6,009,779.09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-14,137,623.95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终止经营净利润（净亏损以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（二）按所有权归属分类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归属于母公司股东的净利润（净亏损以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6,059,068.30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-11,729,023.47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少数股东损益（净亏损以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-49,289.21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-2,408,600.48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六、其他综合收益的税后净额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-51,907.38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21,514.08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归属母公司所有者的其他综合收益的税后净额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-51,907.38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21,514.08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（一）不能重分类进损益的其他综合收益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重新计量设定受益计划变动额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权益法下不能转损益的其他综合收益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其他权益工具投资公允价值变动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企业自身信用风险公允价值变动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（二）将重分类进损益的其他综合收益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-51,907.38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21,514.08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权益法下可转损益的其他综合收益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其他债权投资公允价值变动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金融资产重分类计入其他综合收益的金额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其他债权投资信用减值准备</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现金流量套期储备</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6.</w:t>
            </w:r>
            <w:r>
              <w:rPr>
                <w:rFonts w:ascii="Times New Roman" w:eastAsia="宋体" w:hAnsi="Times New Roman" w:cs="Times New Roman"/>
                <w:sz w:val="18"/>
                <w:szCs w:val="18"/>
              </w:rPr>
              <w:t>外币财务报表折算差额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-51,907.38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21,514.08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7.</w:t>
            </w:r>
            <w:r>
              <w:rPr>
                <w:rFonts w:ascii="Times New Roman" w:eastAsia="宋体" w:hAnsi="Times New Roman" w:cs="Times New Roman"/>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归属于少数股东的其他综合收益的税后净额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七、综合收益总额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5,957,871.71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-14,116,109.87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归属于母公司所有者的综合收益总额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6,007,160.92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-11,707,509.39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归属于少数股东的综合收益总额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-49,289.21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-2,408,600.48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八、每股收益：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（一）基本每股收益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0.0903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-0.1764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（二）稀释每股收益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0.0902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-0.1768</w:t>
            </w:r>
          </w:p>
        </w:tc>
      </w:tr>
    </w:tbl>
    <w:p w:rsidR="00CE3C32" w:rsidRDefault="006413B8">
      <w:pPr>
        <w:spacing w:beforeLines="100" w:before="312" w:afterLines="100" w:after="312" w:line="240" w:lineRule="exact"/>
        <w:rPr>
          <w:rFonts w:ascii="Times New Roman" w:eastAsiaTheme="majorEastAsia" w:hAnsi="Times New Roman" w:cs="Times New Roman"/>
          <w:sz w:val="18"/>
          <w:szCs w:val="18"/>
        </w:rPr>
      </w:pPr>
      <w:bookmarkStart w:id="102" w:name="_Toc988988"/>
      <w:r>
        <w:rPr>
          <w:rFonts w:ascii="Times New Roman" w:eastAsiaTheme="majorEastAsia" w:hAnsi="Times New Roman" w:cs="Times New Roman"/>
          <w:sz w:val="18"/>
          <w:szCs w:val="18"/>
        </w:rPr>
        <w:t>法定代表人：林明玲</w:t>
      </w:r>
      <w:r>
        <w:rPr>
          <w:rFonts w:ascii="Times New Roman" w:eastAsiaTheme="majorEastAsia" w:hAnsi="Times New Roman" w:cs="Times New Roman"/>
          <w:sz w:val="18"/>
          <w:szCs w:val="18"/>
        </w:rPr>
        <w:t xml:space="preserve"> </w:t>
      </w:r>
      <w:r>
        <w:rPr>
          <w:rFonts w:ascii="Times New Roman" w:eastAsiaTheme="majorEastAsia" w:hAnsi="Times New Roman" w:cs="Times New Roman" w:hint="eastAsia"/>
          <w:sz w:val="18"/>
          <w:szCs w:val="18"/>
        </w:rPr>
        <w:t xml:space="preserve">                                              </w:t>
      </w:r>
      <w:r>
        <w:rPr>
          <w:rFonts w:ascii="Times New Roman" w:eastAsiaTheme="majorEastAsia" w:hAnsi="Times New Roman" w:cs="Times New Roman"/>
          <w:sz w:val="18"/>
          <w:szCs w:val="18"/>
        </w:rPr>
        <w:t xml:space="preserve">   </w:t>
      </w:r>
      <w:r>
        <w:rPr>
          <w:rFonts w:ascii="Times New Roman" w:eastAsiaTheme="majorEastAsia" w:hAnsi="Times New Roman" w:cs="Times New Roman"/>
          <w:sz w:val="18"/>
          <w:szCs w:val="18"/>
        </w:rPr>
        <w:t>主管会计工作负责人：陈焕盛</w:t>
      </w:r>
      <w:r>
        <w:rPr>
          <w:rFonts w:ascii="Times New Roman" w:eastAsiaTheme="majorEastAsia" w:hAnsi="Times New Roman" w:cs="Times New Roman"/>
          <w:sz w:val="18"/>
          <w:szCs w:val="18"/>
        </w:rPr>
        <w:t xml:space="preserve">   </w:t>
      </w:r>
      <w:r>
        <w:rPr>
          <w:rFonts w:ascii="Times New Roman" w:eastAsiaTheme="majorEastAsia" w:hAnsi="Times New Roman" w:cs="Times New Roman" w:hint="eastAsia"/>
          <w:sz w:val="18"/>
          <w:szCs w:val="18"/>
        </w:rPr>
        <w:t xml:space="preserve">                 </w:t>
      </w:r>
      <w:r>
        <w:rPr>
          <w:rFonts w:ascii="Times New Roman" w:eastAsiaTheme="majorEastAsia" w:hAnsi="Times New Roman" w:cs="Times New Roman"/>
          <w:sz w:val="18"/>
          <w:szCs w:val="18"/>
        </w:rPr>
        <w:t>会计机构负责人：赖宏伟</w:t>
      </w:r>
    </w:p>
    <w:p w:rsidR="00CE3C32" w:rsidRDefault="006413B8">
      <w:pPr>
        <w:pStyle w:val="3"/>
        <w:spacing w:line="280" w:lineRule="exact"/>
        <w:jc w:val="left"/>
        <w:rPr>
          <w:rFonts w:ascii="Times New Roman" w:hAnsi="Times New Roman" w:cs="Times New Roman"/>
          <w:b/>
          <w:bCs/>
        </w:rPr>
      </w:pPr>
      <w:r>
        <w:rPr>
          <w:rFonts w:ascii="Times New Roman" w:hAnsi="Times New Roman" w:cs="Times New Roman"/>
          <w:b/>
          <w:bCs/>
        </w:rPr>
        <w:t>4</w:t>
      </w:r>
      <w:r>
        <w:rPr>
          <w:rFonts w:ascii="Times New Roman" w:hAnsi="Times New Roman" w:cs="Times New Roman"/>
          <w:b/>
          <w:bCs/>
        </w:rPr>
        <w:t>、母公司利润表</w:t>
      </w:r>
      <w:bookmarkEnd w:id="10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年半年度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2024</w:t>
            </w:r>
            <w:r>
              <w:rPr>
                <w:rFonts w:ascii="Times New Roman" w:eastAsia="宋体" w:hAnsi="Times New Roman" w:cs="Times New Roman"/>
                <w:sz w:val="18"/>
                <w:szCs w:val="18"/>
              </w:rPr>
              <w:t>年半年度</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一、营业收入</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88,428,093.79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43,570,320.67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减：营业成本</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64,661,979.64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31,768,038.73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税金及附加</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110,294.71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53,903.34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销售费用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3,900,311.04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6,240,077.08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管理费用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10,399,998.25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12,448,110.72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研发费用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1,538,895.36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4,648,543.46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财务费用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3,148,360.86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-3,438,336.00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其中：利息费用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4,101,123.18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233,116.61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700" w:firstLine="1260"/>
              <w:rPr>
                <w:rFonts w:ascii="Times New Roman" w:eastAsia="宋体" w:hAnsi="Times New Roman" w:cs="Times New Roman"/>
                <w:sz w:val="18"/>
                <w:szCs w:val="18"/>
              </w:rPr>
            </w:pPr>
            <w:r>
              <w:rPr>
                <w:rFonts w:ascii="Times New Roman" w:eastAsia="宋体" w:hAnsi="Times New Roman" w:cs="Times New Roman"/>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969,814.43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3,611,854.42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加：其他收益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32,002.67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36,135.55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投资收益（损失以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-510,000.00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260,712.33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其中：对联营企业和合营企业的投资收益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700" w:firstLine="1260"/>
              <w:rPr>
                <w:rFonts w:ascii="Times New Roman" w:eastAsia="宋体" w:hAnsi="Times New Roman" w:cs="Times New Roman"/>
                <w:sz w:val="18"/>
                <w:szCs w:val="18"/>
              </w:rPr>
            </w:pPr>
            <w:r>
              <w:rPr>
                <w:rFonts w:ascii="Times New Roman" w:eastAsia="宋体" w:hAnsi="Times New Roman" w:cs="Times New Roman"/>
                <w:sz w:val="18"/>
                <w:szCs w:val="18"/>
              </w:rPr>
              <w:t>以摊余成本计量的金融资产终止确认收益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净敞口套期收益（损失以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公允价值变动收益（损失以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-8,383.56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信用减值损失（损失以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1,605,847.92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2,791,394.82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资产减值损失（损失以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-120,428.61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-360,176.55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资产处置收益（损失以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61,058.74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二、营业利润（亏损以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5,675,675.91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-5,369,275.33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加：营业外收入</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0.11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0.28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减：营业外支出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1,034,715.43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1,125,597.02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三、利润总额（亏损总额以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4,640,960.59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-6,494,872.07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减：所得税费用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799,610.97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-1,309,800.66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四、净利润（净亏损以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3,841,349.62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-5,185,071.41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（一）持续经营净利润（净亏损以</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3,841,349.62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-5,185,071.41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（二）终止经营净利润（净亏损以</w:t>
            </w:r>
            <w:r>
              <w:rPr>
                <w:rFonts w:ascii="Times New Roman" w:eastAsia="宋体" w:hAnsi="Times New Roman" w:cs="Times New Roman"/>
                <w:sz w:val="18"/>
                <w:szCs w:val="18"/>
              </w:rPr>
              <w:lastRenderedPageBreak/>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五、其他综合收益的税后净额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（一）不能重分类进损益的其他综合收益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重新计量设定受益计划变动额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权益法下不能转损益的其他综合收益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其他权益工具投资公允价值变动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企业自身信用风险公允价值变动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（二）将重分类进损益的其他综合收益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权益法下可转损益的其他综合收益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其他债权投资公允价值变动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金融资产重分类计入其他综合收益的金额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其他债权投资信用减值准备</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现金流量套期储备</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6.</w:t>
            </w:r>
            <w:r>
              <w:rPr>
                <w:rFonts w:ascii="Times New Roman" w:eastAsia="宋体" w:hAnsi="Times New Roman" w:cs="Times New Roman"/>
                <w:sz w:val="18"/>
                <w:szCs w:val="18"/>
              </w:rPr>
              <w:t>外币财务报表折算差额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7.</w:t>
            </w:r>
            <w:r>
              <w:rPr>
                <w:rFonts w:ascii="Times New Roman" w:eastAsia="宋体" w:hAnsi="Times New Roman" w:cs="Times New Roman"/>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六、综合收益总额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3,841,349.62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-5,185,071.41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七、每股收益：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（一）基本每股收益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（二）稀释每股收益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bl>
    <w:p w:rsidR="00CE3C32" w:rsidRDefault="006413B8">
      <w:pPr>
        <w:spacing w:beforeLines="100" w:before="312" w:afterLines="100" w:after="312" w:line="240" w:lineRule="exact"/>
        <w:rPr>
          <w:rFonts w:ascii="Times New Roman" w:eastAsiaTheme="majorEastAsia" w:hAnsi="Times New Roman" w:cs="Times New Roman"/>
          <w:sz w:val="18"/>
          <w:szCs w:val="18"/>
        </w:rPr>
      </w:pPr>
      <w:bookmarkStart w:id="103" w:name="_Toc988989"/>
      <w:r>
        <w:rPr>
          <w:rFonts w:ascii="Times New Roman" w:eastAsiaTheme="majorEastAsia" w:hAnsi="Times New Roman" w:cs="Times New Roman"/>
          <w:sz w:val="18"/>
          <w:szCs w:val="18"/>
        </w:rPr>
        <w:t>法定代表人：林明玲</w:t>
      </w:r>
      <w:r>
        <w:rPr>
          <w:rFonts w:ascii="Times New Roman" w:eastAsiaTheme="majorEastAsia" w:hAnsi="Times New Roman" w:cs="Times New Roman"/>
          <w:sz w:val="18"/>
          <w:szCs w:val="18"/>
        </w:rPr>
        <w:t xml:space="preserve"> </w:t>
      </w:r>
      <w:r>
        <w:rPr>
          <w:rFonts w:ascii="Times New Roman" w:eastAsiaTheme="majorEastAsia" w:hAnsi="Times New Roman" w:cs="Times New Roman" w:hint="eastAsia"/>
          <w:sz w:val="18"/>
          <w:szCs w:val="18"/>
        </w:rPr>
        <w:t xml:space="preserve">                                              </w:t>
      </w:r>
      <w:r>
        <w:rPr>
          <w:rFonts w:ascii="Times New Roman" w:eastAsiaTheme="majorEastAsia" w:hAnsi="Times New Roman" w:cs="Times New Roman"/>
          <w:sz w:val="18"/>
          <w:szCs w:val="18"/>
        </w:rPr>
        <w:t xml:space="preserve">   </w:t>
      </w:r>
      <w:r>
        <w:rPr>
          <w:rFonts w:ascii="Times New Roman" w:eastAsiaTheme="majorEastAsia" w:hAnsi="Times New Roman" w:cs="Times New Roman"/>
          <w:sz w:val="18"/>
          <w:szCs w:val="18"/>
        </w:rPr>
        <w:t>主管会计工作负责人：陈焕盛</w:t>
      </w:r>
      <w:r>
        <w:rPr>
          <w:rFonts w:ascii="Times New Roman" w:eastAsiaTheme="majorEastAsia" w:hAnsi="Times New Roman" w:cs="Times New Roman"/>
          <w:sz w:val="18"/>
          <w:szCs w:val="18"/>
        </w:rPr>
        <w:t xml:space="preserve">   </w:t>
      </w:r>
      <w:r>
        <w:rPr>
          <w:rFonts w:ascii="Times New Roman" w:eastAsiaTheme="majorEastAsia" w:hAnsi="Times New Roman" w:cs="Times New Roman" w:hint="eastAsia"/>
          <w:sz w:val="18"/>
          <w:szCs w:val="18"/>
        </w:rPr>
        <w:t xml:space="preserve">                 </w:t>
      </w:r>
      <w:r>
        <w:rPr>
          <w:rFonts w:ascii="Times New Roman" w:eastAsiaTheme="majorEastAsia" w:hAnsi="Times New Roman" w:cs="Times New Roman"/>
          <w:sz w:val="18"/>
          <w:szCs w:val="18"/>
        </w:rPr>
        <w:t>会计机构负责人：赖宏伟</w:t>
      </w:r>
    </w:p>
    <w:p w:rsidR="00CE3C32" w:rsidRDefault="006413B8">
      <w:pPr>
        <w:pStyle w:val="3"/>
        <w:spacing w:line="280" w:lineRule="exact"/>
        <w:jc w:val="left"/>
        <w:rPr>
          <w:rFonts w:ascii="Times New Roman" w:hAnsi="Times New Roman" w:cs="Times New Roman"/>
          <w:b/>
          <w:bCs/>
        </w:rPr>
      </w:pPr>
      <w:r>
        <w:rPr>
          <w:rFonts w:ascii="Times New Roman" w:hAnsi="Times New Roman" w:cs="Times New Roman"/>
          <w:b/>
          <w:bCs/>
        </w:rPr>
        <w:t>5</w:t>
      </w:r>
      <w:r>
        <w:rPr>
          <w:rFonts w:ascii="Times New Roman" w:hAnsi="Times New Roman" w:cs="Times New Roman"/>
          <w:b/>
          <w:bCs/>
        </w:rPr>
        <w:t>、合并现金流量表</w:t>
      </w:r>
      <w:bookmarkEnd w:id="103"/>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年半年度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2024</w:t>
            </w:r>
            <w:r>
              <w:rPr>
                <w:rFonts w:ascii="Times New Roman" w:eastAsia="宋体" w:hAnsi="Times New Roman" w:cs="Times New Roman"/>
                <w:sz w:val="18"/>
                <w:szCs w:val="18"/>
              </w:rPr>
              <w:t>年半年度</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一、经营活动产生的现金流量：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销售商品、提供劳务收到的现金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151,165,580.42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113,846,456.23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客户存款和同业存放款项净增加额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向中央银行借款净增加额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向其他金融机构拆入资金净增加额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收到原保险合同保费取得的现金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收到再保业务现金净额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保户储金及投资款净增加额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收取利息、手续费及佣金的现金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回购业务资金净增加额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代理买卖证券收到的现金净额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收到的税费返还</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收到其他与经营活动有关的现金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12,269,342.93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3,324,134.97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经营活动现金流入小计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163,434,923.35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117,170,591.20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购买商品、接受劳务支付的现金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137,943,887.87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135,110,218.82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lastRenderedPageBreak/>
              <w:t>客户贷款及垫款净增加额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存放中央银行和同业款项净增加额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支付原保险合同赔付款项的现金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拆出资金净增加额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支付利息、手续费及佣金的现金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支付保单红利的现金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支付给职工以及为职工支付的现金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29,366,250.00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26,479,237.02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支付的各项税费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1,702,633.46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6,837,622.85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支付其他与经营活动有关的现金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10,805,073.63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10,565,032.94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经营活动现金流出小计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179,817,844.96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178,992,111.63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-16,382,921.61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-61,821,520.43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二、投资活动产生的现金流量：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收回投资收到的现金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20,000,000.00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取得投资收益收到的现金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260,712.33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处置固定资产、无形资产和其他长期资产收回的现金净额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138,780.00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处置子公司及其他营业单位收到的现金净额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收到其他与投资活动有关的现金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50,387,500.00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115,000,000.00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投资活动现金流入小计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50,387,500.00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135,399,492.33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购建固定资产、无形资产和其他长期资产支付的现金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318,652,615.92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17,789,443.42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投资支付的现金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20,000,000.00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质押贷款净增加额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取得子公司及其他营业单位支付的现金净额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支付其他与投资活动有关的现金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58,000,000.00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58,000,000.00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投资活动现金流出小计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376,652,616.92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95,789,443.42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投资活动产生的现金流量净额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-326,265,116.92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39,610,048.91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三、筹资活动产生的现金流量：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吸收投资收到的现金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136,943.40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5,200,000.00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其中：子公司吸收少数股东投资收到的现金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136,943.40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5,200,000.00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取得借款收到的现金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325,295,897.52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41,983,008.05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收到其他与筹资活动有关的现金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16,000,000.00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13,759,607.13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筹资活动现金流入小计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341,432,840.92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60,942,615.18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偿还债务支付的现金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51,443,050.40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16,950,129.73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分配股利、利润或偿付利息支付的现金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5,528,797.06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519,389.13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其中：子公司支付给少数股东的股利、利润</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支付其他与筹资活动有关的现金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8,632,654.60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25,054,870.01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筹资活动现金流出小计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65,604,502.06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42,524,388.87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筹资活动产生的现金流量净额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275,828,338.86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18,418,226.31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四、汇率变动对现金及现金等价物的影响</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-16,918.89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19,461.95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五、现金及现金等价物净增加额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-66,836,618.56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-3,773,783.26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加：期初现金及现金等价物余额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271,722,181.78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214,544,630.45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六、期末现金及现金等价物余额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204,885,563.22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210,770,847.19</w:t>
            </w:r>
          </w:p>
        </w:tc>
      </w:tr>
    </w:tbl>
    <w:p w:rsidR="00CE3C32" w:rsidRDefault="006413B8">
      <w:pPr>
        <w:spacing w:beforeLines="100" w:before="312" w:afterLines="100" w:after="312" w:line="240" w:lineRule="exact"/>
        <w:rPr>
          <w:rFonts w:ascii="Times New Roman" w:eastAsiaTheme="majorEastAsia" w:hAnsi="Times New Roman" w:cs="Times New Roman"/>
          <w:sz w:val="18"/>
          <w:szCs w:val="18"/>
        </w:rPr>
      </w:pPr>
      <w:bookmarkStart w:id="104" w:name="_Toc988990"/>
      <w:r>
        <w:rPr>
          <w:rFonts w:ascii="Times New Roman" w:eastAsiaTheme="majorEastAsia" w:hAnsi="Times New Roman" w:cs="Times New Roman"/>
          <w:sz w:val="18"/>
          <w:szCs w:val="18"/>
        </w:rPr>
        <w:t>法定代表人：林明玲</w:t>
      </w:r>
      <w:r>
        <w:rPr>
          <w:rFonts w:ascii="Times New Roman" w:eastAsiaTheme="majorEastAsia" w:hAnsi="Times New Roman" w:cs="Times New Roman"/>
          <w:sz w:val="18"/>
          <w:szCs w:val="18"/>
        </w:rPr>
        <w:t xml:space="preserve"> </w:t>
      </w:r>
      <w:r>
        <w:rPr>
          <w:rFonts w:ascii="Times New Roman" w:eastAsiaTheme="majorEastAsia" w:hAnsi="Times New Roman" w:cs="Times New Roman" w:hint="eastAsia"/>
          <w:sz w:val="18"/>
          <w:szCs w:val="18"/>
        </w:rPr>
        <w:t xml:space="preserve">                                              </w:t>
      </w:r>
      <w:r>
        <w:rPr>
          <w:rFonts w:ascii="Times New Roman" w:eastAsiaTheme="majorEastAsia" w:hAnsi="Times New Roman" w:cs="Times New Roman"/>
          <w:sz w:val="18"/>
          <w:szCs w:val="18"/>
        </w:rPr>
        <w:t xml:space="preserve">   </w:t>
      </w:r>
      <w:r>
        <w:rPr>
          <w:rFonts w:ascii="Times New Roman" w:eastAsiaTheme="majorEastAsia" w:hAnsi="Times New Roman" w:cs="Times New Roman"/>
          <w:sz w:val="18"/>
          <w:szCs w:val="18"/>
        </w:rPr>
        <w:t>主管会计工作负责人：陈焕盛</w:t>
      </w:r>
      <w:r>
        <w:rPr>
          <w:rFonts w:ascii="Times New Roman" w:eastAsiaTheme="majorEastAsia" w:hAnsi="Times New Roman" w:cs="Times New Roman"/>
          <w:sz w:val="18"/>
          <w:szCs w:val="18"/>
        </w:rPr>
        <w:t xml:space="preserve">   </w:t>
      </w:r>
      <w:r>
        <w:rPr>
          <w:rFonts w:ascii="Times New Roman" w:eastAsiaTheme="majorEastAsia" w:hAnsi="Times New Roman" w:cs="Times New Roman" w:hint="eastAsia"/>
          <w:sz w:val="18"/>
          <w:szCs w:val="18"/>
        </w:rPr>
        <w:t xml:space="preserve">                 </w:t>
      </w:r>
      <w:r>
        <w:rPr>
          <w:rFonts w:ascii="Times New Roman" w:eastAsiaTheme="majorEastAsia" w:hAnsi="Times New Roman" w:cs="Times New Roman"/>
          <w:sz w:val="18"/>
          <w:szCs w:val="18"/>
        </w:rPr>
        <w:t>会计机构负责人：赖宏伟</w:t>
      </w:r>
    </w:p>
    <w:p w:rsidR="00CE3C32" w:rsidRDefault="006413B8">
      <w:pPr>
        <w:pStyle w:val="3"/>
        <w:spacing w:line="280" w:lineRule="exact"/>
        <w:jc w:val="left"/>
        <w:rPr>
          <w:rFonts w:ascii="Times New Roman" w:hAnsi="Times New Roman" w:cs="Times New Roman"/>
          <w:b/>
          <w:bCs/>
        </w:rPr>
      </w:pPr>
      <w:r>
        <w:rPr>
          <w:rFonts w:ascii="Times New Roman" w:hAnsi="Times New Roman" w:cs="Times New Roman"/>
          <w:b/>
          <w:bCs/>
        </w:rPr>
        <w:lastRenderedPageBreak/>
        <w:t>6</w:t>
      </w:r>
      <w:r>
        <w:rPr>
          <w:rFonts w:ascii="Times New Roman" w:hAnsi="Times New Roman" w:cs="Times New Roman"/>
          <w:b/>
          <w:bCs/>
        </w:rPr>
        <w:t>、母公司现金流量表</w:t>
      </w:r>
      <w:bookmarkEnd w:id="104"/>
    </w:p>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年半年度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2024</w:t>
            </w:r>
            <w:r>
              <w:rPr>
                <w:rFonts w:ascii="Times New Roman" w:eastAsia="宋体" w:hAnsi="Times New Roman" w:cs="Times New Roman"/>
                <w:sz w:val="18"/>
                <w:szCs w:val="18"/>
              </w:rPr>
              <w:t>年半年度</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一、经营活动产生的现金流量：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销售商品、提供劳务收到的现金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93,502,348.44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39,098,886.34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收到的税费返还</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收到其他与经营活动有关的现金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57,334,729.58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96,439,918.01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经营活动现金流入小计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150,837,078.02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135,538,804.35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购买商品、接受劳务支付的现金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74,680,371.60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68,051,321.10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支付给职工以及为职工支付的现金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13,244,610.12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15,504,753.06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支付的各项税费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512,168.90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3,175,476.69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支付其他与经营活动有关的现金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106,713,690.43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38,132,645.74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经营活动现金流出小计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195,150,841.05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124,864,196.59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-44,313,763.03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10,674,607.76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二、投资活动产生的现金流量：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收回投资收到的现金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20,000,000.00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取得投资收益收到的现金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260,712.33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处置固定资产、无形资产和其他长期资产收回的现金净额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120,000.00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处置子公司及其他营业单位收到的现金净额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收到其他与投资活动有关的现金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50,387,500.00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投资活动现金流入小计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50,387,500.00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20,380,712.33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购建固定资产、无形资产和其他长期资产支付的现金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233,142,496.88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1,334,109.67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投资支付的现金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20,000,000.00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取得子公司及其他营业单位支付的现金净额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支付其他与投资活动有关的现金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40,000,000.00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投资活动现金流出小计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273,142,496.88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21,334,109.67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投资活动产生的现金流量净额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-222,754,996.88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-953,397.34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三、筹资活动产生的现金流量：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吸收投资收到的现金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取得借款收到的现金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271,830,000.00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27,103,884.00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收到其他与筹资活动有关的现金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13,649,591.13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筹资活动现金流入小计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271,830,000.00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40,753,475.13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偿还债务支付的现金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43,443,050.40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9,000,000.00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分配股利、利润或偿付利息支付的现金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4,560,853.26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214,634.69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支付其他与筹资活动有关的现金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4,099,860.00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23,171,148.45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筹资活动现金流出小计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52,103,763.66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32,385,783.14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筹资活动产生的现金流量净额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219,726,236.34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8,367,691.99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四、汇率变动对现金及现金等价物的影响</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五、现金及现金等价物净增加额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-47,342,523.57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18,088,902.41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加：期初现金及现金等价物余额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207,474,939.35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148,887,501.58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六、期末现金及现金等价物余额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160,132,415.78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166,976,403.99</w:t>
            </w:r>
          </w:p>
        </w:tc>
      </w:tr>
    </w:tbl>
    <w:p w:rsidR="00CE3C32" w:rsidRDefault="00CE3C32">
      <w:pPr>
        <w:pStyle w:val="3"/>
        <w:spacing w:line="280" w:lineRule="exact"/>
        <w:jc w:val="left"/>
        <w:rPr>
          <w:rFonts w:ascii="Times New Roman" w:hAnsi="Times New Roman" w:cs="Times New Roman"/>
          <w:b/>
          <w:bCs/>
        </w:rPr>
        <w:sectPr w:rsidR="00CE3C32">
          <w:pgSz w:w="11905" w:h="16840"/>
          <w:pgMar w:top="1440" w:right="1134" w:bottom="1440" w:left="1134" w:header="850" w:footer="992" w:gutter="0"/>
          <w:cols w:space="720"/>
          <w:docGrid w:type="linesAndChars" w:linePitch="312"/>
        </w:sectPr>
      </w:pPr>
      <w:bookmarkStart w:id="105" w:name="_Toc988991"/>
    </w:p>
    <w:p w:rsidR="00CE3C32" w:rsidRDefault="006413B8">
      <w:pPr>
        <w:pStyle w:val="3"/>
        <w:spacing w:line="280" w:lineRule="exact"/>
        <w:jc w:val="left"/>
        <w:rPr>
          <w:rFonts w:ascii="Times New Roman" w:hAnsi="Times New Roman" w:cs="Times New Roman"/>
          <w:b/>
          <w:bCs/>
        </w:rPr>
      </w:pPr>
      <w:r>
        <w:rPr>
          <w:rFonts w:ascii="Times New Roman" w:hAnsi="Times New Roman" w:cs="Times New Roman"/>
          <w:b/>
          <w:bCs/>
        </w:rPr>
        <w:lastRenderedPageBreak/>
        <w:t>7</w:t>
      </w:r>
      <w:r>
        <w:rPr>
          <w:rFonts w:ascii="Times New Roman" w:hAnsi="Times New Roman" w:cs="Times New Roman"/>
          <w:b/>
          <w:bCs/>
        </w:rPr>
        <w:t>、合并所有者权益变动表</w:t>
      </w:r>
      <w:bookmarkEnd w:id="105"/>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本期金额</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52"/>
        <w:gridCol w:w="1080"/>
        <w:gridCol w:w="468"/>
        <w:gridCol w:w="468"/>
        <w:gridCol w:w="431"/>
        <w:gridCol w:w="1154"/>
        <w:gridCol w:w="1086"/>
        <w:gridCol w:w="970"/>
        <w:gridCol w:w="502"/>
        <w:gridCol w:w="1080"/>
        <w:gridCol w:w="573"/>
        <w:gridCol w:w="1154"/>
        <w:gridCol w:w="431"/>
        <w:gridCol w:w="1154"/>
        <w:gridCol w:w="1060"/>
        <w:gridCol w:w="1213"/>
      </w:tblGrid>
      <w:tr w:rsidR="00CE3C32">
        <w:trPr>
          <w:trHeight w:val="240"/>
          <w:tblHeader/>
        </w:trPr>
        <w:tc>
          <w:tcPr>
            <w:tcW w:w="477"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523" w:type="pct"/>
            <w:gridSpan w:val="1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年半年度</w:t>
            </w:r>
          </w:p>
        </w:tc>
      </w:tr>
      <w:tr w:rsidR="00CE3C32">
        <w:trPr>
          <w:trHeight w:val="240"/>
          <w:tblHeader/>
        </w:trPr>
        <w:tc>
          <w:tcPr>
            <w:tcW w:w="47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721" w:type="pct"/>
            <w:gridSpan w:val="1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归属于母公司所有者权益</w:t>
            </w:r>
          </w:p>
        </w:tc>
        <w:tc>
          <w:tcPr>
            <w:tcW w:w="374"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少数股东权益</w:t>
            </w:r>
          </w:p>
        </w:tc>
        <w:tc>
          <w:tcPr>
            <w:tcW w:w="428"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所有者权益合计</w:t>
            </w:r>
          </w:p>
        </w:tc>
      </w:tr>
      <w:tr w:rsidR="00CE3C32">
        <w:trPr>
          <w:trHeight w:val="240"/>
          <w:tblHeader/>
        </w:trPr>
        <w:tc>
          <w:tcPr>
            <w:tcW w:w="47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81"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股本</w:t>
            </w:r>
          </w:p>
        </w:tc>
        <w:tc>
          <w:tcPr>
            <w:tcW w:w="482" w:type="pct"/>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其他权益工具</w:t>
            </w:r>
          </w:p>
        </w:tc>
        <w:tc>
          <w:tcPr>
            <w:tcW w:w="407"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资本公积</w:t>
            </w:r>
          </w:p>
        </w:tc>
        <w:tc>
          <w:tcPr>
            <w:tcW w:w="383"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减：库存股</w:t>
            </w:r>
          </w:p>
        </w:tc>
        <w:tc>
          <w:tcPr>
            <w:tcW w:w="342"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其他综合收益</w:t>
            </w:r>
          </w:p>
        </w:tc>
        <w:tc>
          <w:tcPr>
            <w:tcW w:w="177"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专项储备</w:t>
            </w:r>
          </w:p>
        </w:tc>
        <w:tc>
          <w:tcPr>
            <w:tcW w:w="381"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盈余公积</w:t>
            </w:r>
          </w:p>
        </w:tc>
        <w:tc>
          <w:tcPr>
            <w:tcW w:w="202"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一般风险准备</w:t>
            </w:r>
          </w:p>
        </w:tc>
        <w:tc>
          <w:tcPr>
            <w:tcW w:w="407"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未分配利润</w:t>
            </w:r>
          </w:p>
        </w:tc>
        <w:tc>
          <w:tcPr>
            <w:tcW w:w="152"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407"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小计</w:t>
            </w:r>
          </w:p>
        </w:tc>
        <w:tc>
          <w:tcPr>
            <w:tcW w:w="374"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428"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blHeader/>
        </w:trPr>
        <w:tc>
          <w:tcPr>
            <w:tcW w:w="47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81"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6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优先股</w:t>
            </w:r>
          </w:p>
        </w:tc>
        <w:tc>
          <w:tcPr>
            <w:tcW w:w="16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永续债</w:t>
            </w:r>
          </w:p>
        </w:tc>
        <w:tc>
          <w:tcPr>
            <w:tcW w:w="152"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40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83"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42"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77" w:type="pct"/>
            <w:vMerge/>
            <w:tcBorders>
              <w:top w:val="single" w:sz="2" w:space="0" w:color="auto"/>
              <w:left w:val="single" w:sz="2" w:space="0" w:color="auto"/>
              <w:bottom w:val="single" w:sz="2" w:space="0" w:color="auto"/>
              <w:right w:val="single" w:sz="2" w:space="0" w:color="auto"/>
            </w:tcBorders>
            <w:vAlign w:val="center"/>
          </w:tcPr>
          <w:p w:rsidR="00CE3C32" w:rsidRDefault="00CE3C32">
            <w:pPr>
              <w:rPr>
                <w:rFonts w:ascii="Times New Roman" w:hAnsi="Times New Roman" w:cs="Times New Roman"/>
              </w:rPr>
            </w:pPr>
          </w:p>
        </w:tc>
        <w:tc>
          <w:tcPr>
            <w:tcW w:w="381"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02"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40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52"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40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74"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428"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一、上年年末余额</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67,108,800.00</w:t>
            </w: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598,297,202.73</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52,740,572.07</w:t>
            </w: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-603,041.44</w:t>
            </w: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25,904,440.33</w:t>
            </w: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120,283,337.88</w:t>
            </w: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758,250,167.43</w:t>
            </w: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8,166,653.15</w:t>
            </w: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766,416,820.58</w:t>
            </w: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加：会计政策变更</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前期差错更正</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二、本年期初余额</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67,108,800.00</w:t>
            </w: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598,297,202.73</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52,740,572.07</w:t>
            </w: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-603,041.44</w:t>
            </w: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25,904,440.33</w:t>
            </w: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120,283,337.88</w:t>
            </w: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758,250,167.43</w:t>
            </w: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8,166,653.15</w:t>
            </w: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766,416,820.58</w:t>
            </w: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三、本期增减变动金额（减少以</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5,683,918.45</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25,600.00</w:t>
            </w: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-51,907.38</w:t>
            </w: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6,084,668.30</w:t>
            </w: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11,691,079.37</w:t>
            </w: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414,186.34</w:t>
            </w: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12,105,265.71</w:t>
            </w: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（一）综合收益总额</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-51,907.38</w:t>
            </w: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6,059,068.30</w:t>
            </w: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6,007,160.92</w:t>
            </w: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-49,289.21</w:t>
            </w: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5,957,871.71</w:t>
            </w: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（二）所有者投入和减少资本</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5,683,918.45</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25,600.00</w:t>
            </w: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5,658,318.45</w:t>
            </w: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463,475.55</w:t>
            </w: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6,121,794.00</w:t>
            </w: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．所有者投入的普通股</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136,943.40</w:t>
            </w: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136,943.40</w:t>
            </w: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．其他权益</w:t>
            </w:r>
            <w:r>
              <w:rPr>
                <w:rFonts w:ascii="Times New Roman" w:eastAsia="宋体" w:hAnsi="Times New Roman" w:cs="Times New Roman"/>
                <w:sz w:val="18"/>
                <w:szCs w:val="18"/>
              </w:rPr>
              <w:lastRenderedPageBreak/>
              <w:t>工具持有者投入资本</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3</w:t>
            </w:r>
            <w:r>
              <w:rPr>
                <w:rFonts w:ascii="Times New Roman" w:eastAsia="宋体" w:hAnsi="Times New Roman" w:cs="Times New Roman"/>
                <w:sz w:val="18"/>
                <w:szCs w:val="18"/>
              </w:rPr>
              <w:t>．股份支付计入所有者权益的金额</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5,683,918.45</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5,683,918.45</w:t>
            </w: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5,683,918.45</w:t>
            </w: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．其他</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25,600.00</w:t>
            </w: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-25,600.00</w:t>
            </w: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326,532.15</w:t>
            </w: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300,932.15</w:t>
            </w: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（三）利润分配</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25,600.00</w:t>
            </w: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25,600.00</w:t>
            </w: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25,600.00</w:t>
            </w: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．提取盈余公积</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．提取一般风险准备</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．对所有者（或股东）的分配</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．其他</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25,600.00</w:t>
            </w: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25,600.00</w:t>
            </w: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25,600.00</w:t>
            </w: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（四）所有者权益内部结转</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．资本公积转增资本（或股本）</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．盈余公积转增资本（或股本）</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．盈余公积弥补亏损</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4</w:t>
            </w:r>
            <w:r>
              <w:rPr>
                <w:rFonts w:ascii="Times New Roman" w:eastAsia="宋体" w:hAnsi="Times New Roman" w:cs="Times New Roman"/>
                <w:sz w:val="18"/>
                <w:szCs w:val="18"/>
              </w:rPr>
              <w:t>．设定受益计划变动额结转留存收益</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．其他综合收益结转留存收益</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6</w:t>
            </w:r>
            <w:r>
              <w:rPr>
                <w:rFonts w:ascii="Times New Roman" w:eastAsia="宋体" w:hAnsi="Times New Roman" w:cs="Times New Roman"/>
                <w:sz w:val="18"/>
                <w:szCs w:val="18"/>
              </w:rPr>
              <w:t>．其他</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（五）专项储备</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．本期提取</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．本期使用</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（六）其他</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47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四、本期期末余额</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67,108,800.00</w:t>
            </w: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603,981,121.18</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52,766,172.07</w:t>
            </w:r>
          </w:p>
        </w:tc>
        <w:tc>
          <w:tcPr>
            <w:tcW w:w="342"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-654,948.82</w:t>
            </w:r>
          </w:p>
        </w:tc>
        <w:tc>
          <w:tcPr>
            <w:tcW w:w="17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25,904,440.33</w:t>
            </w:r>
          </w:p>
        </w:tc>
        <w:tc>
          <w:tcPr>
            <w:tcW w:w="20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126,368,006.18</w:t>
            </w:r>
          </w:p>
        </w:tc>
        <w:tc>
          <w:tcPr>
            <w:tcW w:w="152"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769,941,246.80</w:t>
            </w:r>
          </w:p>
        </w:tc>
        <w:tc>
          <w:tcPr>
            <w:tcW w:w="37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8,580,839.49</w:t>
            </w:r>
          </w:p>
        </w:tc>
        <w:tc>
          <w:tcPr>
            <w:tcW w:w="42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778,522,086.29</w:t>
            </w:r>
          </w:p>
        </w:tc>
      </w:tr>
    </w:tbl>
    <w:p w:rsidR="00CE3C32" w:rsidRDefault="00CE3C32">
      <w:pPr>
        <w:rPr>
          <w:rFonts w:ascii="Times New Roman" w:eastAsiaTheme="majorEastAsia" w:hAnsi="Times New Roman" w:cs="Times New Roman"/>
          <w:sz w:val="18"/>
          <w:szCs w:val="18"/>
        </w:rPr>
      </w:pPr>
    </w:p>
    <w:p w:rsidR="00CE3C32" w:rsidRDefault="006413B8">
      <w:pPr>
        <w:rPr>
          <w:rFonts w:ascii="Times New Roman" w:eastAsiaTheme="majorEastAsia" w:hAnsi="Times New Roman" w:cs="Times New Roman"/>
          <w:sz w:val="18"/>
          <w:szCs w:val="18"/>
        </w:rPr>
      </w:pPr>
      <w:r>
        <w:rPr>
          <w:rFonts w:ascii="Times New Roman" w:eastAsiaTheme="majorEastAsia" w:hAnsi="Times New Roman" w:cs="Times New Roman" w:hint="eastAsia"/>
          <w:sz w:val="18"/>
          <w:szCs w:val="18"/>
        </w:rPr>
        <w:t>法定代表人：林明玲</w:t>
      </w:r>
      <w:r>
        <w:rPr>
          <w:rFonts w:ascii="Times New Roman" w:eastAsiaTheme="majorEastAsia" w:hAnsi="Times New Roman" w:cs="Times New Roman" w:hint="eastAsia"/>
          <w:sz w:val="18"/>
          <w:szCs w:val="18"/>
        </w:rPr>
        <w:t xml:space="preserve">                                                                                              </w:t>
      </w:r>
      <w:r>
        <w:rPr>
          <w:rFonts w:ascii="Times New Roman" w:eastAsiaTheme="majorEastAsia" w:hAnsi="Times New Roman" w:cs="Times New Roman" w:hint="eastAsia"/>
          <w:sz w:val="18"/>
          <w:szCs w:val="18"/>
        </w:rPr>
        <w:t>主管会计工作负责人：陈焕盛</w:t>
      </w:r>
      <w:r>
        <w:rPr>
          <w:rFonts w:ascii="Times New Roman" w:eastAsiaTheme="majorEastAsia" w:hAnsi="Times New Roman" w:cs="Times New Roman" w:hint="eastAsia"/>
          <w:sz w:val="18"/>
          <w:szCs w:val="18"/>
        </w:rPr>
        <w:t xml:space="preserve">                                                                       </w:t>
      </w:r>
      <w:r>
        <w:rPr>
          <w:rFonts w:ascii="Times New Roman" w:eastAsiaTheme="majorEastAsia" w:hAnsi="Times New Roman" w:cs="Times New Roman" w:hint="eastAsia"/>
          <w:sz w:val="18"/>
          <w:szCs w:val="18"/>
        </w:rPr>
        <w:t>会计机构负责人：赖宏伟</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上年金额</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31"/>
        <w:gridCol w:w="1080"/>
        <w:gridCol w:w="499"/>
        <w:gridCol w:w="499"/>
        <w:gridCol w:w="499"/>
        <w:gridCol w:w="1154"/>
        <w:gridCol w:w="1080"/>
        <w:gridCol w:w="891"/>
        <w:gridCol w:w="499"/>
        <w:gridCol w:w="1080"/>
        <w:gridCol w:w="499"/>
        <w:gridCol w:w="1154"/>
        <w:gridCol w:w="499"/>
        <w:gridCol w:w="1154"/>
        <w:gridCol w:w="1004"/>
        <w:gridCol w:w="1154"/>
      </w:tblGrid>
      <w:tr w:rsidR="00CE3C32">
        <w:trPr>
          <w:trHeight w:val="240"/>
          <w:tblHeader/>
        </w:trPr>
        <w:tc>
          <w:tcPr>
            <w:tcW w:w="505"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495" w:type="pct"/>
            <w:gridSpan w:val="1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2024</w:t>
            </w:r>
            <w:r>
              <w:rPr>
                <w:rFonts w:ascii="Times New Roman" w:eastAsia="宋体" w:hAnsi="Times New Roman" w:cs="Times New Roman"/>
                <w:sz w:val="18"/>
                <w:szCs w:val="18"/>
              </w:rPr>
              <w:t>年半年度</w:t>
            </w:r>
          </w:p>
        </w:tc>
      </w:tr>
      <w:tr w:rsidR="00CE3C32">
        <w:trPr>
          <w:trHeight w:val="240"/>
          <w:tblHeader/>
        </w:trPr>
        <w:tc>
          <w:tcPr>
            <w:tcW w:w="505"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734" w:type="pct"/>
            <w:gridSpan w:val="1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归属于母公司所有者权益</w:t>
            </w:r>
          </w:p>
        </w:tc>
        <w:tc>
          <w:tcPr>
            <w:tcW w:w="354"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少数股东权益</w:t>
            </w:r>
          </w:p>
        </w:tc>
        <w:tc>
          <w:tcPr>
            <w:tcW w:w="407"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所有者权益合计</w:t>
            </w:r>
          </w:p>
        </w:tc>
      </w:tr>
      <w:tr w:rsidR="00CE3C32">
        <w:trPr>
          <w:trHeight w:val="240"/>
          <w:tblHeader/>
        </w:trPr>
        <w:tc>
          <w:tcPr>
            <w:tcW w:w="505"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81"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股本</w:t>
            </w:r>
          </w:p>
        </w:tc>
        <w:tc>
          <w:tcPr>
            <w:tcW w:w="528" w:type="pct"/>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其他权益工具</w:t>
            </w:r>
          </w:p>
        </w:tc>
        <w:tc>
          <w:tcPr>
            <w:tcW w:w="407"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资本公积</w:t>
            </w:r>
          </w:p>
        </w:tc>
        <w:tc>
          <w:tcPr>
            <w:tcW w:w="381"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减：库存</w:t>
            </w:r>
            <w:r>
              <w:rPr>
                <w:rFonts w:ascii="Times New Roman" w:eastAsia="宋体" w:hAnsi="Times New Roman" w:cs="Times New Roman"/>
                <w:sz w:val="18"/>
                <w:szCs w:val="18"/>
              </w:rPr>
              <w:lastRenderedPageBreak/>
              <w:t>股</w:t>
            </w:r>
          </w:p>
        </w:tc>
        <w:tc>
          <w:tcPr>
            <w:tcW w:w="314"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其他综</w:t>
            </w:r>
            <w:r>
              <w:rPr>
                <w:rFonts w:ascii="Times New Roman" w:eastAsia="宋体" w:hAnsi="Times New Roman" w:cs="Times New Roman"/>
                <w:sz w:val="18"/>
                <w:szCs w:val="18"/>
              </w:rPr>
              <w:lastRenderedPageBreak/>
              <w:t>合收益</w:t>
            </w:r>
          </w:p>
        </w:tc>
        <w:tc>
          <w:tcPr>
            <w:tcW w:w="176"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专</w:t>
            </w:r>
            <w:r>
              <w:rPr>
                <w:rFonts w:ascii="Times New Roman" w:eastAsia="宋体" w:hAnsi="Times New Roman" w:cs="Times New Roman"/>
                <w:sz w:val="18"/>
                <w:szCs w:val="18"/>
              </w:rPr>
              <w:lastRenderedPageBreak/>
              <w:t>项储备</w:t>
            </w:r>
          </w:p>
        </w:tc>
        <w:tc>
          <w:tcPr>
            <w:tcW w:w="381"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盈余公积</w:t>
            </w:r>
          </w:p>
        </w:tc>
        <w:tc>
          <w:tcPr>
            <w:tcW w:w="176"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一</w:t>
            </w:r>
            <w:r>
              <w:rPr>
                <w:rFonts w:ascii="Times New Roman" w:eastAsia="宋体" w:hAnsi="Times New Roman" w:cs="Times New Roman"/>
                <w:sz w:val="18"/>
                <w:szCs w:val="18"/>
              </w:rPr>
              <w:lastRenderedPageBreak/>
              <w:t>般风险准备</w:t>
            </w:r>
          </w:p>
        </w:tc>
        <w:tc>
          <w:tcPr>
            <w:tcW w:w="407"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未分配利润</w:t>
            </w:r>
          </w:p>
        </w:tc>
        <w:tc>
          <w:tcPr>
            <w:tcW w:w="176"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w:t>
            </w:r>
            <w:r>
              <w:rPr>
                <w:rFonts w:ascii="Times New Roman" w:eastAsia="宋体" w:hAnsi="Times New Roman" w:cs="Times New Roman"/>
                <w:sz w:val="18"/>
                <w:szCs w:val="18"/>
              </w:rPr>
              <w:lastRenderedPageBreak/>
              <w:t>他</w:t>
            </w:r>
          </w:p>
        </w:tc>
        <w:tc>
          <w:tcPr>
            <w:tcW w:w="407"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小计</w:t>
            </w:r>
          </w:p>
        </w:tc>
        <w:tc>
          <w:tcPr>
            <w:tcW w:w="354"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40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blHeader/>
        </w:trPr>
        <w:tc>
          <w:tcPr>
            <w:tcW w:w="505"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81"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7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优先股</w:t>
            </w:r>
          </w:p>
        </w:tc>
        <w:tc>
          <w:tcPr>
            <w:tcW w:w="17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永续债</w:t>
            </w:r>
          </w:p>
        </w:tc>
        <w:tc>
          <w:tcPr>
            <w:tcW w:w="17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40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81"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14"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76" w:type="pct"/>
            <w:vMerge/>
            <w:tcBorders>
              <w:top w:val="single" w:sz="2" w:space="0" w:color="auto"/>
              <w:left w:val="single" w:sz="2" w:space="0" w:color="auto"/>
              <w:bottom w:val="single" w:sz="2" w:space="0" w:color="auto"/>
              <w:right w:val="single" w:sz="2" w:space="0" w:color="auto"/>
            </w:tcBorders>
            <w:vAlign w:val="center"/>
          </w:tcPr>
          <w:p w:rsidR="00CE3C32" w:rsidRDefault="00CE3C32">
            <w:pPr>
              <w:rPr>
                <w:rFonts w:ascii="Times New Roman" w:hAnsi="Times New Roman" w:cs="Times New Roman"/>
              </w:rPr>
            </w:pPr>
          </w:p>
        </w:tc>
        <w:tc>
          <w:tcPr>
            <w:tcW w:w="381"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76"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40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76" w:type="pct"/>
            <w:vMerge/>
            <w:tcBorders>
              <w:top w:val="single" w:sz="2" w:space="0" w:color="auto"/>
              <w:left w:val="single" w:sz="2" w:space="0" w:color="auto"/>
              <w:bottom w:val="single" w:sz="2" w:space="0" w:color="auto"/>
              <w:right w:val="single" w:sz="2" w:space="0" w:color="auto"/>
            </w:tcBorders>
            <w:vAlign w:val="center"/>
          </w:tcPr>
          <w:p w:rsidR="00CE3C32" w:rsidRDefault="00CE3C32">
            <w:pPr>
              <w:rPr>
                <w:rFonts w:ascii="Times New Roman" w:hAnsi="Times New Roman" w:cs="Times New Roman"/>
              </w:rPr>
            </w:pPr>
          </w:p>
        </w:tc>
        <w:tc>
          <w:tcPr>
            <w:tcW w:w="407" w:type="pct"/>
            <w:vMerge/>
            <w:tcBorders>
              <w:top w:val="single" w:sz="2" w:space="0" w:color="auto"/>
              <w:left w:val="single" w:sz="2" w:space="0" w:color="auto"/>
              <w:bottom w:val="single" w:sz="2" w:space="0" w:color="auto"/>
              <w:right w:val="single" w:sz="2" w:space="0" w:color="auto"/>
            </w:tcBorders>
            <w:vAlign w:val="center"/>
          </w:tcPr>
          <w:p w:rsidR="00CE3C32" w:rsidRDefault="00CE3C32">
            <w:pPr>
              <w:rPr>
                <w:rFonts w:ascii="Times New Roman" w:hAnsi="Times New Roman" w:cs="Times New Roman"/>
              </w:rPr>
            </w:pPr>
          </w:p>
        </w:tc>
        <w:tc>
          <w:tcPr>
            <w:tcW w:w="354"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40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一、上年年末余额</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67,236,800.00</w:t>
            </w: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590,694,089.77</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27,880,684.00</w:t>
            </w: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-673,076.93</w:t>
            </w: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25,904,440.33</w:t>
            </w: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176,446,442.34</w:t>
            </w: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831,728,011.51</w:t>
            </w: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4,551,722.69</w:t>
            </w: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836,279,734.20</w:t>
            </w: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加：会计政策变更</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前期差错更正</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二、本年期初余额</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67,236,800.00</w:t>
            </w: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590,694,089.77</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27,880,684.00</w:t>
            </w: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-673,076.93</w:t>
            </w: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25,904,440.33</w:t>
            </w: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176,446,442.34</w:t>
            </w: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831,728,011.51</w:t>
            </w: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4,551,722.69</w:t>
            </w: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836,279,734.20</w:t>
            </w: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三、本期增减变动金额（减少以</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10,331,267.92</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20,774,048.45</w:t>
            </w: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21,514.08</w:t>
            </w: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-18,439,903.47</w:t>
            </w: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-28,861,169.92</w:t>
            </w: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2,791,399.52</w:t>
            </w: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-26,069,770.40</w:t>
            </w: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（一）综合收益总额</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21,514.08</w:t>
            </w: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-11,729,023.47</w:t>
            </w: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-11,707,509.39</w:t>
            </w: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-2,408,600.48</w:t>
            </w: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-14,116,109.87</w:t>
            </w: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（二）所有者投入和减少资本</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10,331,267.92</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20,774,048.45</w:t>
            </w: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-10,442,780.53</w:t>
            </w: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5,200,000.00</w:t>
            </w: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-5,242,780.53</w:t>
            </w: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．所有者投入的普通股</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．其他权益工具持有者投入资本</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．股份支付计入所有者权益的金额</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10,331,267.92</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20,774,048.45</w:t>
            </w: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-10,442,780.53</w:t>
            </w: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-10,442,780.53</w:t>
            </w: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．其他</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5,200,000.00</w:t>
            </w: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5,200,000.00</w:t>
            </w: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（三）利润分配</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-6,710,880.00</w:t>
            </w: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-6,710,880.00</w:t>
            </w: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-6,710,880.00</w:t>
            </w: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1</w:t>
            </w:r>
            <w:r>
              <w:rPr>
                <w:rFonts w:ascii="Times New Roman" w:eastAsia="宋体" w:hAnsi="Times New Roman" w:cs="Times New Roman"/>
                <w:sz w:val="18"/>
                <w:szCs w:val="18"/>
              </w:rPr>
              <w:t>．提取盈余公积</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．提取一般风险准备</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．对所有者（或股东）的分配</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-6,710,880.00</w:t>
            </w: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-6,710,880.00</w:t>
            </w: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-6,710,880.00</w:t>
            </w: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．其他</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（四）所有者权益内部结转</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．资本公积转增资本（或股本）</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．盈余公积转增资本（或股本）</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．盈余公积弥补亏损</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．设定受益计划变动额结转留存收益</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．其他综合收益结转留存收益</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6</w:t>
            </w:r>
            <w:r>
              <w:rPr>
                <w:rFonts w:ascii="Times New Roman" w:eastAsia="宋体" w:hAnsi="Times New Roman" w:cs="Times New Roman"/>
                <w:sz w:val="18"/>
                <w:szCs w:val="18"/>
              </w:rPr>
              <w:t>．其他</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（五）专项储</w:t>
            </w:r>
            <w:r>
              <w:rPr>
                <w:rFonts w:ascii="Times New Roman" w:eastAsia="宋体" w:hAnsi="Times New Roman" w:cs="Times New Roman"/>
                <w:sz w:val="18"/>
                <w:szCs w:val="18"/>
              </w:rPr>
              <w:lastRenderedPageBreak/>
              <w:t>备</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1</w:t>
            </w:r>
            <w:r>
              <w:rPr>
                <w:rFonts w:ascii="Times New Roman" w:eastAsia="宋体" w:hAnsi="Times New Roman" w:cs="Times New Roman"/>
                <w:sz w:val="18"/>
                <w:szCs w:val="18"/>
              </w:rPr>
              <w:t>．本期提取</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．本期使用</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（六）其他</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50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四、本期期末余额</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67,236,800.00</w:t>
            </w: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601,025,357.69</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48,654,732.45</w:t>
            </w:r>
          </w:p>
        </w:tc>
        <w:tc>
          <w:tcPr>
            <w:tcW w:w="31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-651,562.85</w:t>
            </w: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25,904,440.33</w:t>
            </w: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158,006,538.87</w:t>
            </w:r>
          </w:p>
        </w:tc>
        <w:tc>
          <w:tcPr>
            <w:tcW w:w="1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802,866,841.59</w:t>
            </w:r>
          </w:p>
        </w:tc>
        <w:tc>
          <w:tcPr>
            <w:tcW w:w="35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7,343,122.21</w:t>
            </w: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810,209,963.80</w:t>
            </w:r>
          </w:p>
        </w:tc>
      </w:tr>
    </w:tbl>
    <w:p w:rsidR="00CE3C32" w:rsidRDefault="00CE3C32">
      <w:pPr>
        <w:rPr>
          <w:rFonts w:ascii="Times New Roman" w:eastAsiaTheme="majorEastAsia" w:hAnsi="Times New Roman" w:cs="Times New Roman"/>
          <w:sz w:val="18"/>
          <w:szCs w:val="18"/>
        </w:rPr>
      </w:pPr>
      <w:bookmarkStart w:id="106" w:name="_Toc988992"/>
    </w:p>
    <w:p w:rsidR="00CE3C32" w:rsidRDefault="006413B8">
      <w:pPr>
        <w:rPr>
          <w:rFonts w:ascii="Times New Roman" w:eastAsiaTheme="majorEastAsia" w:hAnsi="Times New Roman" w:cs="Times New Roman"/>
          <w:sz w:val="18"/>
          <w:szCs w:val="18"/>
        </w:rPr>
      </w:pPr>
      <w:r>
        <w:rPr>
          <w:rFonts w:ascii="Times New Roman" w:eastAsiaTheme="majorEastAsia" w:hAnsi="Times New Roman" w:cs="Times New Roman" w:hint="eastAsia"/>
          <w:sz w:val="18"/>
          <w:szCs w:val="18"/>
        </w:rPr>
        <w:t>法定代表人：林明玲</w:t>
      </w:r>
      <w:r>
        <w:rPr>
          <w:rFonts w:ascii="Times New Roman" w:eastAsiaTheme="majorEastAsia" w:hAnsi="Times New Roman" w:cs="Times New Roman" w:hint="eastAsia"/>
          <w:sz w:val="18"/>
          <w:szCs w:val="18"/>
        </w:rPr>
        <w:t xml:space="preserve">                                                                                              </w:t>
      </w:r>
      <w:r>
        <w:rPr>
          <w:rFonts w:ascii="Times New Roman" w:eastAsiaTheme="majorEastAsia" w:hAnsi="Times New Roman" w:cs="Times New Roman" w:hint="eastAsia"/>
          <w:sz w:val="18"/>
          <w:szCs w:val="18"/>
        </w:rPr>
        <w:t>主管会计工作负责人：陈焕盛</w:t>
      </w:r>
      <w:r>
        <w:rPr>
          <w:rFonts w:ascii="Times New Roman" w:eastAsiaTheme="majorEastAsia" w:hAnsi="Times New Roman" w:cs="Times New Roman" w:hint="eastAsia"/>
          <w:sz w:val="18"/>
          <w:szCs w:val="18"/>
        </w:rPr>
        <w:t xml:space="preserve">                                                                       </w:t>
      </w:r>
      <w:r>
        <w:rPr>
          <w:rFonts w:ascii="Times New Roman" w:eastAsiaTheme="majorEastAsia" w:hAnsi="Times New Roman" w:cs="Times New Roman" w:hint="eastAsia"/>
          <w:sz w:val="18"/>
          <w:szCs w:val="18"/>
        </w:rPr>
        <w:t>会计机构负责人：赖宏伟</w:t>
      </w:r>
    </w:p>
    <w:p w:rsidR="00CE3C32" w:rsidRDefault="006413B8">
      <w:pPr>
        <w:pStyle w:val="3"/>
        <w:spacing w:line="280" w:lineRule="exact"/>
        <w:jc w:val="left"/>
        <w:rPr>
          <w:rFonts w:ascii="Times New Roman" w:hAnsi="Times New Roman" w:cs="Times New Roman"/>
          <w:b/>
          <w:bCs/>
        </w:rPr>
      </w:pPr>
      <w:r>
        <w:rPr>
          <w:rFonts w:ascii="Times New Roman" w:hAnsi="Times New Roman" w:cs="Times New Roman"/>
          <w:b/>
          <w:bCs/>
        </w:rPr>
        <w:t>8</w:t>
      </w:r>
      <w:r>
        <w:rPr>
          <w:rFonts w:ascii="Times New Roman" w:hAnsi="Times New Roman" w:cs="Times New Roman"/>
          <w:b/>
          <w:bCs/>
        </w:rPr>
        <w:t>、母公司所有者权益变动表</w:t>
      </w:r>
      <w:bookmarkEnd w:id="106"/>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本期金额</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914"/>
        <w:gridCol w:w="1079"/>
        <w:gridCol w:w="652"/>
        <w:gridCol w:w="652"/>
        <w:gridCol w:w="524"/>
        <w:gridCol w:w="1154"/>
        <w:gridCol w:w="1105"/>
        <w:gridCol w:w="1177"/>
        <w:gridCol w:w="779"/>
        <w:gridCol w:w="1079"/>
        <w:gridCol w:w="1154"/>
        <w:gridCol w:w="524"/>
        <w:gridCol w:w="1383"/>
      </w:tblGrid>
      <w:tr w:rsidR="00CE3C32">
        <w:trPr>
          <w:trHeight w:val="240"/>
          <w:tblHeader/>
        </w:trPr>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0" w:type="auto"/>
            <w:gridSpan w:val="1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年半年度</w:t>
            </w:r>
          </w:p>
        </w:tc>
      </w:tr>
      <w:tr w:rsidR="00CE3C32">
        <w:trPr>
          <w:trHeight w:val="240"/>
          <w:tblHeader/>
        </w:trPr>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股本</w:t>
            </w:r>
          </w:p>
        </w:tc>
        <w:tc>
          <w:tcPr>
            <w:tcW w:w="0" w:type="auto"/>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其他权益工具</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资本公积</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减：库存股</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其他综合收益</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专项储备</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盈余公积</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未分配利润</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所有者权益合计</w:t>
            </w:r>
          </w:p>
        </w:tc>
      </w:tr>
      <w:tr w:rsidR="00CE3C32">
        <w:trPr>
          <w:trHeight w:val="240"/>
          <w:tblHeader/>
        </w:trPr>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优先股</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永续债</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0" w:type="auto"/>
            <w:vMerge/>
            <w:tcBorders>
              <w:top w:val="single" w:sz="2" w:space="0" w:color="auto"/>
              <w:left w:val="single" w:sz="2" w:space="0" w:color="auto"/>
              <w:bottom w:val="single" w:sz="2" w:space="0" w:color="auto"/>
              <w:right w:val="single" w:sz="2" w:space="0" w:color="auto"/>
            </w:tcBorders>
            <w:vAlign w:val="center"/>
          </w:tcPr>
          <w:p w:rsidR="00CE3C32" w:rsidRDefault="00CE3C32">
            <w:pPr>
              <w:rPr>
                <w:rFonts w:ascii="Times New Roman" w:hAnsi="Times New Roman" w:cs="Times New Roman"/>
              </w:rPr>
            </w:pPr>
          </w:p>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0" w:type="auto"/>
            <w:vMerge/>
            <w:tcBorders>
              <w:top w:val="single" w:sz="2" w:space="0" w:color="auto"/>
              <w:left w:val="single" w:sz="2" w:space="0" w:color="auto"/>
              <w:bottom w:val="single" w:sz="2" w:space="0" w:color="auto"/>
              <w:right w:val="single" w:sz="2" w:space="0" w:color="auto"/>
            </w:tcBorders>
            <w:vAlign w:val="center"/>
          </w:tcPr>
          <w:p w:rsidR="00CE3C32" w:rsidRDefault="00CE3C32">
            <w:pPr>
              <w:rPr>
                <w:rFonts w:ascii="Times New Roman" w:hAnsi="Times New Roman" w:cs="Times New Roman"/>
              </w:rPr>
            </w:pPr>
          </w:p>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一、上年年末余额</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67,108,800.00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597,836,882.58</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52,740,572.07</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-269,110.00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25,904,440.33</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102,082,956.33</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739,923,397.17</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加：会计政策变更</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前期差错更正</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二、本年期初余额</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67,108,800.00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597,836,882.58</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52,740,572.07</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-269,110.00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25,904,440.33</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102,082,956.33</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739,923,397.17</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三、本期增减变动金额（减少以</w:t>
            </w:r>
            <w:r>
              <w:rPr>
                <w:rFonts w:ascii="Times New Roman" w:eastAsia="宋体" w:hAnsi="Times New Roman" w:cs="Times New Roman"/>
                <w:sz w:val="18"/>
                <w:szCs w:val="18"/>
              </w:rPr>
              <w:lastRenderedPageBreak/>
              <w:t>“</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5,683,918.45</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25,600.00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3,866,949.62</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9,525,268.07</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（一）综合收益总额</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3,841,349.62</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3,841,349.62</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（二）所有者投入和减少资本</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5,683,918.45</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25,600.00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5,658,318.45</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．所有者投入的普通股</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．其他权益工具持有者投入资本</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．股份支付计入所有者权益的金额</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．其他</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5,683,918.45</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25,600.00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5,658,318.45</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（三）利润分配</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25,600.00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25,600.00</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．提取盈余公积</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．对所有者（或股东）的分配</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．其他</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25,600.00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25,600.00</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（四）所有者权益内部结转</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．资本公积转增资本（或股本）</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．盈余公积转增资本（或股本）</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．盈余公积弥补亏损</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．设定受益计划变动额结转留存收益</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．其他综合收益结转留存收益</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6</w:t>
            </w:r>
            <w:r>
              <w:rPr>
                <w:rFonts w:ascii="Times New Roman" w:eastAsia="宋体" w:hAnsi="Times New Roman" w:cs="Times New Roman"/>
                <w:sz w:val="18"/>
                <w:szCs w:val="18"/>
              </w:rPr>
              <w:t>．其他</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（五）专项储备</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．本期提取</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．本期使用</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（六）其他</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四、本期期末余额</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67,108,800.00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603,520,801.03</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52,766,172.07</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-269,110.00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25,904,440.33</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105,949,905.95</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749,448,665.24</w:t>
            </w:r>
          </w:p>
        </w:tc>
      </w:tr>
    </w:tbl>
    <w:p w:rsidR="00CE3C32" w:rsidRDefault="006413B8">
      <w:pPr>
        <w:rPr>
          <w:rFonts w:ascii="Times New Roman" w:eastAsiaTheme="majorEastAsia" w:hAnsi="Times New Roman" w:cs="Times New Roman"/>
          <w:sz w:val="18"/>
          <w:szCs w:val="18"/>
        </w:rPr>
      </w:pPr>
      <w:r>
        <w:rPr>
          <w:rFonts w:ascii="Times New Roman" w:eastAsiaTheme="majorEastAsia" w:hAnsi="Times New Roman" w:cs="Times New Roman" w:hint="eastAsia"/>
          <w:sz w:val="18"/>
          <w:szCs w:val="18"/>
        </w:rPr>
        <w:t>法定代表人：林明玲</w:t>
      </w:r>
      <w:r>
        <w:rPr>
          <w:rFonts w:ascii="Times New Roman" w:eastAsiaTheme="majorEastAsia" w:hAnsi="Times New Roman" w:cs="Times New Roman" w:hint="eastAsia"/>
          <w:sz w:val="18"/>
          <w:szCs w:val="18"/>
        </w:rPr>
        <w:t xml:space="preserve">                                                                                              </w:t>
      </w:r>
      <w:r>
        <w:rPr>
          <w:rFonts w:ascii="Times New Roman" w:eastAsiaTheme="majorEastAsia" w:hAnsi="Times New Roman" w:cs="Times New Roman" w:hint="eastAsia"/>
          <w:sz w:val="18"/>
          <w:szCs w:val="18"/>
        </w:rPr>
        <w:t>主管会计工作负责人：陈焕盛</w:t>
      </w:r>
      <w:r>
        <w:rPr>
          <w:rFonts w:ascii="Times New Roman" w:eastAsiaTheme="majorEastAsia" w:hAnsi="Times New Roman" w:cs="Times New Roman" w:hint="eastAsia"/>
          <w:sz w:val="18"/>
          <w:szCs w:val="18"/>
        </w:rPr>
        <w:t xml:space="preserve">                                                                       </w:t>
      </w:r>
      <w:r>
        <w:rPr>
          <w:rFonts w:ascii="Times New Roman" w:eastAsiaTheme="majorEastAsia" w:hAnsi="Times New Roman" w:cs="Times New Roman" w:hint="eastAsia"/>
          <w:sz w:val="18"/>
          <w:szCs w:val="18"/>
        </w:rPr>
        <w:t>会计机构负责人：赖宏伟</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上期金额</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914"/>
        <w:gridCol w:w="1079"/>
        <w:gridCol w:w="652"/>
        <w:gridCol w:w="652"/>
        <w:gridCol w:w="525"/>
        <w:gridCol w:w="1154"/>
        <w:gridCol w:w="1106"/>
        <w:gridCol w:w="1177"/>
        <w:gridCol w:w="780"/>
        <w:gridCol w:w="1080"/>
        <w:gridCol w:w="1154"/>
        <w:gridCol w:w="525"/>
        <w:gridCol w:w="1378"/>
      </w:tblGrid>
      <w:tr w:rsidR="00CE3C32">
        <w:trPr>
          <w:trHeight w:val="240"/>
          <w:tblHeader/>
        </w:trPr>
        <w:tc>
          <w:tcPr>
            <w:tcW w:w="1028"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972" w:type="pct"/>
            <w:gridSpan w:val="1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2024</w:t>
            </w:r>
            <w:r>
              <w:rPr>
                <w:rFonts w:ascii="Times New Roman" w:eastAsia="宋体" w:hAnsi="Times New Roman" w:cs="Times New Roman"/>
                <w:sz w:val="18"/>
                <w:szCs w:val="18"/>
              </w:rPr>
              <w:t>年半年度</w:t>
            </w:r>
          </w:p>
        </w:tc>
      </w:tr>
      <w:tr w:rsidR="00CE3C32">
        <w:trPr>
          <w:trHeight w:val="240"/>
          <w:tblHeader/>
        </w:trPr>
        <w:tc>
          <w:tcPr>
            <w:tcW w:w="1028"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81"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股本</w:t>
            </w:r>
          </w:p>
        </w:tc>
        <w:tc>
          <w:tcPr>
            <w:tcW w:w="645" w:type="pct"/>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其他权益工具</w:t>
            </w:r>
          </w:p>
        </w:tc>
        <w:tc>
          <w:tcPr>
            <w:tcW w:w="407"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资本公积</w:t>
            </w:r>
          </w:p>
        </w:tc>
        <w:tc>
          <w:tcPr>
            <w:tcW w:w="390"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减：库存股</w:t>
            </w:r>
          </w:p>
        </w:tc>
        <w:tc>
          <w:tcPr>
            <w:tcW w:w="415"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其他综合收益</w:t>
            </w:r>
          </w:p>
        </w:tc>
        <w:tc>
          <w:tcPr>
            <w:tcW w:w="275"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专项储备</w:t>
            </w:r>
          </w:p>
        </w:tc>
        <w:tc>
          <w:tcPr>
            <w:tcW w:w="381"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盈余公积</w:t>
            </w:r>
          </w:p>
        </w:tc>
        <w:tc>
          <w:tcPr>
            <w:tcW w:w="407"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未分配利润</w:t>
            </w:r>
          </w:p>
        </w:tc>
        <w:tc>
          <w:tcPr>
            <w:tcW w:w="185"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486"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所有者权益合计</w:t>
            </w:r>
          </w:p>
        </w:tc>
      </w:tr>
      <w:tr w:rsidR="00CE3C32">
        <w:trPr>
          <w:trHeight w:val="240"/>
          <w:tblHeader/>
        </w:trPr>
        <w:tc>
          <w:tcPr>
            <w:tcW w:w="1028"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81"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30"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优先股</w:t>
            </w:r>
          </w:p>
        </w:tc>
        <w:tc>
          <w:tcPr>
            <w:tcW w:w="230"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永续债</w:t>
            </w:r>
          </w:p>
        </w:tc>
        <w:tc>
          <w:tcPr>
            <w:tcW w:w="18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40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90"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415"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75" w:type="pct"/>
            <w:vMerge/>
            <w:tcBorders>
              <w:top w:val="single" w:sz="2" w:space="0" w:color="auto"/>
              <w:left w:val="single" w:sz="2" w:space="0" w:color="auto"/>
              <w:bottom w:val="single" w:sz="2" w:space="0" w:color="auto"/>
              <w:right w:val="single" w:sz="2" w:space="0" w:color="auto"/>
            </w:tcBorders>
            <w:vAlign w:val="center"/>
          </w:tcPr>
          <w:p w:rsidR="00CE3C32" w:rsidRDefault="00CE3C32">
            <w:pPr>
              <w:rPr>
                <w:rFonts w:ascii="Times New Roman" w:hAnsi="Times New Roman" w:cs="Times New Roman"/>
              </w:rPr>
            </w:pPr>
          </w:p>
        </w:tc>
        <w:tc>
          <w:tcPr>
            <w:tcW w:w="381"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40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85" w:type="pct"/>
            <w:vMerge/>
            <w:tcBorders>
              <w:top w:val="single" w:sz="2" w:space="0" w:color="auto"/>
              <w:left w:val="single" w:sz="2" w:space="0" w:color="auto"/>
              <w:bottom w:val="single" w:sz="2" w:space="0" w:color="auto"/>
              <w:right w:val="single" w:sz="2" w:space="0" w:color="auto"/>
            </w:tcBorders>
            <w:vAlign w:val="center"/>
          </w:tcPr>
          <w:p w:rsidR="00CE3C32" w:rsidRDefault="00CE3C32">
            <w:pPr>
              <w:rPr>
                <w:rFonts w:ascii="Times New Roman" w:hAnsi="Times New Roman" w:cs="Times New Roman"/>
              </w:rPr>
            </w:pPr>
          </w:p>
        </w:tc>
        <w:tc>
          <w:tcPr>
            <w:tcW w:w="486"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一、上年年末余额</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67,236,800.00</w:t>
            </w: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590,701,200.39</w:t>
            </w: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27,880,684.00</w:t>
            </w: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-269,110.00</w:t>
            </w: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25,904,440.33</w:t>
            </w: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141,116,877.21</w:t>
            </w: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796,809,523.93</w:t>
            </w: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加：会计政策变更</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前期差错更正</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二、本年期初余额</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67,236,800.00</w:t>
            </w: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590,701,200.39</w:t>
            </w: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27,880,684.00</w:t>
            </w: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-269,110.00</w:t>
            </w: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25,904,440.33</w:t>
            </w: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141,116,877.21</w:t>
            </w: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796,809,523.93</w:t>
            </w: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三、本期增减变动金额（减少以</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10,331,267.92</w:t>
            </w: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20,774,048.45</w:t>
            </w: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-11,895,951.41</w:t>
            </w: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-22,338,731.94</w:t>
            </w: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（一）综合收益总额</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-5,185,071.41</w:t>
            </w: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-5,185,071.41</w:t>
            </w: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（二）所有者投入和减少资本</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10,331,267.92</w:t>
            </w: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20,774,048.45</w:t>
            </w: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-10,442,780.53</w:t>
            </w: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．所有者投入的普通股</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．其他权益工具持有者投入资本</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．股份支付计入所有者权益的金额</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10,331,267.92</w:t>
            </w: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20,774,048.45</w:t>
            </w: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-10,442,780.53</w:t>
            </w: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．其他</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（三）利润分配</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-6,710,880.00</w:t>
            </w: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-6,710,880.00</w:t>
            </w: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．提取盈余公积</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．对所有者（或股东）的分配</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-6,710,880.00</w:t>
            </w: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-6,710,880.00</w:t>
            </w: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．其他</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（四）所有者权益内部结转</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．资本公积转增资本（或股本）</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．盈余公积转增资本（或股本）</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．盈余公积弥补亏损</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．设定受益计划变动额结转留存收益</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5</w:t>
            </w:r>
            <w:r>
              <w:rPr>
                <w:rFonts w:ascii="Times New Roman" w:eastAsia="宋体" w:hAnsi="Times New Roman" w:cs="Times New Roman"/>
                <w:sz w:val="18"/>
                <w:szCs w:val="18"/>
              </w:rPr>
              <w:t>．其他综合收益结转留存收益</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6</w:t>
            </w:r>
            <w:r>
              <w:rPr>
                <w:rFonts w:ascii="Times New Roman" w:eastAsia="宋体" w:hAnsi="Times New Roman" w:cs="Times New Roman"/>
                <w:sz w:val="18"/>
                <w:szCs w:val="18"/>
              </w:rPr>
              <w:t>．其他</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（五）专项储备</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．本期提取</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．本期使用</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（六）其他</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r>
      <w:tr w:rsidR="00CE3C32">
        <w:trPr>
          <w:trHeight w:val="240"/>
        </w:trPr>
        <w:tc>
          <w:tcPr>
            <w:tcW w:w="102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四、本期期末余额</w:t>
            </w: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67,236,800.00</w:t>
            </w: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23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601,032,468.31</w:t>
            </w:r>
          </w:p>
        </w:tc>
        <w:tc>
          <w:tcPr>
            <w:tcW w:w="39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48,654,732.45</w:t>
            </w:r>
          </w:p>
        </w:tc>
        <w:tc>
          <w:tcPr>
            <w:tcW w:w="41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-269,110.00</w:t>
            </w:r>
          </w:p>
        </w:tc>
        <w:tc>
          <w:tcPr>
            <w:tcW w:w="27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38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25,904,440.33</w:t>
            </w:r>
          </w:p>
        </w:tc>
        <w:tc>
          <w:tcPr>
            <w:tcW w:w="4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129,220,925.80</w:t>
            </w:r>
          </w:p>
        </w:tc>
        <w:tc>
          <w:tcPr>
            <w:tcW w:w="18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5"/>
                <w:szCs w:val="15"/>
              </w:rPr>
            </w:pPr>
          </w:p>
        </w:tc>
        <w:tc>
          <w:tcPr>
            <w:tcW w:w="4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5"/>
                <w:szCs w:val="15"/>
              </w:rPr>
            </w:pPr>
            <w:r>
              <w:rPr>
                <w:rFonts w:ascii="Times New Roman" w:eastAsia="宋体" w:hAnsi="Times New Roman" w:cs="Times New Roman"/>
                <w:sz w:val="15"/>
                <w:szCs w:val="15"/>
              </w:rPr>
              <w:t>774,470,791.99</w:t>
            </w:r>
          </w:p>
        </w:tc>
      </w:tr>
    </w:tbl>
    <w:p w:rsidR="00CE3C32" w:rsidRDefault="00CE3C32">
      <w:pPr>
        <w:rPr>
          <w:rFonts w:ascii="Times New Roman" w:eastAsiaTheme="majorEastAsia" w:hAnsi="Times New Roman" w:cs="Times New Roman"/>
          <w:sz w:val="18"/>
          <w:szCs w:val="18"/>
        </w:rPr>
      </w:pPr>
      <w:bookmarkStart w:id="107" w:name="_Toc988993"/>
    </w:p>
    <w:p w:rsidR="00CE3C32" w:rsidRDefault="006413B8">
      <w:pPr>
        <w:rPr>
          <w:rFonts w:ascii="Times New Roman" w:eastAsiaTheme="majorEastAsia" w:hAnsi="Times New Roman" w:cs="Times New Roman"/>
          <w:sz w:val="18"/>
          <w:szCs w:val="18"/>
        </w:rPr>
      </w:pPr>
      <w:r>
        <w:rPr>
          <w:rFonts w:ascii="Times New Roman" w:eastAsiaTheme="majorEastAsia" w:hAnsi="Times New Roman" w:cs="Times New Roman" w:hint="eastAsia"/>
          <w:sz w:val="18"/>
          <w:szCs w:val="18"/>
        </w:rPr>
        <w:t>法定代表人：林明玲</w:t>
      </w:r>
      <w:r>
        <w:rPr>
          <w:rFonts w:ascii="Times New Roman" w:eastAsiaTheme="majorEastAsia" w:hAnsi="Times New Roman" w:cs="Times New Roman" w:hint="eastAsia"/>
          <w:sz w:val="18"/>
          <w:szCs w:val="18"/>
        </w:rPr>
        <w:t xml:space="preserve">                                                                                              </w:t>
      </w:r>
      <w:r>
        <w:rPr>
          <w:rFonts w:ascii="Times New Roman" w:eastAsiaTheme="majorEastAsia" w:hAnsi="Times New Roman" w:cs="Times New Roman" w:hint="eastAsia"/>
          <w:sz w:val="18"/>
          <w:szCs w:val="18"/>
        </w:rPr>
        <w:t>主管会计工作负责人：陈焕盛</w:t>
      </w:r>
      <w:r>
        <w:rPr>
          <w:rFonts w:ascii="Times New Roman" w:eastAsiaTheme="majorEastAsia" w:hAnsi="Times New Roman" w:cs="Times New Roman" w:hint="eastAsia"/>
          <w:sz w:val="18"/>
          <w:szCs w:val="18"/>
        </w:rPr>
        <w:t xml:space="preserve">                                                                       </w:t>
      </w:r>
      <w:r>
        <w:rPr>
          <w:rFonts w:ascii="Times New Roman" w:eastAsiaTheme="majorEastAsia" w:hAnsi="Times New Roman" w:cs="Times New Roman" w:hint="eastAsia"/>
          <w:sz w:val="18"/>
          <w:szCs w:val="18"/>
        </w:rPr>
        <w:t>会计机构负责人：赖宏伟</w:t>
      </w:r>
    </w:p>
    <w:p w:rsidR="00CE3C32" w:rsidRDefault="00CE3C32">
      <w:pPr>
        <w:pStyle w:val="2"/>
        <w:spacing w:before="300" w:after="300" w:line="320" w:lineRule="exact"/>
        <w:rPr>
          <w:rFonts w:ascii="Times New Roman" w:eastAsia="宋体" w:hAnsi="Times New Roman" w:cs="Times New Roman"/>
          <w:b/>
          <w:bCs/>
          <w:sz w:val="24"/>
          <w:szCs w:val="24"/>
        </w:rPr>
        <w:sectPr w:rsidR="00CE3C32">
          <w:pgSz w:w="16840" w:h="11905" w:orient="landscape"/>
          <w:pgMar w:top="1134" w:right="1440" w:bottom="1134" w:left="1440" w:header="850" w:footer="992" w:gutter="0"/>
          <w:cols w:space="720"/>
          <w:docGrid w:type="linesAndChars" w:linePitch="312"/>
        </w:sectPr>
      </w:pPr>
    </w:p>
    <w:p w:rsidR="00CE3C32" w:rsidRDefault="006413B8">
      <w:pPr>
        <w:pStyle w:val="2"/>
        <w:spacing w:before="300" w:after="300" w:line="320" w:lineRule="exact"/>
        <w:rPr>
          <w:rFonts w:ascii="Times New Roman" w:eastAsia="宋体" w:hAnsi="Times New Roman" w:cs="Times New Roman"/>
          <w:b/>
          <w:bCs/>
          <w:sz w:val="24"/>
          <w:szCs w:val="24"/>
        </w:rPr>
      </w:pPr>
      <w:r>
        <w:rPr>
          <w:rFonts w:ascii="Times New Roman" w:eastAsia="宋体" w:hAnsi="Times New Roman" w:cs="Times New Roman"/>
          <w:b/>
          <w:bCs/>
          <w:sz w:val="24"/>
          <w:szCs w:val="24"/>
        </w:rPr>
        <w:lastRenderedPageBreak/>
        <w:t>三、公司基本情况</w:t>
      </w:r>
      <w:bookmarkEnd w:id="107"/>
    </w:p>
    <w:p w:rsidR="00CE3C32" w:rsidRDefault="006413B8">
      <w:pPr>
        <w:pStyle w:val="3"/>
        <w:spacing w:line="280" w:lineRule="exact"/>
        <w:jc w:val="left"/>
        <w:rPr>
          <w:rFonts w:ascii="Times New Roman" w:hAnsi="Times New Roman" w:cs="Times New Roman"/>
          <w:b/>
        </w:rPr>
      </w:pPr>
      <w:r>
        <w:rPr>
          <w:b/>
          <w:bCs/>
        </w:rPr>
        <w:t>1</w:t>
      </w:r>
      <w:r>
        <w:rPr>
          <w:b/>
          <w:bCs/>
        </w:rPr>
        <w:t>、公司基本情况</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广东天亿马信息产业股份有限公司（以下简</w:t>
      </w:r>
      <w:r>
        <w:rPr>
          <w:rFonts w:asciiTheme="majorEastAsia" w:eastAsiaTheme="majorEastAsia" w:hAnsiTheme="majorEastAsia" w:cs="Times New Roman"/>
          <w:sz w:val="21"/>
          <w:szCs w:val="21"/>
        </w:rPr>
        <w:t>称“公司”或“本公司”</w:t>
      </w:r>
      <w:r>
        <w:rPr>
          <w:rFonts w:ascii="Times New Roman" w:hAnsi="Times New Roman" w:cs="Times New Roman"/>
          <w:sz w:val="21"/>
          <w:szCs w:val="21"/>
        </w:rPr>
        <w:t>），系在广东天亿马信息产业有限公司的基础上整体变更设立，于</w:t>
      </w:r>
      <w:r>
        <w:rPr>
          <w:rFonts w:ascii="Times New Roman" w:hAnsi="Times New Roman" w:cs="Times New Roman"/>
          <w:sz w:val="21"/>
          <w:szCs w:val="21"/>
        </w:rPr>
        <w:t>2015</w:t>
      </w:r>
      <w:r>
        <w:rPr>
          <w:rFonts w:ascii="Times New Roman" w:hAnsi="Times New Roman" w:cs="Times New Roman"/>
          <w:sz w:val="21"/>
          <w:szCs w:val="21"/>
        </w:rPr>
        <w:t>年</w:t>
      </w:r>
      <w:r>
        <w:rPr>
          <w:rFonts w:ascii="Times New Roman" w:hAnsi="Times New Roman" w:cs="Times New Roman"/>
          <w:sz w:val="21"/>
          <w:szCs w:val="21"/>
        </w:rPr>
        <w:t>8</w:t>
      </w:r>
      <w:r>
        <w:rPr>
          <w:rFonts w:ascii="Times New Roman" w:hAnsi="Times New Roman" w:cs="Times New Roman"/>
          <w:sz w:val="21"/>
          <w:szCs w:val="21"/>
        </w:rPr>
        <w:t>月</w:t>
      </w:r>
      <w:r>
        <w:rPr>
          <w:rFonts w:ascii="Times New Roman" w:hAnsi="Times New Roman" w:cs="Times New Roman"/>
          <w:sz w:val="21"/>
          <w:szCs w:val="21"/>
        </w:rPr>
        <w:t>28</w:t>
      </w:r>
      <w:r>
        <w:rPr>
          <w:rFonts w:ascii="Times New Roman" w:hAnsi="Times New Roman" w:cs="Times New Roman"/>
          <w:sz w:val="21"/>
          <w:szCs w:val="21"/>
        </w:rPr>
        <w:t>日在汕头市市场监督管理局登记注册，取得统一社会信用代码</w:t>
      </w:r>
      <w:r>
        <w:rPr>
          <w:rFonts w:ascii="Times New Roman" w:hAnsi="Times New Roman" w:cs="Times New Roman"/>
          <w:sz w:val="21"/>
          <w:szCs w:val="21"/>
        </w:rPr>
        <w:t>914405007080295548</w:t>
      </w:r>
      <w:r>
        <w:rPr>
          <w:rFonts w:ascii="Times New Roman" w:hAnsi="Times New Roman" w:cs="Times New Roman"/>
          <w:sz w:val="21"/>
          <w:szCs w:val="21"/>
        </w:rPr>
        <w:t>的营业执照，登记的注册资本为人民币</w:t>
      </w:r>
      <w:r>
        <w:rPr>
          <w:rFonts w:ascii="Times New Roman" w:hAnsi="Times New Roman" w:cs="Times New Roman"/>
          <w:sz w:val="21"/>
          <w:szCs w:val="21"/>
        </w:rPr>
        <w:t>2,231.1111</w:t>
      </w:r>
      <w:r>
        <w:rPr>
          <w:rFonts w:ascii="Times New Roman" w:hAnsi="Times New Roman" w:cs="Times New Roman"/>
          <w:sz w:val="21"/>
          <w:szCs w:val="21"/>
        </w:rPr>
        <w:t>万元。</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2021</w:t>
      </w:r>
      <w:r>
        <w:rPr>
          <w:rFonts w:ascii="Times New Roman" w:hAnsi="Times New Roman" w:cs="Times New Roman"/>
          <w:sz w:val="21"/>
          <w:szCs w:val="21"/>
        </w:rPr>
        <w:t>年</w:t>
      </w:r>
      <w:r>
        <w:rPr>
          <w:rFonts w:ascii="Times New Roman" w:hAnsi="Times New Roman" w:cs="Times New Roman"/>
          <w:sz w:val="21"/>
          <w:szCs w:val="21"/>
        </w:rPr>
        <w:t>9</w:t>
      </w:r>
      <w:r>
        <w:rPr>
          <w:rFonts w:ascii="Times New Roman" w:hAnsi="Times New Roman" w:cs="Times New Roman"/>
          <w:sz w:val="21"/>
          <w:szCs w:val="21"/>
        </w:rPr>
        <w:t>月，经中国证券监督管理委员会《关于同意广东天亿马信息产业股份有限公司首次公开发行股票注册的批复》（证监许可</w:t>
      </w:r>
      <w:r>
        <w:rPr>
          <w:rFonts w:ascii="Times New Roman" w:hAnsi="Times New Roman" w:cs="Times New Roman"/>
          <w:sz w:val="21"/>
          <w:szCs w:val="21"/>
        </w:rPr>
        <w:t>[2021]2937</w:t>
      </w:r>
      <w:r>
        <w:rPr>
          <w:rFonts w:ascii="Times New Roman" w:hAnsi="Times New Roman" w:cs="Times New Roman"/>
          <w:sz w:val="21"/>
          <w:szCs w:val="21"/>
        </w:rPr>
        <w:t>号文）核准，公司于</w:t>
      </w:r>
      <w:r>
        <w:rPr>
          <w:rFonts w:ascii="Times New Roman" w:hAnsi="Times New Roman" w:cs="Times New Roman"/>
          <w:sz w:val="21"/>
          <w:szCs w:val="21"/>
        </w:rPr>
        <w:t>2021</w:t>
      </w:r>
      <w:r>
        <w:rPr>
          <w:rFonts w:ascii="Times New Roman" w:hAnsi="Times New Roman" w:cs="Times New Roman"/>
          <w:sz w:val="21"/>
          <w:szCs w:val="21"/>
        </w:rPr>
        <w:t>年</w:t>
      </w:r>
      <w:r>
        <w:rPr>
          <w:rFonts w:ascii="Times New Roman" w:hAnsi="Times New Roman" w:cs="Times New Roman"/>
          <w:sz w:val="21"/>
          <w:szCs w:val="21"/>
        </w:rPr>
        <w:t>11</w:t>
      </w:r>
      <w:r>
        <w:rPr>
          <w:rFonts w:ascii="Times New Roman" w:hAnsi="Times New Roman" w:cs="Times New Roman"/>
          <w:sz w:val="21"/>
          <w:szCs w:val="21"/>
        </w:rPr>
        <w:t>月</w:t>
      </w:r>
      <w:r>
        <w:rPr>
          <w:rFonts w:ascii="Times New Roman" w:hAnsi="Times New Roman" w:cs="Times New Roman"/>
          <w:sz w:val="21"/>
          <w:szCs w:val="21"/>
        </w:rPr>
        <w:t>1</w:t>
      </w:r>
      <w:r>
        <w:rPr>
          <w:rFonts w:ascii="Times New Roman" w:hAnsi="Times New Roman" w:cs="Times New Roman"/>
          <w:sz w:val="21"/>
          <w:szCs w:val="21"/>
        </w:rPr>
        <w:t>日采用网上定价方式公开发行人民币普通股（</w:t>
      </w:r>
      <w:r>
        <w:rPr>
          <w:rFonts w:ascii="Times New Roman" w:hAnsi="Times New Roman" w:cs="Times New Roman"/>
          <w:sz w:val="21"/>
          <w:szCs w:val="21"/>
        </w:rPr>
        <w:t>A</w:t>
      </w:r>
      <w:r>
        <w:rPr>
          <w:rFonts w:ascii="Times New Roman" w:hAnsi="Times New Roman" w:cs="Times New Roman"/>
          <w:sz w:val="21"/>
          <w:szCs w:val="21"/>
        </w:rPr>
        <w:t>股）</w:t>
      </w:r>
      <w:r>
        <w:rPr>
          <w:rFonts w:ascii="Times New Roman" w:hAnsi="Times New Roman" w:cs="Times New Roman"/>
          <w:sz w:val="21"/>
          <w:szCs w:val="21"/>
        </w:rPr>
        <w:t>1,177.80</w:t>
      </w:r>
      <w:r>
        <w:rPr>
          <w:rFonts w:ascii="Times New Roman" w:hAnsi="Times New Roman" w:cs="Times New Roman"/>
          <w:sz w:val="21"/>
          <w:szCs w:val="21"/>
        </w:rPr>
        <w:t>万股，变更后公司注册资本为</w:t>
      </w:r>
      <w:r>
        <w:rPr>
          <w:rFonts w:ascii="Times New Roman" w:hAnsi="Times New Roman" w:cs="Times New Roman"/>
          <w:sz w:val="21"/>
          <w:szCs w:val="21"/>
        </w:rPr>
        <w:t>4,711.20</w:t>
      </w:r>
      <w:r>
        <w:rPr>
          <w:rFonts w:ascii="Times New Roman" w:hAnsi="Times New Roman" w:cs="Times New Roman"/>
          <w:sz w:val="21"/>
          <w:szCs w:val="21"/>
        </w:rPr>
        <w:t>万元。</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2022</w:t>
      </w:r>
      <w:r>
        <w:rPr>
          <w:rFonts w:ascii="Times New Roman" w:hAnsi="Times New Roman" w:cs="Times New Roman"/>
          <w:sz w:val="21"/>
          <w:szCs w:val="21"/>
        </w:rPr>
        <w:t>年</w:t>
      </w:r>
      <w:r>
        <w:rPr>
          <w:rFonts w:ascii="Times New Roman" w:hAnsi="Times New Roman" w:cs="Times New Roman"/>
          <w:sz w:val="21"/>
          <w:szCs w:val="21"/>
        </w:rPr>
        <w:t>5</w:t>
      </w:r>
      <w:r>
        <w:rPr>
          <w:rFonts w:ascii="Times New Roman" w:hAnsi="Times New Roman" w:cs="Times New Roman"/>
          <w:sz w:val="21"/>
          <w:szCs w:val="21"/>
        </w:rPr>
        <w:t>月，经公司</w:t>
      </w:r>
      <w:r>
        <w:rPr>
          <w:rFonts w:ascii="Times New Roman" w:hAnsi="Times New Roman" w:cs="Times New Roman"/>
          <w:sz w:val="21"/>
          <w:szCs w:val="21"/>
        </w:rPr>
        <w:t>2021</w:t>
      </w:r>
      <w:r>
        <w:rPr>
          <w:rFonts w:ascii="Times New Roman" w:hAnsi="Times New Roman" w:cs="Times New Roman"/>
          <w:sz w:val="21"/>
          <w:szCs w:val="21"/>
        </w:rPr>
        <w:t>年年度股东大会批准，以资本公积金向全体股东每</w:t>
      </w:r>
      <w:r>
        <w:rPr>
          <w:rFonts w:ascii="Times New Roman" w:hAnsi="Times New Roman" w:cs="Times New Roman"/>
          <w:sz w:val="21"/>
          <w:szCs w:val="21"/>
        </w:rPr>
        <w:t>10</w:t>
      </w:r>
      <w:r>
        <w:rPr>
          <w:rFonts w:ascii="Times New Roman" w:hAnsi="Times New Roman" w:cs="Times New Roman"/>
          <w:sz w:val="21"/>
          <w:szCs w:val="21"/>
        </w:rPr>
        <w:t>股转增</w:t>
      </w:r>
      <w:r>
        <w:rPr>
          <w:rFonts w:ascii="Times New Roman" w:hAnsi="Times New Roman" w:cs="Times New Roman"/>
          <w:sz w:val="21"/>
          <w:szCs w:val="21"/>
        </w:rPr>
        <w:t>4</w:t>
      </w:r>
      <w:r>
        <w:rPr>
          <w:rFonts w:ascii="Times New Roman" w:hAnsi="Times New Roman" w:cs="Times New Roman"/>
          <w:sz w:val="21"/>
          <w:szCs w:val="21"/>
        </w:rPr>
        <w:t>股，共计转增</w:t>
      </w:r>
      <w:r>
        <w:rPr>
          <w:rFonts w:ascii="Times New Roman" w:hAnsi="Times New Roman" w:cs="Times New Roman"/>
          <w:sz w:val="21"/>
          <w:szCs w:val="21"/>
        </w:rPr>
        <w:t>18,844,800</w:t>
      </w:r>
      <w:r>
        <w:rPr>
          <w:rFonts w:ascii="Times New Roman" w:hAnsi="Times New Roman" w:cs="Times New Roman"/>
          <w:sz w:val="21"/>
          <w:szCs w:val="21"/>
        </w:rPr>
        <w:t>股，转增后公司总股本为</w:t>
      </w:r>
      <w:r>
        <w:rPr>
          <w:rFonts w:ascii="Times New Roman" w:hAnsi="Times New Roman" w:cs="Times New Roman"/>
          <w:sz w:val="21"/>
          <w:szCs w:val="21"/>
        </w:rPr>
        <w:t>65,956,800</w:t>
      </w:r>
      <w:r>
        <w:rPr>
          <w:rFonts w:ascii="Times New Roman" w:hAnsi="Times New Roman" w:cs="Times New Roman"/>
          <w:sz w:val="21"/>
          <w:szCs w:val="21"/>
        </w:rPr>
        <w:t>股。</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2023</w:t>
      </w:r>
      <w:r>
        <w:rPr>
          <w:rFonts w:ascii="Times New Roman" w:hAnsi="Times New Roman" w:cs="Times New Roman"/>
          <w:sz w:val="21"/>
          <w:szCs w:val="21"/>
        </w:rPr>
        <w:t>年</w:t>
      </w:r>
      <w:r>
        <w:rPr>
          <w:rFonts w:ascii="Times New Roman" w:hAnsi="Times New Roman" w:cs="Times New Roman"/>
          <w:sz w:val="21"/>
          <w:szCs w:val="21"/>
        </w:rPr>
        <w:t>9</w:t>
      </w:r>
      <w:r>
        <w:rPr>
          <w:rFonts w:ascii="Times New Roman" w:hAnsi="Times New Roman" w:cs="Times New Roman"/>
          <w:sz w:val="21"/>
          <w:szCs w:val="21"/>
        </w:rPr>
        <w:t>月，经公司</w:t>
      </w:r>
      <w:r>
        <w:rPr>
          <w:rFonts w:ascii="Times New Roman" w:hAnsi="Times New Roman" w:cs="Times New Roman"/>
          <w:sz w:val="21"/>
          <w:szCs w:val="21"/>
        </w:rPr>
        <w:t>2023</w:t>
      </w:r>
      <w:r>
        <w:rPr>
          <w:rFonts w:ascii="Times New Roman" w:hAnsi="Times New Roman" w:cs="Times New Roman"/>
          <w:sz w:val="21"/>
          <w:szCs w:val="21"/>
        </w:rPr>
        <w:t>年第四次临时股东大会决议批准，公司实施限制性股票激励计划，</w:t>
      </w:r>
      <w:r>
        <w:rPr>
          <w:rFonts w:ascii="Times New Roman" w:hAnsi="Times New Roman" w:cs="Times New Roman"/>
          <w:sz w:val="21"/>
          <w:szCs w:val="21"/>
        </w:rPr>
        <w:t>2023</w:t>
      </w:r>
      <w:r>
        <w:rPr>
          <w:rFonts w:ascii="Times New Roman" w:hAnsi="Times New Roman" w:cs="Times New Roman"/>
          <w:sz w:val="21"/>
          <w:szCs w:val="21"/>
        </w:rPr>
        <w:t>年</w:t>
      </w:r>
      <w:r>
        <w:rPr>
          <w:rFonts w:ascii="Times New Roman" w:hAnsi="Times New Roman" w:cs="Times New Roman"/>
          <w:sz w:val="21"/>
          <w:szCs w:val="21"/>
        </w:rPr>
        <w:t>10</w:t>
      </w:r>
      <w:r>
        <w:rPr>
          <w:rFonts w:ascii="Times New Roman" w:hAnsi="Times New Roman" w:cs="Times New Roman"/>
          <w:sz w:val="21"/>
          <w:szCs w:val="21"/>
        </w:rPr>
        <w:t>月，公司收到首次授予的激励对象出资，公司注册资本变更为</w:t>
      </w:r>
      <w:r>
        <w:rPr>
          <w:rFonts w:ascii="Times New Roman" w:hAnsi="Times New Roman" w:cs="Times New Roman"/>
          <w:sz w:val="21"/>
          <w:szCs w:val="21"/>
        </w:rPr>
        <w:t>6,723.68</w:t>
      </w:r>
      <w:r>
        <w:rPr>
          <w:rFonts w:ascii="Times New Roman" w:hAnsi="Times New Roman" w:cs="Times New Roman"/>
          <w:sz w:val="21"/>
          <w:szCs w:val="21"/>
        </w:rPr>
        <w:t>万元。</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2024</w:t>
      </w:r>
      <w:r>
        <w:rPr>
          <w:rFonts w:ascii="Times New Roman" w:hAnsi="Times New Roman" w:cs="Times New Roman"/>
          <w:sz w:val="21"/>
          <w:szCs w:val="21"/>
        </w:rPr>
        <w:t>年</w:t>
      </w:r>
      <w:r>
        <w:rPr>
          <w:rFonts w:ascii="Times New Roman" w:hAnsi="Times New Roman" w:cs="Times New Roman"/>
          <w:sz w:val="21"/>
          <w:szCs w:val="21"/>
        </w:rPr>
        <w:t>9</w:t>
      </w:r>
      <w:r>
        <w:rPr>
          <w:rFonts w:ascii="Times New Roman" w:hAnsi="Times New Roman" w:cs="Times New Roman"/>
          <w:sz w:val="21"/>
          <w:szCs w:val="21"/>
        </w:rPr>
        <w:t>月，经公司</w:t>
      </w:r>
      <w:r>
        <w:rPr>
          <w:rFonts w:ascii="Times New Roman" w:hAnsi="Times New Roman" w:cs="Times New Roman"/>
          <w:sz w:val="21"/>
          <w:szCs w:val="21"/>
        </w:rPr>
        <w:t>2024</w:t>
      </w:r>
      <w:r>
        <w:rPr>
          <w:rFonts w:ascii="Times New Roman" w:hAnsi="Times New Roman" w:cs="Times New Roman"/>
          <w:sz w:val="21"/>
          <w:szCs w:val="21"/>
        </w:rPr>
        <w:t>年第三次临时股东会议以及第三届董事会第二十四次会议决议，因公司层面</w:t>
      </w:r>
      <w:r>
        <w:rPr>
          <w:rFonts w:ascii="Times New Roman" w:hAnsi="Times New Roman" w:cs="Times New Roman"/>
          <w:sz w:val="21"/>
          <w:szCs w:val="21"/>
        </w:rPr>
        <w:t>2023</w:t>
      </w:r>
      <w:r>
        <w:rPr>
          <w:rFonts w:ascii="Times New Roman" w:hAnsi="Times New Roman" w:cs="Times New Roman"/>
          <w:sz w:val="21"/>
          <w:szCs w:val="21"/>
        </w:rPr>
        <w:t>年业绩考核未达标，同意回购并注销首次授予林明玲、马学沛</w:t>
      </w:r>
      <w:r>
        <w:rPr>
          <w:rFonts w:ascii="Times New Roman" w:hAnsi="Times New Roman" w:cs="Times New Roman"/>
          <w:sz w:val="21"/>
          <w:szCs w:val="21"/>
        </w:rPr>
        <w:t>2</w:t>
      </w:r>
      <w:r>
        <w:rPr>
          <w:rFonts w:ascii="Times New Roman" w:hAnsi="Times New Roman" w:cs="Times New Roman"/>
          <w:sz w:val="21"/>
          <w:szCs w:val="21"/>
        </w:rPr>
        <w:t>名激励对象对应当年已获授但尚未解除限售的第一类限制性股票合计</w:t>
      </w:r>
      <w:r>
        <w:rPr>
          <w:rFonts w:ascii="Times New Roman" w:hAnsi="Times New Roman" w:cs="Times New Roman"/>
          <w:sz w:val="21"/>
          <w:szCs w:val="21"/>
        </w:rPr>
        <w:t>128,000</w:t>
      </w:r>
      <w:r>
        <w:rPr>
          <w:rFonts w:ascii="Times New Roman" w:hAnsi="Times New Roman" w:cs="Times New Roman"/>
          <w:sz w:val="21"/>
          <w:szCs w:val="21"/>
        </w:rPr>
        <w:t>股，每股面值</w:t>
      </w:r>
      <w:r>
        <w:rPr>
          <w:rFonts w:ascii="Times New Roman" w:hAnsi="Times New Roman" w:cs="Times New Roman"/>
          <w:sz w:val="21"/>
          <w:szCs w:val="21"/>
        </w:rPr>
        <w:t>1</w:t>
      </w:r>
      <w:r>
        <w:rPr>
          <w:rFonts w:ascii="Times New Roman" w:hAnsi="Times New Roman" w:cs="Times New Roman"/>
          <w:sz w:val="21"/>
          <w:szCs w:val="21"/>
        </w:rPr>
        <w:t>元，回购价格为</w:t>
      </w:r>
      <w:r>
        <w:rPr>
          <w:rFonts w:ascii="Times New Roman" w:hAnsi="Times New Roman" w:cs="Times New Roman"/>
          <w:sz w:val="21"/>
          <w:szCs w:val="21"/>
        </w:rPr>
        <w:t>15.81</w:t>
      </w:r>
      <w:r>
        <w:rPr>
          <w:rFonts w:ascii="Times New Roman" w:hAnsi="Times New Roman" w:cs="Times New Roman"/>
          <w:sz w:val="21"/>
          <w:szCs w:val="21"/>
        </w:rPr>
        <w:t>元</w:t>
      </w:r>
      <w:r>
        <w:rPr>
          <w:rFonts w:ascii="Times New Roman" w:hAnsi="Times New Roman" w:cs="Times New Roman"/>
          <w:sz w:val="21"/>
          <w:szCs w:val="21"/>
        </w:rPr>
        <w:t>/</w:t>
      </w:r>
      <w:r>
        <w:rPr>
          <w:rFonts w:ascii="Times New Roman" w:hAnsi="Times New Roman" w:cs="Times New Roman"/>
          <w:sz w:val="21"/>
          <w:szCs w:val="21"/>
        </w:rPr>
        <w:t>股加上中国人民银行同期存款利息之和，公司减少注册资本人民币</w:t>
      </w:r>
      <w:r>
        <w:rPr>
          <w:rFonts w:ascii="Times New Roman" w:hAnsi="Times New Roman" w:cs="Times New Roman"/>
          <w:sz w:val="21"/>
          <w:szCs w:val="21"/>
        </w:rPr>
        <w:t>128,000.00</w:t>
      </w:r>
      <w:r>
        <w:rPr>
          <w:rFonts w:ascii="Times New Roman" w:hAnsi="Times New Roman" w:cs="Times New Roman"/>
          <w:sz w:val="21"/>
          <w:szCs w:val="21"/>
        </w:rPr>
        <w:t>元，变更后注册资本为人民币</w:t>
      </w:r>
      <w:r>
        <w:rPr>
          <w:rFonts w:ascii="Times New Roman" w:hAnsi="Times New Roman" w:cs="Times New Roman"/>
          <w:sz w:val="21"/>
          <w:szCs w:val="21"/>
        </w:rPr>
        <w:t>6,710.88</w:t>
      </w:r>
      <w:r>
        <w:rPr>
          <w:rFonts w:ascii="Times New Roman" w:hAnsi="Times New Roman" w:cs="Times New Roman"/>
          <w:sz w:val="21"/>
          <w:szCs w:val="21"/>
        </w:rPr>
        <w:t>万元</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截至</w:t>
      </w:r>
      <w:r>
        <w:rPr>
          <w:rFonts w:ascii="Times New Roman" w:hAnsi="Times New Roman" w:cs="Times New Roman"/>
          <w:sz w:val="21"/>
          <w:szCs w:val="21"/>
        </w:rPr>
        <w:t>2025</w:t>
      </w:r>
      <w:r>
        <w:rPr>
          <w:rFonts w:ascii="Times New Roman" w:hAnsi="Times New Roman" w:cs="Times New Roman"/>
          <w:sz w:val="21"/>
          <w:szCs w:val="21"/>
        </w:rPr>
        <w:t>年</w:t>
      </w:r>
      <w:r>
        <w:rPr>
          <w:rFonts w:ascii="Times New Roman" w:hAnsi="Times New Roman" w:cs="Times New Roman"/>
          <w:sz w:val="21"/>
          <w:szCs w:val="21"/>
        </w:rPr>
        <w:t>6</w:t>
      </w:r>
      <w:r>
        <w:rPr>
          <w:rFonts w:ascii="Times New Roman" w:hAnsi="Times New Roman" w:cs="Times New Roman"/>
          <w:sz w:val="21"/>
          <w:szCs w:val="21"/>
        </w:rPr>
        <w:t>月</w:t>
      </w:r>
      <w:r>
        <w:rPr>
          <w:rFonts w:ascii="Times New Roman" w:hAnsi="Times New Roman" w:cs="Times New Roman"/>
          <w:sz w:val="21"/>
          <w:szCs w:val="21"/>
        </w:rPr>
        <w:t>30</w:t>
      </w:r>
      <w:r>
        <w:rPr>
          <w:rFonts w:ascii="Times New Roman" w:hAnsi="Times New Roman" w:cs="Times New Roman"/>
          <w:sz w:val="21"/>
          <w:szCs w:val="21"/>
        </w:rPr>
        <w:t>日，公司注册资本为人民币</w:t>
      </w:r>
      <w:r>
        <w:rPr>
          <w:rFonts w:ascii="Times New Roman" w:hAnsi="Times New Roman" w:cs="Times New Roman"/>
          <w:sz w:val="21"/>
          <w:szCs w:val="21"/>
        </w:rPr>
        <w:t>6,710.88</w:t>
      </w:r>
      <w:r>
        <w:rPr>
          <w:rFonts w:ascii="Times New Roman" w:hAnsi="Times New Roman" w:cs="Times New Roman"/>
          <w:sz w:val="21"/>
          <w:szCs w:val="21"/>
        </w:rPr>
        <w:t>万元。</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公司法人代表：林明玲</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公司注册地址：汕头市嵩山路南</w:t>
      </w:r>
      <w:r>
        <w:rPr>
          <w:rFonts w:ascii="Times New Roman" w:hAnsi="Times New Roman" w:cs="Times New Roman"/>
          <w:sz w:val="21"/>
          <w:szCs w:val="21"/>
        </w:rPr>
        <w:t>20</w:t>
      </w:r>
      <w:r>
        <w:rPr>
          <w:rFonts w:ascii="Times New Roman" w:hAnsi="Times New Roman" w:cs="Times New Roman"/>
          <w:sz w:val="21"/>
          <w:szCs w:val="21"/>
        </w:rPr>
        <w:t>号天澜国际大厦西塔</w:t>
      </w:r>
      <w:r>
        <w:rPr>
          <w:rFonts w:ascii="Times New Roman" w:hAnsi="Times New Roman" w:cs="Times New Roman"/>
          <w:sz w:val="21"/>
          <w:szCs w:val="21"/>
        </w:rPr>
        <w:t>2111-2112</w:t>
      </w:r>
      <w:r>
        <w:rPr>
          <w:rFonts w:ascii="Times New Roman" w:hAnsi="Times New Roman" w:cs="Times New Roman"/>
          <w:sz w:val="21"/>
          <w:szCs w:val="21"/>
        </w:rPr>
        <w:t>房，现总部位于：广东省汕头市金平区海滨路</w:t>
      </w:r>
      <w:r>
        <w:rPr>
          <w:rFonts w:ascii="Times New Roman" w:hAnsi="Times New Roman" w:cs="Times New Roman"/>
          <w:sz w:val="21"/>
          <w:szCs w:val="21"/>
        </w:rPr>
        <w:t>55</w:t>
      </w:r>
      <w:r>
        <w:rPr>
          <w:rFonts w:ascii="Times New Roman" w:hAnsi="Times New Roman" w:cs="Times New Roman"/>
          <w:sz w:val="21"/>
          <w:szCs w:val="21"/>
        </w:rPr>
        <w:t>号海逸投资大厦</w:t>
      </w:r>
      <w:r>
        <w:rPr>
          <w:rFonts w:ascii="Times New Roman" w:hAnsi="Times New Roman" w:cs="Times New Roman"/>
          <w:sz w:val="21"/>
          <w:szCs w:val="21"/>
        </w:rPr>
        <w:t>F4</w:t>
      </w:r>
      <w:r>
        <w:rPr>
          <w:rFonts w:ascii="Times New Roman" w:hAnsi="Times New Roman" w:cs="Times New Roman"/>
          <w:sz w:val="21"/>
          <w:szCs w:val="21"/>
        </w:rPr>
        <w:t>层。</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本公司及子公司的业务性质和主要经营活动：公司所处行业为软件和信息技术服务业；提供的主要产品为计算机软件开发，计算机及信息化配套产品的研发，计算机信息系统集成及服务等。</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本财务报表经本公司董事会于</w:t>
      </w:r>
      <w:r>
        <w:rPr>
          <w:rFonts w:ascii="Times New Roman" w:hAnsi="Times New Roman" w:cs="Times New Roman"/>
          <w:sz w:val="21"/>
          <w:szCs w:val="21"/>
        </w:rPr>
        <w:t>2025</w:t>
      </w:r>
      <w:r>
        <w:rPr>
          <w:rFonts w:ascii="Times New Roman" w:hAnsi="Times New Roman" w:cs="Times New Roman"/>
          <w:sz w:val="21"/>
          <w:szCs w:val="21"/>
        </w:rPr>
        <w:t>年</w:t>
      </w:r>
      <w:r>
        <w:rPr>
          <w:rFonts w:ascii="Times New Roman" w:hAnsi="Times New Roman" w:cs="Times New Roman"/>
          <w:sz w:val="21"/>
          <w:szCs w:val="21"/>
        </w:rPr>
        <w:t>8</w:t>
      </w:r>
      <w:r>
        <w:rPr>
          <w:rFonts w:ascii="Times New Roman" w:hAnsi="Times New Roman" w:cs="Times New Roman"/>
          <w:sz w:val="21"/>
          <w:szCs w:val="21"/>
        </w:rPr>
        <w:t>月</w:t>
      </w:r>
      <w:r>
        <w:rPr>
          <w:rFonts w:ascii="Times New Roman" w:hAnsi="Times New Roman" w:cs="Times New Roman" w:hint="eastAsia"/>
          <w:sz w:val="21"/>
          <w:szCs w:val="21"/>
        </w:rPr>
        <w:t>27</w:t>
      </w:r>
      <w:r>
        <w:rPr>
          <w:rFonts w:ascii="Times New Roman" w:hAnsi="Times New Roman" w:cs="Times New Roman"/>
          <w:sz w:val="21"/>
          <w:szCs w:val="21"/>
        </w:rPr>
        <w:t>日决议批准报出。</w:t>
      </w:r>
    </w:p>
    <w:p w:rsidR="00CE3C32" w:rsidRDefault="006413B8">
      <w:pPr>
        <w:pStyle w:val="3"/>
        <w:spacing w:line="280" w:lineRule="exact"/>
        <w:jc w:val="left"/>
        <w:rPr>
          <w:rFonts w:ascii="Times New Roman" w:hAnsi="Times New Roman" w:cs="Times New Roman"/>
          <w:b/>
          <w:bCs/>
        </w:rPr>
      </w:pPr>
      <w:r>
        <w:rPr>
          <w:b/>
        </w:rPr>
        <w:t>2</w:t>
      </w:r>
      <w:r>
        <w:rPr>
          <w:b/>
        </w:rPr>
        <w:t>、合并财务报表范围及其变化情况</w:t>
      </w:r>
    </w:p>
    <w:p w:rsidR="00CE3C32" w:rsidRDefault="006413B8">
      <w:pPr>
        <w:pStyle w:val="a6"/>
        <w:spacing w:before="0" w:beforeAutospacing="0" w:after="0" w:afterAutospacing="0" w:line="360" w:lineRule="auto"/>
        <w:ind w:firstLine="420"/>
        <w:jc w:val="both"/>
        <w:rPr>
          <w:rFonts w:ascii="Times New Roman" w:hAnsi="Times New Roman" w:cs="Times New Roman"/>
          <w:sz w:val="21"/>
          <w:szCs w:val="21"/>
        </w:rPr>
      </w:pPr>
      <w:r>
        <w:rPr>
          <w:rFonts w:ascii="Times New Roman" w:hAnsi="Times New Roman" w:cs="Times New Roman"/>
          <w:color w:val="000000"/>
          <w:sz w:val="21"/>
          <w:szCs w:val="21"/>
        </w:rPr>
        <w:t>本公司报告期子公司的相关信息详见本节十、在其他主体中的权益。</w:t>
      </w:r>
    </w:p>
    <w:p w:rsidR="00CE3C32" w:rsidRDefault="006413B8">
      <w:pPr>
        <w:pStyle w:val="a6"/>
        <w:spacing w:before="0" w:beforeAutospacing="0" w:after="0" w:afterAutospacing="0" w:line="360" w:lineRule="auto"/>
        <w:ind w:firstLine="420"/>
        <w:jc w:val="both"/>
        <w:rPr>
          <w:rFonts w:ascii="Times New Roman" w:hAnsi="Times New Roman" w:cs="Times New Roman"/>
          <w:sz w:val="21"/>
          <w:szCs w:val="21"/>
        </w:rPr>
      </w:pPr>
      <w:r>
        <w:rPr>
          <w:rFonts w:ascii="Times New Roman" w:hAnsi="Times New Roman" w:cs="Times New Roman"/>
          <w:color w:val="000000"/>
          <w:sz w:val="21"/>
          <w:szCs w:val="21"/>
        </w:rPr>
        <w:t>本公司报告期合并范围变化情况详见本节九、合并范围的变更。</w:t>
      </w:r>
    </w:p>
    <w:p w:rsidR="00CE3C32" w:rsidRDefault="006413B8">
      <w:pPr>
        <w:pStyle w:val="2"/>
        <w:spacing w:before="300" w:after="300" w:line="320" w:lineRule="exact"/>
        <w:rPr>
          <w:rFonts w:ascii="Times New Roman" w:eastAsia="宋体" w:hAnsi="Times New Roman" w:cs="Times New Roman"/>
          <w:b/>
          <w:bCs/>
          <w:sz w:val="24"/>
          <w:szCs w:val="24"/>
        </w:rPr>
      </w:pPr>
      <w:bookmarkStart w:id="108" w:name="_Toc988994"/>
      <w:r>
        <w:rPr>
          <w:rFonts w:ascii="Times New Roman" w:eastAsia="宋体" w:hAnsi="Times New Roman" w:cs="Times New Roman"/>
          <w:b/>
          <w:bCs/>
          <w:sz w:val="24"/>
          <w:szCs w:val="24"/>
        </w:rPr>
        <w:t>四、财务报表的编制基础</w:t>
      </w:r>
      <w:bookmarkEnd w:id="108"/>
    </w:p>
    <w:p w:rsidR="00CE3C32" w:rsidRDefault="006413B8">
      <w:pPr>
        <w:pStyle w:val="3"/>
        <w:spacing w:line="280" w:lineRule="exact"/>
        <w:jc w:val="left"/>
        <w:rPr>
          <w:rFonts w:ascii="Times New Roman" w:hAnsi="Times New Roman" w:cs="Times New Roman"/>
          <w:b/>
        </w:rPr>
      </w:pPr>
      <w:bookmarkStart w:id="109" w:name="_Toc988995"/>
      <w:r>
        <w:rPr>
          <w:rFonts w:ascii="Times New Roman" w:hAnsi="Times New Roman" w:cs="Times New Roman"/>
          <w:b/>
        </w:rPr>
        <w:t>1</w:t>
      </w:r>
      <w:r>
        <w:rPr>
          <w:rFonts w:ascii="Times New Roman" w:hAnsi="Times New Roman" w:cs="Times New Roman"/>
          <w:b/>
        </w:rPr>
        <w:t>、编制基础</w:t>
      </w:r>
      <w:bookmarkEnd w:id="109"/>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本公司财务报表以持续经营假设为基础，根据实际发生的交易和事项，按照财政部发布的《企业会计准则</w:t>
      </w:r>
      <w:r>
        <w:rPr>
          <w:rFonts w:ascii="Times New Roman" w:hAnsi="Times New Roman" w:cs="Times New Roman"/>
          <w:sz w:val="21"/>
          <w:szCs w:val="21"/>
        </w:rPr>
        <w:t>——</w:t>
      </w:r>
      <w:r>
        <w:rPr>
          <w:rFonts w:ascii="Times New Roman" w:hAnsi="Times New Roman" w:cs="Times New Roman"/>
          <w:sz w:val="21"/>
          <w:szCs w:val="21"/>
        </w:rPr>
        <w:t>基本准则》（财政部令第</w:t>
      </w:r>
      <w:r>
        <w:rPr>
          <w:rFonts w:ascii="Times New Roman" w:hAnsi="Times New Roman" w:cs="Times New Roman"/>
          <w:sz w:val="21"/>
          <w:szCs w:val="21"/>
        </w:rPr>
        <w:t>33</w:t>
      </w:r>
      <w:r>
        <w:rPr>
          <w:rFonts w:ascii="Times New Roman" w:hAnsi="Times New Roman" w:cs="Times New Roman"/>
          <w:sz w:val="21"/>
          <w:szCs w:val="21"/>
        </w:rPr>
        <w:t>号发布、财政部令第</w:t>
      </w:r>
      <w:r>
        <w:rPr>
          <w:rFonts w:ascii="Times New Roman" w:hAnsi="Times New Roman" w:cs="Times New Roman"/>
          <w:sz w:val="21"/>
          <w:szCs w:val="21"/>
        </w:rPr>
        <w:t>76</w:t>
      </w:r>
      <w:r>
        <w:rPr>
          <w:rFonts w:ascii="Times New Roman" w:hAnsi="Times New Roman" w:cs="Times New Roman"/>
          <w:sz w:val="21"/>
          <w:szCs w:val="21"/>
        </w:rPr>
        <w:t>号修订）、于</w:t>
      </w:r>
      <w:r>
        <w:rPr>
          <w:rFonts w:ascii="Times New Roman" w:hAnsi="Times New Roman" w:cs="Times New Roman"/>
          <w:sz w:val="21"/>
          <w:szCs w:val="21"/>
        </w:rPr>
        <w:t>2006</w:t>
      </w:r>
      <w:r>
        <w:rPr>
          <w:rFonts w:ascii="Times New Roman" w:hAnsi="Times New Roman" w:cs="Times New Roman"/>
          <w:sz w:val="21"/>
          <w:szCs w:val="21"/>
        </w:rPr>
        <w:t>年</w:t>
      </w:r>
      <w:r>
        <w:rPr>
          <w:rFonts w:ascii="Times New Roman" w:hAnsi="Times New Roman" w:cs="Times New Roman"/>
          <w:sz w:val="21"/>
          <w:szCs w:val="21"/>
        </w:rPr>
        <w:t>2</w:t>
      </w:r>
      <w:r>
        <w:rPr>
          <w:rFonts w:ascii="Times New Roman" w:hAnsi="Times New Roman" w:cs="Times New Roman"/>
          <w:sz w:val="21"/>
          <w:szCs w:val="21"/>
        </w:rPr>
        <w:t>月</w:t>
      </w:r>
      <w:r>
        <w:rPr>
          <w:rFonts w:ascii="Times New Roman" w:hAnsi="Times New Roman" w:cs="Times New Roman"/>
          <w:sz w:val="21"/>
          <w:szCs w:val="21"/>
        </w:rPr>
        <w:t>15</w:t>
      </w:r>
      <w:r>
        <w:rPr>
          <w:rFonts w:ascii="Times New Roman" w:hAnsi="Times New Roman" w:cs="Times New Roman"/>
          <w:sz w:val="21"/>
          <w:szCs w:val="21"/>
        </w:rPr>
        <w:t>日及其后颁布和修订的</w:t>
      </w:r>
      <w:r>
        <w:rPr>
          <w:rFonts w:ascii="Times New Roman" w:hAnsi="Times New Roman" w:cs="Times New Roman"/>
          <w:sz w:val="21"/>
          <w:szCs w:val="21"/>
        </w:rPr>
        <w:t>41</w:t>
      </w:r>
      <w:r>
        <w:rPr>
          <w:rFonts w:ascii="Times New Roman" w:hAnsi="Times New Roman" w:cs="Times New Roman"/>
          <w:sz w:val="21"/>
          <w:szCs w:val="21"/>
        </w:rPr>
        <w:t>项具体会计准则、企业会计准则应用指南、企业会计准则解释及其他相关规定（以下</w:t>
      </w:r>
      <w:r>
        <w:rPr>
          <w:rFonts w:ascii="Times New Roman" w:hAnsi="Times New Roman" w:cs="Times New Roman"/>
          <w:sz w:val="21"/>
          <w:szCs w:val="21"/>
        </w:rPr>
        <w:lastRenderedPageBreak/>
        <w:t>合称</w:t>
      </w:r>
      <w:r>
        <w:rPr>
          <w:rFonts w:asciiTheme="minorEastAsia" w:eastAsiaTheme="minorEastAsia" w:hAnsiTheme="minorEastAsia" w:cs="Times New Roman"/>
          <w:sz w:val="21"/>
          <w:szCs w:val="21"/>
        </w:rPr>
        <w:t>“企业会计准则”</w:t>
      </w:r>
      <w:r>
        <w:rPr>
          <w:rFonts w:ascii="Times New Roman" w:hAnsi="Times New Roman" w:cs="Times New Roman"/>
          <w:sz w:val="21"/>
          <w:szCs w:val="21"/>
        </w:rPr>
        <w:t>），以及中国证券监督管理委员会《公开发行证券的公司信息披露编报规则第</w:t>
      </w:r>
      <w:r>
        <w:rPr>
          <w:rFonts w:ascii="Times New Roman" w:hAnsi="Times New Roman" w:cs="Times New Roman"/>
          <w:sz w:val="21"/>
          <w:szCs w:val="21"/>
        </w:rPr>
        <w:t>15</w:t>
      </w:r>
      <w:r>
        <w:rPr>
          <w:rFonts w:ascii="Times New Roman" w:hAnsi="Times New Roman" w:cs="Times New Roman"/>
          <w:sz w:val="21"/>
          <w:szCs w:val="21"/>
        </w:rPr>
        <w:t>号</w:t>
      </w:r>
      <w:r>
        <w:rPr>
          <w:rFonts w:ascii="Times New Roman" w:hAnsi="Times New Roman" w:cs="Times New Roman"/>
          <w:sz w:val="21"/>
          <w:szCs w:val="21"/>
        </w:rPr>
        <w:t>——</w:t>
      </w:r>
      <w:r>
        <w:rPr>
          <w:rFonts w:ascii="Times New Roman" w:hAnsi="Times New Roman" w:cs="Times New Roman"/>
          <w:sz w:val="21"/>
          <w:szCs w:val="21"/>
        </w:rPr>
        <w:t>财务报告的一般规定》（</w:t>
      </w:r>
      <w:r>
        <w:rPr>
          <w:rFonts w:ascii="Times New Roman" w:hAnsi="Times New Roman" w:cs="Times New Roman"/>
          <w:sz w:val="21"/>
          <w:szCs w:val="21"/>
        </w:rPr>
        <w:t>2023</w:t>
      </w:r>
      <w:r>
        <w:rPr>
          <w:rFonts w:ascii="Times New Roman" w:hAnsi="Times New Roman" w:cs="Times New Roman"/>
          <w:sz w:val="21"/>
          <w:szCs w:val="21"/>
        </w:rPr>
        <w:t>年修订）的披露规定编制。</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根据企业会计准则的相关规定，本公司会计核算以权责发生制为基础。除某些金融工具外，本财务报表均以历史成本为计量基础。资产如果发生减值，则按照相关规定计提相应的减值准备。</w:t>
      </w:r>
    </w:p>
    <w:p w:rsidR="00CE3C32" w:rsidRDefault="006413B8">
      <w:pPr>
        <w:pStyle w:val="3"/>
        <w:spacing w:line="280" w:lineRule="exact"/>
        <w:jc w:val="left"/>
        <w:rPr>
          <w:rFonts w:ascii="Times New Roman" w:hAnsi="Times New Roman" w:cs="Times New Roman"/>
          <w:b/>
        </w:rPr>
      </w:pPr>
      <w:bookmarkStart w:id="110" w:name="_Toc988996"/>
      <w:r>
        <w:rPr>
          <w:rFonts w:ascii="Times New Roman" w:hAnsi="Times New Roman" w:cs="Times New Roman"/>
          <w:b/>
        </w:rPr>
        <w:t>2</w:t>
      </w:r>
      <w:r>
        <w:rPr>
          <w:rFonts w:ascii="Times New Roman" w:hAnsi="Times New Roman" w:cs="Times New Roman"/>
          <w:b/>
        </w:rPr>
        <w:t>、持续经营</w:t>
      </w:r>
      <w:bookmarkEnd w:id="110"/>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管理层认为公司自本报告期末起</w:t>
      </w:r>
      <w:r>
        <w:rPr>
          <w:rFonts w:ascii="Times New Roman" w:hAnsi="Times New Roman" w:cs="Times New Roman"/>
          <w:sz w:val="21"/>
          <w:szCs w:val="21"/>
        </w:rPr>
        <w:t>12</w:t>
      </w:r>
      <w:r>
        <w:rPr>
          <w:rFonts w:ascii="Times New Roman" w:hAnsi="Times New Roman" w:cs="Times New Roman"/>
          <w:sz w:val="21"/>
          <w:szCs w:val="21"/>
        </w:rPr>
        <w:t>个月内的持续经营能力不存在重大不确定性。</w:t>
      </w:r>
    </w:p>
    <w:p w:rsidR="00CE3C32" w:rsidRDefault="006413B8">
      <w:pPr>
        <w:pStyle w:val="2"/>
        <w:spacing w:before="300" w:after="300" w:line="560" w:lineRule="exact"/>
        <w:rPr>
          <w:rFonts w:ascii="Times New Roman" w:eastAsia="宋体" w:hAnsi="Times New Roman" w:cs="Times New Roman"/>
          <w:b/>
          <w:bCs/>
          <w:sz w:val="24"/>
          <w:szCs w:val="24"/>
        </w:rPr>
      </w:pPr>
      <w:bookmarkStart w:id="111" w:name="_Toc988997"/>
      <w:r>
        <w:rPr>
          <w:rFonts w:ascii="Times New Roman" w:eastAsia="宋体" w:hAnsi="Times New Roman" w:cs="Times New Roman"/>
          <w:b/>
          <w:bCs/>
          <w:sz w:val="24"/>
          <w:szCs w:val="24"/>
        </w:rPr>
        <w:t>五、重要会计政策及会计估计</w:t>
      </w:r>
      <w:bookmarkEnd w:id="111"/>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具体会计政策和会计估计提示：</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本公司下列重要会计政策、会计估计根据企业会计准则制定。未提及的业务按企业会计准则中相关会计政策执行。</w:t>
      </w:r>
    </w:p>
    <w:p w:rsidR="00CE3C32" w:rsidRDefault="006413B8">
      <w:pPr>
        <w:pStyle w:val="3"/>
        <w:spacing w:line="280" w:lineRule="exact"/>
        <w:jc w:val="left"/>
        <w:rPr>
          <w:rFonts w:ascii="Times New Roman" w:hAnsi="Times New Roman" w:cs="Times New Roman"/>
          <w:b/>
          <w:bCs/>
        </w:rPr>
      </w:pPr>
      <w:bookmarkStart w:id="112" w:name="_Toc988998"/>
      <w:r>
        <w:rPr>
          <w:rFonts w:ascii="Times New Roman" w:hAnsi="Times New Roman" w:cs="Times New Roman"/>
          <w:b/>
          <w:bCs/>
        </w:rPr>
        <w:t>1</w:t>
      </w:r>
      <w:r>
        <w:rPr>
          <w:rFonts w:ascii="Times New Roman" w:hAnsi="Times New Roman" w:cs="Times New Roman"/>
          <w:b/>
          <w:bCs/>
        </w:rPr>
        <w:t>、遵循企业会计准则的声明</w:t>
      </w:r>
      <w:bookmarkEnd w:id="112"/>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公司所编制的财务报表符合企业会计准则的要求，真实、完整地反映了报告期合并及公司的财务状况、经营成果、现金流量等有关信息。此外，本公司的财务报表在所有重大方面符合中国证券监督管理委员会</w:t>
      </w:r>
      <w:r>
        <w:rPr>
          <w:rFonts w:ascii="Times New Roman" w:hAnsi="Times New Roman" w:cs="Times New Roman"/>
          <w:sz w:val="21"/>
          <w:szCs w:val="21"/>
        </w:rPr>
        <w:t>2023</w:t>
      </w:r>
      <w:r>
        <w:rPr>
          <w:rFonts w:ascii="Times New Roman" w:hAnsi="Times New Roman" w:cs="Times New Roman"/>
          <w:sz w:val="21"/>
          <w:szCs w:val="21"/>
        </w:rPr>
        <w:t>年修订的《公开发行证券的公司信息披露编报规则第</w:t>
      </w:r>
      <w:r>
        <w:rPr>
          <w:rFonts w:ascii="Times New Roman" w:hAnsi="Times New Roman" w:cs="Times New Roman"/>
          <w:sz w:val="21"/>
          <w:szCs w:val="21"/>
        </w:rPr>
        <w:t>15</w:t>
      </w:r>
      <w:r>
        <w:rPr>
          <w:rFonts w:ascii="Times New Roman" w:hAnsi="Times New Roman" w:cs="Times New Roman"/>
          <w:sz w:val="21"/>
          <w:szCs w:val="21"/>
        </w:rPr>
        <w:t>号</w:t>
      </w:r>
      <w:r>
        <w:rPr>
          <w:rFonts w:ascii="Times New Roman" w:hAnsi="Times New Roman" w:cs="Times New Roman"/>
          <w:sz w:val="21"/>
          <w:szCs w:val="21"/>
        </w:rPr>
        <w:t>——</w:t>
      </w:r>
      <w:r>
        <w:rPr>
          <w:rFonts w:ascii="Times New Roman" w:hAnsi="Times New Roman" w:cs="Times New Roman"/>
          <w:sz w:val="21"/>
          <w:szCs w:val="21"/>
        </w:rPr>
        <w:t>财务报告的一般规定》有关财务报表及其附注的披露要求。</w:t>
      </w:r>
    </w:p>
    <w:p w:rsidR="00CE3C32" w:rsidRDefault="006413B8">
      <w:pPr>
        <w:pStyle w:val="3"/>
        <w:spacing w:line="280" w:lineRule="exact"/>
        <w:jc w:val="left"/>
        <w:rPr>
          <w:rFonts w:ascii="Times New Roman" w:hAnsi="Times New Roman" w:cs="Times New Roman"/>
          <w:b/>
          <w:bCs/>
        </w:rPr>
      </w:pPr>
      <w:bookmarkStart w:id="113" w:name="_Toc988999"/>
      <w:r>
        <w:rPr>
          <w:rFonts w:ascii="Times New Roman" w:hAnsi="Times New Roman" w:cs="Times New Roman"/>
          <w:b/>
          <w:bCs/>
        </w:rPr>
        <w:t>2</w:t>
      </w:r>
      <w:r>
        <w:rPr>
          <w:rFonts w:ascii="Times New Roman" w:hAnsi="Times New Roman" w:cs="Times New Roman"/>
          <w:b/>
          <w:bCs/>
        </w:rPr>
        <w:t>、会计期间</w:t>
      </w:r>
      <w:bookmarkEnd w:id="113"/>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本公司的会计期间分为年度和中期，会计中期指短于一个完整的会计年度的报告期间。本公司会计年度采用公历年度，即每年自</w:t>
      </w:r>
      <w:r>
        <w:rPr>
          <w:rFonts w:ascii="Times New Roman" w:hAnsi="Times New Roman" w:cs="Times New Roman"/>
          <w:sz w:val="21"/>
          <w:szCs w:val="21"/>
        </w:rPr>
        <w:t>1</w:t>
      </w:r>
      <w:r>
        <w:rPr>
          <w:rFonts w:ascii="Times New Roman" w:hAnsi="Times New Roman" w:cs="Times New Roman"/>
          <w:sz w:val="21"/>
          <w:szCs w:val="21"/>
        </w:rPr>
        <w:t>月</w:t>
      </w:r>
      <w:r>
        <w:rPr>
          <w:rFonts w:ascii="Times New Roman" w:hAnsi="Times New Roman" w:cs="Times New Roman"/>
          <w:sz w:val="21"/>
          <w:szCs w:val="21"/>
        </w:rPr>
        <w:t>1</w:t>
      </w:r>
      <w:r>
        <w:rPr>
          <w:rFonts w:ascii="Times New Roman" w:hAnsi="Times New Roman" w:cs="Times New Roman"/>
          <w:sz w:val="21"/>
          <w:szCs w:val="21"/>
        </w:rPr>
        <w:t>日起至</w:t>
      </w:r>
      <w:r>
        <w:rPr>
          <w:rFonts w:ascii="Times New Roman" w:hAnsi="Times New Roman" w:cs="Times New Roman"/>
          <w:sz w:val="21"/>
          <w:szCs w:val="21"/>
        </w:rPr>
        <w:t>12</w:t>
      </w:r>
      <w:r>
        <w:rPr>
          <w:rFonts w:ascii="Times New Roman" w:hAnsi="Times New Roman" w:cs="Times New Roman"/>
          <w:sz w:val="21"/>
          <w:szCs w:val="21"/>
        </w:rPr>
        <w:t>月</w:t>
      </w:r>
      <w:r>
        <w:rPr>
          <w:rFonts w:ascii="Times New Roman" w:hAnsi="Times New Roman" w:cs="Times New Roman"/>
          <w:sz w:val="21"/>
          <w:szCs w:val="21"/>
        </w:rPr>
        <w:t>31</w:t>
      </w:r>
      <w:r>
        <w:rPr>
          <w:rFonts w:ascii="Times New Roman" w:hAnsi="Times New Roman" w:cs="Times New Roman"/>
          <w:sz w:val="21"/>
          <w:szCs w:val="21"/>
        </w:rPr>
        <w:t>日止。</w:t>
      </w:r>
    </w:p>
    <w:p w:rsidR="00CE3C32" w:rsidRDefault="006413B8">
      <w:pPr>
        <w:pStyle w:val="3"/>
        <w:spacing w:line="280" w:lineRule="exact"/>
        <w:jc w:val="left"/>
        <w:rPr>
          <w:rFonts w:ascii="Times New Roman" w:hAnsi="Times New Roman" w:cs="Times New Roman"/>
          <w:b/>
          <w:bCs/>
        </w:rPr>
      </w:pPr>
      <w:bookmarkStart w:id="114" w:name="_Toc989000"/>
      <w:r>
        <w:rPr>
          <w:rFonts w:ascii="Times New Roman" w:hAnsi="Times New Roman" w:cs="Times New Roman"/>
          <w:b/>
          <w:bCs/>
        </w:rPr>
        <w:t>3</w:t>
      </w:r>
      <w:r>
        <w:rPr>
          <w:rFonts w:ascii="Times New Roman" w:hAnsi="Times New Roman" w:cs="Times New Roman"/>
          <w:b/>
          <w:bCs/>
        </w:rPr>
        <w:t>、营业周期</w:t>
      </w:r>
      <w:bookmarkEnd w:id="114"/>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正常营业周期是指本公司从购买用于加工的资产起至实现现金或现金等价物的期间。本公司以</w:t>
      </w:r>
      <w:r>
        <w:rPr>
          <w:rFonts w:ascii="Times New Roman" w:hAnsi="Times New Roman" w:cs="Times New Roman"/>
          <w:sz w:val="21"/>
          <w:szCs w:val="21"/>
        </w:rPr>
        <w:t>12</w:t>
      </w:r>
      <w:r>
        <w:rPr>
          <w:rFonts w:ascii="Times New Roman" w:hAnsi="Times New Roman" w:cs="Times New Roman"/>
          <w:sz w:val="21"/>
          <w:szCs w:val="21"/>
        </w:rPr>
        <w:t>个月作为一个营业周期，并以其作为资产和负债的流动性划分标准。</w:t>
      </w:r>
    </w:p>
    <w:p w:rsidR="00CE3C32" w:rsidRDefault="006413B8">
      <w:pPr>
        <w:pStyle w:val="3"/>
        <w:spacing w:line="280" w:lineRule="exact"/>
        <w:jc w:val="left"/>
        <w:rPr>
          <w:rFonts w:ascii="Times New Roman" w:hAnsi="Times New Roman" w:cs="Times New Roman"/>
          <w:b/>
          <w:bCs/>
        </w:rPr>
      </w:pPr>
      <w:bookmarkStart w:id="115" w:name="_Toc989001"/>
      <w:r>
        <w:rPr>
          <w:rFonts w:ascii="Times New Roman" w:hAnsi="Times New Roman" w:cs="Times New Roman"/>
          <w:b/>
          <w:bCs/>
        </w:rPr>
        <w:t>4</w:t>
      </w:r>
      <w:r>
        <w:rPr>
          <w:rFonts w:ascii="Times New Roman" w:hAnsi="Times New Roman" w:cs="Times New Roman"/>
          <w:b/>
          <w:bCs/>
        </w:rPr>
        <w:t>、记账本位币</w:t>
      </w:r>
      <w:bookmarkEnd w:id="115"/>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人民币为本公司及境内子公司经营所处的主要经济环境中的货币，本公司及境内子公司以人民币为记账本位币。本公司之境外子公司根据其经营所处的主要经济环境中的货币确定港币为其记账本位币。本公司编制本财务报表时所采用的货币为人民币。</w:t>
      </w:r>
    </w:p>
    <w:p w:rsidR="00CE3C32" w:rsidRDefault="006413B8">
      <w:pPr>
        <w:pStyle w:val="3"/>
        <w:spacing w:line="280" w:lineRule="exact"/>
        <w:jc w:val="left"/>
        <w:rPr>
          <w:rFonts w:ascii="Times New Roman" w:hAnsi="Times New Roman" w:cs="Times New Roman"/>
          <w:b/>
          <w:bCs/>
        </w:rPr>
      </w:pPr>
      <w:bookmarkStart w:id="116" w:name="_Toc989002"/>
      <w:r>
        <w:rPr>
          <w:rFonts w:ascii="Times New Roman" w:hAnsi="Times New Roman" w:cs="Times New Roman"/>
          <w:b/>
          <w:bCs/>
        </w:rPr>
        <w:t>5</w:t>
      </w:r>
      <w:r>
        <w:rPr>
          <w:rFonts w:ascii="Times New Roman" w:hAnsi="Times New Roman" w:cs="Times New Roman"/>
          <w:b/>
          <w:bCs/>
        </w:rPr>
        <w:t>、重要性标准确定方法和选择依据</w:t>
      </w:r>
      <w:bookmarkEnd w:id="116"/>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重要性标准</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重要的应收款项核销</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金额</w:t>
            </w:r>
            <w:r>
              <w:rPr>
                <w:rFonts w:ascii="Times New Roman" w:eastAsia="宋体" w:hAnsi="Times New Roman" w:cs="Times New Roman"/>
                <w:sz w:val="18"/>
                <w:szCs w:val="18"/>
              </w:rPr>
              <w:t xml:space="preserve">≥100 </w:t>
            </w:r>
            <w:r>
              <w:rPr>
                <w:rFonts w:ascii="Times New Roman" w:eastAsia="宋体" w:hAnsi="Times New Roman" w:cs="Times New Roman"/>
                <w:sz w:val="18"/>
                <w:szCs w:val="18"/>
              </w:rPr>
              <w:t>万元人民币</w:t>
            </w:r>
          </w:p>
        </w:tc>
      </w:tr>
    </w:tbl>
    <w:p w:rsidR="00CE3C32" w:rsidRDefault="006413B8">
      <w:pPr>
        <w:pStyle w:val="3"/>
        <w:spacing w:line="280" w:lineRule="exact"/>
        <w:jc w:val="left"/>
        <w:rPr>
          <w:rFonts w:ascii="Times New Roman" w:hAnsi="Times New Roman" w:cs="Times New Roman"/>
          <w:b/>
          <w:bCs/>
        </w:rPr>
      </w:pPr>
      <w:bookmarkStart w:id="117" w:name="_Toc989003"/>
      <w:r>
        <w:rPr>
          <w:rFonts w:ascii="Times New Roman" w:hAnsi="Times New Roman" w:cs="Times New Roman"/>
          <w:b/>
          <w:bCs/>
        </w:rPr>
        <w:lastRenderedPageBreak/>
        <w:t>6</w:t>
      </w:r>
      <w:r>
        <w:rPr>
          <w:rFonts w:ascii="Times New Roman" w:hAnsi="Times New Roman" w:cs="Times New Roman"/>
          <w:b/>
          <w:bCs/>
        </w:rPr>
        <w:t>、同一控制下和非同一控制下企业合并的会计处理方法</w:t>
      </w:r>
      <w:bookmarkEnd w:id="117"/>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企业合并，是指将两个或两个以上单独的企业合并形成一个报告主体的交易或事项。企业合并分为同一控制下企业合并和非同一控制下企业合并。</w:t>
      </w:r>
    </w:p>
    <w:p w:rsidR="00CE3C32" w:rsidRDefault="006413B8">
      <w:pPr>
        <w:pStyle w:val="a6"/>
        <w:spacing w:before="0" w:beforeAutospacing="0" w:after="0" w:afterAutospacing="0" w:line="360" w:lineRule="auto"/>
        <w:ind w:firstLine="420"/>
        <w:jc w:val="both"/>
        <w:rPr>
          <w:rFonts w:ascii="Times New Roman" w:hAnsi="Times New Roman" w:cs="Times New Roman"/>
        </w:rPr>
      </w:pPr>
      <w:r>
        <w:rPr>
          <w:rStyle w:val="a7"/>
          <w:rFonts w:ascii="Times New Roman" w:hAnsi="Times New Roman" w:cs="Times New Roman"/>
          <w:color w:val="000000"/>
        </w:rPr>
        <w:t xml:space="preserve">6.1 </w:t>
      </w:r>
      <w:r>
        <w:rPr>
          <w:rStyle w:val="a7"/>
          <w:rFonts w:ascii="Times New Roman" w:hAnsi="Times New Roman" w:cs="Times New Roman"/>
          <w:color w:val="000000"/>
        </w:rPr>
        <w:t>同一控制下的企业合并</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同一控制下的企业合并，指参与合并的公司在合并前后均受同一方或相同的多方最终控制且该控制并非暂时性的企业合并。</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按照被合并方所有者权益在最终控制方合并财务报表中的账面价值计量。被合并方在合并日的净资产账面价值为负数的，长期股权投资成本按零确定。如果被合并方在被合并以前，是最终控制方通过非同一控制下的企业合并所控制的，则合并方长期股权投资的初始投资成本还应包含相关的商誉金额。公司取得的净资产账面价值与支付的合并对价账面价值的差额，应当调整资本公积；资本公积不足冲减的，调整留存收益。</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公司为进行企业合并发生的各项直接相关费用，包括为进行企业合并而支付的审计费用、评估费用、法律服务费用等，应当于发生时计入当期管理费用。与发行权益性工具作为合并对价直接相关的交易费用，冲减资本公积（股本溢价），资本公积（股本溢价）不足冲减的，依次冲减盈余公积和未分配利润。与发行债务性工具作为合并对价直接相关的交易费用，计入债务性工具的初始确认金额。</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在合并财务报表中，合并方在达到合并之前持有的长期股权投资，在取得日与合并方与被合并方向处于同一最终控制之日孰晚日与合并日之间已确认有关损益、其他综合收益和其他所有者权益变动，应分别冲减比较报表期间的期初留存收益或当期损益。</w:t>
      </w:r>
    </w:p>
    <w:p w:rsidR="00CE3C32" w:rsidRDefault="006413B8">
      <w:pPr>
        <w:pStyle w:val="a6"/>
        <w:spacing w:before="0" w:beforeAutospacing="0" w:after="0" w:afterAutospacing="0" w:line="360" w:lineRule="auto"/>
        <w:ind w:firstLine="420"/>
        <w:jc w:val="both"/>
        <w:rPr>
          <w:rStyle w:val="a7"/>
          <w:color w:val="000000"/>
        </w:rPr>
      </w:pPr>
      <w:r>
        <w:rPr>
          <w:rStyle w:val="a7"/>
          <w:rFonts w:ascii="Times New Roman" w:hAnsi="Times New Roman" w:cs="Times New Roman"/>
          <w:color w:val="000000"/>
        </w:rPr>
        <w:t xml:space="preserve">6.2 </w:t>
      </w:r>
      <w:r>
        <w:rPr>
          <w:rStyle w:val="a7"/>
          <w:rFonts w:ascii="Times New Roman" w:hAnsi="Times New Roman" w:cs="Times New Roman"/>
          <w:color w:val="000000"/>
        </w:rPr>
        <w:t>非同一控制下企业合并</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参与合并的企业在合并前后不受同一方或相同的多方最终控制的，为非同一控制下的企业合并。非同一控制下的企业合并，在购买日取得对其他参与合并企业控制权的一方为购买方，参与合并的其他企业为被购买方。购买日，是指为购买方实际取得对被购买方控制权的日期。</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对于非同一控制下的企业合并，合并成本包含购买日购买方为取得对被购买方的控制权而付出的资产、发生或承担的负债以及发行的权益性证券的公允价值，为企业合并发生的审计、法律服务、评估咨询等中介费用以及其他管理费用于发生时计入当期损益。购买方作为合并对价发行的权益性证券或债务性证券的交易费用，计入权益性证券或债务性证券的初始确认金额。所涉及的或有对价按其在购买日的公允价值计入合并成本，购买日后</w:t>
      </w:r>
      <w:r>
        <w:rPr>
          <w:rFonts w:ascii="Times New Roman" w:hAnsi="Times New Roman" w:cs="Times New Roman"/>
          <w:sz w:val="21"/>
          <w:szCs w:val="21"/>
        </w:rPr>
        <w:t>12</w:t>
      </w:r>
      <w:r>
        <w:rPr>
          <w:rFonts w:ascii="Times New Roman" w:hAnsi="Times New Roman" w:cs="Times New Roman"/>
          <w:sz w:val="21"/>
          <w:szCs w:val="21"/>
        </w:rPr>
        <w:t>个月内出现对购买日已存在情况的新的或进一步证据而需要调整或有对价的，相应调整合并商誉。购买方发生的合并成本及在合并中取得的可辨认净资产按购买日的公允价值计量。合并成本大于合并中取得的被购买方于购买日可辨认净资产公允价值份额的差额，确认为商誉。合并成本小于合并中取得的被购买方可辨认净资产公允价值份额的，首先对取得的被购买方各项可辨认资产、负债及或有负债的公允价值以及合并成本的计量进行复核，复核后合并成本仍小于合并中取得的被购买方可辨认净资产公允价值份额的，其差额计入当期损益。</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购买方取得被购买方的可抵扣暂时性差异，在购买日因不符合递延所得税资产确认条件而未予确认的，在购买日后</w:t>
      </w:r>
      <w:r>
        <w:rPr>
          <w:rFonts w:ascii="Times New Roman" w:hAnsi="Times New Roman" w:cs="Times New Roman"/>
          <w:sz w:val="21"/>
          <w:szCs w:val="21"/>
        </w:rPr>
        <w:t>12</w:t>
      </w:r>
      <w:r>
        <w:rPr>
          <w:rFonts w:ascii="Times New Roman" w:hAnsi="Times New Roman" w:cs="Times New Roman"/>
          <w:sz w:val="21"/>
          <w:szCs w:val="21"/>
        </w:rPr>
        <w:t>个月内，如取得新的或进一步的信息表明购买日的相关情况已经存在，预期被购买方在购买日可抵扣暂时性差异带来的经济利益能够实现的，则确认相关的递延所得税资产，同时减少商誉，商誉不足冲减的，差额部分确认为当期损益；除上述情况以外，确认与企业合并相关的递延所得税资产的，计入当期损益。</w:t>
      </w:r>
    </w:p>
    <w:p w:rsidR="00CE3C32" w:rsidRDefault="006413B8">
      <w:pPr>
        <w:pStyle w:val="3"/>
        <w:spacing w:line="280" w:lineRule="exact"/>
        <w:jc w:val="left"/>
        <w:rPr>
          <w:rFonts w:ascii="Times New Roman" w:hAnsi="Times New Roman" w:cs="Times New Roman"/>
          <w:b/>
          <w:bCs/>
        </w:rPr>
      </w:pPr>
      <w:bookmarkStart w:id="118" w:name="_Toc989004"/>
      <w:r>
        <w:rPr>
          <w:rFonts w:ascii="Times New Roman" w:hAnsi="Times New Roman" w:cs="Times New Roman"/>
          <w:b/>
          <w:bCs/>
        </w:rPr>
        <w:lastRenderedPageBreak/>
        <w:t>7</w:t>
      </w:r>
      <w:r>
        <w:rPr>
          <w:rFonts w:ascii="Times New Roman" w:hAnsi="Times New Roman" w:cs="Times New Roman"/>
          <w:b/>
          <w:bCs/>
        </w:rPr>
        <w:t>、控制的判断标准和合并财务报表的编制方法</w:t>
      </w:r>
      <w:bookmarkEnd w:id="118"/>
    </w:p>
    <w:p w:rsidR="00CE3C32" w:rsidRDefault="006413B8">
      <w:pPr>
        <w:pStyle w:val="a6"/>
        <w:spacing w:before="0" w:beforeAutospacing="0" w:after="0" w:afterAutospacing="0" w:line="360" w:lineRule="auto"/>
        <w:ind w:firstLine="420"/>
        <w:jc w:val="both"/>
        <w:rPr>
          <w:rStyle w:val="a7"/>
          <w:color w:val="000000"/>
        </w:rPr>
      </w:pPr>
      <w:r>
        <w:rPr>
          <w:rStyle w:val="a7"/>
          <w:rFonts w:ascii="Times New Roman" w:hAnsi="Times New Roman" w:cs="Times New Roman"/>
          <w:color w:val="000000"/>
        </w:rPr>
        <w:t xml:space="preserve">7.1 </w:t>
      </w:r>
      <w:r>
        <w:rPr>
          <w:rStyle w:val="a7"/>
          <w:rFonts w:ascii="Times New Roman" w:hAnsi="Times New Roman" w:cs="Times New Roman"/>
          <w:color w:val="000000"/>
        </w:rPr>
        <w:t>合并财务报表范围的确定原则</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合并财务报表的合并范围以控制为基础予以确定。控制是指本公司拥有对被投资方的权力，通过参与被投资方的相关活动而享有可变回报，并且有能力运用对被投资方的权力影响该回报金额。合并范围包括本公司及全部子公司。子公司，是指被本公司控制的主体。</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一旦相关事实和情况的变化导致上述控制定义涉及的相关要素发生了变化，本公司将进行重新评估。</w:t>
      </w:r>
    </w:p>
    <w:p w:rsidR="00CE3C32" w:rsidRDefault="006413B8">
      <w:pPr>
        <w:pStyle w:val="a6"/>
        <w:spacing w:before="0" w:beforeAutospacing="0" w:after="0" w:afterAutospacing="0" w:line="360" w:lineRule="auto"/>
        <w:ind w:firstLine="420"/>
        <w:jc w:val="both"/>
        <w:rPr>
          <w:rStyle w:val="a7"/>
          <w:color w:val="000000"/>
        </w:rPr>
      </w:pPr>
      <w:r>
        <w:rPr>
          <w:rStyle w:val="a7"/>
          <w:rFonts w:ascii="Times New Roman" w:hAnsi="Times New Roman" w:cs="Times New Roman"/>
          <w:color w:val="000000"/>
        </w:rPr>
        <w:t xml:space="preserve">7.2 </w:t>
      </w:r>
      <w:r>
        <w:rPr>
          <w:rStyle w:val="a7"/>
          <w:rFonts w:ascii="Times New Roman" w:hAnsi="Times New Roman" w:cs="Times New Roman"/>
          <w:color w:val="000000"/>
        </w:rPr>
        <w:t>合并财务报表的编制方法</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从取得子公司的净资产和生产经营决策的实际控制权之日起，本公司开始将其纳入合并范围；从丧失实际控制权之日起停止纳入合并范围。对于处置的子公司，处置日前的经营成果和现金流量已经适当地包括在合并利润表和合并现金流量表中；当期处置的子公司，不调整合并资产负债表的期初数。非同一控制下企业合并增加的子公司，其购买日后的经营成果及现金流量已经适当地包括在合并利润表和合并现金流量表中，且不调整合并财务报表的期初数和对比数。同一控制下企业合并增加的子公司，其自合并当期期初至合并日的经营成果和现金流量已经适当地包括在合并利润表和合并现金流量表中，并且同时调整合并财务报表的对比数。</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在编制合并财务报表时，子公司与本公司采用的会计政策或会计期间不一致的，按照本公司的会计政策和会计期间对子公司财务报表进行必要的调整。对于非同一控制下企业合并取得的子公司，以购买日可辨认净资产公允价值为基础对其财务报表进行调整。</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公司内所有重大往来余额、交易及未实现利润在合并财务报表编制时予以抵销。</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子公司的股东权益及当期净损益中不属于本公司所拥有的部分分别作为少数股东权益及少数股东损益在合并财务报表中股东权益及净利润项下单独列示。子公司当期净损益中属于少数股东权益的份额，在合并利润表中净利润项目下以</w:t>
      </w:r>
      <w:r>
        <w:rPr>
          <w:rFonts w:ascii="Times New Roman" w:hAnsi="Times New Roman" w:cs="Times New Roman"/>
          <w:sz w:val="21"/>
          <w:szCs w:val="21"/>
        </w:rPr>
        <w:t>“</w:t>
      </w:r>
      <w:r>
        <w:rPr>
          <w:rFonts w:ascii="Times New Roman" w:hAnsi="Times New Roman" w:cs="Times New Roman"/>
          <w:sz w:val="21"/>
          <w:szCs w:val="21"/>
        </w:rPr>
        <w:t>少数股东损益</w:t>
      </w:r>
      <w:r>
        <w:rPr>
          <w:rFonts w:ascii="Times New Roman" w:hAnsi="Times New Roman" w:cs="Times New Roman"/>
          <w:sz w:val="21"/>
          <w:szCs w:val="21"/>
        </w:rPr>
        <w:t>”</w:t>
      </w:r>
      <w:r>
        <w:rPr>
          <w:rFonts w:ascii="Times New Roman" w:hAnsi="Times New Roman" w:cs="Times New Roman"/>
          <w:sz w:val="21"/>
          <w:szCs w:val="21"/>
        </w:rPr>
        <w:t>项目列示。少数股东分担的子公司的亏损超过了少数股东在该子公司期初股东权益中所享有的份额，仍冲减少数股东权益。</w:t>
      </w:r>
    </w:p>
    <w:p w:rsidR="00CE3C32" w:rsidRDefault="006413B8">
      <w:pPr>
        <w:pStyle w:val="3"/>
        <w:spacing w:line="280" w:lineRule="exact"/>
        <w:jc w:val="left"/>
        <w:rPr>
          <w:rFonts w:ascii="Times New Roman" w:hAnsi="Times New Roman" w:cs="Times New Roman"/>
          <w:b/>
          <w:bCs/>
        </w:rPr>
      </w:pPr>
      <w:bookmarkStart w:id="119" w:name="_Toc989005"/>
      <w:r>
        <w:rPr>
          <w:rFonts w:ascii="Times New Roman" w:hAnsi="Times New Roman" w:cs="Times New Roman"/>
          <w:b/>
          <w:bCs/>
        </w:rPr>
        <w:t>8</w:t>
      </w:r>
      <w:r>
        <w:rPr>
          <w:rFonts w:ascii="Times New Roman" w:hAnsi="Times New Roman" w:cs="Times New Roman"/>
          <w:b/>
          <w:bCs/>
        </w:rPr>
        <w:t>、合营安排分类及共同经营会计处理方法</w:t>
      </w:r>
      <w:bookmarkEnd w:id="119"/>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合营安排，是指一项由两个或两个以上的参与方共同控制的安排。本公司根据在合营安排中享有的权利和承担的义务，将合营安排分为共同经营和合营企业。共同经营，是指本公司享有该安排相关资产且承担该安排相关负债的合营安排。合营企业，是指本公司仅对该安排的净资产享有权利的合营安排。</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本公司对合营企业的投资采用权益法核算，按照本节五</w:t>
      </w:r>
      <w:r>
        <w:rPr>
          <w:rFonts w:ascii="Times New Roman" w:hAnsi="Times New Roman" w:cs="Times New Roman"/>
          <w:sz w:val="21"/>
          <w:szCs w:val="21"/>
        </w:rPr>
        <w:t xml:space="preserve">“22 </w:t>
      </w:r>
      <w:r>
        <w:rPr>
          <w:rFonts w:ascii="Times New Roman" w:hAnsi="Times New Roman" w:cs="Times New Roman"/>
          <w:sz w:val="21"/>
          <w:szCs w:val="21"/>
        </w:rPr>
        <w:t>权益法核算的长期股权投资</w:t>
      </w:r>
      <w:r>
        <w:rPr>
          <w:rFonts w:ascii="Times New Roman" w:hAnsi="Times New Roman" w:cs="Times New Roman"/>
          <w:sz w:val="21"/>
          <w:szCs w:val="21"/>
        </w:rPr>
        <w:t>”</w:t>
      </w:r>
      <w:r>
        <w:rPr>
          <w:rFonts w:ascii="Times New Roman" w:hAnsi="Times New Roman" w:cs="Times New Roman"/>
          <w:sz w:val="21"/>
          <w:szCs w:val="21"/>
        </w:rPr>
        <w:t>中所述的会计政策处理。</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作为合营方对共同经营，确认本公司单独持有的资产、单独所承担的负债，以及按本公司份额确认共同持有的资产和共同承担的负债；确认出售本公司享有的共同经营产出份额所产生的收入；按本公司份额确认共同经营因出售产出所产生的收入；确</w:t>
      </w:r>
      <w:r>
        <w:rPr>
          <w:rFonts w:ascii="Times New Roman" w:hAnsi="Times New Roman" w:cs="Times New Roman"/>
          <w:sz w:val="21"/>
          <w:szCs w:val="21"/>
        </w:rPr>
        <w:t xml:space="preserve"> </w:t>
      </w:r>
      <w:r>
        <w:rPr>
          <w:rFonts w:ascii="Times New Roman" w:hAnsi="Times New Roman" w:cs="Times New Roman"/>
          <w:sz w:val="21"/>
          <w:szCs w:val="21"/>
        </w:rPr>
        <w:t>认本公司单独所发生的费用，以及按本公司份额确认共同经营发生的费用。</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当本公司作为合营方向共同经营投出或出售资产（该资产不构成业务，下同）、或者自共同经营购买资产时，在该等资产出售给第三方之前，本公司仅确认因该交易产生的损益中归属于共同经营其他参与方的部分。该等资产发生符合《企业会计准则第</w:t>
      </w:r>
      <w:r>
        <w:rPr>
          <w:rFonts w:ascii="Times New Roman" w:hAnsi="Times New Roman" w:cs="Times New Roman"/>
          <w:sz w:val="21"/>
          <w:szCs w:val="21"/>
        </w:rPr>
        <w:t>8</w:t>
      </w:r>
      <w:r>
        <w:rPr>
          <w:rFonts w:ascii="Times New Roman" w:hAnsi="Times New Roman" w:cs="Times New Roman"/>
          <w:sz w:val="21"/>
          <w:szCs w:val="21"/>
        </w:rPr>
        <w:t>号</w:t>
      </w:r>
      <w:r>
        <w:rPr>
          <w:rFonts w:ascii="Times New Roman" w:hAnsi="Times New Roman" w:cs="Times New Roman"/>
          <w:sz w:val="21"/>
          <w:szCs w:val="21"/>
        </w:rPr>
        <w:t>——</w:t>
      </w:r>
      <w:r>
        <w:rPr>
          <w:rFonts w:ascii="Times New Roman" w:hAnsi="Times New Roman" w:cs="Times New Roman"/>
          <w:sz w:val="21"/>
          <w:szCs w:val="21"/>
        </w:rPr>
        <w:t>资产减值》等规定的资产减值损失的，对于</w:t>
      </w:r>
      <w:r>
        <w:rPr>
          <w:rFonts w:ascii="Times New Roman" w:hAnsi="Times New Roman" w:cs="Times New Roman"/>
          <w:sz w:val="21"/>
          <w:szCs w:val="21"/>
        </w:rPr>
        <w:lastRenderedPageBreak/>
        <w:t>由本公司向共同经营投出或出售资产的情况，本公司全额确认该损失；对于本公司自共同经营购买资产的情况，本公司按承担的份额确认该损失。</w:t>
      </w:r>
    </w:p>
    <w:p w:rsidR="00CE3C32" w:rsidRDefault="006413B8">
      <w:pPr>
        <w:pStyle w:val="3"/>
        <w:spacing w:line="280" w:lineRule="exact"/>
        <w:jc w:val="left"/>
        <w:rPr>
          <w:rFonts w:ascii="Times New Roman" w:hAnsi="Times New Roman" w:cs="Times New Roman"/>
          <w:b/>
          <w:bCs/>
        </w:rPr>
      </w:pPr>
      <w:bookmarkStart w:id="120" w:name="_Toc989006"/>
      <w:r>
        <w:rPr>
          <w:rFonts w:ascii="Times New Roman" w:hAnsi="Times New Roman" w:cs="Times New Roman"/>
          <w:b/>
          <w:bCs/>
        </w:rPr>
        <w:t>9</w:t>
      </w:r>
      <w:r>
        <w:rPr>
          <w:rFonts w:ascii="Times New Roman" w:hAnsi="Times New Roman" w:cs="Times New Roman"/>
          <w:b/>
          <w:bCs/>
        </w:rPr>
        <w:t>、现金及现金等价物的确定标准</w:t>
      </w:r>
      <w:bookmarkEnd w:id="120"/>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本公司现金及现金等价物包括库存现金、可以随时用于支付的存款以及本公司持有的期限短（一般为从购买日起三个月内到期）、流动性强、易于转换为已知金额现金、价值变动风险很小的投资。</w:t>
      </w:r>
    </w:p>
    <w:p w:rsidR="00CE3C32" w:rsidRDefault="006413B8">
      <w:pPr>
        <w:pStyle w:val="3"/>
        <w:spacing w:line="280" w:lineRule="exact"/>
        <w:jc w:val="left"/>
        <w:rPr>
          <w:rFonts w:ascii="Times New Roman" w:hAnsi="Times New Roman" w:cs="Times New Roman"/>
          <w:b/>
          <w:bCs/>
        </w:rPr>
      </w:pPr>
      <w:bookmarkStart w:id="121" w:name="_Toc989007"/>
      <w:r>
        <w:rPr>
          <w:rFonts w:ascii="Times New Roman" w:hAnsi="Times New Roman" w:cs="Times New Roman"/>
          <w:b/>
          <w:bCs/>
        </w:rPr>
        <w:t>10</w:t>
      </w:r>
      <w:r>
        <w:rPr>
          <w:rFonts w:ascii="Times New Roman" w:hAnsi="Times New Roman" w:cs="Times New Roman"/>
          <w:b/>
          <w:bCs/>
        </w:rPr>
        <w:t>、外币业务和外币报表折算</w:t>
      </w:r>
      <w:bookmarkEnd w:id="121"/>
    </w:p>
    <w:p w:rsidR="00CE3C32" w:rsidRDefault="006413B8">
      <w:pPr>
        <w:pStyle w:val="a6"/>
        <w:spacing w:before="0" w:beforeAutospacing="0" w:after="0" w:afterAutospacing="0" w:line="360" w:lineRule="auto"/>
        <w:ind w:firstLine="420"/>
        <w:jc w:val="both"/>
        <w:rPr>
          <w:rStyle w:val="a7"/>
          <w:color w:val="000000"/>
        </w:rPr>
      </w:pPr>
      <w:r>
        <w:rPr>
          <w:rStyle w:val="a7"/>
          <w:rFonts w:ascii="Times New Roman" w:hAnsi="Times New Roman" w:cs="Times New Roman"/>
          <w:color w:val="000000"/>
        </w:rPr>
        <w:t xml:space="preserve">10.1 </w:t>
      </w:r>
      <w:r>
        <w:rPr>
          <w:rStyle w:val="a7"/>
          <w:rFonts w:ascii="Times New Roman" w:hAnsi="Times New Roman" w:cs="Times New Roman"/>
          <w:color w:val="000000"/>
        </w:rPr>
        <w:t>外币业务</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外币业务交易在初始确认时，采用交易发生日的即期汇率作为折算汇率折合成人民币记账。</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资产负债表日，外币货币性项目按资产负债表日即期汇率折算，由此产生的汇兑差额，除属于与购建符合资本化条件的资产相关的外币专门借款产生的汇兑差额按照借款费用资本化的原则处理外，均计入当期损益。以历史成本计量的外币非货币性项目，仍采用交易发生日的即期汇率折算，不改变其记账本位币金额。</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以公允价值计量的外币非货币性项目，采用公允价值确定日的即期汇率折算，折算后的记账本位币金额与原记账本位币金额的差额，作为公允价值变动</w:t>
      </w:r>
      <w:r>
        <w:rPr>
          <w:rFonts w:ascii="Times New Roman" w:hAnsi="Times New Roman" w:cs="Times New Roman"/>
          <w:sz w:val="21"/>
          <w:szCs w:val="21"/>
        </w:rPr>
        <w:t>(</w:t>
      </w:r>
      <w:r>
        <w:rPr>
          <w:rFonts w:ascii="Times New Roman" w:hAnsi="Times New Roman" w:cs="Times New Roman"/>
          <w:sz w:val="21"/>
          <w:szCs w:val="21"/>
        </w:rPr>
        <w:t>含汇率变动</w:t>
      </w:r>
      <w:r>
        <w:rPr>
          <w:rFonts w:ascii="Times New Roman" w:hAnsi="Times New Roman" w:cs="Times New Roman"/>
          <w:sz w:val="21"/>
          <w:szCs w:val="21"/>
        </w:rPr>
        <w:t>)</w:t>
      </w:r>
      <w:r>
        <w:rPr>
          <w:rFonts w:ascii="Times New Roman" w:hAnsi="Times New Roman" w:cs="Times New Roman"/>
          <w:sz w:val="21"/>
          <w:szCs w:val="21"/>
        </w:rPr>
        <w:t>处理，计入当期损益或确认为其他综合收益。</w:t>
      </w:r>
      <w:r>
        <w:rPr>
          <w:rFonts w:ascii="Times New Roman" w:hAnsi="Times New Roman" w:cs="Times New Roman"/>
          <w:sz w:val="21"/>
          <w:szCs w:val="21"/>
        </w:rPr>
        <w:t> </w:t>
      </w:r>
    </w:p>
    <w:p w:rsidR="00CE3C32" w:rsidRDefault="006413B8">
      <w:pPr>
        <w:pStyle w:val="a6"/>
        <w:spacing w:before="0" w:beforeAutospacing="0" w:after="0" w:afterAutospacing="0" w:line="360" w:lineRule="auto"/>
        <w:ind w:firstLine="420"/>
        <w:jc w:val="both"/>
        <w:rPr>
          <w:rStyle w:val="a7"/>
          <w:color w:val="000000"/>
        </w:rPr>
      </w:pPr>
      <w:r>
        <w:rPr>
          <w:rStyle w:val="a7"/>
          <w:rFonts w:ascii="Times New Roman" w:hAnsi="Times New Roman" w:cs="Times New Roman"/>
          <w:color w:val="000000"/>
        </w:rPr>
        <w:t xml:space="preserve">10.2 </w:t>
      </w:r>
      <w:r>
        <w:rPr>
          <w:rStyle w:val="a7"/>
          <w:rFonts w:ascii="Times New Roman" w:hAnsi="Times New Roman" w:cs="Times New Roman"/>
          <w:color w:val="000000"/>
        </w:rPr>
        <w:t>外币报表折算</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资产负债表中的资产和负债项目，采用资产负债表日的即期汇率折算；所有者权益项目除</w:t>
      </w:r>
      <w:r>
        <w:rPr>
          <w:rFonts w:ascii="Times New Roman" w:hAnsi="Times New Roman" w:cs="Times New Roman"/>
          <w:sz w:val="21"/>
          <w:szCs w:val="21"/>
        </w:rPr>
        <w:t>“</w:t>
      </w:r>
      <w:r>
        <w:rPr>
          <w:rFonts w:ascii="Times New Roman" w:hAnsi="Times New Roman" w:cs="Times New Roman"/>
          <w:sz w:val="21"/>
          <w:szCs w:val="21"/>
        </w:rPr>
        <w:t>未分配利润</w:t>
      </w:r>
      <w:r>
        <w:rPr>
          <w:rFonts w:ascii="Times New Roman" w:hAnsi="Times New Roman" w:cs="Times New Roman"/>
          <w:sz w:val="21"/>
          <w:szCs w:val="21"/>
        </w:rPr>
        <w:t>”</w:t>
      </w:r>
      <w:r>
        <w:rPr>
          <w:rFonts w:ascii="Times New Roman" w:hAnsi="Times New Roman" w:cs="Times New Roman"/>
          <w:sz w:val="21"/>
          <w:szCs w:val="21"/>
        </w:rPr>
        <w:t>项目外，其他项目采用发生时的即期汇率折算。利润表中的收入和费用项目，采用交易发生日的即期汇率折算。按照上述折算产生的外币财务报表折算差额计入其他综合收益。</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处置境外经营时，将资产负债表中其他综合收益项目中列示的、与该境外经营相关的外币财务报表折算差额，自其他综合收益项目转入处置当期损益；在处置部分股权投资或其他原因导致持有境外经营权益比例降低但不丧失对境外经营控制权时，与该境外经营处置部分相关的外币报表折算差额将归属于少数股东权益，不转入当期损益。在处置境外经营为联营企业或合营企业的部分股权时，与该境外经营相关的外币报表折算差额，按处置该境外经营的比例转入处置当期损益。</w:t>
      </w:r>
      <w:r>
        <w:rPr>
          <w:rFonts w:ascii="Times New Roman" w:hAnsi="Times New Roman" w:cs="Times New Roman"/>
          <w:sz w:val="21"/>
          <w:szCs w:val="21"/>
        </w:rPr>
        <w:t> </w:t>
      </w:r>
    </w:p>
    <w:p w:rsidR="00CE3C32" w:rsidRDefault="006413B8">
      <w:pPr>
        <w:pStyle w:val="3"/>
        <w:spacing w:line="280" w:lineRule="exact"/>
        <w:jc w:val="left"/>
        <w:rPr>
          <w:rFonts w:ascii="Times New Roman" w:hAnsi="Times New Roman" w:cs="Times New Roman"/>
          <w:b/>
          <w:bCs/>
        </w:rPr>
      </w:pPr>
      <w:bookmarkStart w:id="122" w:name="_Toc989008"/>
      <w:r>
        <w:rPr>
          <w:rFonts w:ascii="Times New Roman" w:hAnsi="Times New Roman" w:cs="Times New Roman"/>
          <w:b/>
          <w:bCs/>
        </w:rPr>
        <w:t>11</w:t>
      </w:r>
      <w:r>
        <w:rPr>
          <w:rFonts w:ascii="Times New Roman" w:hAnsi="Times New Roman" w:cs="Times New Roman"/>
          <w:b/>
          <w:bCs/>
        </w:rPr>
        <w:t>、金融工具</w:t>
      </w:r>
      <w:bookmarkEnd w:id="122"/>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金融工具，是指形成一方的金融资产并形成其他方的金融负债或权益工具的合同。本公司成为金融工具合同的一方时，确认一项金融资产或金融负债。</w:t>
      </w:r>
    </w:p>
    <w:p w:rsidR="00CE3C32" w:rsidRDefault="006413B8">
      <w:pPr>
        <w:pStyle w:val="a6"/>
        <w:spacing w:before="0" w:beforeAutospacing="0" w:after="0" w:afterAutospacing="0" w:line="360" w:lineRule="auto"/>
        <w:ind w:firstLine="420"/>
        <w:jc w:val="both"/>
        <w:rPr>
          <w:rStyle w:val="a7"/>
          <w:color w:val="000000"/>
        </w:rPr>
      </w:pPr>
      <w:r>
        <w:rPr>
          <w:rStyle w:val="a7"/>
          <w:rFonts w:ascii="Times New Roman" w:hAnsi="Times New Roman" w:cs="Times New Roman"/>
          <w:color w:val="000000"/>
        </w:rPr>
        <w:t xml:space="preserve">11.1 </w:t>
      </w:r>
      <w:r>
        <w:rPr>
          <w:rStyle w:val="a7"/>
          <w:rFonts w:ascii="Times New Roman" w:hAnsi="Times New Roman" w:cs="Times New Roman"/>
          <w:color w:val="000000"/>
        </w:rPr>
        <w:t>金融资产的分类和计量</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根据管理金融资产的业务模式和金融资产的合同现金流量特征，将金融资产划分为：以摊余成本计量的金融资产、以公允价值计量且其变动计入其他综合收益的金融资产及以公允价值计量且其变动计入当期损益的金融资产。</w:t>
      </w:r>
    </w:p>
    <w:p w:rsidR="00CE3C32" w:rsidRDefault="006413B8">
      <w:pPr>
        <w:pStyle w:val="a6"/>
        <w:spacing w:before="0" w:beforeAutospacing="0" w:after="0" w:afterAutospacing="0" w:line="360" w:lineRule="auto"/>
        <w:ind w:firstLine="420"/>
        <w:jc w:val="both"/>
        <w:rPr>
          <w:rStyle w:val="a7"/>
          <w:color w:val="000000"/>
        </w:rPr>
      </w:pPr>
      <w:r>
        <w:rPr>
          <w:rStyle w:val="a7"/>
          <w:rFonts w:ascii="Times New Roman" w:hAnsi="Times New Roman" w:cs="Times New Roman"/>
          <w:color w:val="000000"/>
        </w:rPr>
        <w:t xml:space="preserve">11.1.1 </w:t>
      </w:r>
      <w:r>
        <w:rPr>
          <w:rStyle w:val="a7"/>
          <w:rFonts w:ascii="Times New Roman" w:hAnsi="Times New Roman" w:cs="Times New Roman"/>
          <w:color w:val="000000"/>
        </w:rPr>
        <w:t>以摊余成本计量的金融资产</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lastRenderedPageBreak/>
        <w:t>金融资产同时符合以下条件的，分类为以摊余成本计量的金融资产：本公司管理此类金融资产的业务模式为以收取合同现金流量为目标；该金融资产的合同条款规定，在特定日期产生的现金流量，仅为对本金和以未偿付本金金额为基础的利息的支付。</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以摊余成本计量的金融资产包括应收票据及应收账款、其他应收款、长期应收款、债权投资等，按公允价值进行初始计量，相关交易费用计入初始确认金额；不包含重大融资成分的应收账款以及本公司决定不考虑不超过一年的融资成分的应收账款，以合同交易价格进行初始计量。</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此类金融资产按照实际利率法以摊余成本进行后续计量，持有期间采用实际利率法计算的利息计入当期损益。收回或处置时，将取得的价款与该金融资产账面价值之间的差额计入当期损益。其摊销或减值产生的利得或损失，均计入当期损益。</w:t>
      </w:r>
    </w:p>
    <w:p w:rsidR="00CE3C32" w:rsidRDefault="006413B8">
      <w:pPr>
        <w:pStyle w:val="a6"/>
        <w:spacing w:before="0" w:beforeAutospacing="0" w:after="0" w:afterAutospacing="0" w:line="360" w:lineRule="auto"/>
        <w:ind w:firstLine="420"/>
        <w:jc w:val="both"/>
        <w:rPr>
          <w:rStyle w:val="a7"/>
          <w:color w:val="000000"/>
        </w:rPr>
      </w:pPr>
      <w:r>
        <w:rPr>
          <w:rStyle w:val="a7"/>
          <w:rFonts w:ascii="Times New Roman" w:hAnsi="Times New Roman" w:cs="Times New Roman"/>
          <w:color w:val="000000"/>
        </w:rPr>
        <w:t xml:space="preserve">11.1.2 </w:t>
      </w:r>
      <w:r>
        <w:rPr>
          <w:rStyle w:val="a7"/>
          <w:rFonts w:ascii="Times New Roman" w:hAnsi="Times New Roman" w:cs="Times New Roman"/>
          <w:color w:val="000000"/>
        </w:rPr>
        <w:t>以公允价值计量且其变动计入其他综合收益的金融资产</w:t>
      </w:r>
    </w:p>
    <w:p w:rsidR="00CE3C32" w:rsidRDefault="006413B8">
      <w:pPr>
        <w:pStyle w:val="a6"/>
        <w:spacing w:before="0" w:beforeAutospacing="0" w:after="0" w:afterAutospacing="0" w:line="360" w:lineRule="auto"/>
        <w:ind w:firstLine="420"/>
        <w:jc w:val="both"/>
        <w:rPr>
          <w:rStyle w:val="a7"/>
          <w:color w:val="000000"/>
        </w:rPr>
      </w:pPr>
      <w:r>
        <w:rPr>
          <w:rStyle w:val="a7"/>
          <w:rFonts w:ascii="Times New Roman" w:hAnsi="Times New Roman" w:cs="Times New Roman"/>
          <w:color w:val="000000"/>
        </w:rPr>
        <w:t xml:space="preserve">11.1.2.1 </w:t>
      </w:r>
      <w:r>
        <w:rPr>
          <w:rStyle w:val="a7"/>
          <w:rFonts w:ascii="Times New Roman" w:hAnsi="Times New Roman" w:cs="Times New Roman"/>
          <w:color w:val="000000"/>
        </w:rPr>
        <w:t>以公允价值计量且其变动计入其他综合收益的债务工具投资</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金融资产同时符合以下条件的，分类为以公允价值计量且其变动计入其他综合收益的金融资产：本公司管理此类金融资产的业务模式为既以收取合同现金流量为目标又以出售为目标；该金融资产的合同条款规定，在特定日期产生的现金流量，仅为对本金和以未偿付本金金额为基础的利息的支付。</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以公允价值计量且其变动计入其他综合收益的金融资产（债务工具）包括其他债权投资等，按公允价值进行初始计量，相关交易费用计入初始确认金额。该金融资产按公允价值进行后续计量，公允价值变动除采用实际利率法计算的利息、减值损失或利得和汇兑损益之外，均计入其他综合收益。</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终止确认时，之前计入其他综合收益的累计利得或损失从其他综合收益中转出，计入当期损益。</w:t>
      </w:r>
    </w:p>
    <w:p w:rsidR="00CE3C32" w:rsidRDefault="006413B8">
      <w:pPr>
        <w:pStyle w:val="a6"/>
        <w:spacing w:before="0" w:beforeAutospacing="0" w:after="0" w:afterAutospacing="0" w:line="360" w:lineRule="auto"/>
        <w:ind w:firstLine="420"/>
        <w:jc w:val="both"/>
        <w:rPr>
          <w:rStyle w:val="a7"/>
          <w:color w:val="000000"/>
        </w:rPr>
      </w:pPr>
      <w:r>
        <w:rPr>
          <w:rStyle w:val="a7"/>
          <w:rFonts w:ascii="Times New Roman" w:hAnsi="Times New Roman" w:cs="Times New Roman"/>
          <w:color w:val="000000"/>
        </w:rPr>
        <w:t xml:space="preserve">11.1.2.2 </w:t>
      </w:r>
      <w:r>
        <w:rPr>
          <w:rStyle w:val="a7"/>
          <w:rFonts w:ascii="Times New Roman" w:hAnsi="Times New Roman" w:cs="Times New Roman"/>
          <w:color w:val="000000"/>
        </w:rPr>
        <w:t>指定为以公允价值计量且其变动计入其他综合收益的权益工具投资</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不可撤销地选择将部分非交易性权益工具投资指定为以公允价值计量且其变动计入其他综合收益的金融资产，包括其他权益工具投资等，仅将相关股利收入计入当期损益，公允价值变动计入其他综合收益。当该金融资产终止确认时，之前计入其他综合收益的累计利得或损失从其他综合收益中转出，计入留存收益。</w:t>
      </w:r>
      <w:r>
        <w:rPr>
          <w:rFonts w:ascii="Times New Roman" w:hAnsi="Times New Roman" w:cs="Times New Roman"/>
          <w:sz w:val="21"/>
          <w:szCs w:val="21"/>
        </w:rPr>
        <w:t xml:space="preserve"> </w:t>
      </w:r>
    </w:p>
    <w:p w:rsidR="00CE3C32" w:rsidRDefault="006413B8">
      <w:pPr>
        <w:pStyle w:val="a6"/>
        <w:spacing w:before="0" w:beforeAutospacing="0" w:after="0" w:afterAutospacing="0" w:line="360" w:lineRule="auto"/>
        <w:ind w:firstLine="420"/>
        <w:jc w:val="both"/>
        <w:rPr>
          <w:rStyle w:val="a7"/>
          <w:color w:val="000000"/>
        </w:rPr>
      </w:pPr>
      <w:r>
        <w:rPr>
          <w:rStyle w:val="a7"/>
          <w:rFonts w:ascii="Times New Roman" w:hAnsi="Times New Roman" w:cs="Times New Roman"/>
          <w:color w:val="000000"/>
        </w:rPr>
        <w:t xml:space="preserve">11.1.3 </w:t>
      </w:r>
      <w:r>
        <w:rPr>
          <w:rStyle w:val="a7"/>
          <w:rFonts w:ascii="Times New Roman" w:hAnsi="Times New Roman" w:cs="Times New Roman"/>
          <w:color w:val="000000"/>
        </w:rPr>
        <w:t>以公允价值计量且其变动计入当期损益的金融资产</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将持有的未划分为上述以摊余成本计量的金融资产和以公允价值计量且其变动计入其他综合收益的金融资产之外的金融资产，分类为以公允价值计量且其变动计入当期损益的金融资产。包括交易性金融资产、衍生金融资产、其他非流动金融资产等，按公允价值进行初始计量，相关交易费用计入当期损益。该金融资产按公允价值进行后续计量，公允价值变动计入当期损益。终止确认时，其公允价值与初始入账金额之间的差额确认为投资收益。</w:t>
      </w:r>
    </w:p>
    <w:p w:rsidR="00CE3C32" w:rsidRDefault="006413B8">
      <w:pPr>
        <w:pStyle w:val="a6"/>
        <w:spacing w:before="0" w:beforeAutospacing="0" w:after="0" w:afterAutospacing="0" w:line="360" w:lineRule="auto"/>
        <w:ind w:firstLine="420"/>
        <w:jc w:val="both"/>
        <w:rPr>
          <w:rStyle w:val="a7"/>
          <w:color w:val="000000"/>
        </w:rPr>
      </w:pPr>
      <w:r>
        <w:rPr>
          <w:rStyle w:val="a7"/>
          <w:rFonts w:ascii="Times New Roman" w:hAnsi="Times New Roman" w:cs="Times New Roman"/>
          <w:color w:val="000000"/>
        </w:rPr>
        <w:t xml:space="preserve">11.2 </w:t>
      </w:r>
      <w:r>
        <w:rPr>
          <w:rStyle w:val="a7"/>
          <w:rFonts w:ascii="Times New Roman" w:hAnsi="Times New Roman" w:cs="Times New Roman"/>
          <w:color w:val="000000"/>
        </w:rPr>
        <w:t>金融工具的减值</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对分类为以摊余成本计量的金融工具、分类为以公允价值计量且其变动计入其他综合收益的金融工具（债务工具）、租赁应收款、合同资产、应收款项以及财务担保合同以预期信用损失为基础确认损失准备。</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本公司按照下列方法确定相关金融工具的预期信用损失：</w:t>
      </w:r>
      <w:r>
        <w:rPr>
          <w:rFonts w:ascii="Times New Roman" w:hAnsi="Times New Roman" w:cs="Times New Roman" w:hint="eastAsia"/>
          <w:sz w:val="21"/>
          <w:szCs w:val="21"/>
        </w:rPr>
        <w:t>①</w:t>
      </w:r>
      <w:r>
        <w:rPr>
          <w:rFonts w:ascii="Times New Roman" w:hAnsi="Times New Roman" w:cs="Times New Roman"/>
          <w:sz w:val="21"/>
          <w:szCs w:val="21"/>
        </w:rPr>
        <w:t>对于金融资产，信用损失应为本公司应收取的合同现金流量与预期收取的现金流量之间差额的现值；</w:t>
      </w:r>
      <w:r>
        <w:rPr>
          <w:rFonts w:ascii="Times New Roman" w:hAnsi="Times New Roman" w:cs="Times New Roman" w:hint="eastAsia"/>
          <w:sz w:val="21"/>
          <w:szCs w:val="21"/>
        </w:rPr>
        <w:t>②</w:t>
      </w:r>
      <w:r>
        <w:rPr>
          <w:rFonts w:ascii="Times New Roman" w:hAnsi="Times New Roman" w:cs="Times New Roman"/>
          <w:sz w:val="21"/>
          <w:szCs w:val="21"/>
        </w:rPr>
        <w:t>对于租赁应收款项，信用损失应为本公</w:t>
      </w:r>
      <w:r>
        <w:rPr>
          <w:rFonts w:ascii="Times New Roman" w:hAnsi="Times New Roman" w:cs="Times New Roman"/>
          <w:sz w:val="21"/>
          <w:szCs w:val="21"/>
        </w:rPr>
        <w:lastRenderedPageBreak/>
        <w:t>司应收取的合同现金流量与预期收取的现金流量之间差额的现值；</w:t>
      </w:r>
      <w:r>
        <w:rPr>
          <w:rFonts w:ascii="Times New Roman" w:hAnsi="Times New Roman" w:cs="Times New Roman" w:hint="eastAsia"/>
          <w:sz w:val="21"/>
          <w:szCs w:val="21"/>
        </w:rPr>
        <w:t>③</w:t>
      </w:r>
      <w:r>
        <w:rPr>
          <w:rFonts w:ascii="Times New Roman" w:hAnsi="Times New Roman" w:cs="Times New Roman"/>
          <w:sz w:val="21"/>
          <w:szCs w:val="21"/>
        </w:rPr>
        <w:t>对于财务担保合同，信用损失应为本公司就该合同持有人发生的信用损失向其做出赔付的预计付款额，减去本公司预期向该合同持有人、债务人或任何其他方收取的金额之间差额的现值；</w:t>
      </w:r>
      <w:r>
        <w:rPr>
          <w:rFonts w:ascii="Times New Roman" w:hAnsi="Times New Roman" w:cs="Times New Roman" w:hint="eastAsia"/>
          <w:sz w:val="21"/>
          <w:szCs w:val="21"/>
        </w:rPr>
        <w:t>④</w:t>
      </w:r>
      <w:r>
        <w:rPr>
          <w:rFonts w:ascii="Times New Roman" w:hAnsi="Times New Roman" w:cs="Times New Roman"/>
          <w:sz w:val="21"/>
          <w:szCs w:val="21"/>
        </w:rPr>
        <w:t>对于未提用的贷款承诺，信用损失应为在贷款承诺持有人提用相应贷款的情况下，企业应收取的合同现金流量与预期收取的现金流量之间差额的现值。</w:t>
      </w:r>
      <w:r>
        <w:rPr>
          <w:rFonts w:ascii="Times New Roman" w:hAnsi="Times New Roman" w:cs="Times New Roman" w:hint="eastAsia"/>
          <w:sz w:val="21"/>
          <w:szCs w:val="21"/>
        </w:rPr>
        <w:t>⑤</w:t>
      </w:r>
      <w:r>
        <w:rPr>
          <w:rFonts w:ascii="Times New Roman" w:hAnsi="Times New Roman" w:cs="Times New Roman"/>
          <w:sz w:val="21"/>
          <w:szCs w:val="21"/>
        </w:rPr>
        <w:t>对于资产负债表日已发生信用减值但并非购买或源生已发生信用减值的金融资产，信用损失为该金融资产账面余额与按原实际利率折现的估计未来现金流量的现值之间的差额。</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计量金融工具预期信用损失的方法反映的因素包括：通过评价一系列可能的结果而确定的无偏概率加权平均金额；货币时间价值；在资产负债表日无须付出不必要的额外成本或努力即可获得的有关过去事项、当前状况以及未来经济状况预测的合理且有依据的信息。</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当本公司不再合理预期金融资产合同现金流量能够全部或部分收回的，直接减记该金融资产的账面余额。这种减记构成相关金融资产的终止确认。</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本公司对由收入准则规范的交易形成的应收款项和合同资产（无论是否包含重大融资成分），对由租赁准则规范的交易形成的租赁应收款，具体预期信用损失的确定方法及会计处理方法，详见本节、五、</w:t>
      </w:r>
      <w:r>
        <w:rPr>
          <w:rFonts w:ascii="Times New Roman" w:hAnsi="Times New Roman" w:cs="Times New Roman"/>
          <w:sz w:val="21"/>
          <w:szCs w:val="21"/>
        </w:rPr>
        <w:t xml:space="preserve">12 </w:t>
      </w:r>
      <w:r>
        <w:rPr>
          <w:rFonts w:ascii="Times New Roman" w:hAnsi="Times New Roman" w:cs="Times New Roman"/>
          <w:sz w:val="21"/>
          <w:szCs w:val="21"/>
        </w:rPr>
        <w:t>应收票据、</w:t>
      </w:r>
      <w:r>
        <w:rPr>
          <w:rFonts w:ascii="Times New Roman" w:hAnsi="Times New Roman" w:cs="Times New Roman"/>
          <w:sz w:val="21"/>
          <w:szCs w:val="21"/>
        </w:rPr>
        <w:t xml:space="preserve">13 </w:t>
      </w:r>
      <w:r>
        <w:rPr>
          <w:rFonts w:ascii="Times New Roman" w:hAnsi="Times New Roman" w:cs="Times New Roman"/>
          <w:sz w:val="21"/>
          <w:szCs w:val="21"/>
        </w:rPr>
        <w:t>应收账款、</w:t>
      </w:r>
      <w:r>
        <w:rPr>
          <w:rFonts w:ascii="Times New Roman" w:hAnsi="Times New Roman" w:cs="Times New Roman"/>
          <w:sz w:val="21"/>
          <w:szCs w:val="21"/>
        </w:rPr>
        <w:t xml:space="preserve">16 </w:t>
      </w:r>
      <w:r>
        <w:rPr>
          <w:rFonts w:ascii="Times New Roman" w:hAnsi="Times New Roman" w:cs="Times New Roman"/>
          <w:sz w:val="21"/>
          <w:szCs w:val="21"/>
        </w:rPr>
        <w:t>合同资产、</w:t>
      </w:r>
      <w:r>
        <w:rPr>
          <w:rFonts w:ascii="Times New Roman" w:hAnsi="Times New Roman" w:cs="Times New Roman"/>
          <w:sz w:val="21"/>
          <w:szCs w:val="21"/>
        </w:rPr>
        <w:t xml:space="preserve">21 </w:t>
      </w:r>
      <w:r>
        <w:rPr>
          <w:rFonts w:ascii="Times New Roman" w:hAnsi="Times New Roman" w:cs="Times New Roman"/>
          <w:sz w:val="21"/>
          <w:szCs w:val="21"/>
        </w:rPr>
        <w:t>长期应收款。</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对于其他金融工具，除购买或</w:t>
      </w:r>
      <w:r>
        <w:rPr>
          <w:rFonts w:ascii="Times New Roman" w:hAnsi="Times New Roman" w:cs="Times New Roman" w:hint="eastAsia"/>
          <w:sz w:val="21"/>
          <w:szCs w:val="21"/>
        </w:rPr>
        <w:t>衍生</w:t>
      </w:r>
      <w:r>
        <w:rPr>
          <w:rFonts w:ascii="Times New Roman" w:hAnsi="Times New Roman" w:cs="Times New Roman"/>
          <w:sz w:val="21"/>
          <w:szCs w:val="21"/>
        </w:rPr>
        <w:t>的已发生信用减值的金融资产外，本公司在每个资产负债表日评估相关金融工具的信用风险自初始确认后的变动情况。若该金融工具的信用风险自初始确认后已显著增加，本公司按照相当于该金融工具整个存续期内预期信用损失的金额计量其损失准备；若该金融工具的信用风险自初始确认后并未显著增加，本公司按照相当于该金融工具未来</w:t>
      </w:r>
      <w:r>
        <w:rPr>
          <w:rFonts w:ascii="Times New Roman" w:hAnsi="Times New Roman" w:cs="Times New Roman"/>
          <w:sz w:val="21"/>
          <w:szCs w:val="21"/>
        </w:rPr>
        <w:t>12</w:t>
      </w:r>
      <w:r>
        <w:rPr>
          <w:rFonts w:ascii="Times New Roman" w:hAnsi="Times New Roman" w:cs="Times New Roman"/>
          <w:sz w:val="21"/>
          <w:szCs w:val="21"/>
        </w:rPr>
        <w:t>个月内预期信用损失的金额计量其损失准备。信用损失准备的增加或转回金额，除分类为以公允价值计量且其变动计入其他综合收益的金融资产外，作为减值损失或利得计入当期损益。对于分类为以公允价值计量且其变动计入其他综合收益的金融资产，本公司在其他综合收益中确认其信用损失准备，并将减值损失或利得计入当期损益，且不减少该金融资产在资产负债表中列示的账面价值。具体预期信用损失的确定方法及会计处理方法，详见本节、五、</w:t>
      </w:r>
      <w:r>
        <w:rPr>
          <w:rFonts w:ascii="Times New Roman" w:hAnsi="Times New Roman" w:cs="Times New Roman"/>
          <w:sz w:val="21"/>
          <w:szCs w:val="21"/>
        </w:rPr>
        <w:t>15</w:t>
      </w:r>
      <w:r>
        <w:rPr>
          <w:rFonts w:ascii="Times New Roman" w:hAnsi="Times New Roman" w:cs="Times New Roman"/>
          <w:sz w:val="21"/>
          <w:szCs w:val="21"/>
        </w:rPr>
        <w:t>其他应收款、</w:t>
      </w:r>
      <w:r>
        <w:rPr>
          <w:rFonts w:ascii="Times New Roman" w:hAnsi="Times New Roman" w:cs="Times New Roman"/>
          <w:sz w:val="21"/>
          <w:szCs w:val="21"/>
        </w:rPr>
        <w:t xml:space="preserve">19 </w:t>
      </w:r>
      <w:r>
        <w:rPr>
          <w:rFonts w:ascii="Times New Roman" w:hAnsi="Times New Roman" w:cs="Times New Roman"/>
          <w:sz w:val="21"/>
          <w:szCs w:val="21"/>
        </w:rPr>
        <w:t>债权投资、</w:t>
      </w:r>
      <w:r>
        <w:rPr>
          <w:rFonts w:ascii="Times New Roman" w:hAnsi="Times New Roman" w:cs="Times New Roman"/>
          <w:sz w:val="21"/>
          <w:szCs w:val="21"/>
        </w:rPr>
        <w:t xml:space="preserve">20 </w:t>
      </w:r>
      <w:r>
        <w:rPr>
          <w:rFonts w:ascii="Times New Roman" w:hAnsi="Times New Roman" w:cs="Times New Roman"/>
          <w:sz w:val="21"/>
          <w:szCs w:val="21"/>
        </w:rPr>
        <w:t>其他债权投资、</w:t>
      </w:r>
      <w:r>
        <w:rPr>
          <w:rFonts w:ascii="Times New Roman" w:hAnsi="Times New Roman" w:cs="Times New Roman"/>
          <w:sz w:val="21"/>
          <w:szCs w:val="21"/>
        </w:rPr>
        <w:t xml:space="preserve">21 </w:t>
      </w:r>
      <w:r>
        <w:rPr>
          <w:rFonts w:ascii="Times New Roman" w:hAnsi="Times New Roman" w:cs="Times New Roman"/>
          <w:sz w:val="21"/>
          <w:szCs w:val="21"/>
        </w:rPr>
        <w:t>长期应收款。</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在前一会计期间已经按照相当于金融工具整个存续期内预期信用损失的金额计量了损失准备，但在当期资产负债表日，该金融工具已不再属于自初始确认后信用风险显著增加的情形的，本公司在当期资产负债表日按照相当于未来</w:t>
      </w:r>
      <w:r>
        <w:rPr>
          <w:rFonts w:ascii="Times New Roman" w:hAnsi="Times New Roman" w:cs="Times New Roman"/>
          <w:sz w:val="21"/>
          <w:szCs w:val="21"/>
        </w:rPr>
        <w:t>12</w:t>
      </w:r>
      <w:r>
        <w:rPr>
          <w:rFonts w:ascii="Times New Roman" w:hAnsi="Times New Roman" w:cs="Times New Roman"/>
          <w:sz w:val="21"/>
          <w:szCs w:val="21"/>
        </w:rPr>
        <w:t>个月内预期信用损失的金额计量该金融工具的损失准备，由此形成的损失准备的转回金额作为减值利得计入当期损益。</w:t>
      </w:r>
    </w:p>
    <w:p w:rsidR="00CE3C32" w:rsidRDefault="006413B8">
      <w:pPr>
        <w:pStyle w:val="a6"/>
        <w:spacing w:before="0" w:beforeAutospacing="0" w:after="0" w:afterAutospacing="0" w:line="360" w:lineRule="auto"/>
        <w:ind w:firstLine="420"/>
        <w:jc w:val="both"/>
        <w:rPr>
          <w:rStyle w:val="a7"/>
          <w:color w:val="000000"/>
        </w:rPr>
      </w:pPr>
      <w:r>
        <w:rPr>
          <w:rStyle w:val="a7"/>
          <w:rFonts w:ascii="Times New Roman" w:hAnsi="Times New Roman" w:cs="Times New Roman"/>
          <w:color w:val="000000"/>
        </w:rPr>
        <w:t xml:space="preserve">11.2.1 </w:t>
      </w:r>
      <w:r>
        <w:rPr>
          <w:rStyle w:val="a7"/>
          <w:rFonts w:ascii="Times New Roman" w:hAnsi="Times New Roman" w:cs="Times New Roman"/>
          <w:color w:val="000000"/>
        </w:rPr>
        <w:t>信用风险显著增加</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本公司利用可获得的合理且有依据的前瞻性信息，通过比较金融工具在资产负债表日发生违约的风险与在初始确认日发生违约的风险，以确定金融工具的信用风险自初始确认后是否已显著增加。</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在评估信用风险是否显著增加时会考虑如下因素：如果某项金融资产在资产负债表日确定的预计存续期内的违约概率显著高于在初始确认时确定的预计存续期内的违约概率，则表明该项金融资产的信用风险显著增加。除特殊情况外，本公司采用未来</w:t>
      </w:r>
      <w:r>
        <w:rPr>
          <w:rFonts w:ascii="Times New Roman" w:hAnsi="Times New Roman" w:cs="Times New Roman"/>
          <w:sz w:val="21"/>
          <w:szCs w:val="21"/>
        </w:rPr>
        <w:t>12</w:t>
      </w:r>
      <w:r>
        <w:rPr>
          <w:rFonts w:ascii="Times New Roman" w:hAnsi="Times New Roman" w:cs="Times New Roman"/>
          <w:sz w:val="21"/>
          <w:szCs w:val="21"/>
        </w:rPr>
        <w:t>个月内发生的违约风险的变化作为整个存续期内发生违约风险变化的合理估计，来确定自初始确认后信用风险是否显著增加。</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于资产负债表日，若本公司判断金融工具只具有较低的信用风险的，则假设该金融工具的信用风险自初始确认后并未显著增加。如果金融工具违约风险较低，借款人在短期内履行其合同现金流量义务的能力很强，并且即使较长时间内经济形势和经营环境存在不利变化但未必一定降低借款人履行其合同现金义务，则该金融工具被视为具有较低的信用风险。</w:t>
      </w:r>
    </w:p>
    <w:p w:rsidR="00CE3C32" w:rsidRDefault="006413B8">
      <w:pPr>
        <w:pStyle w:val="a6"/>
        <w:spacing w:before="0" w:beforeAutospacing="0" w:after="0" w:afterAutospacing="0" w:line="360" w:lineRule="auto"/>
        <w:ind w:firstLine="420"/>
        <w:jc w:val="both"/>
        <w:rPr>
          <w:rStyle w:val="a7"/>
          <w:color w:val="000000"/>
        </w:rPr>
      </w:pPr>
      <w:r>
        <w:rPr>
          <w:rStyle w:val="a7"/>
          <w:rFonts w:ascii="Times New Roman" w:hAnsi="Times New Roman" w:cs="Times New Roman"/>
          <w:color w:val="000000"/>
        </w:rPr>
        <w:lastRenderedPageBreak/>
        <w:t xml:space="preserve">11.2.2 </w:t>
      </w:r>
      <w:r>
        <w:rPr>
          <w:rStyle w:val="a7"/>
          <w:rFonts w:ascii="Times New Roman" w:hAnsi="Times New Roman" w:cs="Times New Roman"/>
          <w:color w:val="000000"/>
        </w:rPr>
        <w:t>已发生信用减值的金融资产</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当本公司预期对金融资产未来现金流量具有不利影响的一项或多项事件发生时，该金融资产成为已发生信用减值的金融资产。金融资产已发生信用减值的证据包括下列可观察信息：</w:t>
      </w:r>
      <w:r>
        <w:rPr>
          <w:rFonts w:ascii="Times New Roman" w:hAnsi="Times New Roman" w:cs="Times New Roman" w:hint="eastAsia"/>
          <w:sz w:val="21"/>
          <w:szCs w:val="21"/>
        </w:rPr>
        <w:t>①</w:t>
      </w:r>
      <w:r>
        <w:rPr>
          <w:rFonts w:ascii="Times New Roman" w:hAnsi="Times New Roman" w:cs="Times New Roman"/>
          <w:sz w:val="21"/>
          <w:szCs w:val="21"/>
        </w:rPr>
        <w:t>发行方或债务人发生重大财务困难；</w:t>
      </w:r>
      <w:r>
        <w:rPr>
          <w:rFonts w:ascii="Times New Roman" w:hAnsi="Times New Roman" w:cs="Times New Roman" w:hint="eastAsia"/>
          <w:sz w:val="21"/>
          <w:szCs w:val="21"/>
        </w:rPr>
        <w:t>②</w:t>
      </w:r>
      <w:r>
        <w:rPr>
          <w:rFonts w:ascii="Times New Roman" w:hAnsi="Times New Roman" w:cs="Times New Roman"/>
          <w:sz w:val="21"/>
          <w:szCs w:val="21"/>
        </w:rPr>
        <w:t>债务人违反合同，如偿付利息或本金违约或逾期等；</w:t>
      </w:r>
      <w:r>
        <w:rPr>
          <w:rFonts w:ascii="Times New Roman" w:hAnsi="Times New Roman" w:cs="Times New Roman" w:hint="eastAsia"/>
          <w:sz w:val="21"/>
          <w:szCs w:val="21"/>
        </w:rPr>
        <w:t>③</w:t>
      </w:r>
      <w:r>
        <w:rPr>
          <w:rFonts w:ascii="Times New Roman" w:hAnsi="Times New Roman" w:cs="Times New Roman"/>
          <w:sz w:val="21"/>
          <w:szCs w:val="21"/>
        </w:rPr>
        <w:t>债权人出于与债务人财务困难有关的经济或合同考虑，给予债务人在任何其他情况下都不会做出的让步；</w:t>
      </w:r>
      <w:r>
        <w:rPr>
          <w:rFonts w:ascii="Times New Roman" w:hAnsi="Times New Roman" w:cs="Times New Roman" w:hint="eastAsia"/>
          <w:sz w:val="21"/>
          <w:szCs w:val="21"/>
        </w:rPr>
        <w:t>④</w:t>
      </w:r>
      <w:r>
        <w:rPr>
          <w:rFonts w:ascii="Times New Roman" w:hAnsi="Times New Roman" w:cs="Times New Roman"/>
          <w:sz w:val="21"/>
          <w:szCs w:val="21"/>
        </w:rPr>
        <w:t>债务人很可能破产或进行其他财务重组；</w:t>
      </w:r>
      <w:r>
        <w:rPr>
          <w:rFonts w:ascii="Times New Roman" w:hAnsi="Times New Roman" w:cs="Times New Roman" w:hint="eastAsia"/>
          <w:sz w:val="21"/>
          <w:szCs w:val="21"/>
        </w:rPr>
        <w:t>⑤</w:t>
      </w:r>
      <w:r>
        <w:rPr>
          <w:rFonts w:ascii="Times New Roman" w:hAnsi="Times New Roman" w:cs="Times New Roman"/>
          <w:sz w:val="21"/>
          <w:szCs w:val="21"/>
        </w:rPr>
        <w:t>发行方或债务人财务困难导致该金融资产的活跃市场消失；</w:t>
      </w:r>
      <w:r>
        <w:rPr>
          <w:rFonts w:ascii="Times New Roman" w:hAnsi="Times New Roman" w:cs="Times New Roman" w:hint="eastAsia"/>
          <w:sz w:val="21"/>
          <w:szCs w:val="21"/>
        </w:rPr>
        <w:t>⑥</w:t>
      </w:r>
      <w:r>
        <w:rPr>
          <w:rFonts w:ascii="Times New Roman" w:hAnsi="Times New Roman" w:cs="Times New Roman"/>
          <w:sz w:val="21"/>
          <w:szCs w:val="21"/>
        </w:rPr>
        <w:t>以大幅折扣购买或</w:t>
      </w:r>
      <w:r>
        <w:rPr>
          <w:rFonts w:ascii="Times New Roman" w:hAnsi="Times New Roman" w:cs="Times New Roman" w:hint="eastAsia"/>
          <w:sz w:val="21"/>
          <w:szCs w:val="21"/>
        </w:rPr>
        <w:t>衍生</w:t>
      </w:r>
      <w:r>
        <w:rPr>
          <w:rFonts w:ascii="Times New Roman" w:hAnsi="Times New Roman" w:cs="Times New Roman"/>
          <w:sz w:val="21"/>
          <w:szCs w:val="21"/>
        </w:rPr>
        <w:t>一项金融资产，该折扣反映了发生信用损失的事实。</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当一项金融工具逾期超过（含）</w:t>
      </w:r>
      <w:r>
        <w:rPr>
          <w:rFonts w:ascii="Times New Roman" w:hAnsi="Times New Roman" w:cs="Times New Roman"/>
          <w:sz w:val="21"/>
          <w:szCs w:val="21"/>
        </w:rPr>
        <w:t>90</w:t>
      </w:r>
      <w:r>
        <w:rPr>
          <w:rFonts w:ascii="Times New Roman" w:hAnsi="Times New Roman" w:cs="Times New Roman"/>
          <w:sz w:val="21"/>
          <w:szCs w:val="21"/>
        </w:rPr>
        <w:t>日，本公司推定该金融工具已发生违约。</w:t>
      </w:r>
    </w:p>
    <w:p w:rsidR="00CE3C32" w:rsidRDefault="006413B8">
      <w:pPr>
        <w:pStyle w:val="a6"/>
        <w:spacing w:before="0" w:beforeAutospacing="0" w:after="0" w:afterAutospacing="0" w:line="360" w:lineRule="auto"/>
        <w:ind w:firstLine="420"/>
        <w:jc w:val="both"/>
        <w:rPr>
          <w:rStyle w:val="a7"/>
          <w:color w:val="000000"/>
        </w:rPr>
      </w:pPr>
      <w:r>
        <w:rPr>
          <w:rStyle w:val="a7"/>
          <w:rFonts w:ascii="Times New Roman" w:hAnsi="Times New Roman" w:cs="Times New Roman"/>
          <w:color w:val="000000"/>
        </w:rPr>
        <w:t xml:space="preserve">11.3 </w:t>
      </w:r>
      <w:r>
        <w:rPr>
          <w:rStyle w:val="a7"/>
          <w:rFonts w:ascii="Times New Roman" w:hAnsi="Times New Roman" w:cs="Times New Roman"/>
          <w:color w:val="000000"/>
        </w:rPr>
        <w:t>金融资产转移确认依据和计量</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金融资产满足下列条件之一的，本公司予以终止对该项金融资产的确认：收取该金融资产现金流量的合同权利终止；该金融资产已转移，且本公司将金融资产所有权上几乎所有的风险和报酬转移给转入方；该金融资产已转移，虽然本公司既没有转移也没有保留金融资产所有权上几乎所有的风险和报酬，但是放弃了对该金融资产控制。</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的金融资产部分转移满足终止确认条件的，将所转移金融资产整体的账面价值，在终止确认部分和未终止确认部分之间按照转移日各自相对的公允价值进行分摊，并将终止确认部分收到的对价与原计入其他综合收益的公允价值变动累计额中对应终止确认部分的金额之和与终止确认部分在终止确认日的账面价值之差额计入当期损益或留存收益。</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若本公司既没有转移也没有保留金融资产所有权上几乎所有的风险和报酬，且未放弃对该金融资产的控制的，则按照继续涉入所转移金融资产的程度确认有关金融资产，并相应确认有关负债。</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被转移金融资产以摊余成本计量的，相关负债的账面价值等于继续涉入被转移金融资产的账面价值减去本公司保留的权利（如果本公司因金融资产转移保留了相关权利）的摊余成本并加上本公司承担的义务（如果本公司因金融资产转移承担了相关义务）的摊余成本，相关负债不指定为以公允价值计量且其变动计入当期损益的金融负债；</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被转移金融资产以公允价值计量的，相关负债的账面价值等于继续涉入被转移金融资产的账面价值减去本公司保留的权利（如果本公司因金融资产转移保留了相关权利）的公允价值并加上本公司承担的义务（如果本公司因金融资产转移承担了相关义务）的公允价值，该权利和义务的公允价值应为按独立基础计量时的公允价值。</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金融资产转移不满足终止确认条件的，继续确认所转移金融资产整体，并将所收到的对价确认为一项金融负债。</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对于继续涉入条件下的金融资产转移，本公司根据继续涉入所转移金融资产的程度确认有关金融资产和金融负债，以充分反映本公司所保留的权利和承担的义务。</w:t>
      </w:r>
      <w:r>
        <w:rPr>
          <w:rFonts w:ascii="Times New Roman" w:hAnsi="Times New Roman" w:cs="Times New Roman"/>
          <w:sz w:val="21"/>
          <w:szCs w:val="21"/>
        </w:rPr>
        <w:t xml:space="preserve"> </w:t>
      </w:r>
    </w:p>
    <w:p w:rsidR="00CE3C32" w:rsidRDefault="006413B8">
      <w:pPr>
        <w:pStyle w:val="a6"/>
        <w:spacing w:before="0" w:beforeAutospacing="0" w:after="0" w:afterAutospacing="0" w:line="360" w:lineRule="auto"/>
        <w:ind w:firstLine="420"/>
        <w:jc w:val="both"/>
        <w:rPr>
          <w:rStyle w:val="a7"/>
          <w:color w:val="000000"/>
        </w:rPr>
      </w:pPr>
      <w:r>
        <w:rPr>
          <w:rStyle w:val="a7"/>
          <w:rFonts w:ascii="Times New Roman" w:hAnsi="Times New Roman" w:cs="Times New Roman"/>
          <w:color w:val="000000"/>
        </w:rPr>
        <w:t xml:space="preserve">11.4 </w:t>
      </w:r>
      <w:r>
        <w:rPr>
          <w:rStyle w:val="a7"/>
          <w:rFonts w:ascii="Times New Roman" w:hAnsi="Times New Roman" w:cs="Times New Roman"/>
          <w:color w:val="000000"/>
        </w:rPr>
        <w:t>金融负债的分类和计量</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本公司的金融负债于初始确认时分类为以公允价值计量且其变动计入当期损益的金融负债和以摊余成本计量的金融负债。金融负债在初始确认时以公允价值计量。</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lastRenderedPageBreak/>
        <w:t>以公允价值计量且其变动计入当期损益的金融负债，包括交易性金融负债（含属于金融负债的衍生工具）和指定为以公允价值计量且其变动计入当期损益的金融负债。该类金融负债以公允价值计量，公允价值变动形成的利得或损失，计入当期损益。</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以摊余成本计量的金融负债，采用实际利率法，按摊余成本进行后续计量。</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金融负债的现时义务全部或部分已经解除的，终止确认该金融负债或其一部分。本公司与债权人之间签订协议，以承担新金融负债方式替换现存金融负债，且新金融负债与现存金融负债的合同条款实质上不同的，终止确认现存金融负债，并同时确认新金融负债。</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金融负债全部或部分终止确认的，将终止确认部分的账面价值与支付的对价（包括转出的非现金资产或承担的新金融负债）之间的差额，计入当期损益。</w:t>
      </w:r>
      <w:r>
        <w:rPr>
          <w:rFonts w:ascii="Times New Roman" w:hAnsi="Times New Roman" w:cs="Times New Roman"/>
          <w:sz w:val="21"/>
          <w:szCs w:val="21"/>
        </w:rPr>
        <w:t xml:space="preserve"> </w:t>
      </w:r>
    </w:p>
    <w:p w:rsidR="00CE3C32" w:rsidRDefault="006413B8">
      <w:pPr>
        <w:pStyle w:val="a6"/>
        <w:spacing w:before="0" w:beforeAutospacing="0" w:after="0" w:afterAutospacing="0" w:line="360" w:lineRule="auto"/>
        <w:ind w:firstLine="420"/>
        <w:jc w:val="both"/>
        <w:rPr>
          <w:rStyle w:val="a7"/>
          <w:color w:val="000000"/>
        </w:rPr>
      </w:pPr>
      <w:r>
        <w:rPr>
          <w:rStyle w:val="a7"/>
          <w:rFonts w:ascii="Times New Roman" w:hAnsi="Times New Roman" w:cs="Times New Roman"/>
          <w:color w:val="000000"/>
        </w:rPr>
        <w:t xml:space="preserve">11.5 </w:t>
      </w:r>
      <w:r>
        <w:rPr>
          <w:rStyle w:val="a7"/>
          <w:rFonts w:ascii="Times New Roman" w:hAnsi="Times New Roman" w:cs="Times New Roman"/>
          <w:color w:val="000000"/>
        </w:rPr>
        <w:t>金融负债的终止确认</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金融负债的现时义务全部或部分已经解除的，终止确认该金融负债或其一部分。本公司与债权人之间签订协议，以承担新金融负债方式替换现存金融负债，且新金融负债与现存金融负债的合同条款实质上不同的，终止确认现存金融负债，并同时确认新金融负债。</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金融负债全部或部分终止确认的，将终止确认部分的账面价值与支付的对价（包括转出的非现金资产或承担的新金融负债）之间的差额，计入当期损益。</w:t>
      </w:r>
    </w:p>
    <w:p w:rsidR="00CE3C32" w:rsidRDefault="006413B8">
      <w:pPr>
        <w:pStyle w:val="a6"/>
        <w:spacing w:before="0" w:beforeAutospacing="0" w:after="0" w:afterAutospacing="0" w:line="360" w:lineRule="auto"/>
        <w:ind w:firstLine="420"/>
        <w:jc w:val="both"/>
        <w:rPr>
          <w:rStyle w:val="a7"/>
          <w:color w:val="000000"/>
        </w:rPr>
      </w:pPr>
      <w:r>
        <w:rPr>
          <w:rStyle w:val="a7"/>
          <w:rFonts w:ascii="Times New Roman" w:hAnsi="Times New Roman" w:cs="Times New Roman"/>
          <w:color w:val="000000"/>
        </w:rPr>
        <w:t xml:space="preserve">11.6 </w:t>
      </w:r>
      <w:r>
        <w:rPr>
          <w:rStyle w:val="a7"/>
          <w:rFonts w:ascii="Times New Roman" w:hAnsi="Times New Roman" w:cs="Times New Roman"/>
          <w:color w:val="000000"/>
        </w:rPr>
        <w:t>金融资产和金融负债的抵消</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金融资产和金融负债在资产负债表内分别列示，不相互抵销。但同时满足下列条件的，以相互抵销后的净额在资产负债表内列示：本公司具有抵销已确认金额的法定权利，且该种法定权利是当前可执行的；本公司计划以净额结算，或同时变现该金融资产和清偿该金融负债。不满足终止确认条件的金融资产转移，转出方不得将已转移的金融资产和相关负债进行抵销。</w:t>
      </w:r>
    </w:p>
    <w:p w:rsidR="00CE3C32" w:rsidRDefault="006413B8">
      <w:pPr>
        <w:pStyle w:val="3"/>
        <w:spacing w:line="280" w:lineRule="exact"/>
        <w:jc w:val="left"/>
        <w:rPr>
          <w:rFonts w:ascii="Times New Roman" w:hAnsi="Times New Roman" w:cs="Times New Roman"/>
          <w:b/>
          <w:bCs/>
        </w:rPr>
      </w:pPr>
      <w:bookmarkStart w:id="123" w:name="_Toc989009"/>
      <w:r>
        <w:rPr>
          <w:rFonts w:ascii="Times New Roman" w:hAnsi="Times New Roman" w:cs="Times New Roman"/>
          <w:b/>
          <w:bCs/>
        </w:rPr>
        <w:t>12</w:t>
      </w:r>
      <w:r>
        <w:rPr>
          <w:rFonts w:ascii="Times New Roman" w:hAnsi="Times New Roman" w:cs="Times New Roman"/>
          <w:b/>
          <w:bCs/>
        </w:rPr>
        <w:t>、应收票据</w:t>
      </w:r>
      <w:bookmarkEnd w:id="123"/>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应收票据项目，反映资产负债表日以摊余成本计量的、企业因销售商品、提供服务等收到的商业汇票，包括银行承兑汇票和商业承兑汇票。</w:t>
      </w:r>
    </w:p>
    <w:p w:rsidR="00CE3C32" w:rsidRDefault="006413B8">
      <w:pPr>
        <w:pStyle w:val="a6"/>
        <w:spacing w:before="0" w:beforeAutospacing="0" w:after="0" w:afterAutospacing="0" w:line="360" w:lineRule="auto"/>
        <w:ind w:firstLine="420"/>
        <w:jc w:val="both"/>
        <w:rPr>
          <w:rStyle w:val="a7"/>
          <w:rFonts w:ascii="Times New Roman" w:hAnsi="Times New Roman" w:cs="Times New Roman"/>
          <w:color w:val="000000"/>
        </w:rPr>
      </w:pPr>
      <w:r>
        <w:rPr>
          <w:rStyle w:val="a7"/>
          <w:rFonts w:ascii="Times New Roman" w:hAnsi="Times New Roman" w:cs="Times New Roman"/>
          <w:color w:val="000000"/>
        </w:rPr>
        <w:t xml:space="preserve">12.1 </w:t>
      </w:r>
      <w:r>
        <w:rPr>
          <w:rStyle w:val="a7"/>
          <w:rFonts w:ascii="Times New Roman" w:hAnsi="Times New Roman" w:cs="Times New Roman"/>
          <w:color w:val="000000"/>
        </w:rPr>
        <w:t>预期信用损失的确定方法</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本公司对由收入准则规范的交易形成的应收款项（无论是否包含重大融资成分），按照相当于整个存续期内预期信用损失的金额计量损失准备。</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基于单项和组合评估应收款项的预期信用损失。如果有客观证据表明某项应收款项已经发生信用减值，则本公司对该应收款项在单项资产的基础上确定预期信用损失。对于划分为组合的应收款项，本公司参考历史信用损失经验，结合当前状况以及对未来经济状况的预测，通过违约风险敞口和整个存续期预期信用损失率，计算预期信用损失。</w:t>
      </w:r>
    </w:p>
    <w:p w:rsidR="00CE3C32" w:rsidRDefault="006413B8">
      <w:pPr>
        <w:pStyle w:val="a6"/>
        <w:spacing w:before="0" w:beforeAutospacing="0" w:after="0" w:afterAutospacing="0" w:line="360" w:lineRule="auto"/>
        <w:ind w:firstLine="420"/>
        <w:jc w:val="both"/>
        <w:rPr>
          <w:rStyle w:val="a7"/>
          <w:color w:val="000000"/>
        </w:rPr>
      </w:pPr>
      <w:r>
        <w:rPr>
          <w:rStyle w:val="a7"/>
          <w:color w:val="000000"/>
        </w:rPr>
        <w:t>基于应收票据的信用风险特征，将其划分为不同组合：</w:t>
      </w:r>
    </w:p>
    <w:tbl>
      <w:tblPr>
        <w:tblW w:w="5000" w:type="pct"/>
        <w:tblCellMar>
          <w:left w:w="0" w:type="dxa"/>
          <w:right w:w="0" w:type="dxa"/>
        </w:tblCellMar>
        <w:tblLook w:val="04A0" w:firstRow="1" w:lastRow="0" w:firstColumn="1" w:lastColumn="0" w:noHBand="0" w:noVBand="1"/>
      </w:tblPr>
      <w:tblGrid>
        <w:gridCol w:w="2053"/>
        <w:gridCol w:w="7800"/>
      </w:tblGrid>
      <w:tr w:rsidR="00CE3C32">
        <w:trPr>
          <w:trHeight w:val="340"/>
        </w:trPr>
        <w:tc>
          <w:tcPr>
            <w:tcW w:w="1042" w:type="pct"/>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组合名称</w:t>
            </w:r>
          </w:p>
        </w:tc>
        <w:tc>
          <w:tcPr>
            <w:tcW w:w="3958" w:type="pct"/>
            <w:tcBorders>
              <w:top w:val="single" w:sz="8" w:space="0" w:color="auto"/>
              <w:left w:val="nil"/>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确定依据</w:t>
            </w:r>
          </w:p>
        </w:tc>
      </w:tr>
      <w:tr w:rsidR="00CE3C32">
        <w:trPr>
          <w:trHeight w:val="340"/>
        </w:trPr>
        <w:tc>
          <w:tcPr>
            <w:tcW w:w="104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rPr>
                <w:rFonts w:ascii="Times New Roman" w:hAnsi="Times New Roman" w:cs="Times New Roman"/>
                <w:sz w:val="21"/>
                <w:szCs w:val="21"/>
              </w:rPr>
            </w:pPr>
            <w:r>
              <w:rPr>
                <w:rFonts w:ascii="Times New Roman" w:hAnsi="Times New Roman" w:cs="Times New Roman"/>
                <w:sz w:val="18"/>
                <w:szCs w:val="18"/>
              </w:rPr>
              <w:t>应收票据组合</w:t>
            </w:r>
            <w:r>
              <w:rPr>
                <w:rFonts w:ascii="Times New Roman" w:hAnsi="Times New Roman" w:cs="Times New Roman"/>
                <w:sz w:val="18"/>
                <w:szCs w:val="18"/>
              </w:rPr>
              <w:t>1</w:t>
            </w:r>
          </w:p>
        </w:tc>
        <w:tc>
          <w:tcPr>
            <w:tcW w:w="3958"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rPr>
                <w:rFonts w:ascii="Times New Roman" w:hAnsi="Times New Roman" w:cs="Times New Roman"/>
                <w:sz w:val="21"/>
                <w:szCs w:val="21"/>
              </w:rPr>
            </w:pPr>
            <w:r>
              <w:rPr>
                <w:rFonts w:ascii="Times New Roman" w:hAnsi="Times New Roman" w:cs="Times New Roman"/>
                <w:sz w:val="18"/>
                <w:szCs w:val="18"/>
              </w:rPr>
              <w:t>本组合为信用等级较高银行承兑的银行承兑汇票</w:t>
            </w:r>
          </w:p>
        </w:tc>
      </w:tr>
      <w:tr w:rsidR="00CE3C32">
        <w:trPr>
          <w:trHeight w:val="340"/>
        </w:trPr>
        <w:tc>
          <w:tcPr>
            <w:tcW w:w="104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rPr>
                <w:rFonts w:ascii="Times New Roman" w:hAnsi="Times New Roman" w:cs="Times New Roman"/>
                <w:sz w:val="21"/>
                <w:szCs w:val="21"/>
              </w:rPr>
            </w:pPr>
            <w:r>
              <w:rPr>
                <w:rFonts w:ascii="Times New Roman" w:hAnsi="Times New Roman" w:cs="Times New Roman"/>
                <w:sz w:val="18"/>
                <w:szCs w:val="18"/>
              </w:rPr>
              <w:t>应收票据组合</w:t>
            </w:r>
            <w:r>
              <w:rPr>
                <w:rFonts w:ascii="Times New Roman" w:hAnsi="Times New Roman" w:cs="Times New Roman"/>
                <w:sz w:val="18"/>
                <w:szCs w:val="18"/>
              </w:rPr>
              <w:t>2</w:t>
            </w:r>
          </w:p>
        </w:tc>
        <w:tc>
          <w:tcPr>
            <w:tcW w:w="3958"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rPr>
                <w:rFonts w:ascii="Times New Roman" w:hAnsi="Times New Roman" w:cs="Times New Roman"/>
                <w:sz w:val="21"/>
                <w:szCs w:val="21"/>
              </w:rPr>
            </w:pPr>
            <w:r>
              <w:rPr>
                <w:rFonts w:ascii="Times New Roman" w:hAnsi="Times New Roman" w:cs="Times New Roman"/>
                <w:sz w:val="18"/>
                <w:szCs w:val="18"/>
              </w:rPr>
              <w:t>本组合为信用等级一般银行承兑的银行承兑汇票以及商业承兑汇票</w:t>
            </w:r>
          </w:p>
        </w:tc>
      </w:tr>
    </w:tbl>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lastRenderedPageBreak/>
        <w:t>注：信用等级较高银行是指信用等级较高的</w:t>
      </w:r>
      <w:r>
        <w:rPr>
          <w:rFonts w:ascii="Times New Roman" w:hAnsi="Times New Roman" w:cs="Times New Roman"/>
          <w:sz w:val="21"/>
          <w:szCs w:val="21"/>
        </w:rPr>
        <w:t>6</w:t>
      </w:r>
      <w:r>
        <w:rPr>
          <w:rFonts w:ascii="Times New Roman" w:hAnsi="Times New Roman" w:cs="Times New Roman"/>
          <w:sz w:val="21"/>
          <w:szCs w:val="21"/>
        </w:rPr>
        <w:t>家大型商业银行和</w:t>
      </w:r>
      <w:r>
        <w:rPr>
          <w:rFonts w:ascii="Times New Roman" w:hAnsi="Times New Roman" w:cs="Times New Roman"/>
          <w:sz w:val="21"/>
          <w:szCs w:val="21"/>
        </w:rPr>
        <w:t xml:space="preserve">9 </w:t>
      </w:r>
      <w:r>
        <w:rPr>
          <w:rFonts w:ascii="Times New Roman" w:hAnsi="Times New Roman" w:cs="Times New Roman"/>
          <w:sz w:val="21"/>
          <w:szCs w:val="21"/>
        </w:rPr>
        <w:t>家上市股份制商业银行。</w:t>
      </w:r>
      <w:r>
        <w:rPr>
          <w:rFonts w:ascii="Times New Roman" w:hAnsi="Times New Roman" w:cs="Times New Roman"/>
          <w:sz w:val="21"/>
          <w:szCs w:val="21"/>
        </w:rPr>
        <w:t>6</w:t>
      </w:r>
      <w:r>
        <w:rPr>
          <w:rFonts w:ascii="Times New Roman" w:hAnsi="Times New Roman" w:cs="Times New Roman"/>
          <w:sz w:val="21"/>
          <w:szCs w:val="21"/>
        </w:rPr>
        <w:t>家大型商业银行分别为中国银行、中国农业银行、中国建设银行、中国工商银行、中国邮政储蓄银行、交通银行，</w:t>
      </w:r>
      <w:r>
        <w:rPr>
          <w:rFonts w:ascii="Times New Roman" w:hAnsi="Times New Roman" w:cs="Times New Roman"/>
          <w:sz w:val="21"/>
          <w:szCs w:val="21"/>
        </w:rPr>
        <w:t xml:space="preserve">9 </w:t>
      </w:r>
      <w:r>
        <w:rPr>
          <w:rFonts w:ascii="Times New Roman" w:hAnsi="Times New Roman" w:cs="Times New Roman"/>
          <w:sz w:val="21"/>
          <w:szCs w:val="21"/>
        </w:rPr>
        <w:t>家上市股份制商业银行分别为招商银行、浦发银行、中信银行、中国光大银行、华夏银行、中国民生银行、平安银行、兴业银行、浙商银行。上述银行信用良好，拥有国资背景或为上市银行，资金实力雄厚，经营情况良好，根据银行主体评级情况，上述银行主体评级均达到</w:t>
      </w:r>
      <w:r>
        <w:rPr>
          <w:rFonts w:ascii="Times New Roman" w:hAnsi="Times New Roman" w:cs="Times New Roman"/>
          <w:sz w:val="21"/>
          <w:szCs w:val="21"/>
        </w:rPr>
        <w:t xml:space="preserve"> AAA </w:t>
      </w:r>
      <w:r>
        <w:rPr>
          <w:rFonts w:ascii="Times New Roman" w:hAnsi="Times New Roman" w:cs="Times New Roman"/>
          <w:sz w:val="21"/>
          <w:szCs w:val="21"/>
        </w:rPr>
        <w:t>级且未来展望稳定，公开信息未发现曾出现票据违约到期无法兑付的负面新闻，因此本集团将其划分为信用等级较高银行，且不计坏账准备。除上述信用等级较高银行以外的其他银行划分为信用等级一般银行。</w:t>
      </w:r>
      <w:r>
        <w:rPr>
          <w:rFonts w:ascii="Times New Roman" w:hAnsi="Times New Roman" w:cs="Times New Roman"/>
          <w:sz w:val="21"/>
          <w:szCs w:val="21"/>
        </w:rPr>
        <w:t xml:space="preserve"> </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基于账龄确认信用风险特征组合的账龄计算方法</w:t>
      </w:r>
    </w:p>
    <w:tbl>
      <w:tblPr>
        <w:tblW w:w="5000" w:type="pct"/>
        <w:tblCellMar>
          <w:left w:w="0" w:type="dxa"/>
          <w:right w:w="0" w:type="dxa"/>
        </w:tblCellMar>
        <w:tblLook w:val="04A0" w:firstRow="1" w:lastRow="0" w:firstColumn="1" w:lastColumn="0" w:noHBand="0" w:noVBand="1"/>
      </w:tblPr>
      <w:tblGrid>
        <w:gridCol w:w="3261"/>
        <w:gridCol w:w="3297"/>
        <w:gridCol w:w="3295"/>
      </w:tblGrid>
      <w:tr w:rsidR="00CE3C32">
        <w:trPr>
          <w:trHeight w:val="340"/>
        </w:trPr>
        <w:tc>
          <w:tcPr>
            <w:tcW w:w="1655" w:type="pct"/>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b w:val="0"/>
                <w:sz w:val="18"/>
                <w:szCs w:val="18"/>
              </w:rPr>
              <w:t>账龄</w:t>
            </w:r>
          </w:p>
        </w:tc>
        <w:tc>
          <w:tcPr>
            <w:tcW w:w="1673" w:type="pct"/>
            <w:tcBorders>
              <w:top w:val="single" w:sz="8" w:space="0" w:color="auto"/>
              <w:left w:val="nil"/>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b w:val="0"/>
                <w:sz w:val="18"/>
                <w:szCs w:val="18"/>
              </w:rPr>
              <w:t>应收票据组合</w:t>
            </w:r>
            <w:r>
              <w:rPr>
                <w:rStyle w:val="a7"/>
                <w:rFonts w:ascii="Times New Roman" w:hAnsi="Times New Roman" w:cs="Times New Roman"/>
                <w:b w:val="0"/>
                <w:sz w:val="18"/>
                <w:szCs w:val="18"/>
              </w:rPr>
              <w:t>1</w:t>
            </w:r>
          </w:p>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b w:val="0"/>
                <w:sz w:val="18"/>
                <w:szCs w:val="18"/>
              </w:rPr>
              <w:t>预期信用损失率（</w:t>
            </w:r>
            <w:r>
              <w:rPr>
                <w:rStyle w:val="a7"/>
                <w:rFonts w:ascii="Times New Roman" w:hAnsi="Times New Roman" w:cs="Times New Roman"/>
                <w:b w:val="0"/>
                <w:sz w:val="18"/>
                <w:szCs w:val="18"/>
              </w:rPr>
              <w:t>%</w:t>
            </w:r>
            <w:r>
              <w:rPr>
                <w:rStyle w:val="a7"/>
                <w:rFonts w:ascii="Times New Roman" w:hAnsi="Times New Roman" w:cs="Times New Roman"/>
                <w:b w:val="0"/>
                <w:sz w:val="18"/>
                <w:szCs w:val="18"/>
              </w:rPr>
              <w:t>）</w:t>
            </w:r>
          </w:p>
        </w:tc>
        <w:tc>
          <w:tcPr>
            <w:tcW w:w="1672" w:type="pct"/>
            <w:tcBorders>
              <w:top w:val="single" w:sz="8" w:space="0" w:color="auto"/>
              <w:left w:val="nil"/>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b w:val="0"/>
                <w:sz w:val="18"/>
                <w:szCs w:val="18"/>
              </w:rPr>
              <w:t>应收票据组合</w:t>
            </w:r>
            <w:r>
              <w:rPr>
                <w:rStyle w:val="a7"/>
                <w:rFonts w:ascii="Times New Roman" w:hAnsi="Times New Roman" w:cs="Times New Roman"/>
                <w:b w:val="0"/>
                <w:sz w:val="18"/>
                <w:szCs w:val="18"/>
              </w:rPr>
              <w:t>2</w:t>
            </w:r>
          </w:p>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b w:val="0"/>
                <w:sz w:val="18"/>
                <w:szCs w:val="18"/>
              </w:rPr>
              <w:t>预期信用损失率（</w:t>
            </w:r>
            <w:r>
              <w:rPr>
                <w:rStyle w:val="a7"/>
                <w:rFonts w:ascii="Times New Roman" w:hAnsi="Times New Roman" w:cs="Times New Roman"/>
                <w:b w:val="0"/>
                <w:sz w:val="18"/>
                <w:szCs w:val="18"/>
              </w:rPr>
              <w:t>%</w:t>
            </w:r>
            <w:r>
              <w:rPr>
                <w:rStyle w:val="a7"/>
                <w:rFonts w:ascii="Times New Roman" w:hAnsi="Times New Roman" w:cs="Times New Roman"/>
                <w:b w:val="0"/>
                <w:sz w:val="18"/>
                <w:szCs w:val="18"/>
              </w:rPr>
              <w:t>）</w:t>
            </w:r>
          </w:p>
        </w:tc>
      </w:tr>
      <w:tr w:rsidR="00CE3C32">
        <w:trPr>
          <w:trHeight w:val="340"/>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rPr>
                <w:rFonts w:ascii="Times New Roman" w:hAnsi="Times New Roman" w:cs="Times New Roman"/>
                <w:sz w:val="21"/>
                <w:szCs w:val="21"/>
              </w:rPr>
            </w:pPr>
            <w:r>
              <w:rPr>
                <w:rFonts w:ascii="Times New Roman" w:hAnsi="Times New Roman" w:cs="Times New Roman"/>
                <w:sz w:val="18"/>
                <w:szCs w:val="18"/>
              </w:rPr>
              <w:t>1</w:t>
            </w:r>
            <w:r>
              <w:rPr>
                <w:rFonts w:ascii="Times New Roman" w:hAnsi="Times New Roman" w:cs="Times New Roman"/>
                <w:sz w:val="18"/>
                <w:szCs w:val="18"/>
              </w:rPr>
              <w:t>年以内（含</w:t>
            </w:r>
            <w:r>
              <w:rPr>
                <w:rFonts w:ascii="Times New Roman" w:hAnsi="Times New Roman" w:cs="Times New Roman"/>
                <w:sz w:val="18"/>
                <w:szCs w:val="18"/>
              </w:rPr>
              <w:t>1</w:t>
            </w:r>
            <w:r>
              <w:rPr>
                <w:rFonts w:ascii="Times New Roman" w:hAnsi="Times New Roman" w:cs="Times New Roman"/>
                <w:sz w:val="18"/>
                <w:szCs w:val="18"/>
              </w:rPr>
              <w:t>年）</w:t>
            </w:r>
          </w:p>
        </w:tc>
        <w:tc>
          <w:tcPr>
            <w:tcW w:w="167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w:t>
            </w:r>
          </w:p>
        </w:tc>
        <w:tc>
          <w:tcPr>
            <w:tcW w:w="1672"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5</w:t>
            </w:r>
          </w:p>
        </w:tc>
      </w:tr>
      <w:tr w:rsidR="00CE3C32">
        <w:trPr>
          <w:trHeight w:val="340"/>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rPr>
                <w:rFonts w:ascii="Times New Roman" w:hAnsi="Times New Roman" w:cs="Times New Roman"/>
                <w:sz w:val="21"/>
                <w:szCs w:val="21"/>
              </w:rPr>
            </w:pPr>
            <w:r>
              <w:rPr>
                <w:rFonts w:ascii="Times New Roman" w:hAnsi="Times New Roman" w:cs="Times New Roman"/>
                <w:sz w:val="18"/>
                <w:szCs w:val="18"/>
              </w:rPr>
              <w:t>1-2</w:t>
            </w:r>
            <w:r>
              <w:rPr>
                <w:rFonts w:ascii="Times New Roman" w:hAnsi="Times New Roman" w:cs="Times New Roman"/>
                <w:sz w:val="18"/>
                <w:szCs w:val="18"/>
              </w:rPr>
              <w:t>年</w:t>
            </w:r>
          </w:p>
        </w:tc>
        <w:tc>
          <w:tcPr>
            <w:tcW w:w="167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w:t>
            </w:r>
          </w:p>
        </w:tc>
        <w:tc>
          <w:tcPr>
            <w:tcW w:w="1672"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10</w:t>
            </w:r>
          </w:p>
        </w:tc>
      </w:tr>
      <w:tr w:rsidR="00CE3C32">
        <w:trPr>
          <w:trHeight w:val="340"/>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rPr>
                <w:rFonts w:ascii="Times New Roman" w:hAnsi="Times New Roman" w:cs="Times New Roman"/>
                <w:sz w:val="21"/>
                <w:szCs w:val="21"/>
              </w:rPr>
            </w:pPr>
            <w:r>
              <w:rPr>
                <w:rFonts w:ascii="Times New Roman" w:hAnsi="Times New Roman" w:cs="Times New Roman"/>
                <w:sz w:val="18"/>
                <w:szCs w:val="18"/>
              </w:rPr>
              <w:t>2-3</w:t>
            </w:r>
            <w:r>
              <w:rPr>
                <w:rFonts w:ascii="Times New Roman" w:hAnsi="Times New Roman" w:cs="Times New Roman"/>
                <w:sz w:val="18"/>
                <w:szCs w:val="18"/>
              </w:rPr>
              <w:t>年</w:t>
            </w:r>
          </w:p>
        </w:tc>
        <w:tc>
          <w:tcPr>
            <w:tcW w:w="167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w:t>
            </w:r>
          </w:p>
        </w:tc>
        <w:tc>
          <w:tcPr>
            <w:tcW w:w="1672"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30</w:t>
            </w:r>
          </w:p>
        </w:tc>
      </w:tr>
      <w:tr w:rsidR="00CE3C32">
        <w:trPr>
          <w:trHeight w:val="340"/>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rPr>
                <w:rFonts w:ascii="Times New Roman" w:hAnsi="Times New Roman" w:cs="Times New Roman"/>
                <w:sz w:val="21"/>
                <w:szCs w:val="21"/>
              </w:rPr>
            </w:pPr>
            <w:r>
              <w:rPr>
                <w:rFonts w:ascii="Times New Roman" w:hAnsi="Times New Roman" w:cs="Times New Roman"/>
                <w:sz w:val="18"/>
                <w:szCs w:val="18"/>
              </w:rPr>
              <w:t>3-4</w:t>
            </w:r>
            <w:r>
              <w:rPr>
                <w:rFonts w:ascii="Times New Roman" w:hAnsi="Times New Roman" w:cs="Times New Roman"/>
                <w:sz w:val="18"/>
                <w:szCs w:val="18"/>
              </w:rPr>
              <w:t>年</w:t>
            </w:r>
          </w:p>
        </w:tc>
        <w:tc>
          <w:tcPr>
            <w:tcW w:w="167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w:t>
            </w:r>
          </w:p>
        </w:tc>
        <w:tc>
          <w:tcPr>
            <w:tcW w:w="1672"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50</w:t>
            </w:r>
          </w:p>
        </w:tc>
      </w:tr>
      <w:tr w:rsidR="00CE3C32">
        <w:trPr>
          <w:trHeight w:val="340"/>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rPr>
                <w:rFonts w:ascii="Times New Roman" w:hAnsi="Times New Roman" w:cs="Times New Roman"/>
                <w:sz w:val="21"/>
                <w:szCs w:val="21"/>
              </w:rPr>
            </w:pPr>
            <w:r>
              <w:rPr>
                <w:rFonts w:ascii="Times New Roman" w:hAnsi="Times New Roman" w:cs="Times New Roman"/>
                <w:sz w:val="18"/>
                <w:szCs w:val="18"/>
              </w:rPr>
              <w:t>4-5</w:t>
            </w:r>
            <w:r>
              <w:rPr>
                <w:rFonts w:ascii="Times New Roman" w:hAnsi="Times New Roman" w:cs="Times New Roman"/>
                <w:sz w:val="18"/>
                <w:szCs w:val="18"/>
              </w:rPr>
              <w:t>年</w:t>
            </w:r>
          </w:p>
        </w:tc>
        <w:tc>
          <w:tcPr>
            <w:tcW w:w="167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w:t>
            </w:r>
          </w:p>
        </w:tc>
        <w:tc>
          <w:tcPr>
            <w:tcW w:w="1672"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80</w:t>
            </w:r>
          </w:p>
        </w:tc>
      </w:tr>
      <w:tr w:rsidR="00CE3C32">
        <w:trPr>
          <w:trHeight w:val="340"/>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rPr>
                <w:rFonts w:ascii="Times New Roman" w:hAnsi="Times New Roman" w:cs="Times New Roman"/>
                <w:sz w:val="21"/>
                <w:szCs w:val="21"/>
              </w:rPr>
            </w:pPr>
            <w:r>
              <w:rPr>
                <w:rFonts w:ascii="Times New Roman" w:hAnsi="Times New Roman" w:cs="Times New Roman"/>
                <w:sz w:val="18"/>
                <w:szCs w:val="18"/>
              </w:rPr>
              <w:t>5</w:t>
            </w:r>
            <w:r>
              <w:rPr>
                <w:rFonts w:ascii="Times New Roman" w:hAnsi="Times New Roman" w:cs="Times New Roman"/>
                <w:sz w:val="18"/>
                <w:szCs w:val="18"/>
              </w:rPr>
              <w:t>年以上</w:t>
            </w:r>
          </w:p>
        </w:tc>
        <w:tc>
          <w:tcPr>
            <w:tcW w:w="167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w:t>
            </w:r>
          </w:p>
        </w:tc>
        <w:tc>
          <w:tcPr>
            <w:tcW w:w="1672"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100</w:t>
            </w:r>
          </w:p>
        </w:tc>
      </w:tr>
    </w:tbl>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对于存在客观证据表明存在减值，以及其他适用于单项评估的应收票据单独进行减值测试，确认预期信用损失，计提单项减值准备。</w:t>
      </w:r>
    </w:p>
    <w:p w:rsidR="00CE3C32" w:rsidRDefault="006413B8">
      <w:pPr>
        <w:pStyle w:val="a6"/>
        <w:spacing w:before="0" w:beforeAutospacing="0" w:after="0" w:afterAutospacing="0" w:line="360" w:lineRule="auto"/>
        <w:ind w:firstLine="420"/>
        <w:jc w:val="both"/>
        <w:rPr>
          <w:rStyle w:val="a7"/>
          <w:rFonts w:ascii="Times New Roman" w:hAnsi="Times New Roman" w:cs="Times New Roman"/>
          <w:color w:val="000000"/>
        </w:rPr>
      </w:pPr>
      <w:r>
        <w:rPr>
          <w:rStyle w:val="a7"/>
          <w:rFonts w:ascii="Times New Roman" w:hAnsi="Times New Roman" w:cs="Times New Roman"/>
          <w:color w:val="000000"/>
        </w:rPr>
        <w:t xml:space="preserve">12.2 </w:t>
      </w:r>
      <w:r>
        <w:rPr>
          <w:rStyle w:val="a7"/>
          <w:rFonts w:ascii="Times New Roman" w:hAnsi="Times New Roman" w:cs="Times New Roman"/>
          <w:color w:val="000000"/>
        </w:rPr>
        <w:t>预期信用减值损失的会计处理方法</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信用损失准备的增加或转回金额，作为减值损失或利得计入当期损益。</w:t>
      </w:r>
    </w:p>
    <w:p w:rsidR="00CE3C32" w:rsidRDefault="006413B8">
      <w:pPr>
        <w:pStyle w:val="3"/>
        <w:spacing w:line="280" w:lineRule="exact"/>
        <w:jc w:val="left"/>
        <w:rPr>
          <w:rFonts w:ascii="Times New Roman" w:hAnsi="Times New Roman" w:cs="Times New Roman"/>
          <w:b/>
          <w:bCs/>
        </w:rPr>
      </w:pPr>
      <w:bookmarkStart w:id="124" w:name="_Toc989010"/>
      <w:r>
        <w:rPr>
          <w:rFonts w:ascii="Times New Roman" w:hAnsi="Times New Roman" w:cs="Times New Roman"/>
          <w:b/>
          <w:bCs/>
        </w:rPr>
        <w:t>13</w:t>
      </w:r>
      <w:r>
        <w:rPr>
          <w:rFonts w:ascii="Times New Roman" w:hAnsi="Times New Roman" w:cs="Times New Roman"/>
          <w:b/>
          <w:bCs/>
        </w:rPr>
        <w:t>、应收账款</w:t>
      </w:r>
      <w:bookmarkEnd w:id="124"/>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应收账款项目，反映资产负债表日以摊余成本计量的、企业因销售商品、提供服务等经营活动应收取的款项。</w:t>
      </w:r>
    </w:p>
    <w:p w:rsidR="00CE3C32" w:rsidRDefault="006413B8">
      <w:pPr>
        <w:pStyle w:val="a6"/>
        <w:spacing w:before="0" w:beforeAutospacing="0" w:after="0" w:afterAutospacing="0" w:line="360" w:lineRule="auto"/>
        <w:ind w:firstLine="420"/>
        <w:jc w:val="both"/>
        <w:rPr>
          <w:rStyle w:val="a7"/>
          <w:color w:val="000000"/>
        </w:rPr>
      </w:pPr>
      <w:r>
        <w:rPr>
          <w:rStyle w:val="a7"/>
          <w:rFonts w:ascii="Times New Roman" w:hAnsi="Times New Roman" w:cs="Times New Roman"/>
          <w:bCs w:val="0"/>
          <w:color w:val="000000"/>
        </w:rPr>
        <w:t xml:space="preserve">13.1 </w:t>
      </w:r>
      <w:r>
        <w:rPr>
          <w:rStyle w:val="a7"/>
          <w:rFonts w:ascii="Times New Roman" w:hAnsi="Times New Roman" w:cs="Times New Roman"/>
          <w:bCs w:val="0"/>
          <w:color w:val="000000"/>
        </w:rPr>
        <w:t>预期信用损失的确定方法</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本公司对由收入准则规范的交易形成的应收款项（无论是否包含重大融资成分），按照相当于整个存续期内预期信用损失的金额计量损失准备。</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基于单项和组合评估应收款项的预期信用损失。如果有客观证据表明某项应收款项已经发生信用减值，则本公司对该应收款项在单项资产的基础上确定预期信用损失。对于划分为组合的应收款项，本公司参考历史信用损失经验，结合当前状况以及对未来经济状况的预测，通过违约风险敞口和整个存续期预期信用损失率，计算预期信用损失。</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除了单项评估信用风险的应收账款外，基于其信用风险特征，将其划分为不同组合：</w:t>
      </w:r>
      <w:r>
        <w:rPr>
          <w:rFonts w:ascii="Times New Roman" w:hAnsi="Times New Roman" w:cs="Times New Roman"/>
          <w:sz w:val="21"/>
          <w:szCs w:val="21"/>
        </w:rPr>
        <w:t xml:space="preserve"> </w:t>
      </w:r>
    </w:p>
    <w:tbl>
      <w:tblPr>
        <w:tblW w:w="4984" w:type="pct"/>
        <w:tblCellMar>
          <w:left w:w="0" w:type="dxa"/>
          <w:right w:w="0" w:type="dxa"/>
        </w:tblCellMar>
        <w:tblLook w:val="04A0" w:firstRow="1" w:lastRow="0" w:firstColumn="1" w:lastColumn="0" w:noHBand="0" w:noVBand="1"/>
      </w:tblPr>
      <w:tblGrid>
        <w:gridCol w:w="3471"/>
        <w:gridCol w:w="6350"/>
      </w:tblGrid>
      <w:tr w:rsidR="00CE3C32">
        <w:trPr>
          <w:trHeight w:val="358"/>
        </w:trPr>
        <w:tc>
          <w:tcPr>
            <w:tcW w:w="1767" w:type="pct"/>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sz w:val="18"/>
                <w:szCs w:val="18"/>
              </w:rPr>
              <w:t>组合名称</w:t>
            </w:r>
          </w:p>
        </w:tc>
        <w:tc>
          <w:tcPr>
            <w:tcW w:w="3233" w:type="pct"/>
            <w:tcBorders>
              <w:top w:val="single" w:sz="8" w:space="0" w:color="auto"/>
              <w:left w:val="nil"/>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sz w:val="18"/>
                <w:szCs w:val="18"/>
              </w:rPr>
              <w:t>确定依据</w:t>
            </w:r>
          </w:p>
        </w:tc>
      </w:tr>
      <w:tr w:rsidR="00CE3C32">
        <w:trPr>
          <w:trHeight w:val="358"/>
        </w:trPr>
        <w:tc>
          <w:tcPr>
            <w:tcW w:w="176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both"/>
              <w:rPr>
                <w:rFonts w:ascii="Times New Roman" w:hAnsi="Times New Roman" w:cs="Times New Roman"/>
                <w:sz w:val="21"/>
                <w:szCs w:val="21"/>
              </w:rPr>
            </w:pPr>
            <w:r>
              <w:rPr>
                <w:rFonts w:ascii="Times New Roman" w:hAnsi="Times New Roman" w:cs="Times New Roman"/>
                <w:sz w:val="18"/>
                <w:szCs w:val="18"/>
              </w:rPr>
              <w:t>应收账款组合</w:t>
            </w:r>
            <w:r>
              <w:rPr>
                <w:rFonts w:ascii="Times New Roman" w:hAnsi="Times New Roman" w:cs="Times New Roman"/>
                <w:sz w:val="18"/>
                <w:szCs w:val="18"/>
              </w:rPr>
              <w:t>1</w:t>
            </w:r>
          </w:p>
        </w:tc>
        <w:tc>
          <w:tcPr>
            <w:tcW w:w="323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rPr>
                <w:rFonts w:ascii="Times New Roman" w:hAnsi="Times New Roman" w:cs="Times New Roman"/>
                <w:sz w:val="21"/>
                <w:szCs w:val="21"/>
              </w:rPr>
            </w:pPr>
            <w:r>
              <w:rPr>
                <w:rFonts w:ascii="Times New Roman" w:hAnsi="Times New Roman" w:cs="Times New Roman"/>
                <w:sz w:val="18"/>
                <w:szCs w:val="18"/>
              </w:rPr>
              <w:t>本组合为政府部门、教育医疗单位的应收款项</w:t>
            </w:r>
          </w:p>
        </w:tc>
      </w:tr>
      <w:tr w:rsidR="00CE3C32">
        <w:trPr>
          <w:trHeight w:val="358"/>
        </w:trPr>
        <w:tc>
          <w:tcPr>
            <w:tcW w:w="176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both"/>
              <w:rPr>
                <w:rFonts w:ascii="Times New Roman" w:hAnsi="Times New Roman" w:cs="Times New Roman"/>
                <w:sz w:val="21"/>
                <w:szCs w:val="21"/>
              </w:rPr>
            </w:pPr>
            <w:r>
              <w:rPr>
                <w:rFonts w:ascii="Times New Roman" w:hAnsi="Times New Roman" w:cs="Times New Roman"/>
                <w:sz w:val="18"/>
                <w:szCs w:val="18"/>
              </w:rPr>
              <w:t>应收账款组合</w:t>
            </w:r>
            <w:r>
              <w:rPr>
                <w:rFonts w:ascii="Times New Roman" w:hAnsi="Times New Roman" w:cs="Times New Roman"/>
                <w:sz w:val="18"/>
                <w:szCs w:val="18"/>
              </w:rPr>
              <w:t>2</w:t>
            </w:r>
          </w:p>
        </w:tc>
        <w:tc>
          <w:tcPr>
            <w:tcW w:w="323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rPr>
                <w:rFonts w:ascii="Times New Roman" w:hAnsi="Times New Roman" w:cs="Times New Roman"/>
                <w:sz w:val="21"/>
                <w:szCs w:val="21"/>
              </w:rPr>
            </w:pPr>
            <w:r>
              <w:rPr>
                <w:rFonts w:ascii="Times New Roman" w:hAnsi="Times New Roman" w:cs="Times New Roman"/>
                <w:sz w:val="18"/>
                <w:szCs w:val="18"/>
              </w:rPr>
              <w:t>本组合为企业及其他单位的应收款项</w:t>
            </w:r>
          </w:p>
        </w:tc>
      </w:tr>
    </w:tbl>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基于账龄确认信用风险特征组合的账龄计算方法如下：</w:t>
      </w:r>
    </w:p>
    <w:tbl>
      <w:tblPr>
        <w:tblW w:w="5000" w:type="pct"/>
        <w:tblCellMar>
          <w:left w:w="0" w:type="dxa"/>
          <w:right w:w="0" w:type="dxa"/>
        </w:tblCellMar>
        <w:tblLook w:val="04A0" w:firstRow="1" w:lastRow="0" w:firstColumn="1" w:lastColumn="0" w:noHBand="0" w:noVBand="1"/>
      </w:tblPr>
      <w:tblGrid>
        <w:gridCol w:w="3261"/>
        <w:gridCol w:w="3297"/>
        <w:gridCol w:w="3295"/>
      </w:tblGrid>
      <w:tr w:rsidR="00CE3C32">
        <w:trPr>
          <w:trHeight w:val="340"/>
        </w:trPr>
        <w:tc>
          <w:tcPr>
            <w:tcW w:w="1655" w:type="pct"/>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sz w:val="18"/>
                <w:szCs w:val="18"/>
              </w:rPr>
              <w:lastRenderedPageBreak/>
              <w:t>账龄</w:t>
            </w:r>
          </w:p>
        </w:tc>
        <w:tc>
          <w:tcPr>
            <w:tcW w:w="1673" w:type="pct"/>
            <w:tcBorders>
              <w:top w:val="single" w:sz="8" w:space="0" w:color="auto"/>
              <w:left w:val="nil"/>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sz w:val="18"/>
                <w:szCs w:val="18"/>
              </w:rPr>
              <w:t>应收账款组合</w:t>
            </w:r>
            <w:r>
              <w:rPr>
                <w:rStyle w:val="a7"/>
                <w:rFonts w:ascii="Times New Roman" w:hAnsi="Times New Roman" w:cs="Times New Roman"/>
                <w:sz w:val="18"/>
                <w:szCs w:val="18"/>
              </w:rPr>
              <w:t>1</w:t>
            </w:r>
          </w:p>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sz w:val="18"/>
                <w:szCs w:val="18"/>
              </w:rPr>
              <w:t>预期信用损失率（</w:t>
            </w:r>
            <w:r>
              <w:rPr>
                <w:rStyle w:val="a7"/>
                <w:rFonts w:ascii="Times New Roman" w:hAnsi="Times New Roman" w:cs="Times New Roman"/>
                <w:sz w:val="18"/>
                <w:szCs w:val="18"/>
              </w:rPr>
              <w:t>%</w:t>
            </w:r>
            <w:r>
              <w:rPr>
                <w:rStyle w:val="a7"/>
                <w:rFonts w:ascii="Times New Roman" w:hAnsi="Times New Roman" w:cs="Times New Roman"/>
                <w:sz w:val="18"/>
                <w:szCs w:val="18"/>
              </w:rPr>
              <w:t>）</w:t>
            </w:r>
          </w:p>
        </w:tc>
        <w:tc>
          <w:tcPr>
            <w:tcW w:w="1672" w:type="pct"/>
            <w:tcBorders>
              <w:top w:val="single" w:sz="8" w:space="0" w:color="auto"/>
              <w:left w:val="nil"/>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sz w:val="18"/>
                <w:szCs w:val="18"/>
              </w:rPr>
              <w:t>应收账款组合</w:t>
            </w:r>
            <w:r>
              <w:rPr>
                <w:rStyle w:val="a7"/>
                <w:rFonts w:ascii="Times New Roman" w:hAnsi="Times New Roman" w:cs="Times New Roman"/>
                <w:sz w:val="18"/>
                <w:szCs w:val="18"/>
              </w:rPr>
              <w:t>2</w:t>
            </w:r>
          </w:p>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sz w:val="18"/>
                <w:szCs w:val="18"/>
              </w:rPr>
              <w:t>预期信用损失率（</w:t>
            </w:r>
            <w:r>
              <w:rPr>
                <w:rStyle w:val="a7"/>
                <w:rFonts w:ascii="Times New Roman" w:hAnsi="Times New Roman" w:cs="Times New Roman"/>
                <w:sz w:val="18"/>
                <w:szCs w:val="18"/>
              </w:rPr>
              <w:t>%</w:t>
            </w:r>
            <w:r>
              <w:rPr>
                <w:rStyle w:val="a7"/>
                <w:rFonts w:ascii="Times New Roman" w:hAnsi="Times New Roman" w:cs="Times New Roman"/>
                <w:sz w:val="18"/>
                <w:szCs w:val="18"/>
              </w:rPr>
              <w:t>）</w:t>
            </w:r>
          </w:p>
        </w:tc>
      </w:tr>
      <w:tr w:rsidR="00CE3C32">
        <w:trPr>
          <w:trHeight w:val="340"/>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rPr>
                <w:rFonts w:ascii="Times New Roman" w:hAnsi="Times New Roman" w:cs="Times New Roman"/>
                <w:sz w:val="21"/>
                <w:szCs w:val="21"/>
              </w:rPr>
            </w:pPr>
            <w:r>
              <w:rPr>
                <w:rFonts w:ascii="Times New Roman" w:hAnsi="Times New Roman" w:cs="Times New Roman"/>
                <w:sz w:val="18"/>
                <w:szCs w:val="18"/>
              </w:rPr>
              <w:t>1</w:t>
            </w:r>
            <w:r>
              <w:rPr>
                <w:rFonts w:ascii="Times New Roman" w:hAnsi="Times New Roman" w:cs="Times New Roman"/>
                <w:sz w:val="18"/>
                <w:szCs w:val="18"/>
              </w:rPr>
              <w:t>年以内（含</w:t>
            </w:r>
            <w:r>
              <w:rPr>
                <w:rFonts w:ascii="Times New Roman" w:hAnsi="Times New Roman" w:cs="Times New Roman"/>
                <w:sz w:val="18"/>
                <w:szCs w:val="18"/>
              </w:rPr>
              <w:t>1</w:t>
            </w:r>
            <w:r>
              <w:rPr>
                <w:rFonts w:ascii="Times New Roman" w:hAnsi="Times New Roman" w:cs="Times New Roman"/>
                <w:sz w:val="18"/>
                <w:szCs w:val="18"/>
              </w:rPr>
              <w:t>年）</w:t>
            </w:r>
          </w:p>
        </w:tc>
        <w:tc>
          <w:tcPr>
            <w:tcW w:w="167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5</w:t>
            </w:r>
          </w:p>
        </w:tc>
        <w:tc>
          <w:tcPr>
            <w:tcW w:w="1672"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5</w:t>
            </w:r>
          </w:p>
        </w:tc>
      </w:tr>
      <w:tr w:rsidR="00CE3C32">
        <w:trPr>
          <w:trHeight w:val="340"/>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rPr>
                <w:rFonts w:ascii="Times New Roman" w:hAnsi="Times New Roman" w:cs="Times New Roman"/>
                <w:sz w:val="21"/>
                <w:szCs w:val="21"/>
              </w:rPr>
            </w:pPr>
            <w:r>
              <w:rPr>
                <w:rFonts w:ascii="Times New Roman" w:hAnsi="Times New Roman" w:cs="Times New Roman"/>
                <w:sz w:val="18"/>
                <w:szCs w:val="18"/>
              </w:rPr>
              <w:t>1-2</w:t>
            </w:r>
            <w:r>
              <w:rPr>
                <w:rFonts w:ascii="Times New Roman" w:hAnsi="Times New Roman" w:cs="Times New Roman"/>
                <w:sz w:val="18"/>
                <w:szCs w:val="18"/>
              </w:rPr>
              <w:t>年</w:t>
            </w:r>
          </w:p>
        </w:tc>
        <w:tc>
          <w:tcPr>
            <w:tcW w:w="167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10</w:t>
            </w:r>
          </w:p>
        </w:tc>
        <w:tc>
          <w:tcPr>
            <w:tcW w:w="1672"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10</w:t>
            </w:r>
          </w:p>
        </w:tc>
      </w:tr>
      <w:tr w:rsidR="00CE3C32">
        <w:trPr>
          <w:trHeight w:val="340"/>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rPr>
                <w:rFonts w:ascii="Times New Roman" w:hAnsi="Times New Roman" w:cs="Times New Roman"/>
                <w:sz w:val="21"/>
                <w:szCs w:val="21"/>
              </w:rPr>
            </w:pPr>
            <w:r>
              <w:rPr>
                <w:rFonts w:ascii="Times New Roman" w:hAnsi="Times New Roman" w:cs="Times New Roman"/>
                <w:sz w:val="18"/>
                <w:szCs w:val="18"/>
              </w:rPr>
              <w:t>2-3</w:t>
            </w:r>
            <w:r>
              <w:rPr>
                <w:rFonts w:ascii="Times New Roman" w:hAnsi="Times New Roman" w:cs="Times New Roman"/>
                <w:sz w:val="18"/>
                <w:szCs w:val="18"/>
              </w:rPr>
              <w:t>年</w:t>
            </w:r>
          </w:p>
        </w:tc>
        <w:tc>
          <w:tcPr>
            <w:tcW w:w="167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30</w:t>
            </w:r>
          </w:p>
        </w:tc>
        <w:tc>
          <w:tcPr>
            <w:tcW w:w="1672"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30</w:t>
            </w:r>
          </w:p>
        </w:tc>
      </w:tr>
      <w:tr w:rsidR="00CE3C32">
        <w:trPr>
          <w:trHeight w:val="340"/>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rPr>
                <w:rFonts w:ascii="Times New Roman" w:hAnsi="Times New Roman" w:cs="Times New Roman"/>
                <w:sz w:val="21"/>
                <w:szCs w:val="21"/>
              </w:rPr>
            </w:pPr>
            <w:r>
              <w:rPr>
                <w:rFonts w:ascii="Times New Roman" w:hAnsi="Times New Roman" w:cs="Times New Roman"/>
                <w:sz w:val="18"/>
                <w:szCs w:val="18"/>
              </w:rPr>
              <w:t>3-4</w:t>
            </w:r>
            <w:r>
              <w:rPr>
                <w:rFonts w:ascii="Times New Roman" w:hAnsi="Times New Roman" w:cs="Times New Roman"/>
                <w:sz w:val="18"/>
                <w:szCs w:val="18"/>
              </w:rPr>
              <w:t>年</w:t>
            </w:r>
          </w:p>
        </w:tc>
        <w:tc>
          <w:tcPr>
            <w:tcW w:w="167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50</w:t>
            </w:r>
          </w:p>
        </w:tc>
        <w:tc>
          <w:tcPr>
            <w:tcW w:w="1672"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50</w:t>
            </w:r>
          </w:p>
        </w:tc>
      </w:tr>
      <w:tr w:rsidR="00CE3C32">
        <w:trPr>
          <w:trHeight w:val="340"/>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rPr>
                <w:rFonts w:ascii="Times New Roman" w:hAnsi="Times New Roman" w:cs="Times New Roman"/>
                <w:sz w:val="21"/>
                <w:szCs w:val="21"/>
              </w:rPr>
            </w:pPr>
            <w:r>
              <w:rPr>
                <w:rFonts w:ascii="Times New Roman" w:hAnsi="Times New Roman" w:cs="Times New Roman"/>
                <w:sz w:val="18"/>
                <w:szCs w:val="18"/>
              </w:rPr>
              <w:t>4-5</w:t>
            </w:r>
            <w:r>
              <w:rPr>
                <w:rFonts w:ascii="Times New Roman" w:hAnsi="Times New Roman" w:cs="Times New Roman"/>
                <w:sz w:val="18"/>
                <w:szCs w:val="18"/>
              </w:rPr>
              <w:t>年</w:t>
            </w:r>
          </w:p>
        </w:tc>
        <w:tc>
          <w:tcPr>
            <w:tcW w:w="167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80</w:t>
            </w:r>
          </w:p>
        </w:tc>
        <w:tc>
          <w:tcPr>
            <w:tcW w:w="1672"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100</w:t>
            </w:r>
          </w:p>
        </w:tc>
      </w:tr>
      <w:tr w:rsidR="00CE3C32">
        <w:trPr>
          <w:trHeight w:val="340"/>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rPr>
                <w:rFonts w:ascii="Times New Roman" w:hAnsi="Times New Roman" w:cs="Times New Roman"/>
                <w:sz w:val="21"/>
                <w:szCs w:val="21"/>
              </w:rPr>
            </w:pPr>
            <w:r>
              <w:rPr>
                <w:rFonts w:ascii="Times New Roman" w:hAnsi="Times New Roman" w:cs="Times New Roman"/>
                <w:sz w:val="18"/>
                <w:szCs w:val="18"/>
              </w:rPr>
              <w:t>5</w:t>
            </w:r>
            <w:r>
              <w:rPr>
                <w:rFonts w:ascii="Times New Roman" w:hAnsi="Times New Roman" w:cs="Times New Roman"/>
                <w:sz w:val="18"/>
                <w:szCs w:val="18"/>
              </w:rPr>
              <w:t>年以上</w:t>
            </w:r>
          </w:p>
        </w:tc>
        <w:tc>
          <w:tcPr>
            <w:tcW w:w="167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100</w:t>
            </w:r>
          </w:p>
        </w:tc>
        <w:tc>
          <w:tcPr>
            <w:tcW w:w="1672"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100</w:t>
            </w:r>
          </w:p>
        </w:tc>
      </w:tr>
    </w:tbl>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对于存在客观证据表明存在减值，以及其他适用于单项评估的应收票据单独进行减值测试，确认预期信用损失，计提单项减值准备。</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b/>
          <w:bCs/>
          <w:sz w:val="21"/>
          <w:szCs w:val="21"/>
        </w:rPr>
        <w:t>13.2 预期信用损失的会计处理方法</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信用损失准备的增加或转回金额，作为减值损失或利得计入当期损益。</w:t>
      </w:r>
      <w:r>
        <w:rPr>
          <w:rFonts w:ascii="Times New Roman" w:hAnsi="Times New Roman" w:cs="Times New Roman"/>
          <w:sz w:val="21"/>
          <w:szCs w:val="21"/>
        </w:rPr>
        <w:t xml:space="preserve"> </w:t>
      </w:r>
    </w:p>
    <w:p w:rsidR="00CE3C32" w:rsidRDefault="006413B8">
      <w:pPr>
        <w:pStyle w:val="3"/>
        <w:spacing w:line="280" w:lineRule="exact"/>
        <w:jc w:val="left"/>
        <w:rPr>
          <w:rFonts w:ascii="Times New Roman" w:hAnsi="Times New Roman" w:cs="Times New Roman"/>
          <w:b/>
          <w:bCs/>
        </w:rPr>
      </w:pPr>
      <w:bookmarkStart w:id="125" w:name="_Toc989011"/>
      <w:r>
        <w:rPr>
          <w:rFonts w:ascii="Times New Roman" w:hAnsi="Times New Roman" w:cs="Times New Roman"/>
          <w:b/>
          <w:bCs/>
        </w:rPr>
        <w:t>14</w:t>
      </w:r>
      <w:r>
        <w:rPr>
          <w:rFonts w:ascii="Times New Roman" w:hAnsi="Times New Roman" w:cs="Times New Roman"/>
          <w:b/>
          <w:bCs/>
        </w:rPr>
        <w:t>、应收款项融资</w:t>
      </w:r>
      <w:bookmarkEnd w:id="125"/>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应收款项融资项目，反映资产负债表日以公允价值计量且其变动计入其他综合收益的应收票据和应收账款等。</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此类金融资产的业务模式为既以收取合同现金流量为目标又以出售为目标，且此类金融资产的合同现金流量特征与基本借贷安排相一致。按照公允价值计量且其变动计入其他综合收益，但减值损失或利得、汇兑损益和按照实际利率法计算的利息收入计入当期损益。</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除了单项评估信用风险的应收款项融资外，基于其信用风险特征，将其划分为不同组合：</w:t>
      </w:r>
    </w:p>
    <w:tbl>
      <w:tblPr>
        <w:tblW w:w="5000" w:type="pct"/>
        <w:tblCellMar>
          <w:left w:w="0" w:type="dxa"/>
          <w:right w:w="0" w:type="dxa"/>
        </w:tblCellMar>
        <w:tblLook w:val="04A0" w:firstRow="1" w:lastRow="0" w:firstColumn="1" w:lastColumn="0" w:noHBand="0" w:noVBand="1"/>
      </w:tblPr>
      <w:tblGrid>
        <w:gridCol w:w="3482"/>
        <w:gridCol w:w="6371"/>
      </w:tblGrid>
      <w:tr w:rsidR="00CE3C32">
        <w:trPr>
          <w:trHeight w:val="395"/>
        </w:trPr>
        <w:tc>
          <w:tcPr>
            <w:tcW w:w="1767" w:type="pct"/>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sz w:val="18"/>
                <w:szCs w:val="18"/>
              </w:rPr>
              <w:t>组合名称</w:t>
            </w:r>
          </w:p>
        </w:tc>
        <w:tc>
          <w:tcPr>
            <w:tcW w:w="3233" w:type="pct"/>
            <w:tcBorders>
              <w:top w:val="single" w:sz="8" w:space="0" w:color="auto"/>
              <w:left w:val="nil"/>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sz w:val="18"/>
                <w:szCs w:val="18"/>
              </w:rPr>
              <w:t>确定依据</w:t>
            </w:r>
          </w:p>
        </w:tc>
      </w:tr>
      <w:tr w:rsidR="00CE3C32">
        <w:trPr>
          <w:trHeight w:val="395"/>
        </w:trPr>
        <w:tc>
          <w:tcPr>
            <w:tcW w:w="176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both"/>
              <w:rPr>
                <w:rFonts w:ascii="Times New Roman" w:hAnsi="Times New Roman" w:cs="Times New Roman"/>
                <w:sz w:val="21"/>
                <w:szCs w:val="21"/>
              </w:rPr>
            </w:pPr>
            <w:r>
              <w:rPr>
                <w:rFonts w:ascii="Times New Roman" w:hAnsi="Times New Roman" w:cs="Times New Roman"/>
                <w:sz w:val="18"/>
                <w:szCs w:val="18"/>
              </w:rPr>
              <w:t>应收款项融资组合</w:t>
            </w:r>
            <w:r>
              <w:rPr>
                <w:rFonts w:ascii="Times New Roman" w:hAnsi="Times New Roman" w:cs="Times New Roman"/>
                <w:sz w:val="18"/>
                <w:szCs w:val="18"/>
              </w:rPr>
              <w:t>1</w:t>
            </w:r>
          </w:p>
        </w:tc>
        <w:tc>
          <w:tcPr>
            <w:tcW w:w="323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rPr>
                <w:rFonts w:ascii="Times New Roman" w:hAnsi="Times New Roman" w:cs="Times New Roman"/>
                <w:sz w:val="21"/>
                <w:szCs w:val="21"/>
              </w:rPr>
            </w:pPr>
            <w:r>
              <w:rPr>
                <w:rFonts w:ascii="Times New Roman" w:hAnsi="Times New Roman" w:cs="Times New Roman"/>
                <w:sz w:val="18"/>
                <w:szCs w:val="18"/>
              </w:rPr>
              <w:t>本组合为信用等级较高银行承兑的银行承兑汇票</w:t>
            </w:r>
          </w:p>
        </w:tc>
      </w:tr>
      <w:tr w:rsidR="00CE3C32">
        <w:trPr>
          <w:trHeight w:val="395"/>
        </w:trPr>
        <w:tc>
          <w:tcPr>
            <w:tcW w:w="176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both"/>
              <w:rPr>
                <w:rFonts w:ascii="Times New Roman" w:hAnsi="Times New Roman" w:cs="Times New Roman"/>
                <w:sz w:val="21"/>
                <w:szCs w:val="21"/>
              </w:rPr>
            </w:pPr>
            <w:r>
              <w:rPr>
                <w:rFonts w:ascii="Times New Roman" w:hAnsi="Times New Roman" w:cs="Times New Roman"/>
                <w:sz w:val="18"/>
                <w:szCs w:val="18"/>
              </w:rPr>
              <w:t>应收款项融资组合</w:t>
            </w:r>
            <w:r>
              <w:rPr>
                <w:rFonts w:ascii="Times New Roman" w:hAnsi="Times New Roman" w:cs="Times New Roman"/>
                <w:sz w:val="18"/>
                <w:szCs w:val="18"/>
              </w:rPr>
              <w:t>2</w:t>
            </w:r>
          </w:p>
        </w:tc>
        <w:tc>
          <w:tcPr>
            <w:tcW w:w="323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rPr>
                <w:rFonts w:ascii="Times New Roman" w:hAnsi="Times New Roman" w:cs="Times New Roman"/>
                <w:sz w:val="21"/>
                <w:szCs w:val="21"/>
              </w:rPr>
            </w:pPr>
            <w:r>
              <w:rPr>
                <w:rFonts w:ascii="Times New Roman" w:hAnsi="Times New Roman" w:cs="Times New Roman"/>
                <w:sz w:val="18"/>
                <w:szCs w:val="18"/>
              </w:rPr>
              <w:t>本组合为应收客户账款</w:t>
            </w:r>
          </w:p>
        </w:tc>
      </w:tr>
    </w:tbl>
    <w:p w:rsidR="00CE3C32" w:rsidRDefault="006413B8">
      <w:pPr>
        <w:pStyle w:val="3"/>
        <w:spacing w:line="280" w:lineRule="exact"/>
        <w:jc w:val="left"/>
        <w:rPr>
          <w:rFonts w:ascii="Times New Roman" w:hAnsi="Times New Roman" w:cs="Times New Roman"/>
          <w:b/>
          <w:bCs/>
        </w:rPr>
      </w:pPr>
      <w:bookmarkStart w:id="126" w:name="_Toc989012"/>
      <w:r>
        <w:rPr>
          <w:rFonts w:ascii="Times New Roman" w:hAnsi="Times New Roman" w:cs="Times New Roman"/>
          <w:b/>
          <w:bCs/>
        </w:rPr>
        <w:t>15</w:t>
      </w:r>
      <w:r>
        <w:rPr>
          <w:rFonts w:ascii="Times New Roman" w:hAnsi="Times New Roman" w:cs="Times New Roman"/>
          <w:b/>
          <w:bCs/>
        </w:rPr>
        <w:t>、其他应收款</w:t>
      </w:r>
      <w:bookmarkEnd w:id="126"/>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其他应收款的预期信用损失的确定方法及会计处理方法</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其他应收款项目，反映资产负债表</w:t>
      </w:r>
      <w:r>
        <w:rPr>
          <w:rFonts w:asciiTheme="majorEastAsia" w:eastAsiaTheme="majorEastAsia" w:hAnsiTheme="majorEastAsia" w:cs="Times New Roman"/>
          <w:sz w:val="21"/>
          <w:szCs w:val="21"/>
        </w:rPr>
        <w:t>日“应收利息”、“应收股利”和“其他应收款”。其中的“应收利息”</w:t>
      </w:r>
      <w:r>
        <w:rPr>
          <w:rFonts w:ascii="Times New Roman" w:hAnsi="Times New Roman" w:cs="Times New Roman"/>
          <w:sz w:val="21"/>
          <w:szCs w:val="21"/>
        </w:rPr>
        <w:t>仅反映相关金融工具已到期可收取但于资产负债表日尚未收到的利息。</w:t>
      </w:r>
    </w:p>
    <w:p w:rsidR="00CE3C32" w:rsidRDefault="006413B8">
      <w:pPr>
        <w:pStyle w:val="a6"/>
        <w:spacing w:beforeLines="50" w:before="156" w:beforeAutospacing="0" w:afterLines="50" w:after="156" w:afterAutospacing="0"/>
        <w:ind w:firstLine="420"/>
        <w:jc w:val="both"/>
        <w:rPr>
          <w:rFonts w:ascii="Times New Roman" w:hAnsi="Times New Roman" w:cs="Times New Roman"/>
          <w:b/>
          <w:bCs/>
          <w:sz w:val="21"/>
          <w:szCs w:val="21"/>
        </w:rPr>
      </w:pPr>
      <w:r>
        <w:rPr>
          <w:rFonts w:ascii="Times New Roman" w:hAnsi="Times New Roman" w:cs="Times New Roman"/>
          <w:b/>
          <w:sz w:val="21"/>
          <w:szCs w:val="21"/>
        </w:rPr>
        <w:t xml:space="preserve">15.1 </w:t>
      </w:r>
      <w:r>
        <w:rPr>
          <w:rFonts w:ascii="Times New Roman" w:hAnsi="Times New Roman" w:cs="Times New Roman"/>
          <w:b/>
          <w:sz w:val="21"/>
          <w:szCs w:val="21"/>
        </w:rPr>
        <w:t>预期</w:t>
      </w:r>
      <w:r w:rsidR="0080364B">
        <w:rPr>
          <w:rFonts w:ascii="Times New Roman" w:hAnsi="Times New Roman" w:cs="Times New Roman" w:hint="eastAsia"/>
          <w:b/>
          <w:sz w:val="21"/>
          <w:szCs w:val="21"/>
        </w:rPr>
        <w:t>信</w:t>
      </w:r>
      <w:r>
        <w:rPr>
          <w:rFonts w:ascii="Times New Roman" w:hAnsi="Times New Roman" w:cs="Times New Roman"/>
          <w:b/>
          <w:sz w:val="21"/>
          <w:szCs w:val="21"/>
        </w:rPr>
        <w:t>用损失的确定方法</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本公司基于单项和组合评估其他应收款的预期信用损失。如果有客观证据表明某项其他应收款已经发生信用减值，则本公司对该其他应收款在单项资产的基础上确定预期信用损失。</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对于划分为组合的其他应收款，本公司依据其信用风险自初始确认后是否已经显著增加，采用相当于未来</w:t>
      </w:r>
      <w:r>
        <w:rPr>
          <w:rFonts w:ascii="Times New Roman" w:hAnsi="Times New Roman" w:cs="Times New Roman"/>
          <w:sz w:val="21"/>
          <w:szCs w:val="21"/>
        </w:rPr>
        <w:t>12</w:t>
      </w:r>
      <w:r>
        <w:rPr>
          <w:rFonts w:ascii="Times New Roman" w:hAnsi="Times New Roman" w:cs="Times New Roman"/>
          <w:sz w:val="21"/>
          <w:szCs w:val="21"/>
        </w:rPr>
        <w:t>个月内或整个存续期的预期信用损失的金额计量减值损失。</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除了单项评估信用风险的其他应收款外，基于其信用风险特征，将其划分为不同组合：</w:t>
      </w:r>
    </w:p>
    <w:tbl>
      <w:tblPr>
        <w:tblW w:w="5000" w:type="pct"/>
        <w:tblCellMar>
          <w:left w:w="0" w:type="dxa"/>
          <w:right w:w="0" w:type="dxa"/>
        </w:tblCellMar>
        <w:tblLook w:val="04A0" w:firstRow="1" w:lastRow="0" w:firstColumn="1" w:lastColumn="0" w:noHBand="0" w:noVBand="1"/>
      </w:tblPr>
      <w:tblGrid>
        <w:gridCol w:w="3482"/>
        <w:gridCol w:w="6371"/>
      </w:tblGrid>
      <w:tr w:rsidR="00CE3C32">
        <w:trPr>
          <w:trHeight w:val="395"/>
          <w:tblHeader/>
        </w:trPr>
        <w:tc>
          <w:tcPr>
            <w:tcW w:w="1767" w:type="pct"/>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sz w:val="18"/>
                <w:szCs w:val="18"/>
              </w:rPr>
              <w:t>组合名称</w:t>
            </w:r>
          </w:p>
        </w:tc>
        <w:tc>
          <w:tcPr>
            <w:tcW w:w="3233" w:type="pct"/>
            <w:tcBorders>
              <w:top w:val="single" w:sz="8" w:space="0" w:color="auto"/>
              <w:left w:val="nil"/>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sz w:val="18"/>
                <w:szCs w:val="18"/>
              </w:rPr>
              <w:t>确定依据</w:t>
            </w:r>
          </w:p>
        </w:tc>
      </w:tr>
      <w:tr w:rsidR="00CE3C32">
        <w:trPr>
          <w:trHeight w:val="395"/>
        </w:trPr>
        <w:tc>
          <w:tcPr>
            <w:tcW w:w="176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jc w:val="both"/>
              <w:rPr>
                <w:rFonts w:ascii="Times New Roman" w:hAnsi="Times New Roman" w:cs="Times New Roman"/>
                <w:sz w:val="21"/>
                <w:szCs w:val="21"/>
              </w:rPr>
            </w:pPr>
            <w:r>
              <w:rPr>
                <w:rFonts w:ascii="Times New Roman" w:hAnsi="Times New Roman" w:cs="Times New Roman"/>
                <w:sz w:val="18"/>
                <w:szCs w:val="18"/>
              </w:rPr>
              <w:lastRenderedPageBreak/>
              <w:t>其他应收款组合</w:t>
            </w:r>
            <w:r>
              <w:rPr>
                <w:rFonts w:ascii="Times New Roman" w:hAnsi="Times New Roman" w:cs="Times New Roman"/>
                <w:sz w:val="18"/>
                <w:szCs w:val="18"/>
              </w:rPr>
              <w:t>1</w:t>
            </w:r>
          </w:p>
        </w:tc>
        <w:tc>
          <w:tcPr>
            <w:tcW w:w="323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rPr>
                <w:rFonts w:ascii="Times New Roman" w:hAnsi="Times New Roman" w:cs="Times New Roman"/>
                <w:sz w:val="21"/>
                <w:szCs w:val="21"/>
              </w:rPr>
            </w:pPr>
            <w:r>
              <w:rPr>
                <w:rFonts w:ascii="Times New Roman" w:hAnsi="Times New Roman" w:cs="Times New Roman"/>
                <w:sz w:val="18"/>
                <w:szCs w:val="18"/>
              </w:rPr>
              <w:t>本组合为日常经常活动中应收取的各类押金、投标保证金、履约保证金、质量保证金等应收款项</w:t>
            </w:r>
          </w:p>
        </w:tc>
      </w:tr>
      <w:tr w:rsidR="00CE3C32">
        <w:trPr>
          <w:trHeight w:val="395"/>
        </w:trPr>
        <w:tc>
          <w:tcPr>
            <w:tcW w:w="176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jc w:val="both"/>
              <w:rPr>
                <w:rFonts w:ascii="Times New Roman" w:hAnsi="Times New Roman" w:cs="Times New Roman"/>
                <w:sz w:val="21"/>
                <w:szCs w:val="21"/>
              </w:rPr>
            </w:pPr>
            <w:r>
              <w:rPr>
                <w:rFonts w:ascii="Times New Roman" w:hAnsi="Times New Roman" w:cs="Times New Roman"/>
                <w:sz w:val="18"/>
                <w:szCs w:val="18"/>
              </w:rPr>
              <w:t>其他应收款组合</w:t>
            </w:r>
            <w:r>
              <w:rPr>
                <w:rFonts w:ascii="Times New Roman" w:hAnsi="Times New Roman" w:cs="Times New Roman"/>
                <w:sz w:val="18"/>
                <w:szCs w:val="18"/>
              </w:rPr>
              <w:t>2</w:t>
            </w:r>
          </w:p>
        </w:tc>
        <w:tc>
          <w:tcPr>
            <w:tcW w:w="323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rPr>
                <w:rFonts w:ascii="Times New Roman" w:hAnsi="Times New Roman" w:cs="Times New Roman"/>
                <w:sz w:val="21"/>
                <w:szCs w:val="21"/>
              </w:rPr>
            </w:pPr>
            <w:r>
              <w:rPr>
                <w:rFonts w:ascii="Times New Roman" w:hAnsi="Times New Roman" w:cs="Times New Roman"/>
                <w:sz w:val="18"/>
                <w:szCs w:val="18"/>
              </w:rPr>
              <w:t>本组合为应向员工收取的备用金、代垫社保公积金、代垫费用等应收款项</w:t>
            </w:r>
          </w:p>
        </w:tc>
      </w:tr>
      <w:tr w:rsidR="00CE3C32">
        <w:trPr>
          <w:trHeight w:val="395"/>
        </w:trPr>
        <w:tc>
          <w:tcPr>
            <w:tcW w:w="176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jc w:val="both"/>
              <w:rPr>
                <w:rFonts w:ascii="Times New Roman" w:hAnsi="Times New Roman" w:cs="Times New Roman"/>
                <w:sz w:val="21"/>
                <w:szCs w:val="21"/>
              </w:rPr>
            </w:pPr>
            <w:r>
              <w:rPr>
                <w:rFonts w:ascii="Times New Roman" w:hAnsi="Times New Roman" w:cs="Times New Roman"/>
                <w:sz w:val="18"/>
                <w:szCs w:val="18"/>
              </w:rPr>
              <w:t>其他应收款组合</w:t>
            </w:r>
            <w:r>
              <w:rPr>
                <w:rFonts w:ascii="Times New Roman" w:hAnsi="Times New Roman" w:cs="Times New Roman"/>
                <w:sz w:val="18"/>
                <w:szCs w:val="18"/>
              </w:rPr>
              <w:t>3</w:t>
            </w:r>
          </w:p>
        </w:tc>
        <w:tc>
          <w:tcPr>
            <w:tcW w:w="323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rPr>
                <w:rFonts w:ascii="Times New Roman" w:hAnsi="Times New Roman" w:cs="Times New Roman"/>
                <w:sz w:val="21"/>
                <w:szCs w:val="21"/>
              </w:rPr>
            </w:pPr>
            <w:r>
              <w:rPr>
                <w:rFonts w:ascii="Times New Roman" w:hAnsi="Times New Roman" w:cs="Times New Roman"/>
                <w:sz w:val="18"/>
                <w:szCs w:val="18"/>
              </w:rPr>
              <w:t>本组合为应收其他款项</w:t>
            </w:r>
          </w:p>
        </w:tc>
      </w:tr>
    </w:tbl>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在每个资产负债表日评估相关其他应收款的信用风险自初始确认后的变动情况。若该其他应收款的信用风险自初始确认后已显著增加，本公司按照相当于该其他应收款整个存续期内预期信用损失的金额计量其损失准备；若该其他应收款的信用风险自初始确认后并未显著增加，本公司按照相当于该其他应收款未来</w:t>
      </w:r>
      <w:r>
        <w:rPr>
          <w:rFonts w:ascii="Times New Roman" w:hAnsi="Times New Roman" w:cs="Times New Roman"/>
          <w:sz w:val="21"/>
          <w:szCs w:val="21"/>
        </w:rPr>
        <w:t>12</w:t>
      </w:r>
      <w:r>
        <w:rPr>
          <w:rFonts w:ascii="Times New Roman" w:hAnsi="Times New Roman" w:cs="Times New Roman"/>
          <w:sz w:val="21"/>
          <w:szCs w:val="21"/>
        </w:rPr>
        <w:t>个月内预期信用损失的金额计量其损失准备。</w:t>
      </w:r>
      <w:r>
        <w:rPr>
          <w:rFonts w:ascii="Times New Roman" w:hAnsi="Times New Roman" w:cs="Times New Roman"/>
          <w:sz w:val="21"/>
          <w:szCs w:val="21"/>
        </w:rPr>
        <w:t xml:space="preserve"> </w:t>
      </w:r>
    </w:p>
    <w:p w:rsidR="00CE3C32" w:rsidRDefault="006413B8">
      <w:pPr>
        <w:pStyle w:val="a6"/>
        <w:spacing w:beforeLines="50" w:before="156" w:beforeAutospacing="0" w:afterLines="50" w:after="156" w:afterAutospacing="0"/>
        <w:ind w:firstLine="420"/>
        <w:jc w:val="both"/>
        <w:rPr>
          <w:rFonts w:ascii="Times New Roman" w:hAnsi="Times New Roman" w:cs="Times New Roman"/>
          <w:b/>
          <w:sz w:val="21"/>
          <w:szCs w:val="21"/>
        </w:rPr>
      </w:pPr>
      <w:r>
        <w:rPr>
          <w:rFonts w:ascii="Times New Roman" w:hAnsi="Times New Roman" w:cs="Times New Roman"/>
          <w:b/>
          <w:bCs/>
          <w:sz w:val="21"/>
          <w:szCs w:val="21"/>
        </w:rPr>
        <w:t xml:space="preserve">15.2 </w:t>
      </w:r>
      <w:r>
        <w:rPr>
          <w:b/>
          <w:bCs/>
          <w:sz w:val="21"/>
          <w:szCs w:val="21"/>
        </w:rPr>
        <w:t>预期信用损失的会计处理方法</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信用损失准备的增加或转回金额，作为减值损失或利得计入当期损益。</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在前一会计期间已经按照相当于其他应收款整个存续期内预期信用损失的金额计量了损失准备，但在当期资产负债表日，该其他应收款已不再属于自初始确认后信用风险显著增加的情形的，本公司在当期资产负债表日按照相当于未来</w:t>
      </w:r>
      <w:r>
        <w:rPr>
          <w:rFonts w:ascii="Times New Roman" w:hAnsi="Times New Roman" w:cs="Times New Roman"/>
          <w:sz w:val="21"/>
          <w:szCs w:val="21"/>
        </w:rPr>
        <w:t>12</w:t>
      </w:r>
      <w:r>
        <w:rPr>
          <w:rFonts w:ascii="Times New Roman" w:hAnsi="Times New Roman" w:cs="Times New Roman"/>
          <w:sz w:val="21"/>
          <w:szCs w:val="21"/>
        </w:rPr>
        <w:t>个月内预期信用损失的金额计量该其他应收款的损失准备，由此形成的损失准备的转回金额作为减值利得计入当期损益。</w:t>
      </w:r>
      <w:r>
        <w:rPr>
          <w:rFonts w:ascii="Times New Roman" w:hAnsi="Times New Roman" w:cs="Times New Roman"/>
          <w:sz w:val="21"/>
          <w:szCs w:val="21"/>
        </w:rPr>
        <w:t xml:space="preserve"> </w:t>
      </w:r>
    </w:p>
    <w:p w:rsidR="00CE3C32" w:rsidRDefault="006413B8">
      <w:pPr>
        <w:pStyle w:val="3"/>
        <w:spacing w:line="280" w:lineRule="exact"/>
        <w:jc w:val="left"/>
        <w:rPr>
          <w:rFonts w:ascii="Times New Roman" w:hAnsi="Times New Roman" w:cs="Times New Roman"/>
          <w:b/>
          <w:bCs/>
        </w:rPr>
      </w:pPr>
      <w:bookmarkStart w:id="127" w:name="_Toc989013"/>
      <w:r>
        <w:rPr>
          <w:rFonts w:ascii="Times New Roman" w:hAnsi="Times New Roman" w:cs="Times New Roman"/>
          <w:b/>
          <w:bCs/>
        </w:rPr>
        <w:t>16</w:t>
      </w:r>
      <w:r>
        <w:rPr>
          <w:rFonts w:ascii="Times New Roman" w:hAnsi="Times New Roman" w:cs="Times New Roman"/>
          <w:b/>
          <w:bCs/>
        </w:rPr>
        <w:t>、合同资产</w:t>
      </w:r>
      <w:bookmarkEnd w:id="127"/>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Style w:val="a7"/>
          <w:rFonts w:ascii="Times New Roman" w:hAnsi="Times New Roman" w:cs="Times New Roman"/>
          <w:sz w:val="21"/>
          <w:szCs w:val="21"/>
        </w:rPr>
        <w:t xml:space="preserve">16.1 </w:t>
      </w:r>
      <w:r>
        <w:rPr>
          <w:rStyle w:val="a7"/>
          <w:rFonts w:ascii="Times New Roman" w:hAnsi="Times New Roman" w:cs="Times New Roman"/>
          <w:sz w:val="21"/>
          <w:szCs w:val="21"/>
        </w:rPr>
        <w:t>合同资产的确认方法及标准</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合同资产，是指本公司已向客户转让商品而有权收取对价的权利，且该权利取决于时间流逝之外的其他因素。本公司已向客户转移商品而拥有的、无条件（仅取决于时间流逝）向客户收取对价的权利作为应收款项列示。同一合同下的合同资产和合同负债以净额列示，不同合同下的合同资产和合同负债不予抵销。</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Style w:val="a7"/>
          <w:rFonts w:ascii="Times New Roman" w:hAnsi="Times New Roman" w:cs="Times New Roman"/>
          <w:sz w:val="21"/>
          <w:szCs w:val="21"/>
        </w:rPr>
        <w:t xml:space="preserve">16.2 </w:t>
      </w:r>
      <w:r>
        <w:rPr>
          <w:rStyle w:val="a7"/>
          <w:rFonts w:ascii="Times New Roman" w:hAnsi="Times New Roman" w:cs="Times New Roman"/>
          <w:sz w:val="21"/>
          <w:szCs w:val="21"/>
        </w:rPr>
        <w:t>合同资产预期信用损失的确定方法及会计处理方法</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本公司对由收入准则规范的交易形成的合同资产（无论是否包含重大融资成分），按照相当于整个存续期内预期信用损失的金额计量损失准备。</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基于单项和组合评估合同资产的预期信用损失。如果有客观证据表明某项合同资产已经发生信用减值，则本公司对该合同资产在单项资产的基础上确定预期信用损失。对于划分为组合的合同资产，本公司参考历史信用损失经验，结合当前状况以及对未来经济状况的预测，通过违约风险敞口和整个存续期预期信用损失率，计算预期信用损失。</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按照信用风险特征组合计提坏账准备的组合类别及确定依据如下：</w:t>
      </w:r>
    </w:p>
    <w:tbl>
      <w:tblPr>
        <w:tblW w:w="5000" w:type="pct"/>
        <w:tblCellMar>
          <w:left w:w="0" w:type="dxa"/>
          <w:right w:w="0" w:type="dxa"/>
        </w:tblCellMar>
        <w:tblLook w:val="04A0" w:firstRow="1" w:lastRow="0" w:firstColumn="1" w:lastColumn="0" w:noHBand="0" w:noVBand="1"/>
      </w:tblPr>
      <w:tblGrid>
        <w:gridCol w:w="3650"/>
        <w:gridCol w:w="6203"/>
      </w:tblGrid>
      <w:tr w:rsidR="00CE3C32">
        <w:trPr>
          <w:trHeight w:val="395"/>
          <w:tblHeader/>
        </w:trPr>
        <w:tc>
          <w:tcPr>
            <w:tcW w:w="1852" w:type="pct"/>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sz w:val="18"/>
                <w:szCs w:val="18"/>
              </w:rPr>
              <w:t>组合名称</w:t>
            </w:r>
          </w:p>
        </w:tc>
        <w:tc>
          <w:tcPr>
            <w:tcW w:w="3148" w:type="pct"/>
            <w:tcBorders>
              <w:top w:val="single" w:sz="8" w:space="0" w:color="auto"/>
              <w:left w:val="nil"/>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sz w:val="18"/>
                <w:szCs w:val="18"/>
              </w:rPr>
              <w:t>确定依据</w:t>
            </w:r>
          </w:p>
        </w:tc>
      </w:tr>
      <w:tr w:rsidR="00CE3C32">
        <w:trPr>
          <w:trHeight w:val="395"/>
        </w:trPr>
        <w:tc>
          <w:tcPr>
            <w:tcW w:w="18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both"/>
              <w:rPr>
                <w:rFonts w:ascii="Times New Roman" w:hAnsi="Times New Roman" w:cs="Times New Roman"/>
                <w:sz w:val="21"/>
                <w:szCs w:val="21"/>
              </w:rPr>
            </w:pPr>
            <w:r>
              <w:rPr>
                <w:rFonts w:ascii="Times New Roman" w:hAnsi="Times New Roman" w:cs="Times New Roman"/>
                <w:sz w:val="18"/>
                <w:szCs w:val="18"/>
              </w:rPr>
              <w:t>合同资产组合</w:t>
            </w:r>
            <w:r>
              <w:rPr>
                <w:rFonts w:ascii="Times New Roman" w:hAnsi="Times New Roman" w:cs="Times New Roman"/>
                <w:sz w:val="18"/>
                <w:szCs w:val="18"/>
              </w:rPr>
              <w:t>1</w:t>
            </w:r>
          </w:p>
        </w:tc>
        <w:tc>
          <w:tcPr>
            <w:tcW w:w="3148"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rPr>
                <w:rFonts w:ascii="Times New Roman" w:hAnsi="Times New Roman" w:cs="Times New Roman"/>
                <w:sz w:val="21"/>
                <w:szCs w:val="21"/>
              </w:rPr>
            </w:pPr>
            <w:r>
              <w:rPr>
                <w:rFonts w:ascii="Times New Roman" w:hAnsi="Times New Roman" w:cs="Times New Roman"/>
                <w:sz w:val="18"/>
                <w:szCs w:val="18"/>
              </w:rPr>
              <w:t>本组合为政府部门、教育医疗单位的应收款项</w:t>
            </w:r>
          </w:p>
        </w:tc>
      </w:tr>
      <w:tr w:rsidR="00CE3C32">
        <w:trPr>
          <w:trHeight w:val="395"/>
        </w:trPr>
        <w:tc>
          <w:tcPr>
            <w:tcW w:w="18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both"/>
              <w:rPr>
                <w:rFonts w:ascii="Times New Roman" w:hAnsi="Times New Roman" w:cs="Times New Roman"/>
                <w:sz w:val="21"/>
                <w:szCs w:val="21"/>
              </w:rPr>
            </w:pPr>
            <w:r>
              <w:rPr>
                <w:rFonts w:ascii="Times New Roman" w:hAnsi="Times New Roman" w:cs="Times New Roman"/>
                <w:sz w:val="18"/>
                <w:szCs w:val="18"/>
              </w:rPr>
              <w:t>合同资产组合</w:t>
            </w:r>
            <w:r>
              <w:rPr>
                <w:rFonts w:ascii="Times New Roman" w:hAnsi="Times New Roman" w:cs="Times New Roman"/>
                <w:sz w:val="18"/>
                <w:szCs w:val="18"/>
              </w:rPr>
              <w:t>2</w:t>
            </w:r>
          </w:p>
        </w:tc>
        <w:tc>
          <w:tcPr>
            <w:tcW w:w="3148"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rPr>
                <w:rFonts w:ascii="Times New Roman" w:hAnsi="Times New Roman" w:cs="Times New Roman"/>
                <w:sz w:val="21"/>
                <w:szCs w:val="21"/>
              </w:rPr>
            </w:pPr>
            <w:r>
              <w:rPr>
                <w:rFonts w:ascii="Times New Roman" w:hAnsi="Times New Roman" w:cs="Times New Roman"/>
                <w:sz w:val="18"/>
                <w:szCs w:val="18"/>
              </w:rPr>
              <w:t>本组合为企业及其他单位的应收款项</w:t>
            </w:r>
          </w:p>
        </w:tc>
      </w:tr>
    </w:tbl>
    <w:p w:rsidR="00CE3C32" w:rsidRDefault="006413B8">
      <w:pPr>
        <w:pStyle w:val="a6"/>
        <w:spacing w:before="120" w:beforeAutospacing="0" w:after="0" w:afterAutospacing="0" w:line="360" w:lineRule="auto"/>
        <w:ind w:firstLine="420"/>
        <w:jc w:val="both"/>
        <w:rPr>
          <w:rFonts w:ascii="Times New Roman" w:hAnsi="Times New Roman" w:cs="Times New Roman"/>
          <w:sz w:val="21"/>
          <w:szCs w:val="21"/>
        </w:rPr>
      </w:pPr>
      <w:r>
        <w:rPr>
          <w:rFonts w:ascii="Times New Roman" w:hAnsi="Times New Roman" w:cs="Times New Roman"/>
          <w:sz w:val="18"/>
          <w:szCs w:val="18"/>
        </w:rPr>
        <w:t>预期信用损失的会计处理方法，信用损失准备的增加或转回金额，作为减值损失或利得计入当期损益。</w:t>
      </w:r>
    </w:p>
    <w:p w:rsidR="00CE3C32" w:rsidRDefault="006413B8">
      <w:pPr>
        <w:pStyle w:val="a6"/>
        <w:spacing w:before="0" w:beforeAutospacing="0" w:after="0" w:afterAutospacing="0" w:line="360" w:lineRule="auto"/>
        <w:ind w:firstLine="420"/>
        <w:jc w:val="both"/>
        <w:rPr>
          <w:rFonts w:ascii="Times New Roman" w:hAnsi="Times New Roman" w:cs="Times New Roman"/>
          <w:sz w:val="21"/>
          <w:szCs w:val="21"/>
        </w:rPr>
      </w:pPr>
      <w:r>
        <w:rPr>
          <w:rFonts w:ascii="Times New Roman" w:hAnsi="Times New Roman" w:cs="Times New Roman"/>
          <w:sz w:val="18"/>
          <w:szCs w:val="18"/>
        </w:rPr>
        <w:t>基于账龄确认信用风险特征组合的账龄计算方法如下：</w:t>
      </w:r>
    </w:p>
    <w:tbl>
      <w:tblPr>
        <w:tblW w:w="5000" w:type="pct"/>
        <w:tblCellMar>
          <w:left w:w="0" w:type="dxa"/>
          <w:right w:w="0" w:type="dxa"/>
        </w:tblCellMar>
        <w:tblLook w:val="04A0" w:firstRow="1" w:lastRow="0" w:firstColumn="1" w:lastColumn="0" w:noHBand="0" w:noVBand="1"/>
      </w:tblPr>
      <w:tblGrid>
        <w:gridCol w:w="3261"/>
        <w:gridCol w:w="3297"/>
        <w:gridCol w:w="3295"/>
      </w:tblGrid>
      <w:tr w:rsidR="00CE3C32">
        <w:trPr>
          <w:trHeight w:val="340"/>
          <w:tblHeader/>
        </w:trPr>
        <w:tc>
          <w:tcPr>
            <w:tcW w:w="1655" w:type="pct"/>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sz w:val="18"/>
                <w:szCs w:val="18"/>
              </w:rPr>
              <w:lastRenderedPageBreak/>
              <w:t>账龄</w:t>
            </w:r>
          </w:p>
        </w:tc>
        <w:tc>
          <w:tcPr>
            <w:tcW w:w="1673" w:type="pct"/>
            <w:tcBorders>
              <w:top w:val="single" w:sz="8" w:space="0" w:color="auto"/>
              <w:left w:val="nil"/>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line="360" w:lineRule="atLeast"/>
              <w:ind w:firstLine="723"/>
              <w:jc w:val="both"/>
              <w:rPr>
                <w:rFonts w:ascii="Times New Roman" w:hAnsi="Times New Roman" w:cs="Times New Roman"/>
                <w:sz w:val="21"/>
                <w:szCs w:val="21"/>
              </w:rPr>
            </w:pPr>
            <w:r>
              <w:rPr>
                <w:rStyle w:val="a7"/>
                <w:rFonts w:ascii="Times New Roman" w:hAnsi="Times New Roman" w:cs="Times New Roman"/>
                <w:sz w:val="18"/>
                <w:szCs w:val="18"/>
              </w:rPr>
              <w:t>合同资产组合</w:t>
            </w:r>
            <w:r>
              <w:rPr>
                <w:rStyle w:val="a7"/>
                <w:rFonts w:ascii="Times New Roman" w:hAnsi="Times New Roman" w:cs="Times New Roman"/>
                <w:sz w:val="18"/>
                <w:szCs w:val="18"/>
              </w:rPr>
              <w:t>1</w:t>
            </w:r>
          </w:p>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sz w:val="18"/>
                <w:szCs w:val="18"/>
              </w:rPr>
              <w:t>预期信用损失率（</w:t>
            </w:r>
            <w:r>
              <w:rPr>
                <w:rStyle w:val="a7"/>
                <w:rFonts w:ascii="Times New Roman" w:hAnsi="Times New Roman" w:cs="Times New Roman"/>
                <w:sz w:val="18"/>
                <w:szCs w:val="18"/>
              </w:rPr>
              <w:t>%</w:t>
            </w:r>
            <w:r>
              <w:rPr>
                <w:rStyle w:val="a7"/>
                <w:rFonts w:ascii="Times New Roman" w:hAnsi="Times New Roman" w:cs="Times New Roman"/>
                <w:sz w:val="18"/>
                <w:szCs w:val="18"/>
              </w:rPr>
              <w:t>）</w:t>
            </w:r>
          </w:p>
        </w:tc>
        <w:tc>
          <w:tcPr>
            <w:tcW w:w="1672" w:type="pct"/>
            <w:tcBorders>
              <w:top w:val="single" w:sz="8" w:space="0" w:color="auto"/>
              <w:left w:val="nil"/>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line="360" w:lineRule="atLeast"/>
              <w:ind w:firstLine="723"/>
              <w:jc w:val="both"/>
              <w:rPr>
                <w:rFonts w:ascii="Times New Roman" w:hAnsi="Times New Roman" w:cs="Times New Roman"/>
                <w:sz w:val="21"/>
                <w:szCs w:val="21"/>
              </w:rPr>
            </w:pPr>
            <w:r>
              <w:rPr>
                <w:rStyle w:val="a7"/>
                <w:rFonts w:ascii="Times New Roman" w:hAnsi="Times New Roman" w:cs="Times New Roman"/>
                <w:sz w:val="18"/>
                <w:szCs w:val="18"/>
              </w:rPr>
              <w:t>合同资产组合</w:t>
            </w:r>
            <w:r>
              <w:rPr>
                <w:rStyle w:val="a7"/>
                <w:rFonts w:ascii="Times New Roman" w:hAnsi="Times New Roman" w:cs="Times New Roman"/>
                <w:sz w:val="18"/>
                <w:szCs w:val="18"/>
              </w:rPr>
              <w:t>2</w:t>
            </w:r>
          </w:p>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sz w:val="18"/>
                <w:szCs w:val="18"/>
              </w:rPr>
              <w:t>预期信用损失率（</w:t>
            </w:r>
            <w:r>
              <w:rPr>
                <w:rStyle w:val="a7"/>
                <w:rFonts w:ascii="Times New Roman" w:hAnsi="Times New Roman" w:cs="Times New Roman"/>
                <w:sz w:val="18"/>
                <w:szCs w:val="18"/>
              </w:rPr>
              <w:t>%</w:t>
            </w:r>
            <w:r>
              <w:rPr>
                <w:rStyle w:val="a7"/>
                <w:rFonts w:ascii="Times New Roman" w:hAnsi="Times New Roman" w:cs="Times New Roman"/>
                <w:sz w:val="18"/>
                <w:szCs w:val="18"/>
              </w:rPr>
              <w:t>）</w:t>
            </w:r>
          </w:p>
        </w:tc>
      </w:tr>
      <w:tr w:rsidR="00CE3C32">
        <w:trPr>
          <w:trHeight w:val="340"/>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rPr>
                <w:rFonts w:ascii="Times New Roman" w:hAnsi="Times New Roman" w:cs="Times New Roman"/>
                <w:sz w:val="21"/>
                <w:szCs w:val="21"/>
              </w:rPr>
            </w:pPr>
            <w:r>
              <w:rPr>
                <w:rFonts w:ascii="Times New Roman" w:hAnsi="Times New Roman" w:cs="Times New Roman"/>
                <w:sz w:val="18"/>
                <w:szCs w:val="18"/>
              </w:rPr>
              <w:t>1</w:t>
            </w:r>
            <w:r>
              <w:rPr>
                <w:rFonts w:ascii="Times New Roman" w:hAnsi="Times New Roman" w:cs="Times New Roman"/>
                <w:sz w:val="18"/>
                <w:szCs w:val="18"/>
              </w:rPr>
              <w:t>年以内（含</w:t>
            </w:r>
            <w:r>
              <w:rPr>
                <w:rFonts w:ascii="Times New Roman" w:hAnsi="Times New Roman" w:cs="Times New Roman"/>
                <w:sz w:val="18"/>
                <w:szCs w:val="18"/>
              </w:rPr>
              <w:t>1</w:t>
            </w:r>
            <w:r>
              <w:rPr>
                <w:rFonts w:ascii="Times New Roman" w:hAnsi="Times New Roman" w:cs="Times New Roman"/>
                <w:sz w:val="18"/>
                <w:szCs w:val="18"/>
              </w:rPr>
              <w:t>年）</w:t>
            </w:r>
          </w:p>
        </w:tc>
        <w:tc>
          <w:tcPr>
            <w:tcW w:w="167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5</w:t>
            </w:r>
          </w:p>
        </w:tc>
        <w:tc>
          <w:tcPr>
            <w:tcW w:w="1672"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5</w:t>
            </w:r>
          </w:p>
        </w:tc>
      </w:tr>
      <w:tr w:rsidR="00CE3C32">
        <w:trPr>
          <w:trHeight w:val="340"/>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rPr>
                <w:rFonts w:ascii="Times New Roman" w:hAnsi="Times New Roman" w:cs="Times New Roman"/>
                <w:sz w:val="21"/>
                <w:szCs w:val="21"/>
              </w:rPr>
            </w:pPr>
            <w:r>
              <w:rPr>
                <w:rFonts w:ascii="Times New Roman" w:hAnsi="Times New Roman" w:cs="Times New Roman"/>
                <w:sz w:val="18"/>
                <w:szCs w:val="18"/>
              </w:rPr>
              <w:t>1-2</w:t>
            </w:r>
            <w:r>
              <w:rPr>
                <w:rFonts w:ascii="Times New Roman" w:hAnsi="Times New Roman" w:cs="Times New Roman"/>
                <w:sz w:val="18"/>
                <w:szCs w:val="18"/>
              </w:rPr>
              <w:t>年</w:t>
            </w:r>
          </w:p>
        </w:tc>
        <w:tc>
          <w:tcPr>
            <w:tcW w:w="167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10</w:t>
            </w:r>
          </w:p>
        </w:tc>
        <w:tc>
          <w:tcPr>
            <w:tcW w:w="1672"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10</w:t>
            </w:r>
          </w:p>
        </w:tc>
      </w:tr>
      <w:tr w:rsidR="00CE3C32">
        <w:trPr>
          <w:trHeight w:val="340"/>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rPr>
                <w:rFonts w:ascii="Times New Roman" w:hAnsi="Times New Roman" w:cs="Times New Roman"/>
                <w:sz w:val="21"/>
                <w:szCs w:val="21"/>
              </w:rPr>
            </w:pPr>
            <w:r>
              <w:rPr>
                <w:rFonts w:ascii="Times New Roman" w:hAnsi="Times New Roman" w:cs="Times New Roman"/>
                <w:sz w:val="18"/>
                <w:szCs w:val="18"/>
              </w:rPr>
              <w:t>2-3</w:t>
            </w:r>
            <w:r>
              <w:rPr>
                <w:rFonts w:ascii="Times New Roman" w:hAnsi="Times New Roman" w:cs="Times New Roman"/>
                <w:sz w:val="18"/>
                <w:szCs w:val="18"/>
              </w:rPr>
              <w:t>年</w:t>
            </w:r>
          </w:p>
        </w:tc>
        <w:tc>
          <w:tcPr>
            <w:tcW w:w="167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30</w:t>
            </w:r>
          </w:p>
        </w:tc>
        <w:tc>
          <w:tcPr>
            <w:tcW w:w="1672"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30</w:t>
            </w:r>
          </w:p>
        </w:tc>
      </w:tr>
      <w:tr w:rsidR="00CE3C32">
        <w:trPr>
          <w:trHeight w:val="340"/>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rPr>
                <w:rFonts w:ascii="Times New Roman" w:hAnsi="Times New Roman" w:cs="Times New Roman"/>
                <w:sz w:val="21"/>
                <w:szCs w:val="21"/>
              </w:rPr>
            </w:pPr>
            <w:r>
              <w:rPr>
                <w:rFonts w:ascii="Times New Roman" w:hAnsi="Times New Roman" w:cs="Times New Roman"/>
                <w:sz w:val="18"/>
                <w:szCs w:val="18"/>
              </w:rPr>
              <w:t>3-4</w:t>
            </w:r>
            <w:r>
              <w:rPr>
                <w:rFonts w:ascii="Times New Roman" w:hAnsi="Times New Roman" w:cs="Times New Roman"/>
                <w:sz w:val="18"/>
                <w:szCs w:val="18"/>
              </w:rPr>
              <w:t>年</w:t>
            </w:r>
          </w:p>
        </w:tc>
        <w:tc>
          <w:tcPr>
            <w:tcW w:w="167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50</w:t>
            </w:r>
          </w:p>
        </w:tc>
        <w:tc>
          <w:tcPr>
            <w:tcW w:w="1672"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50</w:t>
            </w:r>
          </w:p>
        </w:tc>
      </w:tr>
      <w:tr w:rsidR="00CE3C32">
        <w:trPr>
          <w:trHeight w:val="340"/>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rPr>
                <w:rFonts w:ascii="Times New Roman" w:hAnsi="Times New Roman" w:cs="Times New Roman"/>
                <w:sz w:val="21"/>
                <w:szCs w:val="21"/>
              </w:rPr>
            </w:pPr>
            <w:r>
              <w:rPr>
                <w:rFonts w:ascii="Times New Roman" w:hAnsi="Times New Roman" w:cs="Times New Roman"/>
                <w:sz w:val="18"/>
                <w:szCs w:val="18"/>
              </w:rPr>
              <w:t>4-5</w:t>
            </w:r>
            <w:r>
              <w:rPr>
                <w:rFonts w:ascii="Times New Roman" w:hAnsi="Times New Roman" w:cs="Times New Roman"/>
                <w:sz w:val="18"/>
                <w:szCs w:val="18"/>
              </w:rPr>
              <w:t>年</w:t>
            </w:r>
          </w:p>
        </w:tc>
        <w:tc>
          <w:tcPr>
            <w:tcW w:w="167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80</w:t>
            </w:r>
          </w:p>
        </w:tc>
        <w:tc>
          <w:tcPr>
            <w:tcW w:w="1672"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100</w:t>
            </w:r>
          </w:p>
        </w:tc>
      </w:tr>
      <w:tr w:rsidR="00CE3C32">
        <w:trPr>
          <w:trHeight w:val="340"/>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rPr>
                <w:rFonts w:ascii="Times New Roman" w:hAnsi="Times New Roman" w:cs="Times New Roman"/>
                <w:sz w:val="21"/>
                <w:szCs w:val="21"/>
              </w:rPr>
            </w:pPr>
            <w:r>
              <w:rPr>
                <w:rFonts w:ascii="Times New Roman" w:hAnsi="Times New Roman" w:cs="Times New Roman"/>
                <w:sz w:val="18"/>
                <w:szCs w:val="18"/>
              </w:rPr>
              <w:t>5</w:t>
            </w:r>
            <w:r>
              <w:rPr>
                <w:rFonts w:ascii="Times New Roman" w:hAnsi="Times New Roman" w:cs="Times New Roman"/>
                <w:sz w:val="18"/>
                <w:szCs w:val="18"/>
              </w:rPr>
              <w:t>年以上</w:t>
            </w:r>
          </w:p>
        </w:tc>
        <w:tc>
          <w:tcPr>
            <w:tcW w:w="167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100</w:t>
            </w:r>
          </w:p>
        </w:tc>
        <w:tc>
          <w:tcPr>
            <w:tcW w:w="1672"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100</w:t>
            </w:r>
          </w:p>
        </w:tc>
      </w:tr>
    </w:tbl>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对于存在客观证据表明存在减值，以及其他适用于单项评估的合同资产单独进行减值测试，确认预期信用损失，计提单项减值准备。</w:t>
      </w:r>
    </w:p>
    <w:p w:rsidR="00CE3C32" w:rsidRDefault="006413B8">
      <w:pPr>
        <w:pStyle w:val="3"/>
        <w:spacing w:beforeLines="50" w:before="156" w:afterLines="50" w:after="156" w:line="240" w:lineRule="auto"/>
        <w:jc w:val="left"/>
        <w:rPr>
          <w:rFonts w:ascii="Times New Roman" w:hAnsi="Times New Roman" w:cs="Times New Roman"/>
          <w:b/>
          <w:bCs/>
        </w:rPr>
      </w:pPr>
      <w:bookmarkStart w:id="128" w:name="_Toc989014"/>
      <w:r>
        <w:rPr>
          <w:rFonts w:ascii="Times New Roman" w:hAnsi="Times New Roman" w:cs="Times New Roman"/>
          <w:b/>
          <w:bCs/>
        </w:rPr>
        <w:t>17</w:t>
      </w:r>
      <w:r>
        <w:rPr>
          <w:rFonts w:ascii="Times New Roman" w:hAnsi="Times New Roman" w:cs="Times New Roman"/>
          <w:b/>
          <w:bCs/>
        </w:rPr>
        <w:t>、存货</w:t>
      </w:r>
      <w:bookmarkEnd w:id="128"/>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17.1 </w:t>
      </w:r>
      <w:r>
        <w:rPr>
          <w:rStyle w:val="a7"/>
          <w:rFonts w:ascii="Times New Roman" w:hAnsi="Times New Roman" w:cs="Times New Roman"/>
          <w:color w:val="000000"/>
          <w:sz w:val="21"/>
          <w:szCs w:val="21"/>
        </w:rPr>
        <w:t>存货的分类</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存货主要包括原材料、在产品、库存商品、发出商品等。</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17.2 </w:t>
      </w:r>
      <w:r>
        <w:rPr>
          <w:rStyle w:val="a7"/>
          <w:rFonts w:ascii="Times New Roman" w:hAnsi="Times New Roman" w:cs="Times New Roman"/>
          <w:color w:val="000000"/>
          <w:sz w:val="21"/>
          <w:szCs w:val="21"/>
        </w:rPr>
        <w:t>存货取得和发出的计价方法</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存货在取得时按实际成本计价，存货成本包括采购成本、加工成本和其他成本。领用和发出时按加权平均法计价。</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17.3 </w:t>
      </w:r>
      <w:r>
        <w:rPr>
          <w:rStyle w:val="a7"/>
          <w:rFonts w:ascii="Times New Roman" w:hAnsi="Times New Roman" w:cs="Times New Roman"/>
          <w:color w:val="000000"/>
          <w:sz w:val="21"/>
          <w:szCs w:val="21"/>
        </w:rPr>
        <w:t>存货可变现净值的确认和跌价准备的计提方法</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可变现净值是指在日常活动中，存货的估计售价减去至完工时估计将要发生的成本、估计的销售费用以及相关税费后的金额。在确定存货的可变现净值时，以取得的确凿证据为基础，同时考虑持有存货的目的以及资产负债表日后事项的影响。</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在资产负债表日，存货按照成本与可变现净值孰低计量。当其可变现净值低于成本时，提取存货跌价准备。存货跌价准备通常按单个存货项目的成本高于其可变现净值的差额提取。</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的在产品均是按照订单生产，按照订单售价减去销售费用及应缴纳的税费后的金额作为可变现净值，将可变现净值与账面成本进行对比，当其可变现净值低于成本时，提取存货跌价准备。对于原材料、库存商品、发出商品，由于本公司项目建设期一般情况下</w:t>
      </w:r>
      <w:r>
        <w:rPr>
          <w:rFonts w:ascii="Times New Roman" w:hAnsi="Times New Roman" w:cs="Times New Roman"/>
          <w:sz w:val="21"/>
          <w:szCs w:val="21"/>
        </w:rPr>
        <w:t>12</w:t>
      </w:r>
      <w:r>
        <w:rPr>
          <w:rFonts w:ascii="Times New Roman" w:hAnsi="Times New Roman" w:cs="Times New Roman"/>
          <w:sz w:val="21"/>
          <w:szCs w:val="21"/>
        </w:rPr>
        <w:t>个月内可以完成，因此对于库龄超过一年以上的存货计提跌价，计提比例如下：</w:t>
      </w:r>
    </w:p>
    <w:tbl>
      <w:tblPr>
        <w:tblW w:w="5049" w:type="pct"/>
        <w:tblCellMar>
          <w:left w:w="0" w:type="dxa"/>
          <w:right w:w="0" w:type="dxa"/>
        </w:tblCellMar>
        <w:tblLook w:val="04A0" w:firstRow="1" w:lastRow="0" w:firstColumn="1" w:lastColumn="0" w:noHBand="0" w:noVBand="1"/>
      </w:tblPr>
      <w:tblGrid>
        <w:gridCol w:w="3516"/>
        <w:gridCol w:w="6434"/>
      </w:tblGrid>
      <w:tr w:rsidR="00CE3C32">
        <w:trPr>
          <w:trHeight w:val="334"/>
        </w:trPr>
        <w:tc>
          <w:tcPr>
            <w:tcW w:w="1767" w:type="pct"/>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sz w:val="18"/>
                <w:szCs w:val="18"/>
              </w:rPr>
              <w:t>库龄</w:t>
            </w:r>
          </w:p>
        </w:tc>
        <w:tc>
          <w:tcPr>
            <w:tcW w:w="3233" w:type="pct"/>
            <w:tcBorders>
              <w:top w:val="single" w:sz="8" w:space="0" w:color="auto"/>
              <w:left w:val="nil"/>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sz w:val="18"/>
                <w:szCs w:val="18"/>
              </w:rPr>
              <w:t>计提比例</w:t>
            </w:r>
          </w:p>
        </w:tc>
      </w:tr>
      <w:tr w:rsidR="00CE3C32">
        <w:trPr>
          <w:trHeight w:val="334"/>
        </w:trPr>
        <w:tc>
          <w:tcPr>
            <w:tcW w:w="176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1</w:t>
            </w:r>
            <w:r>
              <w:rPr>
                <w:rFonts w:ascii="Times New Roman" w:hAnsi="Times New Roman" w:cs="Times New Roman"/>
                <w:sz w:val="18"/>
                <w:szCs w:val="18"/>
              </w:rPr>
              <w:t>年以内</w:t>
            </w:r>
          </w:p>
        </w:tc>
        <w:tc>
          <w:tcPr>
            <w:tcW w:w="323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right"/>
              <w:rPr>
                <w:rFonts w:ascii="Times New Roman" w:hAnsi="Times New Roman" w:cs="Times New Roman"/>
                <w:sz w:val="21"/>
                <w:szCs w:val="21"/>
              </w:rPr>
            </w:pPr>
            <w:r>
              <w:rPr>
                <w:rFonts w:ascii="Times New Roman" w:hAnsi="Times New Roman" w:cs="Times New Roman"/>
                <w:sz w:val="18"/>
                <w:szCs w:val="18"/>
              </w:rPr>
              <w:t>0%</w:t>
            </w:r>
          </w:p>
        </w:tc>
      </w:tr>
      <w:tr w:rsidR="00CE3C32">
        <w:trPr>
          <w:trHeight w:val="334"/>
        </w:trPr>
        <w:tc>
          <w:tcPr>
            <w:tcW w:w="176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1-2</w:t>
            </w:r>
            <w:r>
              <w:rPr>
                <w:rFonts w:ascii="Times New Roman" w:hAnsi="Times New Roman" w:cs="Times New Roman"/>
                <w:sz w:val="18"/>
                <w:szCs w:val="18"/>
              </w:rPr>
              <w:t>年</w:t>
            </w:r>
          </w:p>
        </w:tc>
        <w:tc>
          <w:tcPr>
            <w:tcW w:w="323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right"/>
              <w:rPr>
                <w:rFonts w:ascii="Times New Roman" w:hAnsi="Times New Roman" w:cs="Times New Roman"/>
                <w:sz w:val="21"/>
                <w:szCs w:val="21"/>
              </w:rPr>
            </w:pPr>
            <w:r>
              <w:rPr>
                <w:rFonts w:ascii="Times New Roman" w:hAnsi="Times New Roman" w:cs="Times New Roman"/>
                <w:sz w:val="18"/>
                <w:szCs w:val="18"/>
              </w:rPr>
              <w:t>5%</w:t>
            </w:r>
          </w:p>
        </w:tc>
      </w:tr>
      <w:tr w:rsidR="00CE3C32">
        <w:trPr>
          <w:trHeight w:val="334"/>
        </w:trPr>
        <w:tc>
          <w:tcPr>
            <w:tcW w:w="176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2-3</w:t>
            </w:r>
            <w:r>
              <w:rPr>
                <w:rFonts w:ascii="Times New Roman" w:hAnsi="Times New Roman" w:cs="Times New Roman"/>
                <w:sz w:val="18"/>
                <w:szCs w:val="18"/>
              </w:rPr>
              <w:t>年</w:t>
            </w:r>
          </w:p>
        </w:tc>
        <w:tc>
          <w:tcPr>
            <w:tcW w:w="323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right"/>
              <w:rPr>
                <w:rFonts w:ascii="Times New Roman" w:hAnsi="Times New Roman" w:cs="Times New Roman"/>
                <w:sz w:val="21"/>
                <w:szCs w:val="21"/>
              </w:rPr>
            </w:pPr>
            <w:r>
              <w:rPr>
                <w:rFonts w:ascii="Times New Roman" w:hAnsi="Times New Roman" w:cs="Times New Roman"/>
                <w:sz w:val="18"/>
                <w:szCs w:val="18"/>
              </w:rPr>
              <w:t>10%</w:t>
            </w:r>
          </w:p>
        </w:tc>
      </w:tr>
      <w:tr w:rsidR="00CE3C32">
        <w:trPr>
          <w:trHeight w:val="334"/>
        </w:trPr>
        <w:tc>
          <w:tcPr>
            <w:tcW w:w="176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center"/>
              <w:rPr>
                <w:rFonts w:ascii="Times New Roman" w:hAnsi="Times New Roman" w:cs="Times New Roman"/>
                <w:sz w:val="21"/>
                <w:szCs w:val="21"/>
              </w:rPr>
            </w:pPr>
            <w:r>
              <w:rPr>
                <w:rFonts w:ascii="Times New Roman" w:hAnsi="Times New Roman" w:cs="Times New Roman"/>
                <w:sz w:val="18"/>
                <w:szCs w:val="18"/>
              </w:rPr>
              <w:t>3-4</w:t>
            </w:r>
            <w:r>
              <w:rPr>
                <w:rFonts w:ascii="Times New Roman" w:hAnsi="Times New Roman" w:cs="Times New Roman"/>
                <w:sz w:val="18"/>
                <w:szCs w:val="18"/>
              </w:rPr>
              <w:t>年</w:t>
            </w:r>
          </w:p>
        </w:tc>
        <w:tc>
          <w:tcPr>
            <w:tcW w:w="323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ind w:firstLine="480"/>
              <w:jc w:val="right"/>
              <w:rPr>
                <w:rFonts w:ascii="Times New Roman" w:hAnsi="Times New Roman" w:cs="Times New Roman"/>
                <w:sz w:val="21"/>
                <w:szCs w:val="21"/>
              </w:rPr>
            </w:pPr>
            <w:r>
              <w:rPr>
                <w:rFonts w:ascii="Times New Roman" w:hAnsi="Times New Roman" w:cs="Times New Roman"/>
                <w:sz w:val="18"/>
                <w:szCs w:val="18"/>
              </w:rPr>
              <w:t>30%</w:t>
            </w:r>
          </w:p>
        </w:tc>
      </w:tr>
    </w:tbl>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计提存货跌价准备后，如果以前减记存货价值的影响因素已经消失，导致存货的可变现净值高于其账面价值的，在原已计提的存货跌价准备金额内予以转回，转回的金额计入当期损益。</w:t>
      </w:r>
    </w:p>
    <w:p w:rsidR="00CE3C32" w:rsidRDefault="006413B8">
      <w:pPr>
        <w:pStyle w:val="a6"/>
        <w:spacing w:beforeLines="50" w:before="156" w:beforeAutospacing="0" w:afterLines="50" w:after="156" w:afterAutospacing="0"/>
        <w:ind w:firstLine="420"/>
        <w:jc w:val="both"/>
        <w:rPr>
          <w:rStyle w:val="a7"/>
          <w:color w:val="000000"/>
        </w:rPr>
      </w:pPr>
      <w:r>
        <w:rPr>
          <w:rStyle w:val="a7"/>
          <w:rFonts w:ascii="Times New Roman" w:hAnsi="Times New Roman" w:cs="Times New Roman"/>
          <w:color w:val="000000"/>
          <w:sz w:val="21"/>
          <w:szCs w:val="21"/>
        </w:rPr>
        <w:t xml:space="preserve">17.4 </w:t>
      </w:r>
      <w:r>
        <w:rPr>
          <w:rStyle w:val="a7"/>
          <w:rFonts w:ascii="Times New Roman" w:hAnsi="Times New Roman" w:cs="Times New Roman"/>
          <w:color w:val="000000"/>
          <w:sz w:val="21"/>
          <w:szCs w:val="21"/>
        </w:rPr>
        <w:t>存货的盘存制度</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本公司存货的盘存制度为永续盘存制。</w:t>
      </w:r>
    </w:p>
    <w:p w:rsidR="00CE3C32" w:rsidRDefault="006413B8">
      <w:pPr>
        <w:pStyle w:val="a6"/>
        <w:spacing w:beforeLines="50" w:before="156" w:beforeAutospacing="0" w:afterLines="50" w:after="156" w:afterAutospacing="0"/>
        <w:ind w:firstLine="420"/>
        <w:jc w:val="both"/>
        <w:rPr>
          <w:rStyle w:val="a7"/>
          <w:color w:val="000000"/>
        </w:rPr>
      </w:pPr>
      <w:r>
        <w:rPr>
          <w:rStyle w:val="a7"/>
          <w:rFonts w:ascii="Times New Roman" w:hAnsi="Times New Roman" w:cs="Times New Roman"/>
          <w:color w:val="000000"/>
          <w:sz w:val="21"/>
          <w:szCs w:val="21"/>
        </w:rPr>
        <w:lastRenderedPageBreak/>
        <w:t xml:space="preserve">17.5 </w:t>
      </w:r>
      <w:r>
        <w:rPr>
          <w:rStyle w:val="a7"/>
          <w:rFonts w:ascii="Times New Roman" w:hAnsi="Times New Roman" w:cs="Times New Roman"/>
          <w:color w:val="000000"/>
          <w:sz w:val="21"/>
          <w:szCs w:val="21"/>
        </w:rPr>
        <w:t>低值易耗品和包装物的摊销方法</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低值易耗品于领用时按一次摊销法摊销；包装物于领用时按一次摊销法摊销。</w:t>
      </w:r>
    </w:p>
    <w:p w:rsidR="00CE3C32" w:rsidRDefault="006413B8">
      <w:pPr>
        <w:pStyle w:val="3"/>
        <w:spacing w:line="280" w:lineRule="exact"/>
        <w:jc w:val="left"/>
        <w:rPr>
          <w:rFonts w:ascii="Times New Roman" w:hAnsi="Times New Roman" w:cs="Times New Roman"/>
          <w:b/>
          <w:bCs/>
        </w:rPr>
      </w:pPr>
      <w:bookmarkStart w:id="129" w:name="_Toc989015"/>
      <w:r>
        <w:rPr>
          <w:rFonts w:ascii="Times New Roman" w:hAnsi="Times New Roman" w:cs="Times New Roman"/>
          <w:b/>
          <w:bCs/>
        </w:rPr>
        <w:t>18</w:t>
      </w:r>
      <w:r>
        <w:rPr>
          <w:rFonts w:ascii="Times New Roman" w:hAnsi="Times New Roman" w:cs="Times New Roman"/>
          <w:b/>
          <w:bCs/>
        </w:rPr>
        <w:t>、持有待售资产</w:t>
      </w:r>
      <w:bookmarkEnd w:id="129"/>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若主要通过出售（包括具有商业实质的非货币性资产交换，下同）而非持续使用一项非流动资产或处置组收回其账面价值的，则将其划分为持有待售类别。具体标准为同时满足以下条件：某项非流动资产或处置组根据类似交易中出售此类资产或处置组的惯例，在当前状况下即可立即出售；本公司已经就出售计划作出决议且获得确定的购买承诺；预计出售将在一年内完成。其中，处置组是指在一项交易中作为整体通过出售或其他方式一并处置的一组资产，以及在该交易中转让的与这些资产直接相关的负债。处置组所属的资产组或资产组组合按照《企业会计准则第</w:t>
      </w:r>
      <w:r>
        <w:rPr>
          <w:rFonts w:ascii="Times New Roman" w:hAnsi="Times New Roman" w:cs="Times New Roman"/>
          <w:sz w:val="21"/>
          <w:szCs w:val="21"/>
        </w:rPr>
        <w:t>8</w:t>
      </w:r>
      <w:r>
        <w:rPr>
          <w:rFonts w:ascii="Times New Roman" w:hAnsi="Times New Roman" w:cs="Times New Roman"/>
          <w:sz w:val="21"/>
          <w:szCs w:val="21"/>
        </w:rPr>
        <w:t>号</w:t>
      </w:r>
      <w:r>
        <w:rPr>
          <w:rFonts w:ascii="Times New Roman" w:hAnsi="Times New Roman" w:cs="Times New Roman"/>
          <w:sz w:val="21"/>
          <w:szCs w:val="21"/>
        </w:rPr>
        <w:t>——</w:t>
      </w:r>
      <w:r>
        <w:rPr>
          <w:rFonts w:ascii="Times New Roman" w:hAnsi="Times New Roman" w:cs="Times New Roman"/>
          <w:sz w:val="21"/>
          <w:szCs w:val="21"/>
        </w:rPr>
        <w:t>资产减值》分摊了企业合并中取得的商誉的，该处置组应当包含分摊至处置组的商誉。</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初始计量或在资产负债表日重新计量划分为持有待售的非流动资产和处置组时，其账面价值高于公允价值减去出售费用后的净额的，将账面价值减记至公允价值减去出售费用后的净额，减记的金额确认为资产减值损失，计入当期损益，同时计提持有待售资产减值准备。对于处置组，所确认的资产减值损失先抵减处置组中商誉的账面价值，再按比例抵减该处置组内适用《企业会计准则第</w:t>
      </w:r>
      <w:r>
        <w:rPr>
          <w:rFonts w:ascii="Times New Roman" w:hAnsi="Times New Roman" w:cs="Times New Roman"/>
          <w:sz w:val="21"/>
          <w:szCs w:val="21"/>
        </w:rPr>
        <w:t>42</w:t>
      </w:r>
      <w:r>
        <w:rPr>
          <w:rFonts w:ascii="Times New Roman" w:hAnsi="Times New Roman" w:cs="Times New Roman"/>
          <w:sz w:val="21"/>
          <w:szCs w:val="21"/>
        </w:rPr>
        <w:t>号</w:t>
      </w:r>
      <w:r>
        <w:rPr>
          <w:rFonts w:ascii="Times New Roman" w:hAnsi="Times New Roman" w:cs="Times New Roman"/>
          <w:sz w:val="21"/>
          <w:szCs w:val="21"/>
        </w:rPr>
        <w:t>——</w:t>
      </w:r>
      <w:r>
        <w:rPr>
          <w:rFonts w:ascii="Times New Roman" w:hAnsi="Times New Roman" w:cs="Times New Roman"/>
          <w:sz w:val="21"/>
          <w:szCs w:val="21"/>
        </w:rPr>
        <w:t>持有待售的非流动资产、处置组和终止经营》（以下简称</w:t>
      </w:r>
      <w:r>
        <w:rPr>
          <w:rFonts w:ascii="Times New Roman" w:hAnsi="Times New Roman" w:cs="Times New Roman"/>
          <w:sz w:val="21"/>
          <w:szCs w:val="21"/>
        </w:rPr>
        <w:t>“</w:t>
      </w:r>
      <w:r>
        <w:rPr>
          <w:rFonts w:ascii="Times New Roman" w:hAnsi="Times New Roman" w:cs="Times New Roman"/>
          <w:sz w:val="21"/>
          <w:szCs w:val="21"/>
        </w:rPr>
        <w:t>持有待售准则</w:t>
      </w:r>
      <w:r>
        <w:rPr>
          <w:rFonts w:ascii="Times New Roman" w:hAnsi="Times New Roman" w:cs="Times New Roman"/>
          <w:sz w:val="21"/>
          <w:szCs w:val="21"/>
        </w:rPr>
        <w:t>”</w:t>
      </w:r>
      <w:r>
        <w:rPr>
          <w:rFonts w:ascii="Times New Roman" w:hAnsi="Times New Roman" w:cs="Times New Roman"/>
          <w:sz w:val="21"/>
          <w:szCs w:val="21"/>
        </w:rPr>
        <w:t>）的计量规定的各项非流动资产的账面价值。后续资产负债表日持有待售的处置组公允价值减去出售费用后的净额增加的，以前减记的金额应当予以恢复，并在划分为持有待售类别后适用持有待售准则计量规定的非流动资产确认的资产减值损失金额内转回，转回金额计入当期损益，并根据处置组中除商誉外适用持有待售准则计量规定的各项非流动资产账面价值所占比重按比例增加其账面价值；已抵减的商誉账面价值，以及适用持有待售准则计量规定的非流动资产在划分为持有待售类别前确认的资产减值损失不得转回。</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持有待售的非流动资产或处置组中的非流动资产不计提折旧或摊销，持有待售的处置组中负债的利息和其他费用继续予以确认。</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非流动资产或处置组不再满足持有待售类别的划分条件时，本公司不再将其继续划分为持有待售类别或将非流动资产从持有待售的处置组中移除，并按照以下两者孰低计量：</w:t>
      </w:r>
      <w:r>
        <w:rPr>
          <w:rFonts w:ascii="Times New Roman" w:hAnsi="Times New Roman" w:cs="Times New Roman" w:hint="eastAsia"/>
          <w:sz w:val="21"/>
          <w:szCs w:val="21"/>
        </w:rPr>
        <w:t>①</w:t>
      </w:r>
      <w:r>
        <w:rPr>
          <w:rFonts w:ascii="Times New Roman" w:hAnsi="Times New Roman" w:cs="Times New Roman"/>
          <w:sz w:val="21"/>
          <w:szCs w:val="21"/>
        </w:rPr>
        <w:t>划分为持有待售类别前的账面价值，按照假定不划分为持有待售类别情况下本应确认的折旧、摊销或减值等进行调整后的金额；</w:t>
      </w:r>
      <w:r>
        <w:rPr>
          <w:rFonts w:ascii="Times New Roman" w:hAnsi="Times New Roman" w:cs="Times New Roman" w:hint="eastAsia"/>
          <w:sz w:val="21"/>
          <w:szCs w:val="21"/>
        </w:rPr>
        <w:t>②</w:t>
      </w:r>
      <w:r>
        <w:rPr>
          <w:rFonts w:ascii="Times New Roman" w:hAnsi="Times New Roman" w:cs="Times New Roman"/>
          <w:sz w:val="21"/>
          <w:szCs w:val="21"/>
        </w:rPr>
        <w:t>可收回金额。</w:t>
      </w:r>
    </w:p>
    <w:p w:rsidR="00CE3C32" w:rsidRDefault="006413B8">
      <w:pPr>
        <w:pStyle w:val="3"/>
        <w:spacing w:line="280" w:lineRule="exact"/>
        <w:jc w:val="left"/>
        <w:rPr>
          <w:rFonts w:ascii="Times New Roman" w:hAnsi="Times New Roman" w:cs="Times New Roman"/>
          <w:b/>
          <w:bCs/>
        </w:rPr>
      </w:pPr>
      <w:bookmarkStart w:id="130" w:name="_Toc989016"/>
      <w:r>
        <w:rPr>
          <w:rFonts w:ascii="Times New Roman" w:hAnsi="Times New Roman" w:cs="Times New Roman"/>
          <w:b/>
          <w:bCs/>
        </w:rPr>
        <w:t>19</w:t>
      </w:r>
      <w:r>
        <w:rPr>
          <w:rFonts w:ascii="Times New Roman" w:hAnsi="Times New Roman" w:cs="Times New Roman"/>
          <w:b/>
          <w:bCs/>
        </w:rPr>
        <w:t>、债权投资</w:t>
      </w:r>
      <w:bookmarkEnd w:id="130"/>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sz w:val="21"/>
          <w:szCs w:val="21"/>
        </w:rPr>
        <w:t>债权投资项目，反映资产负债表日企业以摊余成本计量的长期债权投资的期末账面价值。自资产负债表日起一年内到期的长期债权投资的期末账面价值，</w:t>
      </w:r>
      <w:r>
        <w:rPr>
          <w:rFonts w:asciiTheme="majorEastAsia" w:eastAsiaTheme="majorEastAsia" w:hAnsiTheme="majorEastAsia" w:cs="Times New Roman"/>
          <w:sz w:val="21"/>
          <w:szCs w:val="21"/>
        </w:rPr>
        <w:t>在“一年内到期的非流动资产”项目</w:t>
      </w:r>
      <w:r>
        <w:rPr>
          <w:rFonts w:ascii="Times New Roman" w:hAnsi="Times New Roman" w:cs="Times New Roman"/>
          <w:sz w:val="21"/>
          <w:szCs w:val="21"/>
        </w:rPr>
        <w:t>反映。企业购入的以摊余成本计量的一年内到期的债权投资的期末账面价值，在</w:t>
      </w:r>
      <w:r>
        <w:rPr>
          <w:rFonts w:ascii="Times New Roman" w:hAnsi="Times New Roman" w:cs="Times New Roman"/>
          <w:sz w:val="21"/>
          <w:szCs w:val="21"/>
        </w:rPr>
        <w:t>“</w:t>
      </w:r>
      <w:r>
        <w:rPr>
          <w:rFonts w:ascii="Times New Roman" w:hAnsi="Times New Roman" w:cs="Times New Roman"/>
          <w:sz w:val="21"/>
          <w:szCs w:val="21"/>
        </w:rPr>
        <w:t>其他流动资产</w:t>
      </w:r>
      <w:r>
        <w:rPr>
          <w:rFonts w:ascii="Times New Roman" w:hAnsi="Times New Roman" w:cs="Times New Roman"/>
          <w:sz w:val="21"/>
          <w:szCs w:val="21"/>
        </w:rPr>
        <w:t>”</w:t>
      </w:r>
      <w:r>
        <w:rPr>
          <w:rFonts w:ascii="Times New Roman" w:hAnsi="Times New Roman" w:cs="Times New Roman"/>
          <w:sz w:val="21"/>
          <w:szCs w:val="21"/>
        </w:rPr>
        <w:t>项目反映。</w:t>
      </w:r>
    </w:p>
    <w:p w:rsidR="00CE3C32" w:rsidRDefault="006413B8">
      <w:pPr>
        <w:pStyle w:val="a6"/>
        <w:spacing w:before="50" w:beforeAutospacing="0" w:after="50" w:afterAutospacing="0"/>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19.1 </w:t>
      </w:r>
      <w:r>
        <w:rPr>
          <w:rStyle w:val="a7"/>
          <w:rFonts w:ascii="Times New Roman" w:hAnsi="Times New Roman" w:cs="Times New Roman"/>
          <w:color w:val="000000"/>
          <w:sz w:val="21"/>
          <w:szCs w:val="21"/>
        </w:rPr>
        <w:t>预期信用损失的确定方法</w:t>
      </w:r>
    </w:p>
    <w:p w:rsidR="00CE3C32" w:rsidRDefault="006413B8">
      <w:pPr>
        <w:pStyle w:val="a6"/>
        <w:spacing w:before="50" w:beforeAutospacing="0" w:after="50"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基于单项和组合评估债权投资的预期信用损失。如果有客观证据表明某项债权投资已经发生信用减值，则本公司对该债权投资在单项资产的基础上确定预期信用损失。对于划分为组合的债权投资，本公司依据其信用风险自初始确认后是否已经显著增加，采用相当于未来</w:t>
      </w:r>
      <w:r>
        <w:rPr>
          <w:rFonts w:ascii="Times New Roman" w:hAnsi="Times New Roman" w:cs="Times New Roman"/>
          <w:sz w:val="21"/>
          <w:szCs w:val="21"/>
        </w:rPr>
        <w:t>12</w:t>
      </w:r>
      <w:r>
        <w:rPr>
          <w:rFonts w:ascii="Times New Roman" w:hAnsi="Times New Roman" w:cs="Times New Roman"/>
          <w:sz w:val="21"/>
          <w:szCs w:val="21"/>
        </w:rPr>
        <w:t>个月内或整个存续期的预期信用损失的金额计量减值损失。</w:t>
      </w:r>
    </w:p>
    <w:p w:rsidR="00CE3C32" w:rsidRDefault="006413B8">
      <w:pPr>
        <w:pStyle w:val="a6"/>
        <w:spacing w:before="50" w:beforeAutospacing="0" w:after="50"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本公司在每个资产负债表日评估相关债权投资的信用风险自初始确认后的变动情况。若该债权投资的信用风险自初始确认后已显著增加，本公司按照相当于该债权投资整个存续期内预期信用损失的金额</w:t>
      </w:r>
      <w:r>
        <w:rPr>
          <w:rFonts w:ascii="Times New Roman" w:hAnsi="Times New Roman" w:cs="Times New Roman"/>
          <w:sz w:val="21"/>
          <w:szCs w:val="21"/>
        </w:rPr>
        <w:lastRenderedPageBreak/>
        <w:t>计量其损失准备；若该债权投资的信用风险自初始确认后并未显著增加，本公司按照相当于该债权投资未来</w:t>
      </w:r>
      <w:r>
        <w:rPr>
          <w:rFonts w:ascii="Times New Roman" w:hAnsi="Times New Roman" w:cs="Times New Roman"/>
          <w:sz w:val="21"/>
          <w:szCs w:val="21"/>
        </w:rPr>
        <w:t>12</w:t>
      </w:r>
      <w:r>
        <w:rPr>
          <w:rFonts w:ascii="Times New Roman" w:hAnsi="Times New Roman" w:cs="Times New Roman"/>
          <w:sz w:val="21"/>
          <w:szCs w:val="21"/>
        </w:rPr>
        <w:t>个月内预期信用损失的金额计量其损失准备。</w:t>
      </w:r>
    </w:p>
    <w:p w:rsidR="00CE3C32" w:rsidRDefault="006413B8">
      <w:pPr>
        <w:pStyle w:val="a6"/>
        <w:spacing w:before="50" w:beforeAutospacing="0" w:after="50" w:afterAutospacing="0"/>
        <w:ind w:firstLine="420"/>
        <w:jc w:val="both"/>
        <w:rPr>
          <w:rFonts w:ascii="Times New Roman" w:hAnsi="Times New Roman" w:cs="Times New Roman"/>
          <w:sz w:val="21"/>
          <w:szCs w:val="21"/>
        </w:rPr>
      </w:pPr>
      <w:r>
        <w:rPr>
          <w:rStyle w:val="a7"/>
          <w:rFonts w:ascii="Times New Roman" w:hAnsi="Times New Roman" w:cs="Times New Roman"/>
          <w:sz w:val="21"/>
          <w:szCs w:val="21"/>
        </w:rPr>
        <w:t xml:space="preserve">19.2 </w:t>
      </w:r>
      <w:r>
        <w:rPr>
          <w:rStyle w:val="a7"/>
          <w:rFonts w:ascii="Times New Roman" w:hAnsi="Times New Roman" w:cs="Times New Roman"/>
          <w:sz w:val="21"/>
          <w:szCs w:val="21"/>
        </w:rPr>
        <w:t>预期信用损失的会计处理方法</w:t>
      </w:r>
    </w:p>
    <w:p w:rsidR="00CE3C32" w:rsidRDefault="006413B8">
      <w:pPr>
        <w:pStyle w:val="a6"/>
        <w:spacing w:before="50" w:beforeAutospacing="0" w:after="50" w:afterAutospacing="0"/>
        <w:ind w:firstLine="420"/>
        <w:jc w:val="both"/>
        <w:rPr>
          <w:rFonts w:ascii="Times New Roman" w:hAnsi="Times New Roman" w:cs="Times New Roman"/>
          <w:sz w:val="21"/>
          <w:szCs w:val="21"/>
        </w:rPr>
      </w:pPr>
      <w:r>
        <w:rPr>
          <w:rFonts w:ascii="Times New Roman" w:hAnsi="Times New Roman" w:cs="Times New Roman"/>
          <w:sz w:val="21"/>
          <w:szCs w:val="21"/>
        </w:rPr>
        <w:t>信用损失准备的增加或转回金额，作为减值损失或利得计入当期损益。</w:t>
      </w:r>
    </w:p>
    <w:p w:rsidR="00CE3C32" w:rsidRDefault="006413B8">
      <w:pPr>
        <w:pStyle w:val="a6"/>
        <w:spacing w:before="50" w:beforeAutospacing="0" w:after="50" w:afterAutospacing="0"/>
        <w:ind w:firstLine="420"/>
        <w:jc w:val="both"/>
        <w:rPr>
          <w:rFonts w:ascii="Times New Roman" w:hAnsi="Times New Roman" w:cs="Times New Roman"/>
          <w:sz w:val="21"/>
          <w:szCs w:val="21"/>
        </w:rPr>
      </w:pPr>
      <w:r>
        <w:rPr>
          <w:rFonts w:ascii="Times New Roman" w:hAnsi="Times New Roman" w:cs="Times New Roman"/>
          <w:sz w:val="21"/>
          <w:szCs w:val="21"/>
        </w:rPr>
        <w:t>本公司在前一会计期间已经按照相当于债权投资整个存续期内预期信用损失的金额计量了损失准备，但在当期资产负债表日，该债权投资已不再属于自初始确认后信用风险显著增加的情形的，本公司在当期资产负债表日按照相当于未来</w:t>
      </w:r>
      <w:r>
        <w:rPr>
          <w:rFonts w:ascii="Times New Roman" w:hAnsi="Times New Roman" w:cs="Times New Roman"/>
          <w:sz w:val="21"/>
          <w:szCs w:val="21"/>
        </w:rPr>
        <w:t>12</w:t>
      </w:r>
      <w:r>
        <w:rPr>
          <w:rFonts w:ascii="Times New Roman" w:hAnsi="Times New Roman" w:cs="Times New Roman"/>
          <w:sz w:val="21"/>
          <w:szCs w:val="21"/>
        </w:rPr>
        <w:t>个月内预期信用损失的金额计量该债权投资的损失准备，由此形成的损失准备的转回金额作为减值利得计入当期损益。</w:t>
      </w:r>
    </w:p>
    <w:p w:rsidR="00CE3C32" w:rsidRDefault="006413B8">
      <w:pPr>
        <w:pStyle w:val="3"/>
        <w:spacing w:line="280" w:lineRule="exact"/>
        <w:jc w:val="left"/>
        <w:rPr>
          <w:rFonts w:ascii="Times New Roman" w:hAnsi="Times New Roman" w:cs="Times New Roman"/>
          <w:b/>
          <w:bCs/>
        </w:rPr>
      </w:pPr>
      <w:bookmarkStart w:id="131" w:name="_Toc989017"/>
      <w:r>
        <w:rPr>
          <w:rFonts w:ascii="Times New Roman" w:hAnsi="Times New Roman" w:cs="Times New Roman"/>
          <w:b/>
          <w:bCs/>
        </w:rPr>
        <w:t>20</w:t>
      </w:r>
      <w:r>
        <w:rPr>
          <w:rFonts w:ascii="Times New Roman" w:hAnsi="Times New Roman" w:cs="Times New Roman"/>
          <w:b/>
          <w:bCs/>
        </w:rPr>
        <w:t>、其他债权投资</w:t>
      </w:r>
      <w:bookmarkEnd w:id="131"/>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其他债权投资项目，反映资产负债表日企业分类为以公允价值计量且其变动计入其他综合收益的长期债权投资的期末账面价值。自资产负债表日起一年内到期的长期债权投资的期末账面价值，在</w:t>
      </w:r>
      <w:r>
        <w:rPr>
          <w:rFonts w:ascii="Times New Roman" w:hAnsi="Times New Roman" w:cs="Times New Roman"/>
          <w:color w:val="000000"/>
          <w:sz w:val="21"/>
          <w:szCs w:val="21"/>
        </w:rPr>
        <w:t>“</w:t>
      </w:r>
      <w:r>
        <w:rPr>
          <w:rFonts w:ascii="Times New Roman" w:hAnsi="Times New Roman" w:cs="Times New Roman"/>
          <w:color w:val="000000"/>
          <w:sz w:val="21"/>
          <w:szCs w:val="21"/>
        </w:rPr>
        <w:t>一年内到期的非流动资产</w:t>
      </w:r>
      <w:r>
        <w:rPr>
          <w:rFonts w:ascii="Times New Roman" w:hAnsi="Times New Roman" w:cs="Times New Roman"/>
          <w:color w:val="000000"/>
          <w:sz w:val="21"/>
          <w:szCs w:val="21"/>
        </w:rPr>
        <w:t>”</w:t>
      </w:r>
      <w:r>
        <w:rPr>
          <w:rFonts w:ascii="Times New Roman" w:hAnsi="Times New Roman" w:cs="Times New Roman"/>
          <w:color w:val="000000"/>
          <w:sz w:val="21"/>
          <w:szCs w:val="21"/>
        </w:rPr>
        <w:t>项目反映。企业购入的以公允价值计量且其变动计入其他综合收益的一年内到期的债权投资的期末账面价值，在</w:t>
      </w:r>
      <w:r>
        <w:rPr>
          <w:rFonts w:ascii="Times New Roman" w:hAnsi="Times New Roman" w:cs="Times New Roman"/>
          <w:color w:val="000000"/>
          <w:sz w:val="21"/>
          <w:szCs w:val="21"/>
        </w:rPr>
        <w:t>“</w:t>
      </w:r>
      <w:r>
        <w:rPr>
          <w:rFonts w:ascii="Times New Roman" w:hAnsi="Times New Roman" w:cs="Times New Roman"/>
          <w:color w:val="000000"/>
          <w:sz w:val="21"/>
          <w:szCs w:val="21"/>
        </w:rPr>
        <w:t>其他流动资产</w:t>
      </w:r>
      <w:r>
        <w:rPr>
          <w:rFonts w:ascii="Times New Roman" w:hAnsi="Times New Roman" w:cs="Times New Roman"/>
          <w:color w:val="000000"/>
          <w:sz w:val="21"/>
          <w:szCs w:val="21"/>
        </w:rPr>
        <w:t>”</w:t>
      </w:r>
      <w:r>
        <w:rPr>
          <w:rFonts w:ascii="Times New Roman" w:hAnsi="Times New Roman" w:cs="Times New Roman"/>
          <w:color w:val="000000"/>
          <w:sz w:val="21"/>
          <w:szCs w:val="21"/>
        </w:rPr>
        <w:t>项目反映。</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20.1 </w:t>
      </w:r>
      <w:r>
        <w:rPr>
          <w:rStyle w:val="a7"/>
          <w:rFonts w:ascii="Times New Roman" w:hAnsi="Times New Roman" w:cs="Times New Roman"/>
          <w:color w:val="000000"/>
          <w:sz w:val="21"/>
          <w:szCs w:val="21"/>
        </w:rPr>
        <w:t>预期信用损失的确定方法</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本公司基于单项和组合评估其他债权投资的预期信用损失。如果有客观证据表明某项其他债权投资已经发生信用减值，则本公司对该其他债权投资在单项资产的基础上确定预期信用损失。对于划分为组合的其他债权投资，本公司依据其信用风险自初始确认后是否已经显著增加，采用相当于未来</w:t>
      </w:r>
      <w:r>
        <w:rPr>
          <w:rFonts w:ascii="Times New Roman" w:hAnsi="Times New Roman" w:cs="Times New Roman"/>
          <w:color w:val="000000"/>
          <w:sz w:val="21"/>
          <w:szCs w:val="21"/>
        </w:rPr>
        <w:t>12</w:t>
      </w:r>
      <w:r>
        <w:rPr>
          <w:rFonts w:ascii="Times New Roman" w:hAnsi="Times New Roman" w:cs="Times New Roman"/>
          <w:color w:val="000000"/>
          <w:sz w:val="21"/>
          <w:szCs w:val="21"/>
        </w:rPr>
        <w:t>个月内或整个存续期的预期信用损失的金额计量减值损失。</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本公司在每个资产负债表日评估相关其他债权投资的信用风险自初始确认后的变动情况。若该其他债权投资的信用风险自初始确认后已显著增加，本公司按照相当于该其他债权投资整个存续期内预期信用损失的金额计量其损失准备；若该其他债权投资的信用风险自初始确认后并未显著增加，本公司按照相当于该其他债权投资未来</w:t>
      </w:r>
      <w:r>
        <w:rPr>
          <w:rFonts w:ascii="Times New Roman" w:hAnsi="Times New Roman" w:cs="Times New Roman"/>
          <w:color w:val="000000"/>
          <w:sz w:val="21"/>
          <w:szCs w:val="21"/>
        </w:rPr>
        <w:t>12</w:t>
      </w:r>
      <w:r>
        <w:rPr>
          <w:rFonts w:ascii="Times New Roman" w:hAnsi="Times New Roman" w:cs="Times New Roman"/>
          <w:color w:val="000000"/>
          <w:sz w:val="21"/>
          <w:szCs w:val="21"/>
        </w:rPr>
        <w:t>个月内预期信用损失的金额计量其损失准备。</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Style w:val="a7"/>
          <w:rFonts w:ascii="Times New Roman" w:hAnsi="Times New Roman" w:cs="Times New Roman"/>
          <w:sz w:val="21"/>
          <w:szCs w:val="21"/>
        </w:rPr>
        <w:t xml:space="preserve">20.2 </w:t>
      </w:r>
      <w:r>
        <w:rPr>
          <w:rStyle w:val="a7"/>
          <w:rFonts w:ascii="Times New Roman" w:hAnsi="Times New Roman" w:cs="Times New Roman"/>
          <w:sz w:val="21"/>
          <w:szCs w:val="21"/>
        </w:rPr>
        <w:t>预期信用损失的会计处理方法</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对于分类为以公允价值计量且其变动计入其他综合收益的金融资产，本公司在其他综合收益中确认其信用损失准备，并将减值损失或利得计入当期损益，且不减少该金融资产在资产负债表中列示的账面价值。</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本公司在前一会计期间已经按照相当于其他债权投资整个存续期内预期信用损失的金额计量了损失准备，但在当期资产负债表日，该其他债权投资已不再属于自初始确认后信用风险显著增加的情形的，本公司在当期资产负债表日按照相当于未来</w:t>
      </w:r>
      <w:r>
        <w:rPr>
          <w:rFonts w:ascii="Times New Roman" w:hAnsi="Times New Roman" w:cs="Times New Roman"/>
          <w:color w:val="000000"/>
          <w:sz w:val="21"/>
          <w:szCs w:val="21"/>
        </w:rPr>
        <w:t>12</w:t>
      </w:r>
      <w:r>
        <w:rPr>
          <w:rFonts w:ascii="Times New Roman" w:hAnsi="Times New Roman" w:cs="Times New Roman"/>
          <w:color w:val="000000"/>
          <w:sz w:val="21"/>
          <w:szCs w:val="21"/>
        </w:rPr>
        <w:t>个月内预期信用损失的金额计量该其他债权投资的损失准备，由此形成的损失准备的转回金额作为减值利得计入当期损益。</w:t>
      </w:r>
    </w:p>
    <w:p w:rsidR="00CE3C32" w:rsidRDefault="006413B8">
      <w:pPr>
        <w:pStyle w:val="3"/>
        <w:spacing w:line="280" w:lineRule="exact"/>
        <w:jc w:val="left"/>
        <w:rPr>
          <w:rFonts w:ascii="Times New Roman" w:hAnsi="Times New Roman" w:cs="Times New Roman"/>
          <w:b/>
          <w:bCs/>
        </w:rPr>
      </w:pPr>
      <w:bookmarkStart w:id="132" w:name="_Toc989018"/>
      <w:r>
        <w:rPr>
          <w:rFonts w:ascii="Times New Roman" w:hAnsi="Times New Roman" w:cs="Times New Roman"/>
          <w:b/>
          <w:bCs/>
        </w:rPr>
        <w:t>21</w:t>
      </w:r>
      <w:r>
        <w:rPr>
          <w:rFonts w:ascii="Times New Roman" w:hAnsi="Times New Roman" w:cs="Times New Roman"/>
          <w:b/>
          <w:bCs/>
        </w:rPr>
        <w:t>、长期应收款</w:t>
      </w:r>
      <w:bookmarkEnd w:id="132"/>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长期应收款项目，反映资产负债表日企业的长期应收款项，包括融资租赁产生的应收款项、采用递延方式具有融资性质的销售商品和提供劳务等产生的应收款项等。</w:t>
      </w:r>
    </w:p>
    <w:p w:rsidR="00CE3C32" w:rsidRDefault="006413B8">
      <w:pPr>
        <w:pStyle w:val="a6"/>
        <w:spacing w:before="0" w:beforeAutospacing="0" w:after="0" w:afterAutospacing="0" w:line="360" w:lineRule="auto"/>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21.1 </w:t>
      </w:r>
      <w:r>
        <w:rPr>
          <w:rStyle w:val="a7"/>
          <w:rFonts w:ascii="Times New Roman" w:hAnsi="Times New Roman" w:cs="Times New Roman"/>
          <w:color w:val="000000"/>
          <w:sz w:val="21"/>
          <w:szCs w:val="21"/>
        </w:rPr>
        <w:t>预期信用损失的确定方法</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本公司基于单项和组合评估长期应收款的预期信用损失。如果有客观证据表明某项长期应收款已经发生信用减值，则本公司对该长期应收款在单项资产的基础上确定预期信用损失。划分为组合的长期应</w:t>
      </w:r>
      <w:r>
        <w:rPr>
          <w:rFonts w:ascii="Times New Roman" w:hAnsi="Times New Roman" w:cs="Times New Roman"/>
          <w:color w:val="000000"/>
          <w:sz w:val="21"/>
          <w:szCs w:val="21"/>
        </w:rPr>
        <w:lastRenderedPageBreak/>
        <w:t>收款，对应收租赁款，当公司选择全部按照简化方法计量损失准备时，本公司在每个资产负债表日评估相关长期应收款的信用风险自初始确认后的变动情况。本公司对租赁应收款项，按照相当于整个存续期内预期信用损失的金额计量损失准备；对于应收租赁款以外的其他长期应收款，若该长期应收款的信用风险自初始确认后已显著增加，本公司按照相当于该长期应收款整个存续期内预期信用损失的金额计量其损失准备；若该长期应收款的信用风险自初始确认后并未显著增加，本公司按照相当于该长期应收款未来</w:t>
      </w:r>
      <w:r>
        <w:rPr>
          <w:rFonts w:ascii="Times New Roman" w:hAnsi="Times New Roman" w:cs="Times New Roman"/>
          <w:color w:val="000000"/>
          <w:sz w:val="21"/>
          <w:szCs w:val="21"/>
        </w:rPr>
        <w:t>12</w:t>
      </w:r>
      <w:r>
        <w:rPr>
          <w:rFonts w:ascii="Times New Roman" w:hAnsi="Times New Roman" w:cs="Times New Roman"/>
          <w:color w:val="000000"/>
          <w:sz w:val="21"/>
          <w:szCs w:val="21"/>
        </w:rPr>
        <w:t>个月内预期信用损失的金额计量其损失准备。</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应收租赁款，由《企业会计准则第</w:t>
      </w:r>
      <w:r>
        <w:rPr>
          <w:rFonts w:ascii="Times New Roman" w:hAnsi="Times New Roman" w:cs="Times New Roman"/>
          <w:color w:val="000000"/>
          <w:sz w:val="21"/>
          <w:szCs w:val="21"/>
        </w:rPr>
        <w:t>21</w:t>
      </w:r>
      <w:r>
        <w:rPr>
          <w:rFonts w:ascii="Times New Roman" w:hAnsi="Times New Roman" w:cs="Times New Roman"/>
          <w:color w:val="000000"/>
          <w:sz w:val="21"/>
          <w:szCs w:val="21"/>
        </w:rPr>
        <w:t>号</w:t>
      </w:r>
      <w:r>
        <w:rPr>
          <w:rFonts w:ascii="Times New Roman" w:hAnsi="Times New Roman" w:cs="Times New Roman"/>
          <w:color w:val="000000"/>
          <w:sz w:val="21"/>
          <w:szCs w:val="21"/>
        </w:rPr>
        <w:t>——</w:t>
      </w:r>
      <w:r>
        <w:rPr>
          <w:rFonts w:ascii="Times New Roman" w:hAnsi="Times New Roman" w:cs="Times New Roman"/>
          <w:color w:val="000000"/>
          <w:sz w:val="21"/>
          <w:szCs w:val="21"/>
        </w:rPr>
        <w:t>租赁》规范的交易形成的租赁应收款，同时企业做出会计政策选择，按照相当于整个存续期内预期信用损失的金额计量损失准备。企业应当将该会计政策选择适用于所有租赁应收款，但可对应收融资租赁款和应收经营租赁款分别做出会计政策选择。</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除了单项评估信用风险的长期应收款外，基于其信用风险特征，将其划分为不同组合：</w:t>
      </w:r>
    </w:p>
    <w:tbl>
      <w:tblPr>
        <w:tblW w:w="5000" w:type="pct"/>
        <w:tblCellMar>
          <w:left w:w="0" w:type="dxa"/>
          <w:right w:w="0" w:type="dxa"/>
        </w:tblCellMar>
        <w:tblLook w:val="04A0" w:firstRow="1" w:lastRow="0" w:firstColumn="1" w:lastColumn="0" w:noHBand="0" w:noVBand="1"/>
      </w:tblPr>
      <w:tblGrid>
        <w:gridCol w:w="3892"/>
        <w:gridCol w:w="5961"/>
      </w:tblGrid>
      <w:tr w:rsidR="00CE3C32">
        <w:trPr>
          <w:trHeight w:val="331"/>
        </w:trPr>
        <w:tc>
          <w:tcPr>
            <w:tcW w:w="1975" w:type="pct"/>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sz w:val="18"/>
                <w:szCs w:val="18"/>
              </w:rPr>
              <w:t>组合名称</w:t>
            </w:r>
          </w:p>
        </w:tc>
        <w:tc>
          <w:tcPr>
            <w:tcW w:w="3025" w:type="pct"/>
            <w:tcBorders>
              <w:top w:val="single" w:sz="8" w:space="0" w:color="auto"/>
              <w:left w:val="nil"/>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sz w:val="18"/>
                <w:szCs w:val="18"/>
              </w:rPr>
              <w:t>组合内容</w:t>
            </w:r>
          </w:p>
        </w:tc>
      </w:tr>
      <w:tr w:rsidR="00CE3C32">
        <w:trPr>
          <w:trHeight w:val="331"/>
        </w:trPr>
        <w:tc>
          <w:tcPr>
            <w:tcW w:w="197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rPr>
                <w:rFonts w:ascii="Times New Roman" w:hAnsi="Times New Roman" w:cs="Times New Roman"/>
                <w:sz w:val="21"/>
                <w:szCs w:val="21"/>
              </w:rPr>
            </w:pPr>
            <w:r>
              <w:rPr>
                <w:rFonts w:ascii="Times New Roman" w:hAnsi="Times New Roman" w:cs="Times New Roman"/>
                <w:sz w:val="18"/>
                <w:szCs w:val="18"/>
              </w:rPr>
              <w:t>长期应收款组合</w:t>
            </w:r>
            <w:r>
              <w:rPr>
                <w:rFonts w:ascii="Times New Roman" w:hAnsi="Times New Roman" w:cs="Times New Roman"/>
                <w:sz w:val="18"/>
                <w:szCs w:val="18"/>
              </w:rPr>
              <w:t>1</w:t>
            </w:r>
          </w:p>
        </w:tc>
        <w:tc>
          <w:tcPr>
            <w:tcW w:w="3025"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rPr>
                <w:rFonts w:ascii="Times New Roman" w:hAnsi="Times New Roman" w:cs="Times New Roman"/>
                <w:sz w:val="21"/>
                <w:szCs w:val="21"/>
              </w:rPr>
            </w:pPr>
            <w:r>
              <w:rPr>
                <w:rFonts w:ascii="Times New Roman" w:hAnsi="Times New Roman" w:cs="Times New Roman"/>
                <w:sz w:val="18"/>
                <w:szCs w:val="18"/>
              </w:rPr>
              <w:t>本组合为政府部门、教育医疗单位的应收款项</w:t>
            </w:r>
          </w:p>
        </w:tc>
      </w:tr>
      <w:tr w:rsidR="00CE3C32">
        <w:trPr>
          <w:trHeight w:val="331"/>
        </w:trPr>
        <w:tc>
          <w:tcPr>
            <w:tcW w:w="197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rPr>
                <w:rFonts w:ascii="Times New Roman" w:hAnsi="Times New Roman" w:cs="Times New Roman"/>
                <w:sz w:val="21"/>
                <w:szCs w:val="21"/>
              </w:rPr>
            </w:pPr>
            <w:r>
              <w:rPr>
                <w:rFonts w:ascii="Times New Roman" w:hAnsi="Times New Roman" w:cs="Times New Roman"/>
                <w:sz w:val="18"/>
                <w:szCs w:val="18"/>
              </w:rPr>
              <w:t>长期应收款组合</w:t>
            </w:r>
            <w:r>
              <w:rPr>
                <w:rFonts w:ascii="Times New Roman" w:hAnsi="Times New Roman" w:cs="Times New Roman"/>
                <w:sz w:val="18"/>
                <w:szCs w:val="18"/>
              </w:rPr>
              <w:t>2</w:t>
            </w:r>
          </w:p>
        </w:tc>
        <w:tc>
          <w:tcPr>
            <w:tcW w:w="3025"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rPr>
                <w:rFonts w:ascii="Times New Roman" w:hAnsi="Times New Roman" w:cs="Times New Roman"/>
                <w:sz w:val="21"/>
                <w:szCs w:val="21"/>
              </w:rPr>
            </w:pPr>
            <w:r>
              <w:rPr>
                <w:rFonts w:ascii="Times New Roman" w:hAnsi="Times New Roman" w:cs="Times New Roman"/>
                <w:sz w:val="18"/>
                <w:szCs w:val="18"/>
              </w:rPr>
              <w:t>本组合为企业及其他单位的应收款项</w:t>
            </w:r>
          </w:p>
        </w:tc>
      </w:tr>
    </w:tbl>
    <w:p w:rsidR="00CE3C32" w:rsidRDefault="006413B8">
      <w:pPr>
        <w:pStyle w:val="a6"/>
        <w:spacing w:before="0" w:beforeAutospacing="0" w:after="0" w:afterAutospacing="0" w:line="360" w:lineRule="auto"/>
        <w:ind w:firstLine="420"/>
        <w:jc w:val="both"/>
        <w:rPr>
          <w:rFonts w:ascii="Times New Roman" w:hAnsi="Times New Roman" w:cs="Times New Roman"/>
          <w:sz w:val="21"/>
          <w:szCs w:val="21"/>
        </w:rPr>
      </w:pPr>
      <w:r>
        <w:rPr>
          <w:rStyle w:val="a7"/>
          <w:rFonts w:ascii="Times New Roman" w:hAnsi="Times New Roman" w:cs="Times New Roman"/>
          <w:sz w:val="21"/>
          <w:szCs w:val="21"/>
        </w:rPr>
        <w:t xml:space="preserve">21.2 </w:t>
      </w:r>
      <w:r>
        <w:rPr>
          <w:rStyle w:val="a7"/>
          <w:rFonts w:ascii="Times New Roman" w:hAnsi="Times New Roman" w:cs="Times New Roman"/>
          <w:sz w:val="21"/>
          <w:szCs w:val="21"/>
        </w:rPr>
        <w:t>预期信用损失的会计处理方法</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信用损失准备的增加或转回金额，作为减值损失或利得计入当期损益。对于应收租赁款以外的其他长期应收款，本公司在前一会计期间已经按照相当于长期应收款整个存续期内预期信用损失的金额计量了损失准备，但在当期资产负债表日，该长期应收款已不再属于自初始确认后信用风险显著增加的情形的，本公司在当期资产负债表日按照相当于未来</w:t>
      </w:r>
      <w:r>
        <w:rPr>
          <w:rFonts w:ascii="Times New Roman" w:hAnsi="Times New Roman" w:cs="Times New Roman"/>
          <w:color w:val="000000"/>
          <w:sz w:val="21"/>
          <w:szCs w:val="21"/>
        </w:rPr>
        <w:t>12</w:t>
      </w:r>
      <w:r>
        <w:rPr>
          <w:rFonts w:ascii="Times New Roman" w:hAnsi="Times New Roman" w:cs="Times New Roman"/>
          <w:color w:val="000000"/>
          <w:sz w:val="21"/>
          <w:szCs w:val="21"/>
        </w:rPr>
        <w:t>个月内预期信用损失的金额计量该长期应收款的损失准备，由此形成的损失准备的转回金额作为减值利得计入当期损益。</w:t>
      </w:r>
      <w:r>
        <w:rPr>
          <w:rFonts w:ascii="Times New Roman" w:hAnsi="Times New Roman" w:cs="Times New Roman"/>
          <w:color w:val="000000"/>
          <w:sz w:val="21"/>
          <w:szCs w:val="21"/>
        </w:rPr>
        <w:t xml:space="preserve"> </w:t>
      </w:r>
    </w:p>
    <w:p w:rsidR="00CE3C32" w:rsidRDefault="006413B8">
      <w:pPr>
        <w:pStyle w:val="3"/>
        <w:spacing w:line="280" w:lineRule="exact"/>
        <w:jc w:val="left"/>
        <w:rPr>
          <w:rFonts w:ascii="Times New Roman" w:hAnsi="Times New Roman" w:cs="Times New Roman"/>
          <w:b/>
          <w:bCs/>
        </w:rPr>
      </w:pPr>
      <w:bookmarkStart w:id="133" w:name="_Toc989019"/>
      <w:r>
        <w:rPr>
          <w:rFonts w:ascii="Times New Roman" w:hAnsi="Times New Roman" w:cs="Times New Roman"/>
          <w:b/>
          <w:bCs/>
        </w:rPr>
        <w:t>22</w:t>
      </w:r>
      <w:r>
        <w:rPr>
          <w:rFonts w:ascii="Times New Roman" w:hAnsi="Times New Roman" w:cs="Times New Roman"/>
          <w:b/>
          <w:bCs/>
        </w:rPr>
        <w:t>、长期股权投资</w:t>
      </w:r>
      <w:bookmarkEnd w:id="133"/>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本部分所指的长期股权投资是指本公司对被投资单位具有控制、共同控制或重大影响的长期股权投资。</w:t>
      </w:r>
    </w:p>
    <w:p w:rsidR="00CE3C32" w:rsidRDefault="006413B8">
      <w:pPr>
        <w:pStyle w:val="a6"/>
        <w:spacing w:before="0" w:beforeAutospacing="0" w:after="0" w:afterAutospacing="0" w:line="360" w:lineRule="auto"/>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22.1 </w:t>
      </w:r>
      <w:r>
        <w:rPr>
          <w:rStyle w:val="a7"/>
          <w:rFonts w:ascii="Times New Roman" w:hAnsi="Times New Roman" w:cs="Times New Roman"/>
          <w:color w:val="000000"/>
          <w:sz w:val="21"/>
          <w:szCs w:val="21"/>
        </w:rPr>
        <w:t>共同控制、重大影响的判断标准</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共同控制，是指按照相关约定对某项安排所共有的控制，并且该安排的相关活动必须经过分享控制权的参与方一致同意后才能决策。</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重大影响，是指投资方对被投资单位的财务和经营政策有参与决策的权力，但并不能够控制或者与其他方一起共同控制这些政策的制定。在确定能否对被投资单位施加重大影响时，应当考虑投资方和其他方持有的被投资单位当期可转换公司债券、当期可执行认股权证等潜在表决权因素。投资方能够对被投资单位施加重大影响的，被投资单位为其联营企业。</w:t>
      </w:r>
    </w:p>
    <w:p w:rsidR="00CE3C32" w:rsidRDefault="006413B8">
      <w:pPr>
        <w:pStyle w:val="a6"/>
        <w:spacing w:before="0" w:beforeAutospacing="0" w:after="0" w:afterAutospacing="0" w:line="360" w:lineRule="auto"/>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22.2 </w:t>
      </w:r>
      <w:r>
        <w:rPr>
          <w:rStyle w:val="a7"/>
          <w:rFonts w:ascii="Times New Roman" w:hAnsi="Times New Roman" w:cs="Times New Roman"/>
          <w:color w:val="000000"/>
          <w:sz w:val="21"/>
          <w:szCs w:val="21"/>
        </w:rPr>
        <w:t>投资成本的确定</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对于企业合并取得的长期股权投资，详见本节五、</w:t>
      </w:r>
      <w:r>
        <w:rPr>
          <w:rFonts w:ascii="Times New Roman" w:hAnsi="Times New Roman" w:cs="Times New Roman"/>
          <w:color w:val="000000"/>
          <w:sz w:val="21"/>
          <w:szCs w:val="21"/>
        </w:rPr>
        <w:t xml:space="preserve">“6 </w:t>
      </w:r>
      <w:r>
        <w:rPr>
          <w:rFonts w:ascii="Times New Roman" w:hAnsi="Times New Roman" w:cs="Times New Roman"/>
          <w:color w:val="000000"/>
          <w:sz w:val="21"/>
          <w:szCs w:val="21"/>
        </w:rPr>
        <w:t>同一控制下和非同一控制下企业合并的会计处理方法</w:t>
      </w:r>
      <w:r>
        <w:rPr>
          <w:rFonts w:ascii="Times New Roman" w:hAnsi="Times New Roman" w:cs="Times New Roman"/>
          <w:color w:val="000000"/>
          <w:sz w:val="21"/>
          <w:szCs w:val="21"/>
        </w:rPr>
        <w:t>”</w:t>
      </w:r>
      <w:r>
        <w:rPr>
          <w:rFonts w:ascii="Times New Roman" w:hAnsi="Times New Roman" w:cs="Times New Roman"/>
          <w:color w:val="000000"/>
          <w:sz w:val="21"/>
          <w:szCs w:val="21"/>
        </w:rPr>
        <w:t>。</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除企业合并形成的长期股权投资外的其他股权投资，按成本进行初始计量，该成本视长期股权投资取得方式的不同，分别按照本公司实际支付的现金购买价款、本公司发行的权益性证券的公允价值、投资合同或协议约定的价值、非货币性资产交换交易中换出资产的公允价值或原账面价值、该项长期股权</w:t>
      </w:r>
      <w:r>
        <w:rPr>
          <w:rFonts w:ascii="Times New Roman" w:hAnsi="Times New Roman" w:cs="Times New Roman"/>
          <w:color w:val="000000"/>
          <w:sz w:val="21"/>
          <w:szCs w:val="21"/>
        </w:rPr>
        <w:lastRenderedPageBreak/>
        <w:t>投资自身的公允价值等方式确定。与取得长期股权投资直接相关的费用、税金及其他必要支出也计入投资成本。</w:t>
      </w:r>
    </w:p>
    <w:p w:rsidR="00CE3C32" w:rsidRDefault="006413B8">
      <w:pPr>
        <w:pStyle w:val="a6"/>
        <w:spacing w:before="0" w:beforeAutospacing="0" w:after="0" w:afterAutospacing="0" w:line="360" w:lineRule="auto"/>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22.3 </w:t>
      </w:r>
      <w:r>
        <w:rPr>
          <w:rStyle w:val="a7"/>
          <w:rFonts w:ascii="Times New Roman" w:hAnsi="Times New Roman" w:cs="Times New Roman"/>
          <w:color w:val="000000"/>
          <w:sz w:val="21"/>
          <w:szCs w:val="21"/>
        </w:rPr>
        <w:t>后续计量及损益确认方法</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对被投资单位具有共同控制（构成共同经营者除外）或重大影响的长期股权投资，采用权益法核算。此外，公司财务报表采用成本法核算能够对被投资单位实施控制的长期股权投资。</w:t>
      </w:r>
    </w:p>
    <w:p w:rsidR="00CE3C32" w:rsidRDefault="006413B8">
      <w:pPr>
        <w:pStyle w:val="a6"/>
        <w:spacing w:before="0" w:beforeAutospacing="0" w:after="0" w:afterAutospacing="0" w:line="360" w:lineRule="auto"/>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22.3.1 </w:t>
      </w:r>
      <w:r>
        <w:rPr>
          <w:rStyle w:val="a7"/>
          <w:rFonts w:ascii="Times New Roman" w:hAnsi="Times New Roman" w:cs="Times New Roman"/>
          <w:color w:val="000000"/>
          <w:sz w:val="21"/>
          <w:szCs w:val="21"/>
        </w:rPr>
        <w:t>成本法核算的长期股权投资</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采用成本法核算时，长期股权投资按初始投资成本计价，追加或收回投资调整长期股权投资的成本。除取得投资时实际支付的价款或者对价中包含的已宣告但尚未发放的现金股利或者利润外，当期投资收益按照享有被投资单位宣告发放的现金股利或利润确认。</w:t>
      </w:r>
    </w:p>
    <w:p w:rsidR="00CE3C32" w:rsidRDefault="006413B8">
      <w:pPr>
        <w:pStyle w:val="a6"/>
        <w:spacing w:before="0" w:beforeAutospacing="0" w:after="0" w:afterAutospacing="0" w:line="360" w:lineRule="auto"/>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22.3.2 </w:t>
      </w:r>
      <w:r>
        <w:rPr>
          <w:rStyle w:val="a7"/>
          <w:rFonts w:ascii="Times New Roman" w:hAnsi="Times New Roman" w:cs="Times New Roman"/>
          <w:color w:val="000000"/>
          <w:sz w:val="21"/>
          <w:szCs w:val="21"/>
        </w:rPr>
        <w:t>权益法核算的长期股权投资</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采用权益法核算时，长期股权投资的初始投资成本大于投资时应享有被投资单位可辨认净资产公允价值份额的，不调整长期股权投资的初始投资成本；初始投资成本小于投资时应享有被投资单位可辨认净资产公允价值份额的，其差额计入当期损益，同时调整长期股权投资的成本。</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采用权益法核算时，按照应享有或应分担的被投资单位实现的净损益和其他综合收益的份额，分别确认投资收益和其他综合收益，同时调整长期股权投资的账面价值；按照被投资单位宣告分派的利润或现金股利计算应享有的部分，相应减少长期股权投资的账面价值；对于被投资单位除净损益、其他综合收益和利润分配以外所有者权益的其他变动，调整长期股权投资的账面价值并计入资本公积。在确认应享有被投资单位净损益的份额时，以取得投资时被投资单位各项可辨认资产等的公允价值为基础，对被投资单位的净利润进行调整后确认。被投资单位采用的会计政策及会计期间与本公司不一致的，按照本公司的会计政策及会计期间对被投资单位的财务报表进行调整，并据以确认投资收益和其他综合收益。对于本公司与联营企业及合营企业之间发生的交易，投出或出售的资产不构成业务的，未实现内部交易损益按照享有的比例计算归属于本公司的部分予以抵销，在此基础上确认投资损益。但本公司与被投资单位发生的未实现内部交易损失，属于所转让资产减值损失的，不予以抵销。</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在确认应分担被投资单位发生的净亏损时，以长期股权投资的账面价值和其他实质上构成对被投资单位净投资的长期权益减记至零为限。此外，如本公司对被投资单位负有承担额外损失的义务，则按预计承担的义务确认预计负债，计入当期投资损失。被投资单位以后期间实现净利润的，本公司在收益分享额弥补未确认的亏损分担额后，恢复确认收益分享额。</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对于本公司首次执行新会计准则之前已经持有的对联营企业和合营企业的长期股权投资，如存在与该投资相关的股权投资借方差额，按原剩余期限直线摊销的金额计入当期损益。</w:t>
      </w:r>
    </w:p>
    <w:p w:rsidR="00CE3C32" w:rsidRDefault="006413B8">
      <w:pPr>
        <w:pStyle w:val="a6"/>
        <w:spacing w:before="0" w:beforeAutospacing="0" w:after="0" w:afterAutospacing="0" w:line="360" w:lineRule="auto"/>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22.3.3 </w:t>
      </w:r>
      <w:r>
        <w:rPr>
          <w:rStyle w:val="a7"/>
          <w:rFonts w:ascii="Times New Roman" w:hAnsi="Times New Roman" w:cs="Times New Roman"/>
          <w:color w:val="000000"/>
          <w:sz w:val="21"/>
          <w:szCs w:val="21"/>
        </w:rPr>
        <w:t>处置长期股权投资</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在合并财务报表中，母公司在不丧失控制权的情况下部分处置对子公司的长期股权投资，处置价款与处置长期股权投资相对应享有子公司净资产的差额计入股东权益；母公司部分处置对子公司的长期股权投资导致丧失对子公司控制权的，按本节五、</w:t>
      </w:r>
      <w:r>
        <w:rPr>
          <w:rFonts w:ascii="Times New Roman" w:hAnsi="Times New Roman" w:cs="Times New Roman"/>
          <w:color w:val="000000"/>
          <w:sz w:val="21"/>
          <w:szCs w:val="21"/>
        </w:rPr>
        <w:t xml:space="preserve">“7 </w:t>
      </w:r>
      <w:r>
        <w:rPr>
          <w:rFonts w:ascii="Times New Roman" w:hAnsi="Times New Roman" w:cs="Times New Roman"/>
          <w:color w:val="000000"/>
          <w:sz w:val="21"/>
          <w:szCs w:val="21"/>
        </w:rPr>
        <w:t>合并财务报表编制的方法</w:t>
      </w:r>
      <w:r>
        <w:rPr>
          <w:rFonts w:ascii="Times New Roman" w:hAnsi="Times New Roman" w:cs="Times New Roman"/>
          <w:color w:val="000000"/>
          <w:sz w:val="21"/>
          <w:szCs w:val="21"/>
        </w:rPr>
        <w:t>”</w:t>
      </w:r>
      <w:r>
        <w:rPr>
          <w:rFonts w:ascii="Times New Roman" w:hAnsi="Times New Roman" w:cs="Times New Roman"/>
          <w:color w:val="000000"/>
          <w:sz w:val="21"/>
          <w:szCs w:val="21"/>
        </w:rPr>
        <w:t>中所述的相关会计政策处理。</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其他情形下的长期股权投资处置，对于处置的股权，其账面价值与实际取得价款的差额，计入当期损益。</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lastRenderedPageBreak/>
        <w:t>采用权益法核算的长期股权投资，处置后的剩余股权仍采用权益法核算的，在处置时将原计入股东权益的其他综合收益部分按相应的比例采用与被投资单位直接处置相关资产或负债相同的基础进行会计处理。因被投资方除净损益、其他综合收益和利润分配以外的其他所有者权益变动而确认的所有者权益，按比例结转入当期损益。</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采用成本法核算的长期股权投资，处置后剩余股权仍采用成本法核算的，其在取得对被投资单位的控制之前因采用权益法核算或金融工具确认和计量准则核算而确认的其他综合收益，采用与被投资单位直接处置相关资产或负债相同的基础进行会计处理，并按比例结转当期损益；因采用权益法核算而确认的被投资单位净资产中除净损益、其他综合收益和利润分配以外的其他所有者权益变动按比例结转当期损益。</w:t>
      </w:r>
    </w:p>
    <w:p w:rsidR="00CE3C32" w:rsidRDefault="006413B8">
      <w:pPr>
        <w:pStyle w:val="3"/>
        <w:spacing w:line="280" w:lineRule="exact"/>
        <w:jc w:val="left"/>
        <w:rPr>
          <w:rFonts w:ascii="Times New Roman" w:hAnsi="Times New Roman" w:cs="Times New Roman"/>
          <w:b/>
          <w:bCs/>
        </w:rPr>
      </w:pPr>
      <w:bookmarkStart w:id="134" w:name="_Toc989020"/>
      <w:r>
        <w:rPr>
          <w:rFonts w:ascii="Times New Roman" w:hAnsi="Times New Roman" w:cs="Times New Roman"/>
          <w:b/>
          <w:bCs/>
        </w:rPr>
        <w:t>23</w:t>
      </w:r>
      <w:r>
        <w:rPr>
          <w:rFonts w:ascii="Times New Roman" w:hAnsi="Times New Roman" w:cs="Times New Roman"/>
          <w:b/>
          <w:bCs/>
        </w:rPr>
        <w:t>、投资性房地产</w:t>
      </w:r>
      <w:bookmarkEnd w:id="134"/>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投资性房地产计量模式</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135" w:name="_Toc989021"/>
      <w:r>
        <w:rPr>
          <w:rFonts w:ascii="Times New Roman" w:hAnsi="Times New Roman" w:cs="Times New Roman"/>
          <w:b/>
          <w:bCs/>
        </w:rPr>
        <w:t>24</w:t>
      </w:r>
      <w:r>
        <w:rPr>
          <w:rFonts w:ascii="Times New Roman" w:hAnsi="Times New Roman" w:cs="Times New Roman"/>
          <w:b/>
          <w:bCs/>
        </w:rPr>
        <w:t>、固定资产</w:t>
      </w:r>
      <w:bookmarkEnd w:id="135"/>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36" w:name="_Toc989022"/>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确认条件</w:t>
      </w:r>
      <w:bookmarkEnd w:id="136"/>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固定资产是指为生产商品、提供劳务、出租或经营管理而持有的，使用寿命超过一个会计年度的有形资产。固定资产仅在与其有关的经济利益很可能流入本公司，且其成本能够可靠地计量时才予以确认。固定资产按成本并考虑预计弃置费用因素的影响进行初始计量。</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37" w:name="_Toc989023"/>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折旧方法</w:t>
      </w:r>
      <w:bookmarkEnd w:id="137"/>
    </w:p>
    <w:p w:rsidR="00CE3C32" w:rsidRDefault="00CE3C32">
      <w:pPr>
        <w:spacing w:line="0" w:lineRule="atLeast"/>
        <w:rPr>
          <w:rFonts w:ascii="Times New Roman" w:hAnsi="Times New Roman" w:cs="Times New Roman"/>
        </w:rPr>
      </w:pP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类别</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折旧方法</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折旧年限</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残值率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年折旧率</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房屋建筑物</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20-30</w:t>
            </w:r>
            <w:r>
              <w:rPr>
                <w:rFonts w:ascii="Times New Roman" w:eastAsia="宋体" w:hAnsi="Times New Roman" w:cs="Times New Roman"/>
                <w:sz w:val="18"/>
                <w:szCs w:val="18"/>
              </w:rPr>
              <w:t>年</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3.17%-4.75%</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运输设备</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5-10</w:t>
            </w:r>
            <w:r>
              <w:rPr>
                <w:rFonts w:ascii="Times New Roman" w:eastAsia="宋体" w:hAnsi="Times New Roman" w:cs="Times New Roman"/>
                <w:sz w:val="18"/>
                <w:szCs w:val="18"/>
              </w:rPr>
              <w:t>年</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9.50%-19.00%</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算力设备</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5-10</w:t>
            </w:r>
            <w:r>
              <w:rPr>
                <w:rFonts w:ascii="Times New Roman" w:eastAsia="宋体" w:hAnsi="Times New Roman" w:cs="Times New Roman"/>
                <w:sz w:val="18"/>
                <w:szCs w:val="18"/>
              </w:rPr>
              <w:t>年</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9.50%-19.00%</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新能源设备</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20-30</w:t>
            </w:r>
            <w:r>
              <w:rPr>
                <w:rFonts w:ascii="Times New Roman" w:eastAsia="宋体" w:hAnsi="Times New Roman" w:cs="Times New Roman"/>
                <w:sz w:val="18"/>
                <w:szCs w:val="18"/>
              </w:rPr>
              <w:t>年</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3.17%-4.75%</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电子设备</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年</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19.00%</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办公设备及其他</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年</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19.00%</w:t>
            </w:r>
          </w:p>
        </w:tc>
      </w:tr>
    </w:tbl>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预计净残值是指假定固定资产预计使用寿命已满并处于使用寿命终了时的预期状态，本公司目前从该项资产处置中获得的扣除预计处置费用后的金额。</w:t>
      </w:r>
    </w:p>
    <w:p w:rsidR="00CE3C32" w:rsidRDefault="006413B8">
      <w:pPr>
        <w:pStyle w:val="3"/>
        <w:spacing w:line="280" w:lineRule="exact"/>
        <w:jc w:val="left"/>
        <w:rPr>
          <w:rFonts w:ascii="Times New Roman" w:hAnsi="Times New Roman" w:cs="Times New Roman"/>
          <w:b/>
          <w:bCs/>
        </w:rPr>
      </w:pPr>
      <w:bookmarkStart w:id="138" w:name="_Toc989024"/>
      <w:r>
        <w:rPr>
          <w:rFonts w:ascii="Times New Roman" w:hAnsi="Times New Roman" w:cs="Times New Roman"/>
          <w:b/>
          <w:bCs/>
        </w:rPr>
        <w:t>25</w:t>
      </w:r>
      <w:r>
        <w:rPr>
          <w:rFonts w:ascii="Times New Roman" w:hAnsi="Times New Roman" w:cs="Times New Roman"/>
          <w:b/>
          <w:bCs/>
        </w:rPr>
        <w:t>、在建工程</w:t>
      </w:r>
      <w:bookmarkEnd w:id="138"/>
    </w:p>
    <w:p w:rsidR="00CE3C32" w:rsidRDefault="006413B8">
      <w:pPr>
        <w:pStyle w:val="a6"/>
        <w:spacing w:beforeLines="50" w:before="156" w:beforeAutospacing="0" w:afterLines="50" w:after="156" w:afterAutospacing="0"/>
        <w:ind w:left="1"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25.1 </w:t>
      </w:r>
      <w:r>
        <w:rPr>
          <w:rStyle w:val="a7"/>
          <w:rFonts w:ascii="Times New Roman" w:hAnsi="Times New Roman" w:cs="Times New Roman"/>
          <w:color w:val="000000"/>
          <w:sz w:val="21"/>
          <w:szCs w:val="21"/>
        </w:rPr>
        <w:t>初始计量</w:t>
      </w:r>
    </w:p>
    <w:p w:rsidR="00CE3C32" w:rsidRDefault="006413B8">
      <w:pPr>
        <w:pStyle w:val="a6"/>
        <w:spacing w:beforeLines="50" w:before="156" w:beforeAutospacing="0" w:afterLines="50" w:after="156" w:afterAutospacing="0"/>
        <w:ind w:left="1" w:firstLine="420"/>
        <w:jc w:val="both"/>
        <w:rPr>
          <w:rFonts w:ascii="Times New Roman" w:hAnsi="Times New Roman" w:cs="Times New Roman"/>
          <w:sz w:val="21"/>
          <w:szCs w:val="21"/>
        </w:rPr>
      </w:pPr>
      <w:r>
        <w:rPr>
          <w:rFonts w:ascii="Times New Roman" w:hAnsi="Times New Roman" w:cs="Times New Roman"/>
          <w:color w:val="000000"/>
          <w:sz w:val="21"/>
          <w:szCs w:val="21"/>
        </w:rPr>
        <w:t>本公司自行建造的在建工程按实际成本计价，实际成本由建造该项资产达到预定可使用状态前所发生的必要支出构成，包括工程用物资成本、人工成本、交纳的相关税费、应予资本化的借款费用以及应分摊的间接费用等。</w:t>
      </w:r>
    </w:p>
    <w:p w:rsidR="00CE3C32" w:rsidRDefault="006413B8">
      <w:pPr>
        <w:pStyle w:val="a6"/>
        <w:spacing w:beforeLines="50" w:before="156" w:beforeAutospacing="0" w:afterLines="50" w:after="156" w:afterAutospacing="0"/>
        <w:ind w:left="1"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25.2 </w:t>
      </w:r>
      <w:r>
        <w:rPr>
          <w:rStyle w:val="a7"/>
          <w:rFonts w:ascii="Times New Roman" w:hAnsi="Times New Roman" w:cs="Times New Roman"/>
          <w:color w:val="000000"/>
          <w:sz w:val="21"/>
          <w:szCs w:val="21"/>
        </w:rPr>
        <w:t>结转为固定资产的标准和时点</w:t>
      </w:r>
    </w:p>
    <w:p w:rsidR="00CE3C32" w:rsidRDefault="006413B8">
      <w:pPr>
        <w:pStyle w:val="a6"/>
        <w:spacing w:beforeLines="50" w:before="156" w:beforeAutospacing="0" w:afterLines="50" w:after="156" w:afterAutospacing="0"/>
        <w:ind w:left="1" w:firstLine="420"/>
        <w:jc w:val="both"/>
        <w:rPr>
          <w:rFonts w:ascii="Times New Roman" w:hAnsi="Times New Roman" w:cs="Times New Roman"/>
          <w:sz w:val="21"/>
          <w:szCs w:val="21"/>
        </w:rPr>
      </w:pPr>
      <w:r>
        <w:rPr>
          <w:rFonts w:ascii="Times New Roman" w:hAnsi="Times New Roman" w:cs="Times New Roman"/>
          <w:color w:val="000000"/>
          <w:sz w:val="21"/>
          <w:szCs w:val="21"/>
        </w:rPr>
        <w:lastRenderedPageBreak/>
        <w:t>在建工程项目按建造该项资产达到预定可使用状态前所发生的全部支出，作为固定资产的入账价值。所建造的在建工程已达到预定可使用状态，但尚未办理竣工决算的，自达到预定可使用状态之日起，根据工程预算、造价或者工程实际成本等，按估计的价值转入固定资产，并按本公司固定资产折旧政策计提固定资产的折旧，待办理竣工决算后，再按实际成本调整原来的暂估价值，但不调整原已计提的折旧额。</w:t>
      </w:r>
      <w:r>
        <w:rPr>
          <w:rFonts w:ascii="Times New Roman" w:hAnsi="Times New Roman" w:cs="Times New Roman"/>
          <w:color w:val="000000"/>
          <w:sz w:val="21"/>
          <w:szCs w:val="21"/>
        </w:rPr>
        <w:t xml:space="preserve"> </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在建工程的减值测试方法和减值准备计提方法详见本节五、</w:t>
      </w:r>
      <w:r>
        <w:rPr>
          <w:rFonts w:asciiTheme="minorEastAsia" w:eastAsiaTheme="minorEastAsia" w:hAnsiTheme="minorEastAsia" w:cs="Times New Roman"/>
          <w:color w:val="000000"/>
          <w:sz w:val="21"/>
          <w:szCs w:val="21"/>
        </w:rPr>
        <w:t>“</w:t>
      </w:r>
      <w:r>
        <w:rPr>
          <w:rFonts w:ascii="Times New Roman" w:eastAsiaTheme="minorEastAsia" w:hAnsi="Times New Roman" w:cs="Times New Roman"/>
          <w:color w:val="000000"/>
          <w:sz w:val="21"/>
          <w:szCs w:val="21"/>
        </w:rPr>
        <w:t>28</w:t>
      </w:r>
      <w:r>
        <w:rPr>
          <w:rFonts w:asciiTheme="minorEastAsia" w:eastAsiaTheme="minorEastAsia" w:hAnsiTheme="minorEastAsia" w:cs="Times New Roman"/>
          <w:color w:val="000000"/>
          <w:sz w:val="21"/>
          <w:szCs w:val="21"/>
        </w:rPr>
        <w:t xml:space="preserve"> 长期资产减值”</w:t>
      </w:r>
      <w:r>
        <w:rPr>
          <w:rFonts w:ascii="Times New Roman" w:hAnsi="Times New Roman" w:cs="Times New Roman"/>
          <w:color w:val="000000"/>
          <w:sz w:val="21"/>
          <w:szCs w:val="21"/>
        </w:rPr>
        <w:t>。</w:t>
      </w:r>
    </w:p>
    <w:p w:rsidR="00CE3C32" w:rsidRDefault="006413B8">
      <w:pPr>
        <w:pStyle w:val="3"/>
        <w:spacing w:line="280" w:lineRule="exact"/>
        <w:jc w:val="left"/>
        <w:rPr>
          <w:rFonts w:ascii="Times New Roman" w:hAnsi="Times New Roman" w:cs="Times New Roman"/>
          <w:b/>
          <w:bCs/>
        </w:rPr>
      </w:pPr>
      <w:bookmarkStart w:id="139" w:name="_Toc989025"/>
      <w:r>
        <w:rPr>
          <w:rFonts w:ascii="Times New Roman" w:hAnsi="Times New Roman" w:cs="Times New Roman"/>
          <w:b/>
          <w:bCs/>
        </w:rPr>
        <w:t>26</w:t>
      </w:r>
      <w:r>
        <w:rPr>
          <w:rFonts w:ascii="Times New Roman" w:hAnsi="Times New Roman" w:cs="Times New Roman"/>
          <w:b/>
          <w:bCs/>
        </w:rPr>
        <w:t>、借款费用</w:t>
      </w:r>
      <w:bookmarkEnd w:id="139"/>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26.1 </w:t>
      </w:r>
      <w:r>
        <w:rPr>
          <w:rStyle w:val="a7"/>
          <w:rFonts w:ascii="Times New Roman" w:hAnsi="Times New Roman" w:cs="Times New Roman"/>
          <w:color w:val="000000"/>
          <w:sz w:val="21"/>
          <w:szCs w:val="21"/>
        </w:rPr>
        <w:t>借款费用资本化的确认原则</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公司发生的借款费用，可直接归属于符合资本化条件的资产的购建或者生产的，予以资本化，计入相关资产成本；其他借款费用，在发生时根据其发生额确认为费用，计入当期损益。</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符合资本化条件的资产，是指需要经过相当长时间的购建或者生产活动才能达到预定可使用或者可销售状态的固定资产、投资性房地产和存货等资产。</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借款费用同时满足下列条件时开始资本化：</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w:t>
      </w:r>
      <w:r>
        <w:rPr>
          <w:rFonts w:ascii="Times New Roman" w:hAnsi="Times New Roman" w:cs="Times New Roman"/>
          <w:color w:val="000000"/>
          <w:sz w:val="21"/>
          <w:szCs w:val="21"/>
        </w:rPr>
        <w:t>1</w:t>
      </w:r>
      <w:r>
        <w:rPr>
          <w:rFonts w:ascii="Times New Roman" w:hAnsi="Times New Roman" w:cs="Times New Roman"/>
          <w:color w:val="000000"/>
          <w:sz w:val="21"/>
          <w:szCs w:val="21"/>
        </w:rPr>
        <w:t>）资产支出已经发生，资产支出包括为购建或者生产符合资本化条件的资产而以支付现金、转移非现金资产或者承担带息债务形式发生的支出；</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w:t>
      </w:r>
      <w:r>
        <w:rPr>
          <w:rFonts w:ascii="Times New Roman" w:hAnsi="Times New Roman" w:cs="Times New Roman"/>
          <w:color w:val="000000"/>
          <w:sz w:val="21"/>
          <w:szCs w:val="21"/>
        </w:rPr>
        <w:t>2</w:t>
      </w:r>
      <w:r>
        <w:rPr>
          <w:rFonts w:ascii="Times New Roman" w:hAnsi="Times New Roman" w:cs="Times New Roman"/>
          <w:color w:val="000000"/>
          <w:sz w:val="21"/>
          <w:szCs w:val="21"/>
        </w:rPr>
        <w:t>）借款费用已经发生；</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w:t>
      </w:r>
      <w:r>
        <w:rPr>
          <w:rFonts w:ascii="Times New Roman" w:hAnsi="Times New Roman" w:cs="Times New Roman"/>
          <w:color w:val="000000"/>
          <w:sz w:val="21"/>
          <w:szCs w:val="21"/>
        </w:rPr>
        <w:t>3</w:t>
      </w:r>
      <w:r>
        <w:rPr>
          <w:rFonts w:ascii="Times New Roman" w:hAnsi="Times New Roman" w:cs="Times New Roman"/>
          <w:color w:val="000000"/>
          <w:sz w:val="21"/>
          <w:szCs w:val="21"/>
        </w:rPr>
        <w:t>）为使资产达到预定可使用或者可销售状态所必要的购建或者生产活动已经开始。</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26.2 </w:t>
      </w:r>
      <w:r>
        <w:rPr>
          <w:rStyle w:val="a7"/>
          <w:rFonts w:ascii="Times New Roman" w:hAnsi="Times New Roman" w:cs="Times New Roman"/>
          <w:color w:val="000000"/>
          <w:sz w:val="21"/>
          <w:szCs w:val="21"/>
        </w:rPr>
        <w:t>借款费用资本化期间</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资本化期间，指从借款费用开始资本化时点到停止资本化时点的期间，借款费用暂停资本化的期间不包括在内。</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当购建或者生产符合资本化条件的资产达到预定可使用或者可销售状态时，借款费用停止资本化。</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当购建或者生产符合资本化条件的资产中部分项目分别完工且可单独使用时，该部分资产借款费用停止资本化。</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购建或者生产的资产的各部分分别完工，但必须等到整体完工后才可使用或可对外销售的，在该资产整体完工时停止借款费用资本化。</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26.3 </w:t>
      </w:r>
      <w:r>
        <w:rPr>
          <w:rStyle w:val="a7"/>
          <w:rFonts w:ascii="Times New Roman" w:hAnsi="Times New Roman" w:cs="Times New Roman"/>
          <w:color w:val="000000"/>
          <w:sz w:val="21"/>
          <w:szCs w:val="21"/>
        </w:rPr>
        <w:t>暂停资本化期间</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符合资本化条件的资产在购建或生产过程中发生的非正常中断、且中断时间连续超过</w:t>
      </w:r>
      <w:r>
        <w:rPr>
          <w:rFonts w:ascii="Times New Roman" w:hAnsi="Times New Roman" w:cs="Times New Roman"/>
          <w:color w:val="000000"/>
          <w:sz w:val="21"/>
          <w:szCs w:val="21"/>
        </w:rPr>
        <w:t>3</w:t>
      </w:r>
      <w:r>
        <w:rPr>
          <w:rFonts w:ascii="Times New Roman" w:hAnsi="Times New Roman" w:cs="Times New Roman"/>
          <w:color w:val="000000"/>
          <w:sz w:val="21"/>
          <w:szCs w:val="21"/>
        </w:rPr>
        <w:t>个月的，则借款费用暂停资本化；该项中断如是所购建或生产的符合资本化条件的资产达到预定可使用状态或者可销售状态必要的程序，则借款费用继续资本化。在中断期间发生的借款费用确认为当期损益，直至资产的购建或者生产活动重新开始后借款费用继续资本化。</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26.4 </w:t>
      </w:r>
      <w:r>
        <w:rPr>
          <w:rStyle w:val="a7"/>
          <w:rFonts w:ascii="Times New Roman" w:hAnsi="Times New Roman" w:cs="Times New Roman"/>
          <w:color w:val="000000"/>
          <w:sz w:val="21"/>
          <w:szCs w:val="21"/>
        </w:rPr>
        <w:t>借款费用资本化金额的计算方法</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专门借款的利息费用（扣除尚未动用的借款资金存入银行取得的利息收入或者进行暂时性投资取得的投资收益）及其辅助费用在所购建或者生产的符合资本化条件的资产达到预定可使用或者可销售状态前，予以资本化。</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lastRenderedPageBreak/>
        <w:t>根据累计资产支出超过专门借款部分的资产支出加权平均数乘以所占用一般借款的资本化率，计算确定一般借款应予资本化的利息金额。资本化率根据一般借款加权平均利率计算确定。</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借款存在折价或者溢价的，按照实际利率法确定每一会计期间应摊销的折价或者溢价金额，调整每期利息金额。</w:t>
      </w:r>
    </w:p>
    <w:p w:rsidR="00CE3C32" w:rsidRDefault="006413B8">
      <w:pPr>
        <w:pStyle w:val="3"/>
        <w:spacing w:line="280" w:lineRule="exact"/>
        <w:jc w:val="left"/>
        <w:rPr>
          <w:rFonts w:ascii="Times New Roman" w:hAnsi="Times New Roman" w:cs="Times New Roman"/>
          <w:b/>
          <w:bCs/>
        </w:rPr>
      </w:pPr>
      <w:bookmarkStart w:id="140" w:name="_Toc989026"/>
      <w:r>
        <w:rPr>
          <w:rFonts w:ascii="Times New Roman" w:hAnsi="Times New Roman" w:cs="Times New Roman"/>
          <w:b/>
          <w:bCs/>
        </w:rPr>
        <w:t>27</w:t>
      </w:r>
      <w:r>
        <w:rPr>
          <w:rFonts w:ascii="Times New Roman" w:hAnsi="Times New Roman" w:cs="Times New Roman"/>
          <w:b/>
          <w:bCs/>
        </w:rPr>
        <w:t>、无形资产</w:t>
      </w:r>
      <w:bookmarkEnd w:id="140"/>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41" w:name="_Toc989027"/>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使用寿命及其确定依据、估计情况、摊销方法或复核程序</w:t>
      </w:r>
      <w:bookmarkEnd w:id="141"/>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无形资产是指本公司拥有或者控制的没有实物形态的可辨认非货币性资产。</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无形资产按成本进行初始计量。与无形资产有关的支出，如果相关的经济利益很可能流入本公司且其成本能可靠地计量，则计入无形资产成本。除此以外的其他项目的支出，在发生时计入当期损益。</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取得的土地使用权通常作为无形资产核算。自行开发建造厂房等建筑物，相关的土地使用权支出和建筑物建造成本则分别作为无形资产和固定资产核算。如为外购的房屋及建筑物，则将有关价款在土地使用权和建筑物之间进行分配，难以合理分配的，全部作为固定资产处理。</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使用寿命有限的无形资产自可供使用时起，对其原值减去预计净残值和已计提的减值准备累计金额在其预计使用寿命内采用直线法分期平均摊销。</w:t>
      </w:r>
    </w:p>
    <w:tbl>
      <w:tblPr>
        <w:tblW w:w="5000" w:type="pct"/>
        <w:tblCellMar>
          <w:left w:w="0" w:type="dxa"/>
          <w:right w:w="0" w:type="dxa"/>
        </w:tblCellMar>
        <w:tblLook w:val="04A0" w:firstRow="1" w:lastRow="0" w:firstColumn="1" w:lastColumn="0" w:noHBand="0" w:noVBand="1"/>
      </w:tblPr>
      <w:tblGrid>
        <w:gridCol w:w="4915"/>
        <w:gridCol w:w="4938"/>
      </w:tblGrid>
      <w:tr w:rsidR="00CE3C32">
        <w:trPr>
          <w:trHeight w:val="284"/>
        </w:trPr>
        <w:tc>
          <w:tcPr>
            <w:tcW w:w="2494" w:type="pct"/>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sz w:val="18"/>
                <w:szCs w:val="18"/>
              </w:rPr>
              <w:t>类别</w:t>
            </w:r>
          </w:p>
        </w:tc>
        <w:tc>
          <w:tcPr>
            <w:tcW w:w="2506" w:type="pct"/>
            <w:tcBorders>
              <w:top w:val="single" w:sz="8" w:space="0" w:color="auto"/>
              <w:left w:val="nil"/>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tcPr>
          <w:p w:rsidR="00CE3C32" w:rsidRDefault="006413B8">
            <w:pPr>
              <w:pStyle w:val="a6"/>
              <w:spacing w:before="0" w:beforeAutospacing="0" w:after="0" w:afterAutospacing="0"/>
              <w:ind w:firstLine="482"/>
              <w:jc w:val="center"/>
              <w:rPr>
                <w:rFonts w:ascii="Times New Roman" w:hAnsi="Times New Roman" w:cs="Times New Roman"/>
                <w:sz w:val="21"/>
                <w:szCs w:val="21"/>
              </w:rPr>
            </w:pPr>
            <w:r>
              <w:rPr>
                <w:rStyle w:val="a7"/>
                <w:rFonts w:ascii="Times New Roman" w:hAnsi="Times New Roman" w:cs="Times New Roman"/>
                <w:sz w:val="18"/>
                <w:szCs w:val="18"/>
              </w:rPr>
              <w:t>摊销年限</w:t>
            </w:r>
            <w:r>
              <w:rPr>
                <w:rStyle w:val="a7"/>
                <w:rFonts w:ascii="Times New Roman" w:hAnsi="Times New Roman" w:cs="Times New Roman"/>
                <w:sz w:val="18"/>
                <w:szCs w:val="18"/>
              </w:rPr>
              <w:t>(</w:t>
            </w:r>
            <w:r>
              <w:rPr>
                <w:rStyle w:val="a7"/>
                <w:rFonts w:ascii="Times New Roman" w:hAnsi="Times New Roman" w:cs="Times New Roman"/>
                <w:sz w:val="18"/>
                <w:szCs w:val="18"/>
              </w:rPr>
              <w:t>年</w:t>
            </w:r>
            <w:r>
              <w:rPr>
                <w:rStyle w:val="a7"/>
                <w:rFonts w:ascii="Times New Roman" w:hAnsi="Times New Roman" w:cs="Times New Roman"/>
                <w:sz w:val="18"/>
                <w:szCs w:val="18"/>
              </w:rPr>
              <w:t>)</w:t>
            </w:r>
          </w:p>
        </w:tc>
      </w:tr>
      <w:tr w:rsidR="00CE3C32">
        <w:trPr>
          <w:trHeight w:val="284"/>
        </w:trPr>
        <w:tc>
          <w:tcPr>
            <w:tcW w:w="249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jc w:val="center"/>
              <w:rPr>
                <w:rFonts w:ascii="Times New Roman" w:hAnsi="Times New Roman" w:cs="Times New Roman"/>
                <w:sz w:val="21"/>
                <w:szCs w:val="21"/>
              </w:rPr>
            </w:pPr>
            <w:r>
              <w:rPr>
                <w:rFonts w:ascii="Times New Roman" w:hAnsi="Times New Roman" w:cs="Times New Roman"/>
                <w:sz w:val="18"/>
                <w:szCs w:val="18"/>
              </w:rPr>
              <w:t>非专利技术</w:t>
            </w:r>
          </w:p>
        </w:tc>
        <w:tc>
          <w:tcPr>
            <w:tcW w:w="2506"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jc w:val="center"/>
              <w:rPr>
                <w:rFonts w:ascii="Times New Roman" w:hAnsi="Times New Roman" w:cs="Times New Roman"/>
                <w:sz w:val="21"/>
                <w:szCs w:val="21"/>
              </w:rPr>
            </w:pPr>
            <w:r>
              <w:rPr>
                <w:rFonts w:ascii="Times New Roman" w:hAnsi="Times New Roman" w:cs="Times New Roman"/>
                <w:sz w:val="18"/>
                <w:szCs w:val="18"/>
              </w:rPr>
              <w:t>5</w:t>
            </w:r>
          </w:p>
        </w:tc>
      </w:tr>
      <w:tr w:rsidR="00CE3C32">
        <w:trPr>
          <w:trHeight w:val="284"/>
        </w:trPr>
        <w:tc>
          <w:tcPr>
            <w:tcW w:w="249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jc w:val="center"/>
              <w:rPr>
                <w:rFonts w:ascii="Times New Roman" w:hAnsi="Times New Roman" w:cs="Times New Roman"/>
                <w:sz w:val="21"/>
                <w:szCs w:val="21"/>
              </w:rPr>
            </w:pPr>
            <w:r>
              <w:rPr>
                <w:rFonts w:ascii="Times New Roman" w:hAnsi="Times New Roman" w:cs="Times New Roman"/>
                <w:sz w:val="18"/>
                <w:szCs w:val="18"/>
              </w:rPr>
              <w:t>著作权</w:t>
            </w:r>
          </w:p>
        </w:tc>
        <w:tc>
          <w:tcPr>
            <w:tcW w:w="2506"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jc w:val="center"/>
              <w:rPr>
                <w:rFonts w:ascii="Times New Roman" w:hAnsi="Times New Roman" w:cs="Times New Roman"/>
                <w:sz w:val="21"/>
                <w:szCs w:val="21"/>
              </w:rPr>
            </w:pPr>
            <w:r>
              <w:rPr>
                <w:rFonts w:ascii="Times New Roman" w:hAnsi="Times New Roman" w:cs="Times New Roman"/>
                <w:sz w:val="18"/>
                <w:szCs w:val="18"/>
              </w:rPr>
              <w:t>5</w:t>
            </w:r>
          </w:p>
        </w:tc>
      </w:tr>
      <w:tr w:rsidR="00CE3C32">
        <w:trPr>
          <w:trHeight w:val="284"/>
        </w:trPr>
        <w:tc>
          <w:tcPr>
            <w:tcW w:w="249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jc w:val="center"/>
              <w:rPr>
                <w:rFonts w:ascii="Times New Roman" w:hAnsi="Times New Roman" w:cs="Times New Roman"/>
                <w:sz w:val="21"/>
                <w:szCs w:val="21"/>
              </w:rPr>
            </w:pPr>
            <w:r>
              <w:rPr>
                <w:rFonts w:ascii="Times New Roman" w:hAnsi="Times New Roman" w:cs="Times New Roman"/>
                <w:sz w:val="18"/>
                <w:szCs w:val="18"/>
              </w:rPr>
              <w:t>软件</w:t>
            </w:r>
          </w:p>
        </w:tc>
        <w:tc>
          <w:tcPr>
            <w:tcW w:w="2506"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jc w:val="center"/>
              <w:rPr>
                <w:rFonts w:ascii="Times New Roman" w:hAnsi="Times New Roman" w:cs="Times New Roman"/>
                <w:sz w:val="21"/>
                <w:szCs w:val="21"/>
              </w:rPr>
            </w:pPr>
            <w:r>
              <w:rPr>
                <w:rFonts w:ascii="Times New Roman" w:hAnsi="Times New Roman" w:cs="Times New Roman"/>
                <w:sz w:val="18"/>
                <w:szCs w:val="18"/>
              </w:rPr>
              <w:t>5</w:t>
            </w:r>
          </w:p>
        </w:tc>
      </w:tr>
    </w:tbl>
    <w:p w:rsidR="00CE3C32" w:rsidRDefault="006413B8">
      <w:pPr>
        <w:pStyle w:val="a6"/>
        <w:spacing w:before="120" w:beforeAutospacing="0" w:after="0" w:afterAutospacing="0" w:line="360" w:lineRule="auto"/>
        <w:ind w:firstLine="420"/>
        <w:jc w:val="both"/>
        <w:rPr>
          <w:rFonts w:ascii="Times New Roman" w:hAnsi="Times New Roman" w:cs="Times New Roman"/>
          <w:sz w:val="21"/>
          <w:szCs w:val="21"/>
        </w:rPr>
      </w:pPr>
      <w:r>
        <w:rPr>
          <w:rFonts w:ascii="Times New Roman" w:hAnsi="Times New Roman" w:cs="Times New Roman"/>
          <w:sz w:val="18"/>
          <w:szCs w:val="18"/>
        </w:rPr>
        <w:t>使用寿命不确定的无形资产不予摊销。</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期末，对使用寿命有限的无形资产的使用寿命和摊销方法进行复核，如发生变更则作为会计估计变更处理。此外，还对使用寿命不确定的无形资产的使用寿命进行复核，如果有证据表明该无形资产为企业带来经济利益的期限是可预见的，则估计其使用寿命并按照使用寿命有限的无形资产的摊销政策进行摊销。</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42" w:name="_Toc989028"/>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研发支出的归集范围及相关会计处理方法</w:t>
      </w:r>
      <w:bookmarkEnd w:id="142"/>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本公司内部研究开发项目的支出分为研究阶段支出与开发阶段支出。</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研究阶段的支出，于发生时计入当期损益。</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开发阶段的支出同时满足下列条件的，确认为无形资产，不能满足下述条件的开发阶段的支出计入当期损益：</w:t>
      </w:r>
      <w:r>
        <w:rPr>
          <w:rFonts w:ascii="Times New Roman" w:hAnsi="Times New Roman" w:cs="Times New Roman" w:hint="eastAsia"/>
          <w:color w:val="000000"/>
          <w:sz w:val="21"/>
          <w:szCs w:val="21"/>
        </w:rPr>
        <w:t>①</w:t>
      </w:r>
      <w:r>
        <w:rPr>
          <w:rFonts w:ascii="Times New Roman" w:hAnsi="Times New Roman" w:cs="Times New Roman"/>
          <w:color w:val="000000"/>
          <w:sz w:val="21"/>
          <w:szCs w:val="21"/>
        </w:rPr>
        <w:t>完成该无形资产以使其能够使用或出售在技术上具有可行性；</w:t>
      </w:r>
      <w:r>
        <w:rPr>
          <w:rFonts w:ascii="Times New Roman" w:hAnsi="Times New Roman" w:cs="Times New Roman" w:hint="eastAsia"/>
          <w:color w:val="000000"/>
          <w:sz w:val="21"/>
          <w:szCs w:val="21"/>
        </w:rPr>
        <w:t>②</w:t>
      </w:r>
      <w:r>
        <w:rPr>
          <w:rFonts w:ascii="Times New Roman" w:hAnsi="Times New Roman" w:cs="Times New Roman"/>
          <w:color w:val="000000"/>
          <w:sz w:val="21"/>
          <w:szCs w:val="21"/>
        </w:rPr>
        <w:t>具有完成该无形资产并使用或出售的意图；</w:t>
      </w:r>
      <w:r>
        <w:rPr>
          <w:rFonts w:ascii="Times New Roman" w:hAnsi="Times New Roman" w:cs="Times New Roman" w:hint="eastAsia"/>
          <w:color w:val="000000"/>
          <w:sz w:val="21"/>
          <w:szCs w:val="21"/>
        </w:rPr>
        <w:t>③</w:t>
      </w:r>
      <w:r>
        <w:rPr>
          <w:rFonts w:ascii="Times New Roman" w:hAnsi="Times New Roman" w:cs="Times New Roman"/>
          <w:color w:val="000000"/>
          <w:sz w:val="21"/>
          <w:szCs w:val="21"/>
        </w:rPr>
        <w:t>无形资产产生经济利益的方式，包括能够证明运用该无形资产生产的产品存在市场或无形资产自身存在市场，无形资产将在内部使用的，能够证明其有用性；</w:t>
      </w:r>
      <w:r>
        <w:rPr>
          <w:rFonts w:ascii="Times New Roman" w:hAnsi="Times New Roman" w:cs="Times New Roman" w:hint="eastAsia"/>
          <w:color w:val="000000"/>
          <w:sz w:val="21"/>
          <w:szCs w:val="21"/>
        </w:rPr>
        <w:t>④</w:t>
      </w:r>
      <w:r>
        <w:rPr>
          <w:rFonts w:ascii="Times New Roman" w:hAnsi="Times New Roman" w:cs="Times New Roman"/>
          <w:color w:val="000000"/>
          <w:sz w:val="21"/>
          <w:szCs w:val="21"/>
        </w:rPr>
        <w:t>有足够的技术、财务资源和其他资源支持，以完成该无形资产的开发，并有能力使用或出售该无形资产；</w:t>
      </w:r>
      <w:r>
        <w:rPr>
          <w:rFonts w:ascii="Times New Roman" w:hAnsi="Times New Roman" w:cs="Times New Roman" w:hint="eastAsia"/>
          <w:color w:val="000000"/>
          <w:sz w:val="21"/>
          <w:szCs w:val="21"/>
        </w:rPr>
        <w:t>⑤</w:t>
      </w:r>
      <w:r>
        <w:rPr>
          <w:rFonts w:ascii="Times New Roman" w:hAnsi="Times New Roman" w:cs="Times New Roman"/>
          <w:color w:val="000000"/>
          <w:sz w:val="21"/>
          <w:szCs w:val="21"/>
        </w:rPr>
        <w:t>归属于该无形资产开发阶段的支出能够可靠地计量。</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无法区分研究阶段支出和开发阶段支出的，将发生的研发支出全部计入当期损益。</w:t>
      </w:r>
    </w:p>
    <w:p w:rsidR="00CE3C32" w:rsidRDefault="006413B8">
      <w:pPr>
        <w:pStyle w:val="3"/>
        <w:spacing w:line="280" w:lineRule="exact"/>
        <w:jc w:val="left"/>
        <w:rPr>
          <w:rFonts w:ascii="Times New Roman" w:hAnsi="Times New Roman" w:cs="Times New Roman"/>
          <w:b/>
          <w:bCs/>
        </w:rPr>
      </w:pPr>
      <w:bookmarkStart w:id="143" w:name="_Toc989029"/>
      <w:r>
        <w:rPr>
          <w:rFonts w:ascii="Times New Roman" w:hAnsi="Times New Roman" w:cs="Times New Roman"/>
          <w:b/>
          <w:bCs/>
        </w:rPr>
        <w:lastRenderedPageBreak/>
        <w:t>28</w:t>
      </w:r>
      <w:r>
        <w:rPr>
          <w:rFonts w:ascii="Times New Roman" w:hAnsi="Times New Roman" w:cs="Times New Roman"/>
          <w:b/>
          <w:bCs/>
        </w:rPr>
        <w:t>、长期资产减值</w:t>
      </w:r>
      <w:bookmarkEnd w:id="143"/>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对于固定资产、在建工程、使用寿命有限的无形资产及对子公司、合营企业、联营企业的长期股权投资等非流动非金融资产，本公司于资产负债表日判断是否存在减值迹象。如存在减值迹象的，则估计其可收回金额，进行减值测试。商誉、使用寿命不确定的无形资产和尚未达到可使用状态的无形资产，无论是否存在减值迹象，每年均进行减值测试。</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减值测试结果表明资产的可收回金额低于其账面价值的，按其差额计提减值准备并计入减值损失。可收回金额为资产的公允价值减去处置费用后的净额与资产预计未来现金流量的现值两者之间的较高者。资产的公允价值根据公平交易中销售协议价格确定；不存在销售协议但存在资产活跃市场的，公允价值按照该资产的买方出价确定；不存在销售协议和资产活跃市场的，则以可获取的最佳信息为基础估计资产的公允价值。处置费用包括与资产处置有关的法律费用、相关税费、搬运费以及为使资产达到可销售状态所发生的直接费用。资产预计未来现金流量的现值，按照资产在持续使用过程中和最终处置时所产生的预计未来现金流量，选择恰当的折现率对其进行折现后的金额加以确定。资产减值准备按单项资产为基础计算并确认，如果难以对单项资产的可收回金额进行估计的，以该资产所属的资产组确定资产组的可收回金额。资产组是能够独立产生现金流入的最小资产组合。</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在财务报表中单独列示的商誉，在进行减值测试时，将商誉的账面价值分摊至预期从企业合并的协同效应中受益的资产组或资产组组合。测试结果表明包含分摊的商誉的资产组或资产组组合的可收回金额低于其账面价值的，确认相应的减值损失。减值损失金额先抵减分摊至该资产组或资产组组合的商誉的账面价值，再根据资产组或资产组组合中除商誉以外的其他各项资产的账面价值所占比重，按比例抵减其他各项资产的账面价值。</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上述资产减值损失一经确认，以后期间不予转回价值得以恢复的部分。</w:t>
      </w:r>
    </w:p>
    <w:p w:rsidR="00CE3C32" w:rsidRDefault="006413B8">
      <w:pPr>
        <w:pStyle w:val="3"/>
        <w:spacing w:line="280" w:lineRule="exact"/>
        <w:jc w:val="left"/>
        <w:rPr>
          <w:rFonts w:ascii="Times New Roman" w:hAnsi="Times New Roman" w:cs="Times New Roman"/>
          <w:b/>
          <w:bCs/>
        </w:rPr>
      </w:pPr>
      <w:bookmarkStart w:id="144" w:name="_Toc989030"/>
      <w:r>
        <w:rPr>
          <w:rFonts w:ascii="Times New Roman" w:hAnsi="Times New Roman" w:cs="Times New Roman"/>
          <w:b/>
          <w:bCs/>
        </w:rPr>
        <w:t>29</w:t>
      </w:r>
      <w:r>
        <w:rPr>
          <w:rFonts w:ascii="Times New Roman" w:hAnsi="Times New Roman" w:cs="Times New Roman"/>
          <w:b/>
          <w:bCs/>
        </w:rPr>
        <w:t>、长期待摊费用</w:t>
      </w:r>
      <w:bookmarkEnd w:id="144"/>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长期待摊费用为已经发生但应由报告期和以后各期负担的分摊期限在一年以上的各项费用。长期待摊费用在预计受益期间按直线法摊销。</w:t>
      </w:r>
    </w:p>
    <w:p w:rsidR="00CE3C32" w:rsidRDefault="006413B8">
      <w:pPr>
        <w:pStyle w:val="3"/>
        <w:spacing w:line="280" w:lineRule="exact"/>
        <w:jc w:val="left"/>
        <w:rPr>
          <w:rFonts w:ascii="Times New Roman" w:hAnsi="Times New Roman" w:cs="Times New Roman"/>
          <w:b/>
          <w:bCs/>
        </w:rPr>
      </w:pPr>
      <w:bookmarkStart w:id="145" w:name="_Toc989031"/>
      <w:r>
        <w:rPr>
          <w:rFonts w:ascii="Times New Roman" w:hAnsi="Times New Roman" w:cs="Times New Roman"/>
          <w:b/>
          <w:bCs/>
        </w:rPr>
        <w:t>30</w:t>
      </w:r>
      <w:r>
        <w:rPr>
          <w:rFonts w:ascii="Times New Roman" w:hAnsi="Times New Roman" w:cs="Times New Roman"/>
          <w:b/>
          <w:bCs/>
        </w:rPr>
        <w:t>、合同负债</w:t>
      </w:r>
      <w:bookmarkEnd w:id="145"/>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合同负债，是指本公司已收或应收客户对价而应向客户转让商品的义务。如果在本公司向客户转让商品之前，客户已经支付了合同对价或本公司已经取得了无条件收款权，本公司在客户实际支付款项和到期应支付款项孰早时点，将该已收或应收款项列示为合同负债。同一合同下的合同资产和合同负债以净额列示，不同合同下的合同资产和合同负债不予抵销。</w:t>
      </w:r>
    </w:p>
    <w:p w:rsidR="00CE3C32" w:rsidRDefault="006413B8">
      <w:pPr>
        <w:pStyle w:val="3"/>
        <w:spacing w:line="280" w:lineRule="exact"/>
        <w:jc w:val="left"/>
        <w:rPr>
          <w:rFonts w:ascii="Times New Roman" w:hAnsi="Times New Roman" w:cs="Times New Roman"/>
          <w:b/>
          <w:bCs/>
        </w:rPr>
      </w:pPr>
      <w:bookmarkStart w:id="146" w:name="_Toc989032"/>
      <w:r>
        <w:rPr>
          <w:rFonts w:ascii="Times New Roman" w:hAnsi="Times New Roman" w:cs="Times New Roman"/>
          <w:b/>
          <w:bCs/>
        </w:rPr>
        <w:t>31</w:t>
      </w:r>
      <w:r>
        <w:rPr>
          <w:rFonts w:ascii="Times New Roman" w:hAnsi="Times New Roman" w:cs="Times New Roman"/>
          <w:b/>
          <w:bCs/>
        </w:rPr>
        <w:t>、职工薪酬</w:t>
      </w:r>
      <w:bookmarkEnd w:id="146"/>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47" w:name="_Toc989033"/>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短期薪酬的会计处理方法</w:t>
      </w:r>
      <w:bookmarkEnd w:id="147"/>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短期薪酬主要包括工资、奖金、津贴和补贴、职工福利费、医疗保险费、生育保险费、工伤保险费、住房公积金、工会经费和职工教育经费、非货币性福利等。本公司在职工为本公司提供服务的会计期间将实际发生的短期职工薪酬确认为负债，并计入当期损益或相关资产成本。其中非货币性福利按公允价值计量。</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48" w:name="_Toc989034"/>
      <w:r>
        <w:rPr>
          <w:rFonts w:ascii="Times New Roman" w:eastAsia="宋体" w:hAnsi="Times New Roman" w:cs="Times New Roman"/>
          <w:b/>
          <w:bCs/>
          <w:szCs w:val="21"/>
        </w:rPr>
        <w:lastRenderedPageBreak/>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离职后福利的会计处理方法</w:t>
      </w:r>
      <w:bookmarkEnd w:id="148"/>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离职后福利主要包括基本养老保险、失业保险以及年金等。离职后福利计划包括设定提存计划。采用设定提存计划的，相应的应缴存金额于发生时计入相关资产成本或当期损益。</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49" w:name="_Toc989035"/>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辞退福利的会计处理方法</w:t>
      </w:r>
      <w:bookmarkEnd w:id="149"/>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在职工劳动合同到期之前解除与职工的劳动关系，或为鼓励职工自愿接受裁减而提出给予补偿的建议，在本公司不能单方面撤回因解除劳动关系计划或裁减建议所提供的辞退福利时，和本公司确认与涉及支付辞退福利的重组相关的成本两者孰早日，确认辞退福利产生的职工薪酬负债，并计入当期损益。但辞退福利预期在年度报告期结束后十二个月不能完全支付的，按照其他长期职工薪酬处理。</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50" w:name="_Toc989036"/>
      <w:r>
        <w:rPr>
          <w:rFonts w:ascii="Times New Roman" w:eastAsia="宋体" w:hAnsi="Times New Roman" w:cs="Times New Roman"/>
          <w:b/>
          <w:bCs/>
          <w:szCs w:val="21"/>
        </w:rPr>
        <w:t>（</w:t>
      </w:r>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其他长期职工福利的会计处理方法</w:t>
      </w:r>
      <w:bookmarkEnd w:id="150"/>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本公司向职工提供的其他长期职工福利，符合设定提存计划的，按照设定提存计划进行会计处理，除此之外按照设定受益计划进行会计处理。</w:t>
      </w:r>
    </w:p>
    <w:p w:rsidR="00CE3C32" w:rsidRDefault="006413B8">
      <w:pPr>
        <w:pStyle w:val="3"/>
        <w:spacing w:line="280" w:lineRule="exact"/>
        <w:jc w:val="left"/>
        <w:rPr>
          <w:rFonts w:ascii="Times New Roman" w:hAnsi="Times New Roman" w:cs="Times New Roman"/>
          <w:b/>
          <w:bCs/>
        </w:rPr>
      </w:pPr>
      <w:bookmarkStart w:id="151" w:name="_Toc989037"/>
      <w:r>
        <w:rPr>
          <w:rFonts w:ascii="Times New Roman" w:hAnsi="Times New Roman" w:cs="Times New Roman"/>
          <w:b/>
          <w:bCs/>
        </w:rPr>
        <w:t>32</w:t>
      </w:r>
      <w:r>
        <w:rPr>
          <w:rFonts w:ascii="Times New Roman" w:hAnsi="Times New Roman" w:cs="Times New Roman"/>
          <w:b/>
          <w:bCs/>
        </w:rPr>
        <w:t>、预计负债</w:t>
      </w:r>
      <w:bookmarkEnd w:id="151"/>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当与或有事项相关的义务同时符合以下条件，确认为预计负债：（</w:t>
      </w:r>
      <w:r>
        <w:rPr>
          <w:rFonts w:ascii="Times New Roman" w:hAnsi="Times New Roman" w:cs="Times New Roman"/>
          <w:color w:val="000000"/>
          <w:sz w:val="21"/>
          <w:szCs w:val="21"/>
        </w:rPr>
        <w:t>1</w:t>
      </w:r>
      <w:r>
        <w:rPr>
          <w:rFonts w:ascii="Times New Roman" w:hAnsi="Times New Roman" w:cs="Times New Roman"/>
          <w:color w:val="000000"/>
          <w:sz w:val="21"/>
          <w:szCs w:val="21"/>
        </w:rPr>
        <w:t>）该义务是本公司承担的现时义务；（</w:t>
      </w:r>
      <w:r>
        <w:rPr>
          <w:rFonts w:ascii="Times New Roman" w:hAnsi="Times New Roman" w:cs="Times New Roman"/>
          <w:color w:val="000000"/>
          <w:sz w:val="21"/>
          <w:szCs w:val="21"/>
        </w:rPr>
        <w:t>2</w:t>
      </w:r>
      <w:r>
        <w:rPr>
          <w:rFonts w:ascii="Times New Roman" w:hAnsi="Times New Roman" w:cs="Times New Roman"/>
          <w:color w:val="000000"/>
          <w:sz w:val="21"/>
          <w:szCs w:val="21"/>
        </w:rPr>
        <w:t>）履行该义务很可能导致经济利益流出；（</w:t>
      </w:r>
      <w:r>
        <w:rPr>
          <w:rFonts w:ascii="Times New Roman" w:hAnsi="Times New Roman" w:cs="Times New Roman"/>
          <w:color w:val="000000"/>
          <w:sz w:val="21"/>
          <w:szCs w:val="21"/>
        </w:rPr>
        <w:t>3</w:t>
      </w:r>
      <w:r>
        <w:rPr>
          <w:rFonts w:ascii="Times New Roman" w:hAnsi="Times New Roman" w:cs="Times New Roman"/>
          <w:color w:val="000000"/>
          <w:sz w:val="21"/>
          <w:szCs w:val="21"/>
        </w:rPr>
        <w:t>）该义务的金额能够可靠地计量。</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在资产负债表日，考虑与或有事项有关的风险、不确定性和货币时间价值等因素，按照履行相关现时义务所需支出的最佳估计数对预计负债进行计量。</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如果清偿预计负债所需支出全部或部分预期由第三方补偿的，补偿金额在基本确定能够收到时，作为资产单独确认，且确认的补偿金额不超过预计负债的账面价值。</w:t>
      </w:r>
    </w:p>
    <w:p w:rsidR="00CE3C32" w:rsidRDefault="006413B8">
      <w:pPr>
        <w:pStyle w:val="3"/>
        <w:spacing w:line="280" w:lineRule="exact"/>
        <w:jc w:val="left"/>
        <w:rPr>
          <w:rFonts w:ascii="Times New Roman" w:hAnsi="Times New Roman" w:cs="Times New Roman"/>
          <w:b/>
          <w:bCs/>
        </w:rPr>
      </w:pPr>
      <w:bookmarkStart w:id="152" w:name="_Toc989038"/>
      <w:r>
        <w:rPr>
          <w:rFonts w:ascii="Times New Roman" w:hAnsi="Times New Roman" w:cs="Times New Roman"/>
          <w:b/>
          <w:bCs/>
        </w:rPr>
        <w:t>33</w:t>
      </w:r>
      <w:r>
        <w:rPr>
          <w:rFonts w:ascii="Times New Roman" w:hAnsi="Times New Roman" w:cs="Times New Roman"/>
          <w:b/>
          <w:bCs/>
        </w:rPr>
        <w:t>、股份支付</w:t>
      </w:r>
      <w:bookmarkEnd w:id="152"/>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33.1 </w:t>
      </w:r>
      <w:r>
        <w:rPr>
          <w:rStyle w:val="a7"/>
          <w:rFonts w:ascii="Times New Roman" w:hAnsi="Times New Roman" w:cs="Times New Roman"/>
          <w:color w:val="000000"/>
          <w:sz w:val="21"/>
          <w:szCs w:val="21"/>
        </w:rPr>
        <w:t>股份支付的会计处理方法</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股份支付是为了获取职工或其他方提供服务而授予权益工具或者承担以权益工具为基础确定的负债的交易。股份支付分为以权益结算的股份支付和以现金结算的股份支付。</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33.1.1 </w:t>
      </w:r>
      <w:r>
        <w:rPr>
          <w:rStyle w:val="a7"/>
          <w:rFonts w:ascii="Times New Roman" w:hAnsi="Times New Roman" w:cs="Times New Roman"/>
          <w:color w:val="000000"/>
          <w:sz w:val="21"/>
          <w:szCs w:val="21"/>
        </w:rPr>
        <w:t>以权益结算的股份支付</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用以换取职工提供的服务的权益结算的股份支付，以授予职工权益工具在授予日的公允价值计量。该公允价值的金额在完成等待期内的服务或达到规定业绩条件才可行权的情况下，在等待期内以对可行权权益工具数量的最佳估计为基础，按直线法计算计入相关成本或费用</w:t>
      </w:r>
      <w:r>
        <w:rPr>
          <w:rFonts w:ascii="Times New Roman" w:hAnsi="Times New Roman" w:cs="Times New Roman"/>
          <w:color w:val="000000"/>
          <w:sz w:val="21"/>
          <w:szCs w:val="21"/>
        </w:rPr>
        <w:t>/</w:t>
      </w:r>
      <w:r>
        <w:rPr>
          <w:rFonts w:ascii="Times New Roman" w:hAnsi="Times New Roman" w:cs="Times New Roman"/>
          <w:color w:val="000000"/>
          <w:sz w:val="21"/>
          <w:szCs w:val="21"/>
        </w:rPr>
        <w:t>在授予后立即可行权时，在授予日计入相关成本或费用，相应增加资本公积。</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在等待期内每个资产负债表日，本公司根据最新取得的可行权职工人数变动等后续信息做出最佳估计，修正预计可行权的权益工具数量。上述估计的影响计入当期相关成本或费用，并相应调整资本公积。</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用以换取其他方服务的权益结算的股份支付，如果其他方服务的公允价值能够可靠计量，按照其他方服务在取得日的公允价值计量，如果其他方服务的公允价值不能可靠计量，但权益工具的公允价值能够可靠计量的，按照权益工具在服务取得日的公允价值计量，计入相关成本或费用，相应增加股东权益。</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lastRenderedPageBreak/>
        <w:t xml:space="preserve">33.1.2 </w:t>
      </w:r>
      <w:r>
        <w:rPr>
          <w:rStyle w:val="a7"/>
          <w:rFonts w:ascii="Times New Roman" w:hAnsi="Times New Roman" w:cs="Times New Roman"/>
          <w:color w:val="000000"/>
          <w:sz w:val="21"/>
          <w:szCs w:val="21"/>
        </w:rPr>
        <w:t>以现金结算的股份支付</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以现金结算的股份支付，按照本公司承担的以股份或其他权益工具为基础确定的负债的公允价值计量。如授予后立即可行权，在授予日计入相关成本或费用，相应增加负债；如须完成等待期内的服务或达到规定业绩条件以后才可行权，在等待期的每个资产负债表日，以对可行权情况的最佳估计为基础，按照本公司承担负债的公允价值金额，将当期取得的服务计入成本或费用，相应增加负债。</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在相关负债结算前的每个资产负债表日以及结算日，对负债的公允价值重新计量，其变动计入当期损益。</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33.2 </w:t>
      </w:r>
      <w:r>
        <w:rPr>
          <w:rStyle w:val="a7"/>
          <w:rFonts w:ascii="Times New Roman" w:hAnsi="Times New Roman" w:cs="Times New Roman"/>
          <w:color w:val="000000"/>
          <w:sz w:val="21"/>
          <w:szCs w:val="21"/>
        </w:rPr>
        <w:t>修改、终止股份支付计划的相关会计处理</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公司对股份支付计划进行修改时，若修改增加了所授予权益工具的公允价值，按照权益工具公允价值的增加相应确认取得服务的增加。权益工具公允价值的增加是指修改前后的权益工具在修改日的公允价值之间的差额。若修改减少了股份支付公允价值总额或采用了其他不利于职工的方式，则仍继续对取得的服务进行会计处理，视同该变更从未发生，除非本公司取消了部分或全部已授予的权益工具。</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在等待期内，如果取消了授予的权益工具，本公司对取消所授予的权益性工具作为加速行权处理，将剩余等待期内应确认的金额立即计入当期损益，同时确认资本公积。职工或其他方能够选择满足非可行权条件但在等待期内未满足的，本公司将其作为授予权益工具的取消处理。</w:t>
      </w:r>
    </w:p>
    <w:p w:rsidR="00CE3C32" w:rsidRDefault="006413B8">
      <w:pPr>
        <w:pStyle w:val="3"/>
        <w:spacing w:line="280" w:lineRule="exact"/>
        <w:jc w:val="left"/>
        <w:rPr>
          <w:rFonts w:ascii="Times New Roman" w:hAnsi="Times New Roman" w:cs="Times New Roman"/>
          <w:b/>
          <w:bCs/>
        </w:rPr>
      </w:pPr>
      <w:bookmarkStart w:id="153" w:name="_Toc989039"/>
      <w:r>
        <w:rPr>
          <w:rFonts w:ascii="Times New Roman" w:hAnsi="Times New Roman" w:cs="Times New Roman"/>
          <w:b/>
          <w:bCs/>
        </w:rPr>
        <w:t>34</w:t>
      </w:r>
      <w:r>
        <w:rPr>
          <w:rFonts w:ascii="Times New Roman" w:hAnsi="Times New Roman" w:cs="Times New Roman"/>
          <w:b/>
          <w:bCs/>
        </w:rPr>
        <w:t>、收入</w:t>
      </w:r>
      <w:bookmarkEnd w:id="153"/>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按照业务类型披露收入确认和计量所采用的会计政策</w:t>
      </w:r>
    </w:p>
    <w:p w:rsidR="00CE3C32" w:rsidRDefault="006413B8">
      <w:pPr>
        <w:pStyle w:val="a6"/>
        <w:spacing w:beforeLines="50" w:before="156" w:beforeAutospacing="0" w:afterLines="50" w:after="156" w:afterAutospacing="0"/>
        <w:ind w:firstLine="420"/>
        <w:jc w:val="both"/>
        <w:rPr>
          <w:rStyle w:val="a7"/>
          <w:color w:val="000000"/>
          <w:sz w:val="21"/>
          <w:szCs w:val="21"/>
        </w:rPr>
      </w:pPr>
      <w:r>
        <w:rPr>
          <w:rStyle w:val="a7"/>
          <w:rFonts w:ascii="Times New Roman" w:hAnsi="Times New Roman" w:cs="Times New Roman"/>
          <w:color w:val="000000"/>
          <w:sz w:val="21"/>
          <w:szCs w:val="21"/>
        </w:rPr>
        <w:t xml:space="preserve">34.1 </w:t>
      </w:r>
      <w:r>
        <w:rPr>
          <w:rStyle w:val="a7"/>
          <w:rFonts w:ascii="Times New Roman" w:hAnsi="Times New Roman" w:cs="Times New Roman"/>
          <w:color w:val="000000"/>
          <w:sz w:val="21"/>
          <w:szCs w:val="21"/>
        </w:rPr>
        <w:t>收入确认和计量所采用的会计政策</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本公司与客户之间的合同同时满足下列条件时，在客户取得相关商品控制权时确认收入：合同各方已批准该合同并承诺将履行各自义务；合同明确了合同各方与所转让商品或提供劳务相关的权利和义务；合同有明确的与所转让商品相关的支付条款；合同具有商业实质，即履行该合同将改变本公司未来现金流量的风险、时间分布或金额；本公司因向客户转让商品而有权取得的对价很可能收回。</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在合同开始日，本公司识别合同中存在的各单项履约义务，并将交易价格按照各单项履约义务所承诺商品的单独售价的相对比例分摊至各单项履约义务。在确定交易价格时考虑了可变对价、合同中存在的重大融资成分、非现金对价、应付客户对价等因素的影响。</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对于合同中的每个单项履约义务，如果满足下列条件之一的，本公司在相关履约时段内按照履约进度将分摊至该单项履约义务的交易价格确认为收入：客户在本公司履约的同时即取得并消耗本公司履约所带来的经济利益；客户能够控制本公司履约过程中在建的商品；本公司履约过程中所产出的商品具有不可替代用途，且本公司在整个合同期间内有权就累计至今已完成的履约部分收取款项。履约进度根据所转让商品的性质采用投入法或产出法确定，当履约进度不能合理确定时，本公司已经发生的成本预计能够得到补偿的，按照已经发生的成本金额确认收入，直到履约进度能够合理确定为止。</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如果不满足上述条件之一，则本公司在客户取得相关商品控制权的时点将分摊至该单项履约义务的交易价格确认收入。在判断客户是否已取得商品控制权时，本公司考虑下列迹象：企业就该商品享有现时收款权利，即客户就该商品负有现时付款义务；企业已将该商品的法定所有权转移给客户，即客户已拥有该商品的法定所有权；企业已将该商品实物转移给客户，即客户已实物占有该商品；企业已将该商品所有权上的主要风险和报酬转移给客户，即客户已取得该商品所有权上的主要风险和报酬；客户已接受该商品；其他表明客户已取得商品控制权的迹象。</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lastRenderedPageBreak/>
        <w:t>对于附有销售退回条款的销售，本公司在客户取得相关商品控制权时，按照因向客户转让商品而预期有权收取的对价金额（即，不包含预期因销售退回将退还的金额）确认收入，按照预期因销售退回将退还的金额确认负债；同时，按照预期将退回商品转让时的账面价值，扣除收回该商品预计发生的成本（包括退回商品的价值减损）后的余额，确认为一项资产，按照所转让商品转让时的账面价值，扣除上述资产成本的净额结转成本。每一资产负债表日，本公司将重新估计未来销售退回情况，如有变化，将作为会计估计变更进行会计处理。</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对于附有质量保证条款的销售，本公司将评估该质量保证是否在向客户保证所销售商品符合既定标准之外提供了一项单独的服务。本公司提供额外服务的，将作为单项履约义务进行会计处理。在评估质量保证是否在向客户保证所销售商品符合既定标准之外提供了一项单独的服务时，本公司将考虑该质量保证是否为法定要求、质量保证期限以及本公司承诺履行任务的性质等因素。客户能够选择单独购买质量保证的，该质量保证构成单项履约义务。</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本公司在向客户转让商品前能够控制该商品的，本公司为主要责任人，按照已收或应收对价总额确认收入；否则，本公司为代理人，按照预期有权收取的佣金或手续费的金额确认收入，该金额应当按照已收或应收对价总额扣除应支付给其他相关方的价款后的净额，或者按照既定的佣金金额或比例等确定。</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对于附有客户额外购买选择权的销售，本公司评估该选择权是否向客户提供了一项重大权利。提供重大权利的，本公司作为单项履约义务，将交易价格分摊至该履约义务，在客户未来行使购买选择权取得相关商品控制权时，或者该选择权失效时，确认相应的收入。客户额外购买选择权的单独售价无法直接观察的，本公司综合考虑客户行使和不行使该选择权所能获得的折扣的差异、客户行使该选择权的可能性等全部相关信息后，予以合理估计。</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本公司向客户授予知识产权许可的，评估该知识产权许可是否构成单项履约义务。对于构成单项履约义务的，同时满足下列条件时，本公司作为在某一时段内履行的履约义务确认相关收入；否则，应当作为在某一时点履行的履约义务确认相关收入：</w:t>
      </w:r>
      <w:r>
        <w:rPr>
          <w:rFonts w:hint="eastAsia"/>
          <w:color w:val="000000"/>
          <w:sz w:val="21"/>
          <w:szCs w:val="21"/>
        </w:rPr>
        <w:t>①</w:t>
      </w:r>
      <w:r>
        <w:rPr>
          <w:rFonts w:ascii="Times New Roman" w:hAnsi="Times New Roman" w:cs="Times New Roman"/>
          <w:color w:val="000000"/>
          <w:sz w:val="21"/>
          <w:szCs w:val="21"/>
        </w:rPr>
        <w:t>合同要求或客户能够合理预期本公司将从事对该项知识产权有重大影响的活动；</w:t>
      </w:r>
      <w:r>
        <w:rPr>
          <w:rFonts w:hint="eastAsia"/>
          <w:color w:val="000000"/>
          <w:sz w:val="21"/>
          <w:szCs w:val="21"/>
        </w:rPr>
        <w:t>②</w:t>
      </w:r>
      <w:r>
        <w:rPr>
          <w:rFonts w:ascii="Times New Roman" w:hAnsi="Times New Roman" w:cs="Times New Roman"/>
          <w:color w:val="000000"/>
          <w:sz w:val="21"/>
          <w:szCs w:val="21"/>
        </w:rPr>
        <w:t>该活动对客户将产生有利或不利影响；</w:t>
      </w:r>
      <w:r>
        <w:rPr>
          <w:rFonts w:hint="eastAsia"/>
          <w:color w:val="000000"/>
          <w:sz w:val="21"/>
          <w:szCs w:val="21"/>
        </w:rPr>
        <w:t>③</w:t>
      </w:r>
      <w:r>
        <w:rPr>
          <w:rFonts w:ascii="Times New Roman" w:hAnsi="Times New Roman" w:cs="Times New Roman"/>
          <w:color w:val="000000"/>
          <w:sz w:val="21"/>
          <w:szCs w:val="21"/>
        </w:rPr>
        <w:t>该活动不会导致向客户转让某项商品。</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本公司销售商品的同时承诺或有权选择日后再将该商品（包括相同或几乎相同的商品，或以该商品作为组成部分的商品）购回的，区分下列两种情形分别进行会计处理：</w:t>
      </w:r>
      <w:r>
        <w:rPr>
          <w:rFonts w:hint="eastAsia"/>
          <w:color w:val="000000"/>
          <w:sz w:val="21"/>
          <w:szCs w:val="21"/>
        </w:rPr>
        <w:t>①</w:t>
      </w:r>
      <w:r>
        <w:rPr>
          <w:rFonts w:ascii="Times New Roman" w:hAnsi="Times New Roman" w:cs="Times New Roman"/>
          <w:color w:val="000000"/>
          <w:sz w:val="21"/>
          <w:szCs w:val="21"/>
        </w:rPr>
        <w:t>本公司因存在与客户的远期安排而负有回购义务或享有回购权利的，表明客户在销售时点并未取得相关商品控制权，本公司作为租赁交易或融资交易进行相应的会计处理。其中，回购价格低于原售价的，视为租赁交易，按照《企业会计准则第</w:t>
      </w:r>
      <w:r>
        <w:rPr>
          <w:rFonts w:ascii="Times New Roman" w:hAnsi="Times New Roman" w:cs="Times New Roman"/>
          <w:color w:val="000000"/>
          <w:sz w:val="21"/>
          <w:szCs w:val="21"/>
        </w:rPr>
        <w:t>21</w:t>
      </w:r>
      <w:r>
        <w:rPr>
          <w:rFonts w:ascii="Times New Roman" w:hAnsi="Times New Roman" w:cs="Times New Roman"/>
          <w:color w:val="000000"/>
          <w:sz w:val="21"/>
          <w:szCs w:val="21"/>
        </w:rPr>
        <w:t>号</w:t>
      </w:r>
      <w:r>
        <w:rPr>
          <w:rFonts w:ascii="Times New Roman" w:hAnsi="Times New Roman" w:cs="Times New Roman"/>
          <w:color w:val="000000"/>
          <w:sz w:val="21"/>
          <w:szCs w:val="21"/>
        </w:rPr>
        <w:t>——</w:t>
      </w:r>
      <w:r>
        <w:rPr>
          <w:rFonts w:ascii="Times New Roman" w:hAnsi="Times New Roman" w:cs="Times New Roman"/>
          <w:color w:val="000000"/>
          <w:sz w:val="21"/>
          <w:szCs w:val="21"/>
        </w:rPr>
        <w:t>租赁》的相关规定进行会计处理；回购价格不低于原售价的，视为融资交易，在收到客户款项时确认金融负债，并将该款项和回购价格的差额在回购期间内确认为利息费用等。本公司到期未行使回购权利的，应当在该回购权利到期时终止确认金融负债，同时确认收入。</w:t>
      </w:r>
      <w:r>
        <w:rPr>
          <w:rFonts w:hint="eastAsia"/>
          <w:color w:val="000000"/>
          <w:sz w:val="21"/>
          <w:szCs w:val="21"/>
        </w:rPr>
        <w:t>②</w:t>
      </w:r>
      <w:r>
        <w:rPr>
          <w:rFonts w:ascii="Times New Roman" w:hAnsi="Times New Roman" w:cs="Times New Roman"/>
          <w:color w:val="000000"/>
          <w:sz w:val="21"/>
          <w:szCs w:val="21"/>
        </w:rPr>
        <w:t>本公司负有应客户要求回购商品义务的，应当在合同开始日评估客户是否具有行使该要求权的重大经济动因。客户具有行使该要求权重大经济动因的，本公司将售后回购作为租赁交易或融资交易，按照上述</w:t>
      </w:r>
      <w:r>
        <w:rPr>
          <w:rFonts w:hint="eastAsia"/>
          <w:color w:val="000000"/>
          <w:sz w:val="21"/>
          <w:szCs w:val="21"/>
        </w:rPr>
        <w:t>①</w:t>
      </w:r>
      <w:r>
        <w:rPr>
          <w:rFonts w:ascii="Times New Roman" w:hAnsi="Times New Roman" w:cs="Times New Roman"/>
          <w:color w:val="000000"/>
          <w:sz w:val="21"/>
          <w:szCs w:val="21"/>
        </w:rPr>
        <w:t>规定进行会计处理；否则，本公司当将其作为附有销售退回条款的销售交易，按照附有销售退回条款的销售处理。</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本公司向客户预收销售商品款项的，应当首先将该款项确认为负债，待履行了相关履约义务时再转为收入。当预收款项无需退回，且客户可能会放弃其全部或部分合同权利时，本公司预期将有权获得与客户所放弃的合同权利相关的金额的，按照客户行使合同权利的模式按比例将上述金额确认为收入；否则，本公司在客户要求其履行剩余履约义务的可能性极低时，将上述负债的相关余额转为收入。</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本公司在合同开始（或接近合同开始）日向客户收取的无需退回的初始费计入交易价格。该初始费与向客户转让已承诺的商品相关，并且该商品构成单项履约义务的，本公司在转让该商品时，按照分摊至该商品的交易价格确认收入；该初始费与向客户转让已承诺的商品相关，但该商品不构成单项履约义</w:t>
      </w:r>
      <w:r>
        <w:rPr>
          <w:rFonts w:ascii="Times New Roman" w:hAnsi="Times New Roman" w:cs="Times New Roman"/>
          <w:color w:val="000000"/>
          <w:sz w:val="21"/>
          <w:szCs w:val="21"/>
        </w:rPr>
        <w:lastRenderedPageBreak/>
        <w:t>务的，本公司在包含该商品的单项履约义务履行时，按照分摊至该单项履约义务的交易价格确认收入；该初始费与向客户转让已承诺的商品不相关的，该初始费作为未来将转让商品的预收款，在未来转让该商品时确认为收入。</w:t>
      </w:r>
    </w:p>
    <w:p w:rsidR="00CE3C32" w:rsidRDefault="006413B8">
      <w:pPr>
        <w:spacing w:before="50" w:after="50"/>
        <w:rPr>
          <w:rFonts w:ascii="Times New Roman" w:eastAsia="宋体" w:hAnsi="Times New Roman" w:cs="Times New Roman"/>
          <w:szCs w:val="21"/>
        </w:rPr>
      </w:pPr>
      <w:r>
        <w:rPr>
          <w:rFonts w:ascii="Times New Roman" w:eastAsia="宋体" w:hAnsi="Times New Roman" w:cs="Times New Roman"/>
          <w:szCs w:val="21"/>
        </w:rPr>
        <w:t>同类业务采用不同经营模式涉及不同收入确认方式及计量方法的情况</w:t>
      </w:r>
    </w:p>
    <w:p w:rsidR="00CE3C32" w:rsidRDefault="006413B8">
      <w:pPr>
        <w:pStyle w:val="a6"/>
        <w:spacing w:before="50" w:beforeAutospacing="0" w:after="50" w:afterAutospacing="0"/>
        <w:ind w:firstLine="420"/>
        <w:jc w:val="both"/>
        <w:rPr>
          <w:rFonts w:ascii="Times New Roman" w:hAnsi="Times New Roman" w:cs="Times New Roman"/>
          <w:sz w:val="21"/>
          <w:szCs w:val="21"/>
        </w:rPr>
      </w:pPr>
      <w:r>
        <w:rPr>
          <w:rFonts w:ascii="Times New Roman" w:hAnsi="Times New Roman" w:cs="Times New Roman"/>
          <w:sz w:val="21"/>
          <w:szCs w:val="21"/>
        </w:rPr>
        <w:t>不适用。</w:t>
      </w:r>
    </w:p>
    <w:p w:rsidR="00CE3C32" w:rsidRDefault="006413B8">
      <w:pPr>
        <w:spacing w:before="50" w:after="50"/>
        <w:rPr>
          <w:rFonts w:ascii="Times New Roman" w:eastAsia="宋体" w:hAnsi="Times New Roman" w:cs="Times New Roman"/>
          <w:szCs w:val="21"/>
        </w:rPr>
      </w:pPr>
      <w:r>
        <w:rPr>
          <w:rFonts w:ascii="Times New Roman" w:eastAsia="宋体" w:hAnsi="Times New Roman" w:cs="Times New Roman"/>
          <w:szCs w:val="21"/>
        </w:rPr>
        <w:t>公司需遵守《深圳证券交易所上市公司自律监管指引第</w:t>
      </w:r>
      <w:r>
        <w:rPr>
          <w:rFonts w:ascii="Times New Roman" w:eastAsia="宋体" w:hAnsi="Times New Roman" w:cs="Times New Roman"/>
          <w:szCs w:val="21"/>
        </w:rPr>
        <w:t>3</w:t>
      </w:r>
      <w:r>
        <w:rPr>
          <w:rFonts w:ascii="Times New Roman" w:eastAsia="宋体" w:hAnsi="Times New Roman" w:cs="Times New Roman"/>
          <w:szCs w:val="21"/>
        </w:rPr>
        <w:t>号</w:t>
      </w:r>
      <w:r>
        <w:rPr>
          <w:rFonts w:ascii="Times New Roman" w:eastAsia="宋体" w:hAnsi="Times New Roman" w:cs="Times New Roman"/>
          <w:szCs w:val="21"/>
        </w:rPr>
        <w:t>——</w:t>
      </w:r>
      <w:r>
        <w:rPr>
          <w:rFonts w:ascii="Times New Roman" w:eastAsia="宋体" w:hAnsi="Times New Roman" w:cs="Times New Roman"/>
          <w:szCs w:val="21"/>
        </w:rPr>
        <w:t>行业信息披露》中的</w:t>
      </w:r>
      <w:r>
        <w:rPr>
          <w:rFonts w:ascii="Times New Roman" w:eastAsia="宋体" w:hAnsi="Times New Roman" w:cs="Times New Roman"/>
          <w:szCs w:val="21"/>
        </w:rPr>
        <w:t>“</w:t>
      </w:r>
      <w:r>
        <w:rPr>
          <w:rFonts w:ascii="Times New Roman" w:eastAsia="宋体" w:hAnsi="Times New Roman" w:cs="Times New Roman"/>
          <w:szCs w:val="21"/>
        </w:rPr>
        <w:t>软件与信息技术服务业</w:t>
      </w:r>
      <w:r>
        <w:rPr>
          <w:rFonts w:ascii="Times New Roman" w:eastAsia="宋体" w:hAnsi="Times New Roman" w:cs="Times New Roman"/>
          <w:szCs w:val="21"/>
        </w:rPr>
        <w:t>”</w:t>
      </w:r>
      <w:r>
        <w:rPr>
          <w:rFonts w:ascii="Times New Roman" w:eastAsia="宋体" w:hAnsi="Times New Roman" w:cs="Times New Roman"/>
          <w:szCs w:val="21"/>
        </w:rPr>
        <w:t>的披露要求</w:t>
      </w:r>
    </w:p>
    <w:p w:rsidR="00CE3C32" w:rsidRDefault="006413B8">
      <w:pPr>
        <w:pStyle w:val="a6"/>
        <w:spacing w:beforeLines="50" w:before="156" w:beforeAutospacing="0" w:afterLines="50" w:after="156" w:afterAutospacing="0"/>
        <w:ind w:firstLine="420"/>
        <w:jc w:val="both"/>
        <w:rPr>
          <w:rStyle w:val="a7"/>
          <w:color w:val="000000"/>
          <w:sz w:val="21"/>
          <w:szCs w:val="21"/>
        </w:rPr>
      </w:pPr>
      <w:r>
        <w:rPr>
          <w:rStyle w:val="a7"/>
          <w:rFonts w:ascii="Times New Roman" w:hAnsi="Times New Roman" w:cs="Times New Roman"/>
          <w:color w:val="000000"/>
          <w:sz w:val="21"/>
          <w:szCs w:val="21"/>
        </w:rPr>
        <w:t xml:space="preserve">34.2 </w:t>
      </w:r>
      <w:r>
        <w:rPr>
          <w:rStyle w:val="a7"/>
          <w:rFonts w:ascii="Times New Roman" w:hAnsi="Times New Roman" w:cs="Times New Roman"/>
          <w:color w:val="000000"/>
          <w:sz w:val="21"/>
          <w:szCs w:val="21"/>
        </w:rPr>
        <w:t>收入具体确认时点及计量方法</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本公司的业务收入主要来源于以下业务类型：信息系统集成服务、信息系统运维服务、信息设备销售、软件开发及技术服务、算力服务、新能源电力。</w:t>
      </w:r>
    </w:p>
    <w:p w:rsidR="00CE3C32" w:rsidRDefault="006413B8">
      <w:pPr>
        <w:pStyle w:val="a6"/>
        <w:spacing w:before="50" w:beforeAutospacing="0" w:after="50" w:afterAutospacing="0"/>
        <w:ind w:firstLine="420"/>
        <w:jc w:val="both"/>
        <w:rPr>
          <w:rFonts w:ascii="Times New Roman" w:hAnsi="Times New Roman" w:cs="Times New Roman"/>
          <w:sz w:val="21"/>
          <w:szCs w:val="21"/>
        </w:rPr>
      </w:pPr>
      <w:r>
        <w:rPr>
          <w:rStyle w:val="a7"/>
          <w:rFonts w:ascii="Times New Roman" w:hAnsi="Times New Roman" w:cs="Times New Roman"/>
          <w:sz w:val="21"/>
          <w:szCs w:val="21"/>
        </w:rPr>
        <w:t xml:space="preserve">34.2.1 </w:t>
      </w:r>
      <w:r>
        <w:rPr>
          <w:rStyle w:val="a7"/>
          <w:rFonts w:ascii="Times New Roman" w:hAnsi="Times New Roman" w:cs="Times New Roman"/>
          <w:sz w:val="21"/>
          <w:szCs w:val="21"/>
        </w:rPr>
        <w:t>信息系统集成服务</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按照客户需求，通过应用各种计算机软件技术以及各种硬件设备，经过集成设计，安装调试等技术性工作，提供整体解决方案。信息系统集成需安装调试后才达到预定可使用状态，主要风险和报酬（控制权）才转移给购货方（建设方），因此信息系统集成服务以完成安装调试，客户验收作为收入确认时点。当客户合同中明确约定初验、终验的，以取得客户终验报告作为收入确认时点，如合同中无明确约定初验、终验，客户在实际执行时有出具初验、终验报告，以终验报告作为收入确认时点。</w:t>
      </w:r>
    </w:p>
    <w:p w:rsidR="00CE3C32" w:rsidRDefault="006413B8">
      <w:pPr>
        <w:pStyle w:val="a6"/>
        <w:spacing w:before="50" w:beforeAutospacing="0" w:after="50" w:afterAutospacing="0"/>
        <w:ind w:firstLine="420"/>
        <w:jc w:val="both"/>
        <w:rPr>
          <w:rFonts w:ascii="Times New Roman" w:hAnsi="Times New Roman" w:cs="Times New Roman"/>
          <w:sz w:val="21"/>
          <w:szCs w:val="21"/>
        </w:rPr>
      </w:pPr>
      <w:r>
        <w:rPr>
          <w:rStyle w:val="a7"/>
          <w:rFonts w:ascii="Times New Roman" w:hAnsi="Times New Roman" w:cs="Times New Roman"/>
          <w:sz w:val="21"/>
          <w:szCs w:val="21"/>
        </w:rPr>
        <w:t xml:space="preserve">34.2.2 </w:t>
      </w:r>
      <w:r>
        <w:rPr>
          <w:rStyle w:val="a7"/>
          <w:rFonts w:ascii="Times New Roman" w:hAnsi="Times New Roman" w:cs="Times New Roman"/>
          <w:sz w:val="21"/>
          <w:szCs w:val="21"/>
        </w:rPr>
        <w:t>信息系统运维服务</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按照客户要求，利用公司在信息系统运维方面的专业性优势为客户提供专业的系统运维服务。信息系统运维服务按照合同约定的条款于服务完成时点（指偶发的一次性运维服务）或阶段完成时点（指定期服务的日常维护，按月确认）确认收入。</w:t>
      </w:r>
    </w:p>
    <w:p w:rsidR="00CE3C32" w:rsidRDefault="006413B8">
      <w:pPr>
        <w:pStyle w:val="a6"/>
        <w:spacing w:before="50" w:beforeAutospacing="0" w:after="50" w:afterAutospacing="0"/>
        <w:ind w:firstLine="420"/>
        <w:jc w:val="both"/>
        <w:rPr>
          <w:rFonts w:ascii="Times New Roman" w:hAnsi="Times New Roman" w:cs="Times New Roman"/>
          <w:sz w:val="21"/>
          <w:szCs w:val="21"/>
        </w:rPr>
      </w:pPr>
      <w:r>
        <w:rPr>
          <w:rStyle w:val="a7"/>
          <w:rFonts w:ascii="Times New Roman" w:hAnsi="Times New Roman" w:cs="Times New Roman"/>
          <w:sz w:val="21"/>
          <w:szCs w:val="21"/>
        </w:rPr>
        <w:t xml:space="preserve">34.2.3 </w:t>
      </w:r>
      <w:r>
        <w:rPr>
          <w:rStyle w:val="a7"/>
          <w:rFonts w:ascii="Times New Roman" w:hAnsi="Times New Roman" w:cs="Times New Roman"/>
          <w:sz w:val="21"/>
          <w:szCs w:val="21"/>
        </w:rPr>
        <w:t>信息设备销售</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公司向企业、政府部门销售电子产品（主要是系统集成服务和信息系统运维过程中，根据客户需求搭配的一些零配件，主要包括机柜、电脑、播放器、主机、投影仪等）。信息设备销售以商品转移给购货方，取得客户验收单作为收入确认时点。</w:t>
      </w:r>
    </w:p>
    <w:p w:rsidR="00CE3C32" w:rsidRDefault="006413B8">
      <w:pPr>
        <w:pStyle w:val="a6"/>
        <w:spacing w:before="50" w:beforeAutospacing="0" w:after="50" w:afterAutospacing="0"/>
        <w:ind w:firstLine="420"/>
        <w:jc w:val="both"/>
        <w:rPr>
          <w:rFonts w:ascii="Times New Roman" w:hAnsi="Times New Roman" w:cs="Times New Roman"/>
          <w:sz w:val="21"/>
          <w:szCs w:val="21"/>
        </w:rPr>
      </w:pPr>
      <w:r>
        <w:rPr>
          <w:rStyle w:val="a7"/>
          <w:rFonts w:ascii="Times New Roman" w:hAnsi="Times New Roman" w:cs="Times New Roman"/>
          <w:sz w:val="21"/>
          <w:szCs w:val="21"/>
        </w:rPr>
        <w:t xml:space="preserve">34.2.4 </w:t>
      </w:r>
      <w:r>
        <w:rPr>
          <w:rStyle w:val="a7"/>
          <w:rFonts w:ascii="Times New Roman" w:hAnsi="Times New Roman" w:cs="Times New Roman"/>
          <w:sz w:val="21"/>
          <w:szCs w:val="21"/>
        </w:rPr>
        <w:t>软件开发及技术服务</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按照客户要求开发信息系统服务平台并部署调试。软件开发及技术服务客户为软件终端使用客户的，以完成服务并取得客户的验收报告作为收入确认时点；客户为软件中间销售商的，如销售合同中未约定需最终业主方验收的，以公司交付相关产品、客户产品已经上线、客户出具验收报告作为收入确认时点；如销售合同中明确约定需客户最终业主方验收的，以取得客户验收报告且最终业主方产品运行出具验收报告或其他验收证据作为收入确认时点。</w:t>
      </w:r>
    </w:p>
    <w:p w:rsidR="00CE3C32" w:rsidRDefault="006413B8">
      <w:pPr>
        <w:pStyle w:val="a6"/>
        <w:spacing w:before="50" w:beforeAutospacing="0" w:after="50" w:afterAutospacing="0"/>
        <w:ind w:firstLine="420"/>
        <w:jc w:val="both"/>
        <w:rPr>
          <w:rFonts w:ascii="Times New Roman" w:hAnsi="Times New Roman" w:cs="Times New Roman"/>
          <w:sz w:val="21"/>
          <w:szCs w:val="21"/>
        </w:rPr>
      </w:pPr>
      <w:r>
        <w:rPr>
          <w:rStyle w:val="a7"/>
          <w:rFonts w:ascii="Times New Roman" w:hAnsi="Times New Roman" w:cs="Times New Roman"/>
          <w:sz w:val="21"/>
          <w:szCs w:val="21"/>
        </w:rPr>
        <w:t xml:space="preserve">34.2.5 </w:t>
      </w:r>
      <w:r>
        <w:rPr>
          <w:rStyle w:val="a7"/>
          <w:rFonts w:ascii="Times New Roman" w:hAnsi="Times New Roman" w:cs="Times New Roman"/>
          <w:sz w:val="21"/>
          <w:szCs w:val="21"/>
        </w:rPr>
        <w:t>算力服务</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算力服务，包括算力集成服务及算力技术服务。算力技术服务通过投资建设算力项目，向企业或运营商等客户，按照合同或协议约定的服务周期持续提供算力技术服务，按照合同约定的阶段完成时点（指定期提供服务，按月确认）确认收入。</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算力设备集成服务，根据客户需求提供系统设计、设备供应、安装部署、测试调优等综合服务，公司在完成合同约定的履约义务，算力设备达到合同约定的可使用状态，并取得客户确认的最终验收报告，产品控制权已经转移给客户时确认收入。</w:t>
      </w:r>
    </w:p>
    <w:p w:rsidR="00CE3C32" w:rsidRDefault="006413B8">
      <w:pPr>
        <w:pStyle w:val="a6"/>
        <w:spacing w:before="50" w:beforeAutospacing="0" w:after="50" w:afterAutospacing="0"/>
        <w:ind w:firstLine="420"/>
        <w:jc w:val="both"/>
        <w:rPr>
          <w:rStyle w:val="a7"/>
        </w:rPr>
      </w:pPr>
      <w:r>
        <w:rPr>
          <w:rStyle w:val="a7"/>
          <w:rFonts w:ascii="Times New Roman" w:hAnsi="Times New Roman" w:cs="Times New Roman"/>
          <w:sz w:val="21"/>
          <w:szCs w:val="21"/>
        </w:rPr>
        <w:lastRenderedPageBreak/>
        <w:t xml:space="preserve">34.2.6 </w:t>
      </w:r>
      <w:r>
        <w:rPr>
          <w:rStyle w:val="a7"/>
          <w:rFonts w:ascii="Times New Roman" w:hAnsi="Times New Roman" w:cs="Times New Roman"/>
          <w:sz w:val="21"/>
          <w:szCs w:val="21"/>
        </w:rPr>
        <w:t>新能源电力</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新能源电力收入确认遵循《企业会计准则第</w:t>
      </w:r>
      <w:r>
        <w:rPr>
          <w:rFonts w:ascii="Times New Roman" w:hAnsi="Times New Roman" w:cs="Times New Roman"/>
          <w:color w:val="000000"/>
          <w:sz w:val="21"/>
          <w:szCs w:val="21"/>
        </w:rPr>
        <w:t> 14 </w:t>
      </w:r>
      <w:r>
        <w:rPr>
          <w:rFonts w:ascii="Times New Roman" w:hAnsi="Times New Roman" w:cs="Times New Roman"/>
          <w:color w:val="000000"/>
          <w:sz w:val="21"/>
          <w:szCs w:val="21"/>
        </w:rPr>
        <w:t>号</w:t>
      </w:r>
      <w:r>
        <w:rPr>
          <w:rFonts w:ascii="Times New Roman" w:hAnsi="Times New Roman" w:cs="Times New Roman"/>
          <w:color w:val="000000"/>
          <w:sz w:val="21"/>
          <w:szCs w:val="21"/>
        </w:rPr>
        <w:t>--</w:t>
      </w:r>
      <w:r>
        <w:rPr>
          <w:rFonts w:ascii="Times New Roman" w:hAnsi="Times New Roman" w:cs="Times New Roman"/>
          <w:color w:val="000000"/>
          <w:sz w:val="21"/>
          <w:szCs w:val="21"/>
        </w:rPr>
        <w:t>收入》规定，以电力输送至电网公司或终端用户的控制权转移时点作为收入确认依据，根据电网公司或其他客户提供的发电量计量确认数据</w:t>
      </w:r>
      <w:r>
        <w:rPr>
          <w:rFonts w:ascii="Times New Roman" w:hAnsi="Times New Roman" w:cs="Times New Roman"/>
          <w:color w:val="000000"/>
          <w:sz w:val="21"/>
          <w:szCs w:val="21"/>
        </w:rPr>
        <w:t>(</w:t>
      </w:r>
      <w:r>
        <w:rPr>
          <w:rFonts w:ascii="Times New Roman" w:hAnsi="Times New Roman" w:cs="Times New Roman"/>
          <w:color w:val="000000"/>
          <w:sz w:val="21"/>
          <w:szCs w:val="21"/>
        </w:rPr>
        <w:t>如并网电表读数</w:t>
      </w:r>
      <w:r>
        <w:rPr>
          <w:rFonts w:ascii="Times New Roman" w:hAnsi="Times New Roman" w:cs="Times New Roman"/>
          <w:color w:val="000000"/>
          <w:sz w:val="21"/>
          <w:szCs w:val="21"/>
        </w:rPr>
        <w:t>)</w:t>
      </w:r>
      <w:r>
        <w:rPr>
          <w:rFonts w:ascii="Times New Roman" w:hAnsi="Times New Roman" w:cs="Times New Roman"/>
          <w:color w:val="000000"/>
          <w:sz w:val="21"/>
          <w:szCs w:val="21"/>
        </w:rPr>
        <w:t>，于电力实际输送至电网或用户时确认收入，采用权责发生制原则。</w:t>
      </w:r>
    </w:p>
    <w:p w:rsidR="00CE3C32" w:rsidRDefault="006413B8">
      <w:pPr>
        <w:pStyle w:val="3"/>
        <w:spacing w:before="50" w:after="50" w:line="240" w:lineRule="auto"/>
        <w:jc w:val="left"/>
        <w:rPr>
          <w:rFonts w:ascii="Times New Roman" w:hAnsi="Times New Roman" w:cs="Times New Roman"/>
          <w:b/>
          <w:bCs/>
        </w:rPr>
      </w:pPr>
      <w:bookmarkStart w:id="154" w:name="_Toc989040"/>
      <w:r>
        <w:rPr>
          <w:rFonts w:ascii="Times New Roman" w:hAnsi="Times New Roman" w:cs="Times New Roman"/>
          <w:b/>
          <w:bCs/>
        </w:rPr>
        <w:t>35</w:t>
      </w:r>
      <w:r>
        <w:rPr>
          <w:rFonts w:ascii="Times New Roman" w:hAnsi="Times New Roman" w:cs="Times New Roman"/>
          <w:b/>
          <w:bCs/>
        </w:rPr>
        <w:t>、合同成本</w:t>
      </w:r>
      <w:bookmarkEnd w:id="154"/>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合同成本分为合同履约成本与合同取得成本。</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本公司为履行合同而发生的成本，在满足下列条件时作为合同履约成本确认为一项资产：</w:t>
      </w:r>
      <w:r>
        <w:rPr>
          <w:rFonts w:ascii="Times New Roman" w:hAnsi="Times New Roman" w:cs="Times New Roman" w:hint="eastAsia"/>
          <w:color w:val="000000"/>
          <w:sz w:val="21"/>
          <w:szCs w:val="21"/>
        </w:rPr>
        <w:t>①</w:t>
      </w:r>
      <w:r>
        <w:rPr>
          <w:rFonts w:ascii="Times New Roman" w:hAnsi="Times New Roman" w:cs="Times New Roman"/>
          <w:color w:val="000000"/>
          <w:sz w:val="21"/>
          <w:szCs w:val="21"/>
        </w:rPr>
        <w:t>该成本与一份当前或预期取得的合同直接相关；</w:t>
      </w:r>
      <w:r>
        <w:rPr>
          <w:rFonts w:ascii="Times New Roman" w:hAnsi="Times New Roman" w:cs="Times New Roman" w:hint="eastAsia"/>
          <w:color w:val="000000"/>
          <w:sz w:val="21"/>
          <w:szCs w:val="21"/>
        </w:rPr>
        <w:t>②</w:t>
      </w:r>
      <w:r>
        <w:rPr>
          <w:rFonts w:ascii="Times New Roman" w:hAnsi="Times New Roman" w:cs="Times New Roman"/>
          <w:color w:val="000000"/>
          <w:sz w:val="21"/>
          <w:szCs w:val="21"/>
        </w:rPr>
        <w:t>该成本增加了本公司未来用于履行履约义务的资源；</w:t>
      </w:r>
      <w:r>
        <w:rPr>
          <w:rFonts w:ascii="Times New Roman" w:hAnsi="Times New Roman" w:cs="Times New Roman" w:hint="eastAsia"/>
          <w:color w:val="000000"/>
          <w:sz w:val="21"/>
          <w:szCs w:val="21"/>
        </w:rPr>
        <w:t>③</w:t>
      </w:r>
      <w:r>
        <w:rPr>
          <w:rFonts w:ascii="Times New Roman" w:hAnsi="Times New Roman" w:cs="Times New Roman"/>
          <w:color w:val="000000"/>
          <w:sz w:val="21"/>
          <w:szCs w:val="21"/>
        </w:rPr>
        <w:t>该成本预期能够收回。</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为取得合同发生的增量成本是指本公司不取得合同就不会发生的成本（如销售佣金等）。该成本预期能够收回的，本公司将其作为合同取得成本确认为一项资产。本公司为取得合同发生的、除预期能够收回的增量成本之外的其他支出于发生时计入当期损益。</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合同取得成本确认的资产和合同履约成本确认的资产（以下简称</w:t>
      </w:r>
      <w:r>
        <w:rPr>
          <w:rFonts w:ascii="Times New Roman" w:hAnsi="Times New Roman" w:cs="Times New Roman"/>
          <w:color w:val="000000"/>
          <w:sz w:val="21"/>
          <w:szCs w:val="21"/>
        </w:rPr>
        <w:t>“</w:t>
      </w:r>
      <w:r>
        <w:rPr>
          <w:rFonts w:ascii="Times New Roman" w:hAnsi="Times New Roman" w:cs="Times New Roman"/>
          <w:color w:val="000000"/>
          <w:sz w:val="21"/>
          <w:szCs w:val="21"/>
        </w:rPr>
        <w:t>与合同成本有关的资产</w:t>
      </w:r>
      <w:r>
        <w:rPr>
          <w:rFonts w:ascii="Times New Roman" w:hAnsi="Times New Roman" w:cs="Times New Roman"/>
          <w:color w:val="000000"/>
          <w:sz w:val="21"/>
          <w:szCs w:val="21"/>
        </w:rPr>
        <w:t>”</w:t>
      </w:r>
      <w:r>
        <w:rPr>
          <w:rFonts w:ascii="Times New Roman" w:hAnsi="Times New Roman" w:cs="Times New Roman"/>
          <w:color w:val="000000"/>
          <w:sz w:val="21"/>
          <w:szCs w:val="21"/>
        </w:rPr>
        <w:t>），采用与该资产相关的商品或服务收入确认相同的基础进行摊销，计入当期损益。摊销期限不超过一年则在发生时计入当期损益。与合同成本有关的资产，其账面价值高于下列两项的差额的，本公司将对于超出部分计提减值准备，并确认为资产减值损失：（</w:t>
      </w:r>
      <w:r>
        <w:rPr>
          <w:rFonts w:ascii="Times New Roman" w:hAnsi="Times New Roman" w:cs="Times New Roman"/>
          <w:color w:val="000000"/>
          <w:sz w:val="21"/>
          <w:szCs w:val="21"/>
        </w:rPr>
        <w:t>1</w:t>
      </w:r>
      <w:r>
        <w:rPr>
          <w:rFonts w:ascii="Times New Roman" w:hAnsi="Times New Roman" w:cs="Times New Roman"/>
          <w:color w:val="000000"/>
          <w:sz w:val="21"/>
          <w:szCs w:val="21"/>
        </w:rPr>
        <w:t>）因转让与该资产相关的商品或服务预期能够取得的剩余对价；（</w:t>
      </w:r>
      <w:r>
        <w:rPr>
          <w:rFonts w:ascii="Times New Roman" w:hAnsi="Times New Roman" w:cs="Times New Roman"/>
          <w:color w:val="000000"/>
          <w:sz w:val="21"/>
          <w:szCs w:val="21"/>
        </w:rPr>
        <w:t>2</w:t>
      </w:r>
      <w:r>
        <w:rPr>
          <w:rFonts w:ascii="Times New Roman" w:hAnsi="Times New Roman" w:cs="Times New Roman"/>
          <w:color w:val="000000"/>
          <w:sz w:val="21"/>
          <w:szCs w:val="21"/>
        </w:rPr>
        <w:t>）为转让该相关商品或服务估计将要发生的成本。</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上述资产减值准备后续发生转回的，转回后的资产账面价值不超过假定不计提减值准备情况下该资产在转回日的账面价值。</w:t>
      </w:r>
    </w:p>
    <w:p w:rsidR="00CE3C32" w:rsidRDefault="006413B8">
      <w:pPr>
        <w:pStyle w:val="3"/>
        <w:spacing w:before="50" w:after="50" w:line="240" w:lineRule="auto"/>
        <w:jc w:val="left"/>
        <w:rPr>
          <w:rFonts w:ascii="Times New Roman" w:hAnsi="Times New Roman" w:cs="Times New Roman"/>
          <w:b/>
          <w:bCs/>
        </w:rPr>
      </w:pPr>
      <w:bookmarkStart w:id="155" w:name="_Toc989041"/>
      <w:r>
        <w:rPr>
          <w:rFonts w:ascii="Times New Roman" w:hAnsi="Times New Roman" w:cs="Times New Roman"/>
          <w:b/>
          <w:bCs/>
        </w:rPr>
        <w:t>36</w:t>
      </w:r>
      <w:r>
        <w:rPr>
          <w:rFonts w:ascii="Times New Roman" w:hAnsi="Times New Roman" w:cs="Times New Roman"/>
          <w:b/>
          <w:bCs/>
        </w:rPr>
        <w:t>、政府补助</w:t>
      </w:r>
      <w:bookmarkEnd w:id="155"/>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政府补助是指本公司从政府无偿取得货币性资产和非货币性资产，不包括政府以投资者身份并享有相应所有者权益而投入的资本。政府补助分为与资产相关的政府补助和与收益相关的政府补助。本公司将所取得的用于购建或以其他方式形成长期资产的政府补助界定为与资产相关的政府补助；其余政府补助界定为与收益相关的政府补助。若政府文件未明确规定补助对象，则采用以下方式将补助款划分为与收益相关的政府补助和与资产相关的政府补助：</w:t>
      </w:r>
      <w:r>
        <w:rPr>
          <w:rFonts w:ascii="Times New Roman" w:hAnsi="Times New Roman" w:cs="Times New Roman" w:hint="eastAsia"/>
          <w:color w:val="000000"/>
          <w:sz w:val="21"/>
          <w:szCs w:val="21"/>
        </w:rPr>
        <w:t>①</w:t>
      </w:r>
      <w:r>
        <w:rPr>
          <w:rFonts w:ascii="Times New Roman" w:hAnsi="Times New Roman" w:cs="Times New Roman"/>
          <w:color w:val="000000"/>
          <w:sz w:val="21"/>
          <w:szCs w:val="21"/>
        </w:rPr>
        <w:t>政府文件明确了补助所针对的特定项目的，根据该特定项目的预算中将形成资产的支出金额和计入费用的支出金额的相对比例进行划分，对该划分比例需在每个资产负债表日进行复核，必要时进行变更；</w:t>
      </w:r>
      <w:r>
        <w:rPr>
          <w:rFonts w:ascii="Times New Roman" w:hAnsi="Times New Roman" w:cs="Times New Roman" w:hint="eastAsia"/>
          <w:color w:val="000000"/>
          <w:sz w:val="21"/>
          <w:szCs w:val="21"/>
        </w:rPr>
        <w:t>②</w:t>
      </w:r>
      <w:r>
        <w:rPr>
          <w:rFonts w:ascii="Times New Roman" w:hAnsi="Times New Roman" w:cs="Times New Roman"/>
          <w:color w:val="000000"/>
          <w:sz w:val="21"/>
          <w:szCs w:val="21"/>
        </w:rPr>
        <w:t>政府文件中对用途仅作一般性表述，没有指明特定项目的，作为与收益相关的政府补助。政府补助为货币性资产的，按照收到或应收的金额计量。政府补助为非货币性资产的，按照公允价值计量；公允价值不能够可靠取得的，按照名义金额计量。按照名义金额计量的政府补助，直接计入当期损益。</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本公司对于政府补助通常在实际收到时，按照实收金额予以确认和计量。但对于期末有确凿证据表明能够符合财政扶持政策规定的相关条件预计能够收到财政扶持资金，按照应收的金额计量。按照应收金额计量的政府补助应同时符合以下条件：</w:t>
      </w:r>
      <w:r>
        <w:rPr>
          <w:rFonts w:ascii="Times New Roman" w:hAnsi="Times New Roman" w:cs="Times New Roman" w:hint="eastAsia"/>
          <w:color w:val="000000"/>
          <w:sz w:val="21"/>
          <w:szCs w:val="21"/>
        </w:rPr>
        <w:t>①</w:t>
      </w:r>
      <w:r>
        <w:rPr>
          <w:rFonts w:ascii="Times New Roman" w:hAnsi="Times New Roman" w:cs="Times New Roman"/>
          <w:color w:val="000000"/>
          <w:sz w:val="21"/>
          <w:szCs w:val="21"/>
        </w:rPr>
        <w:t>应收补助款的金额已经过有权政府部门发文确认，或者可根据正式发布的财政资金管理办法的有关规定自行合理测算，且预计其金额不存在重大不确定性；</w:t>
      </w:r>
      <w:r>
        <w:rPr>
          <w:rFonts w:ascii="Times New Roman" w:hAnsi="Times New Roman" w:cs="Times New Roman" w:hint="eastAsia"/>
          <w:color w:val="000000"/>
          <w:sz w:val="21"/>
          <w:szCs w:val="21"/>
        </w:rPr>
        <w:t>②</w:t>
      </w:r>
      <w:r>
        <w:rPr>
          <w:rFonts w:ascii="Times New Roman" w:hAnsi="Times New Roman" w:cs="Times New Roman"/>
          <w:color w:val="000000"/>
          <w:sz w:val="21"/>
          <w:szCs w:val="21"/>
        </w:rPr>
        <w:t>所依据的是当地财政部门正式发布并按照《政府信息公开条例》的规定予以主动公开的财政扶持项目及其财政资金管理办法，且该管理办法应当是普惠性的（任何符合规定条件的企业均可申请），而不是专门针对特定企业制定的；</w:t>
      </w:r>
      <w:r>
        <w:rPr>
          <w:rFonts w:ascii="Times New Roman" w:hAnsi="Times New Roman" w:cs="Times New Roman" w:hint="eastAsia"/>
          <w:color w:val="000000"/>
          <w:sz w:val="21"/>
          <w:szCs w:val="21"/>
        </w:rPr>
        <w:t>③</w:t>
      </w:r>
      <w:r>
        <w:rPr>
          <w:rFonts w:ascii="Times New Roman" w:hAnsi="Times New Roman" w:cs="Times New Roman"/>
          <w:color w:val="000000"/>
          <w:sz w:val="21"/>
          <w:szCs w:val="21"/>
        </w:rPr>
        <w:t>相关的补助款批文中已明确承诺了拨付期限，且该款项的拨付是有相应财政预算作为保障的，因而可以合理保证其可在规定期限内收到；</w:t>
      </w:r>
      <w:r>
        <w:rPr>
          <w:rFonts w:ascii="Times New Roman" w:hAnsi="Times New Roman" w:cs="Times New Roman" w:hint="eastAsia"/>
          <w:color w:val="000000"/>
          <w:sz w:val="21"/>
          <w:szCs w:val="21"/>
        </w:rPr>
        <w:t>④</w:t>
      </w:r>
      <w:r>
        <w:rPr>
          <w:rFonts w:ascii="Times New Roman" w:hAnsi="Times New Roman" w:cs="Times New Roman"/>
          <w:color w:val="000000"/>
          <w:sz w:val="21"/>
          <w:szCs w:val="21"/>
        </w:rPr>
        <w:t>根据本公司和该补助事项的具体情况，应满足的其他相关条件（如有）。</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lastRenderedPageBreak/>
        <w:t>与资产相关的政府补助，确认为递延收益，并在相关资产的使用寿命内按照合理、系统的方法分期计入当期损益。与收益相关的政府补助，用于补偿以后期间的相关成本费用或损失的，确认为递延收益，并在确认相关成本费用或损失的期间计入当期损益；用于补偿已经发生的相关成本费用或损失的，直接计入当期损益。</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同时包含与资产相关部分和与收益相关部分的政府补助，区分不同部分分别进行会计处理；难以区分的，将其整体归类为与收益相关的政府补助。</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与本公司日常活动相关的政府补助，按照经济业务的实质，计入其他收益或冲减相关成本费用；与日常活动无关的政府补助，计入营业外收支。</w:t>
      </w:r>
    </w:p>
    <w:p w:rsidR="00CE3C32" w:rsidRDefault="006413B8">
      <w:pPr>
        <w:pStyle w:val="a6"/>
        <w:spacing w:beforeLines="50" w:before="156" w:beforeAutospacing="0" w:afterLines="50" w:after="156" w:afterAutospacing="0"/>
        <w:ind w:firstLine="420"/>
        <w:jc w:val="both"/>
        <w:rPr>
          <w:rFonts w:ascii="Times New Roman" w:hAnsi="Times New Roman" w:cs="Times New Roman"/>
          <w:color w:val="000000"/>
          <w:sz w:val="21"/>
          <w:szCs w:val="21"/>
        </w:rPr>
      </w:pPr>
      <w:r>
        <w:rPr>
          <w:rFonts w:ascii="Times New Roman" w:hAnsi="Times New Roman" w:cs="Times New Roman"/>
          <w:color w:val="000000"/>
          <w:sz w:val="21"/>
          <w:szCs w:val="21"/>
        </w:rPr>
        <w:t>已确认的政府补助需要退回时，存在相关递延收益余额的，冲减相关递延收益账面余额，超出部分计入当期损益；属于其他情况的，直接计入当期损益。</w:t>
      </w:r>
    </w:p>
    <w:p w:rsidR="00CE3C32" w:rsidRDefault="006413B8">
      <w:pPr>
        <w:pStyle w:val="3"/>
        <w:spacing w:beforeLines="50" w:before="156" w:afterLines="50" w:after="156" w:line="240" w:lineRule="auto"/>
        <w:jc w:val="left"/>
        <w:rPr>
          <w:rFonts w:ascii="Times New Roman" w:hAnsi="Times New Roman" w:cs="Times New Roman"/>
          <w:b/>
          <w:bCs/>
        </w:rPr>
      </w:pPr>
      <w:bookmarkStart w:id="156" w:name="_Toc989042"/>
      <w:r>
        <w:rPr>
          <w:rFonts w:ascii="Times New Roman" w:hAnsi="Times New Roman" w:cs="Times New Roman"/>
          <w:b/>
          <w:bCs/>
        </w:rPr>
        <w:t>37</w:t>
      </w:r>
      <w:r>
        <w:rPr>
          <w:rFonts w:ascii="Times New Roman" w:hAnsi="Times New Roman" w:cs="Times New Roman"/>
          <w:b/>
          <w:bCs/>
        </w:rPr>
        <w:t>、递延所得税资产</w:t>
      </w:r>
      <w:r>
        <w:rPr>
          <w:rFonts w:ascii="Times New Roman" w:hAnsi="Times New Roman" w:cs="Times New Roman"/>
          <w:b/>
          <w:bCs/>
        </w:rPr>
        <w:t>/</w:t>
      </w:r>
      <w:r>
        <w:rPr>
          <w:rFonts w:ascii="Times New Roman" w:hAnsi="Times New Roman" w:cs="Times New Roman"/>
          <w:b/>
          <w:bCs/>
        </w:rPr>
        <w:t>递延所得税负债</w:t>
      </w:r>
      <w:bookmarkEnd w:id="156"/>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37.1 </w:t>
      </w:r>
      <w:r>
        <w:rPr>
          <w:rStyle w:val="a7"/>
          <w:rFonts w:ascii="Times New Roman" w:hAnsi="Times New Roman" w:cs="Times New Roman"/>
          <w:color w:val="000000"/>
          <w:sz w:val="21"/>
          <w:szCs w:val="21"/>
        </w:rPr>
        <w:t>当期所得税</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资产负债表日，对于当期和以前期间形成的当期所得税负债（或资产），以按照税法规定计算的预期应交纳（或返还）的所得税金额计量。计算当期所得税费用所依据的应纳税所得额系根据有关税法规定对本报告期税前会计利润作相应调整后计算得出。</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37.2 </w:t>
      </w:r>
      <w:r>
        <w:rPr>
          <w:rStyle w:val="a7"/>
          <w:rFonts w:ascii="Times New Roman" w:hAnsi="Times New Roman" w:cs="Times New Roman"/>
          <w:color w:val="000000"/>
          <w:sz w:val="21"/>
          <w:szCs w:val="21"/>
        </w:rPr>
        <w:t>递延所得税资产及递延所得税负债</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某些资产、负债项目的账面价值与其计税基础之间的差额，以及未作为资产和负债确认但按照税法规定可以确定其计税基础的项目的账面价值与计税基础之间的差额产生的暂时性差异，采用资产负债表债务法确认递延所得税资产及递延所得税负债。</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与商誉的初始确认有关，以及与既不是企业合并、发生时也不影响会计利润和应纳税所得额（或可抵扣亏损）且初始确认的资产和负债未导致产生等额应纳税暂时性差异和可抵扣暂时性差异的单项交易，交易中产生的资产或负债的初始确认有关的应纳税暂时性差异，不予确认有关的递延所得税负债。此外，对与子公司、联营企业及合营企业投资相关的应纳税暂时性差异，如果本公司能够控制暂时性差异转回的时间，而且该暂时性差异在可预见的未来很可能不会转回，也不予确认有关的递延所得税负债。除上述例外情况，本公司确认其他所有应纳税暂时性差异产生的递延所得税负债。</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与既不是企业合并、发生时也不影响会计利润和应纳税所得额（或可抵扣亏损）且初始确认的资产和负债未导致产生等额应纳税暂时性差异和可抵扣暂时性差异的单项交易，交易中产生的资产或负债的初始确认有关的可抵扣暂时性差异，不予确认有关的递延所得税资产。此外，对与子公司、联营企业及合营企业投资相关的可抵扣暂时性差异，如果暂时性差异在可预见的未来不是很可能转回，或者未来不是很可能获得用来抵扣可抵扣暂时性差异的应纳税所得额，不予确认有关的递延所得税资产。除上述例外情况，本公司以很可能取得用来抵扣可抵扣暂时性差异的应纳税所得额为限，确认其他可抵扣暂时性差异产生的递延所得税资产。</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对于能够结转以后年度的可抵扣亏损和税款抵减，以很可能获得用来抵扣可抵扣亏损和税款抵减的未来应纳税所得额为限，确认相应的递延所得税资产。</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资产负债表日，对于递延所得税资产和递延所得税负债，根据税法规定，按照预期收回相关资产或清偿相关负债期间的适用税率计量。</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lastRenderedPageBreak/>
        <w:t>于资产负债表日，对递延所得税资产的账面价值进行复核，如果未来很可能无法获得足够的应纳税所得额用以抵扣递延所得税资产的利益，则减记递延所得税资产的账面价值。在很可能获得足够的应纳税所得额时，减记的金额予以转回。</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37.3 </w:t>
      </w:r>
      <w:r>
        <w:rPr>
          <w:rStyle w:val="a7"/>
          <w:rFonts w:ascii="Times New Roman" w:hAnsi="Times New Roman" w:cs="Times New Roman"/>
          <w:color w:val="000000"/>
          <w:sz w:val="21"/>
          <w:szCs w:val="21"/>
        </w:rPr>
        <w:t>所得税费用</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所得税费用包括当期所得税和递延所得税。</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除确认为其他综合收益或直接计入股东权益的交易和事项相关的当期所得税和递延所得税计入其他综合收益或股东权益，以及企业合并产生的递延所得税调整商誉的账面价值外，其余当期所得税和递延所得税费用或收益计入当期损益。</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Style w:val="a7"/>
          <w:rFonts w:ascii="Times New Roman" w:hAnsi="Times New Roman" w:cs="Times New Roman"/>
          <w:color w:val="000000"/>
          <w:sz w:val="21"/>
          <w:szCs w:val="21"/>
        </w:rPr>
        <w:t xml:space="preserve">37.4 </w:t>
      </w:r>
      <w:r>
        <w:rPr>
          <w:rStyle w:val="a7"/>
          <w:rFonts w:ascii="Times New Roman" w:hAnsi="Times New Roman" w:cs="Times New Roman"/>
          <w:color w:val="000000"/>
          <w:sz w:val="21"/>
          <w:szCs w:val="21"/>
        </w:rPr>
        <w:t>所得税的抵消</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当拥有以净额结算的法定权利，且意图以净额结算或取得资产、清偿负债同时进行时，本公司当期所得税资产及当期所得税负债以抵销后的净额列报。</w:t>
      </w:r>
    </w:p>
    <w:p w:rsidR="00CE3C32" w:rsidRDefault="006413B8">
      <w:pPr>
        <w:pStyle w:val="a6"/>
        <w:spacing w:beforeLines="50" w:before="156" w:beforeAutospacing="0" w:afterLines="50" w:after="156" w:afterAutospacing="0"/>
        <w:ind w:firstLine="420"/>
        <w:jc w:val="both"/>
        <w:rPr>
          <w:rFonts w:ascii="Times New Roman" w:hAnsi="Times New Roman" w:cs="Times New Roman"/>
          <w:sz w:val="21"/>
          <w:szCs w:val="21"/>
        </w:rPr>
      </w:pPr>
      <w:r>
        <w:rPr>
          <w:rFonts w:ascii="Times New Roman" w:hAnsi="Times New Roman" w:cs="Times New Roman"/>
          <w:color w:val="000000"/>
          <w:sz w:val="21"/>
          <w:szCs w:val="21"/>
        </w:rPr>
        <w:t>当拥有以净额结算当期所得税资产及当期所得税负债的法定权利，且递延所得税资产及递延所得税负债是与同一税收征管部门对同一纳税主体征收的所得税相关或者是对不同的纳税主体相关，但在未来每一具有重要性的递延所得税资产及负债转回的期间内，涉及的纳税主体意图以净额结算当期所得税资产和负债或是同时取得资产、清偿负债时，本公司递延所得税资产及递延所得税负债以抵销后的净额列报。</w:t>
      </w:r>
    </w:p>
    <w:p w:rsidR="00CE3C32" w:rsidRDefault="006413B8">
      <w:pPr>
        <w:pStyle w:val="3"/>
        <w:spacing w:beforeLines="50" w:before="156" w:afterLines="50" w:after="156" w:line="240" w:lineRule="auto"/>
        <w:jc w:val="left"/>
        <w:rPr>
          <w:rFonts w:ascii="Times New Roman" w:hAnsi="Times New Roman" w:cs="Times New Roman"/>
          <w:b/>
          <w:bCs/>
        </w:rPr>
      </w:pPr>
      <w:bookmarkStart w:id="157" w:name="_Toc989043"/>
      <w:r>
        <w:rPr>
          <w:rFonts w:ascii="Times New Roman" w:hAnsi="Times New Roman" w:cs="Times New Roman"/>
          <w:b/>
          <w:bCs/>
        </w:rPr>
        <w:t>38</w:t>
      </w:r>
      <w:r>
        <w:rPr>
          <w:rFonts w:ascii="Times New Roman" w:hAnsi="Times New Roman" w:cs="Times New Roman"/>
          <w:b/>
          <w:bCs/>
        </w:rPr>
        <w:t>、租赁</w:t>
      </w:r>
      <w:bookmarkEnd w:id="157"/>
    </w:p>
    <w:p w:rsidR="00CE3C32" w:rsidRDefault="006413B8">
      <w:pPr>
        <w:keepNext/>
        <w:keepLines/>
        <w:spacing w:beforeLines="50" w:before="156" w:afterLines="50" w:after="156"/>
        <w:outlineLvl w:val="3"/>
        <w:rPr>
          <w:rFonts w:ascii="Times New Roman" w:eastAsia="宋体" w:hAnsi="Times New Roman" w:cs="Times New Roman"/>
          <w:b/>
          <w:bCs/>
          <w:szCs w:val="21"/>
        </w:rPr>
      </w:pPr>
      <w:bookmarkStart w:id="158" w:name="_Toc989044"/>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作为承租方租赁的会计处理方法</w:t>
      </w:r>
      <w:bookmarkEnd w:id="158"/>
    </w:p>
    <w:p w:rsidR="00CE3C32" w:rsidRDefault="006413B8">
      <w:pPr>
        <w:pStyle w:val="a6"/>
        <w:spacing w:beforeLines="50" w:before="156" w:beforeAutospacing="0" w:afterLines="50" w:after="156" w:afterAutospacing="0"/>
        <w:ind w:firstLine="420"/>
        <w:rPr>
          <w:rFonts w:ascii="Times New Roman" w:hAnsi="Times New Roman" w:cs="Times New Roman"/>
          <w:sz w:val="21"/>
          <w:szCs w:val="21"/>
        </w:rPr>
      </w:pPr>
      <w:r>
        <w:rPr>
          <w:rFonts w:ascii="Times New Roman" w:hAnsi="Times New Roman" w:cs="Times New Roman"/>
          <w:color w:val="000000"/>
          <w:sz w:val="21"/>
          <w:szCs w:val="21"/>
        </w:rPr>
        <w:t>本公司租赁资产的类别主要为房屋及建筑物。</w:t>
      </w:r>
    </w:p>
    <w:p w:rsidR="00CE3C32" w:rsidRDefault="006413B8">
      <w:pPr>
        <w:pStyle w:val="a6"/>
        <w:spacing w:beforeLines="50" w:before="156" w:beforeAutospacing="0" w:afterLines="50" w:after="156" w:afterAutospacing="0"/>
        <w:ind w:firstLine="420"/>
        <w:rPr>
          <w:rFonts w:ascii="Times New Roman" w:hAnsi="Times New Roman" w:cs="Times New Roman"/>
          <w:sz w:val="21"/>
          <w:szCs w:val="21"/>
        </w:rPr>
      </w:pPr>
      <w:r>
        <w:rPr>
          <w:rStyle w:val="a7"/>
          <w:rFonts w:ascii="Times New Roman" w:hAnsi="Times New Roman" w:cs="Times New Roman"/>
          <w:color w:val="000000"/>
          <w:sz w:val="21"/>
          <w:szCs w:val="21"/>
        </w:rPr>
        <w:t xml:space="preserve">38.1.1 </w:t>
      </w:r>
      <w:r>
        <w:rPr>
          <w:rStyle w:val="a7"/>
          <w:rFonts w:ascii="Times New Roman" w:hAnsi="Times New Roman" w:cs="Times New Roman"/>
          <w:color w:val="000000"/>
          <w:sz w:val="21"/>
          <w:szCs w:val="21"/>
        </w:rPr>
        <w:t>初始计量</w:t>
      </w:r>
    </w:p>
    <w:p w:rsidR="00CE3C32" w:rsidRDefault="006413B8">
      <w:pPr>
        <w:pStyle w:val="a6"/>
        <w:spacing w:beforeLines="50" w:before="156" w:beforeAutospacing="0" w:afterLines="50" w:after="156" w:afterAutospacing="0"/>
        <w:ind w:firstLine="420"/>
        <w:rPr>
          <w:rFonts w:ascii="Times New Roman" w:hAnsi="Times New Roman" w:cs="Times New Roman"/>
          <w:sz w:val="21"/>
          <w:szCs w:val="21"/>
        </w:rPr>
      </w:pPr>
      <w:r>
        <w:rPr>
          <w:rFonts w:ascii="Times New Roman" w:hAnsi="Times New Roman" w:cs="Times New Roman"/>
          <w:color w:val="000000"/>
          <w:sz w:val="21"/>
          <w:szCs w:val="21"/>
        </w:rPr>
        <w:t>在租赁期开始日，本公司将可在租赁期内使用租赁资产的权利确认为使用权资产，将尚未支付的租赁付款额的现值确认为租赁负债，短期租赁和低价值资产租赁除外。在计算租赁付款额的现值时，本公司采用租赁内含利率作为折现率；无法确定租赁内含利率的，采用承租人增量借款利率作为折现率。</w:t>
      </w:r>
    </w:p>
    <w:p w:rsidR="00CE3C32" w:rsidRDefault="006413B8">
      <w:pPr>
        <w:pStyle w:val="a6"/>
        <w:spacing w:beforeLines="50" w:before="156" w:beforeAutospacing="0" w:afterLines="50" w:after="156" w:afterAutospacing="0"/>
        <w:ind w:firstLine="420"/>
        <w:rPr>
          <w:rFonts w:ascii="Times New Roman" w:hAnsi="Times New Roman" w:cs="Times New Roman"/>
          <w:sz w:val="21"/>
          <w:szCs w:val="21"/>
        </w:rPr>
      </w:pPr>
      <w:r>
        <w:rPr>
          <w:rStyle w:val="a7"/>
          <w:rFonts w:ascii="Times New Roman" w:hAnsi="Times New Roman" w:cs="Times New Roman"/>
          <w:color w:val="000000"/>
          <w:sz w:val="21"/>
          <w:szCs w:val="21"/>
        </w:rPr>
        <w:t xml:space="preserve">38.1.2 </w:t>
      </w:r>
      <w:r>
        <w:rPr>
          <w:rStyle w:val="a7"/>
          <w:rFonts w:ascii="Times New Roman" w:hAnsi="Times New Roman" w:cs="Times New Roman"/>
          <w:color w:val="000000"/>
          <w:sz w:val="21"/>
          <w:szCs w:val="21"/>
        </w:rPr>
        <w:t>后续计量</w:t>
      </w:r>
    </w:p>
    <w:p w:rsidR="00CE3C32" w:rsidRDefault="006413B8">
      <w:pPr>
        <w:pStyle w:val="a6"/>
        <w:spacing w:beforeLines="50" w:before="156" w:beforeAutospacing="0" w:afterLines="50" w:after="156" w:afterAutospacing="0"/>
        <w:ind w:firstLine="420"/>
        <w:rPr>
          <w:rFonts w:ascii="Times New Roman" w:hAnsi="Times New Roman" w:cs="Times New Roman"/>
          <w:sz w:val="21"/>
          <w:szCs w:val="21"/>
        </w:rPr>
      </w:pPr>
      <w:r>
        <w:rPr>
          <w:rFonts w:ascii="Times New Roman" w:hAnsi="Times New Roman" w:cs="Times New Roman"/>
          <w:color w:val="000000"/>
          <w:sz w:val="21"/>
          <w:szCs w:val="21"/>
        </w:rPr>
        <w:t>本公司参照《企业会计准则第</w:t>
      </w:r>
      <w:r>
        <w:rPr>
          <w:rFonts w:ascii="Times New Roman" w:hAnsi="Times New Roman" w:cs="Times New Roman"/>
          <w:color w:val="000000"/>
          <w:sz w:val="21"/>
          <w:szCs w:val="21"/>
        </w:rPr>
        <w:t>4</w:t>
      </w:r>
      <w:r>
        <w:rPr>
          <w:rFonts w:ascii="Times New Roman" w:hAnsi="Times New Roman" w:cs="Times New Roman"/>
          <w:color w:val="000000"/>
          <w:sz w:val="21"/>
          <w:szCs w:val="21"/>
        </w:rPr>
        <w:t>号</w:t>
      </w:r>
      <w:r>
        <w:rPr>
          <w:rFonts w:ascii="Times New Roman" w:hAnsi="Times New Roman" w:cs="Times New Roman"/>
          <w:color w:val="000000"/>
          <w:sz w:val="21"/>
          <w:szCs w:val="21"/>
        </w:rPr>
        <w:t>——</w:t>
      </w:r>
      <w:r>
        <w:rPr>
          <w:rFonts w:ascii="Times New Roman" w:hAnsi="Times New Roman" w:cs="Times New Roman"/>
          <w:color w:val="000000"/>
          <w:sz w:val="21"/>
          <w:szCs w:val="21"/>
        </w:rPr>
        <w:t>固定资产》有关折旧规定对使用权资产计提折旧（详见本节五、</w:t>
      </w:r>
      <w:r>
        <w:rPr>
          <w:rFonts w:ascii="Times New Roman" w:hAnsi="Times New Roman" w:cs="Times New Roman"/>
          <w:color w:val="000000"/>
          <w:sz w:val="21"/>
          <w:szCs w:val="21"/>
        </w:rPr>
        <w:t>“24</w:t>
      </w:r>
      <w:r>
        <w:rPr>
          <w:rFonts w:ascii="Times New Roman" w:hAnsi="Times New Roman" w:cs="Times New Roman" w:hint="eastAsia"/>
          <w:color w:val="000000"/>
          <w:sz w:val="21"/>
          <w:szCs w:val="21"/>
        </w:rPr>
        <w:t xml:space="preserve"> </w:t>
      </w:r>
      <w:r>
        <w:rPr>
          <w:rFonts w:ascii="Times New Roman" w:hAnsi="Times New Roman" w:cs="Times New Roman"/>
          <w:color w:val="000000"/>
          <w:sz w:val="21"/>
          <w:szCs w:val="21"/>
        </w:rPr>
        <w:t>固定资产</w:t>
      </w:r>
      <w:r>
        <w:rPr>
          <w:rFonts w:ascii="Times New Roman" w:hAnsi="Times New Roman" w:cs="Times New Roman"/>
          <w:color w:val="000000"/>
          <w:sz w:val="21"/>
          <w:szCs w:val="21"/>
        </w:rPr>
        <w:t>”</w:t>
      </w:r>
      <w:r>
        <w:rPr>
          <w:rFonts w:ascii="Times New Roman" w:hAnsi="Times New Roman" w:cs="Times New Roman"/>
          <w:color w:val="000000"/>
          <w:sz w:val="21"/>
          <w:szCs w:val="21"/>
        </w:rPr>
        <w:t>），能够合理确定租赁期届满时取得租赁资产所有权的，本公司在租赁资产剩余使用寿命内计提折旧。无法合理确定租赁期届满时能够取得租赁资产所有权的，本公司在租赁期与租赁资产剩余使用寿命两者孰短的期间内计提折旧。</w:t>
      </w:r>
    </w:p>
    <w:p w:rsidR="00CE3C32" w:rsidRDefault="006413B8">
      <w:pPr>
        <w:pStyle w:val="a6"/>
        <w:spacing w:beforeLines="50" w:before="156" w:beforeAutospacing="0" w:afterLines="50" w:after="156" w:afterAutospacing="0"/>
        <w:ind w:firstLine="420"/>
        <w:rPr>
          <w:rFonts w:ascii="Times New Roman" w:hAnsi="Times New Roman" w:cs="Times New Roman"/>
          <w:sz w:val="21"/>
          <w:szCs w:val="21"/>
        </w:rPr>
      </w:pPr>
      <w:r>
        <w:rPr>
          <w:rFonts w:ascii="Times New Roman" w:hAnsi="Times New Roman" w:cs="Times New Roman"/>
          <w:color w:val="000000"/>
          <w:sz w:val="21"/>
          <w:szCs w:val="21"/>
        </w:rPr>
        <w:t>对于租赁负债，本公司按照固定的周期性利率计算其在租赁期内各期间的利息费用，计入当期损益或计入相关资产成本。未纳入租赁负债计量的可变租赁付款额在实际发生时计入当期损益或相关资产成本。</w:t>
      </w:r>
    </w:p>
    <w:p w:rsidR="00CE3C32" w:rsidRDefault="006413B8">
      <w:pPr>
        <w:pStyle w:val="a6"/>
        <w:spacing w:beforeLines="50" w:before="156" w:beforeAutospacing="0" w:afterLines="50" w:after="156" w:afterAutospacing="0"/>
        <w:ind w:firstLine="420"/>
        <w:rPr>
          <w:rFonts w:ascii="Times New Roman" w:hAnsi="Times New Roman" w:cs="Times New Roman"/>
          <w:sz w:val="21"/>
          <w:szCs w:val="21"/>
        </w:rPr>
      </w:pPr>
      <w:r>
        <w:rPr>
          <w:rFonts w:ascii="Times New Roman" w:hAnsi="Times New Roman" w:cs="Times New Roman"/>
          <w:color w:val="000000"/>
          <w:sz w:val="21"/>
          <w:szCs w:val="21"/>
        </w:rPr>
        <w:t>租赁期开始日后，当实质固定付款额发生变动、担保余值预计的应付金额发生变化、用于确定租赁付款额的指数或比率发生变动、购买选择权、续租选择权或终止选择权的评估结果或实际行权情况发生变化时，本公司按照变动后的租赁付款额的现值重新计量租赁负债，并相应调整使用权资产的账面价值。使用权资产账面价值已调减至零，但租赁负债仍需进一步调减的，本公司将剩余金额计入当期损益。</w:t>
      </w:r>
    </w:p>
    <w:p w:rsidR="00CE3C32" w:rsidRDefault="006413B8">
      <w:pPr>
        <w:pStyle w:val="a6"/>
        <w:spacing w:beforeLines="50" w:before="156" w:beforeAutospacing="0" w:afterLines="50" w:after="156" w:afterAutospacing="0"/>
        <w:ind w:firstLine="420"/>
        <w:rPr>
          <w:rFonts w:ascii="Times New Roman" w:hAnsi="Times New Roman" w:cs="Times New Roman"/>
          <w:sz w:val="21"/>
          <w:szCs w:val="21"/>
        </w:rPr>
      </w:pPr>
      <w:r>
        <w:rPr>
          <w:rStyle w:val="a7"/>
          <w:rFonts w:ascii="Times New Roman" w:hAnsi="Times New Roman" w:cs="Times New Roman"/>
          <w:color w:val="000000"/>
          <w:sz w:val="21"/>
          <w:szCs w:val="21"/>
        </w:rPr>
        <w:t>38.1.3</w:t>
      </w:r>
      <w:r>
        <w:rPr>
          <w:rStyle w:val="a7"/>
          <w:rFonts w:ascii="Times New Roman" w:hAnsi="Times New Roman" w:cs="Times New Roman" w:hint="eastAsia"/>
          <w:color w:val="000000"/>
          <w:sz w:val="21"/>
          <w:szCs w:val="21"/>
        </w:rPr>
        <w:t xml:space="preserve"> </w:t>
      </w:r>
      <w:r>
        <w:rPr>
          <w:rStyle w:val="a7"/>
          <w:rFonts w:ascii="Times New Roman" w:hAnsi="Times New Roman" w:cs="Times New Roman"/>
          <w:color w:val="000000"/>
          <w:sz w:val="21"/>
          <w:szCs w:val="21"/>
        </w:rPr>
        <w:t xml:space="preserve"> </w:t>
      </w:r>
      <w:r>
        <w:rPr>
          <w:rStyle w:val="a7"/>
          <w:rFonts w:ascii="Times New Roman" w:hAnsi="Times New Roman" w:cs="Times New Roman"/>
          <w:color w:val="000000"/>
          <w:sz w:val="21"/>
          <w:szCs w:val="21"/>
        </w:rPr>
        <w:t>短期租赁和低价值资产租赁</w:t>
      </w:r>
    </w:p>
    <w:p w:rsidR="00CE3C32" w:rsidRDefault="006413B8">
      <w:pPr>
        <w:pStyle w:val="a6"/>
        <w:spacing w:beforeLines="50" w:before="156" w:beforeAutospacing="0" w:afterLines="50" w:after="156" w:afterAutospacing="0"/>
        <w:ind w:firstLine="420"/>
        <w:rPr>
          <w:rFonts w:ascii="Times New Roman" w:hAnsi="Times New Roman" w:cs="Times New Roman"/>
          <w:sz w:val="21"/>
          <w:szCs w:val="21"/>
        </w:rPr>
      </w:pPr>
      <w:r>
        <w:rPr>
          <w:rFonts w:ascii="Times New Roman" w:hAnsi="Times New Roman" w:cs="Times New Roman"/>
          <w:color w:val="000000"/>
          <w:sz w:val="21"/>
          <w:szCs w:val="21"/>
        </w:rPr>
        <w:lastRenderedPageBreak/>
        <w:t>对于短期租赁（在租赁开始日租赁期不超过</w:t>
      </w:r>
      <w:r>
        <w:rPr>
          <w:rFonts w:ascii="Times New Roman" w:hAnsi="Times New Roman" w:cs="Times New Roman"/>
          <w:color w:val="000000"/>
          <w:sz w:val="21"/>
          <w:szCs w:val="21"/>
        </w:rPr>
        <w:t>12</w:t>
      </w:r>
      <w:r>
        <w:rPr>
          <w:rFonts w:ascii="Times New Roman" w:hAnsi="Times New Roman" w:cs="Times New Roman"/>
          <w:color w:val="000000"/>
          <w:sz w:val="21"/>
          <w:szCs w:val="21"/>
        </w:rPr>
        <w:t>个月的租赁）和低价值资产租赁，本集团采取简化处理方法，不确认使用权资产和租赁负债，而在租赁期内各个期间按照直线法或其他系统合理的方法将租赁付款额计入相关资产成本或当期损益。</w:t>
      </w:r>
      <w:r>
        <w:rPr>
          <w:rFonts w:ascii="Times New Roman" w:hAnsi="Times New Roman" w:cs="Times New Roman"/>
          <w:color w:val="000000"/>
          <w:sz w:val="21"/>
          <w:szCs w:val="21"/>
        </w:rPr>
        <w:t xml:space="preserve"> </w:t>
      </w:r>
    </w:p>
    <w:p w:rsidR="00CE3C32" w:rsidRDefault="006413B8">
      <w:pPr>
        <w:keepNext/>
        <w:keepLines/>
        <w:spacing w:beforeLines="50" w:before="156" w:afterLines="50" w:after="156"/>
        <w:outlineLvl w:val="3"/>
        <w:rPr>
          <w:rFonts w:ascii="Times New Roman" w:eastAsia="宋体" w:hAnsi="Times New Roman" w:cs="Times New Roman"/>
          <w:b/>
          <w:bCs/>
          <w:szCs w:val="21"/>
        </w:rPr>
      </w:pPr>
      <w:bookmarkStart w:id="159" w:name="_Toc989045"/>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作为出租方租赁的会计处理方法</w:t>
      </w:r>
      <w:bookmarkEnd w:id="159"/>
    </w:p>
    <w:p w:rsidR="00CE3C32" w:rsidRDefault="006413B8">
      <w:pPr>
        <w:pStyle w:val="a6"/>
        <w:spacing w:beforeLines="50" w:before="156" w:beforeAutospacing="0" w:afterLines="50" w:after="156" w:afterAutospacing="0"/>
        <w:ind w:firstLine="420"/>
        <w:rPr>
          <w:rFonts w:ascii="Times New Roman" w:hAnsi="Times New Roman" w:cs="Times New Roman"/>
          <w:sz w:val="21"/>
          <w:szCs w:val="21"/>
        </w:rPr>
      </w:pPr>
      <w:r>
        <w:rPr>
          <w:rFonts w:ascii="Times New Roman" w:hAnsi="Times New Roman" w:cs="Times New Roman"/>
          <w:color w:val="000000"/>
          <w:sz w:val="21"/>
          <w:szCs w:val="21"/>
        </w:rPr>
        <w:t>本公司在租赁开始日，基于交易的实质，将租赁分为融资租赁和经营租赁。融资租赁是指实质上转移了与租赁资产所有权有关的几乎全部风险和报酬的租赁。经营租赁是指除融资租赁以外的其他租赁。</w:t>
      </w:r>
    </w:p>
    <w:p w:rsidR="00CE3C32" w:rsidRDefault="006413B8">
      <w:pPr>
        <w:pStyle w:val="a6"/>
        <w:spacing w:beforeLines="50" w:before="156" w:beforeAutospacing="0" w:afterLines="50" w:after="156" w:afterAutospacing="0"/>
        <w:ind w:firstLine="420"/>
        <w:rPr>
          <w:rFonts w:ascii="Times New Roman" w:hAnsi="Times New Roman" w:cs="Times New Roman"/>
          <w:sz w:val="21"/>
          <w:szCs w:val="21"/>
        </w:rPr>
      </w:pPr>
      <w:r>
        <w:rPr>
          <w:rStyle w:val="a7"/>
          <w:rFonts w:ascii="Times New Roman" w:hAnsi="Times New Roman" w:cs="Times New Roman"/>
          <w:color w:val="000000"/>
          <w:sz w:val="21"/>
          <w:szCs w:val="21"/>
        </w:rPr>
        <w:t xml:space="preserve">38.2.1 </w:t>
      </w:r>
      <w:r>
        <w:rPr>
          <w:rStyle w:val="a7"/>
          <w:rFonts w:ascii="Times New Roman" w:hAnsi="Times New Roman" w:cs="Times New Roman"/>
          <w:color w:val="000000"/>
          <w:sz w:val="21"/>
          <w:szCs w:val="21"/>
        </w:rPr>
        <w:t>经营租赁</w:t>
      </w:r>
    </w:p>
    <w:p w:rsidR="00CE3C32" w:rsidRDefault="006413B8">
      <w:pPr>
        <w:pStyle w:val="a6"/>
        <w:spacing w:beforeLines="50" w:before="156" w:beforeAutospacing="0" w:afterLines="50" w:after="156" w:afterAutospacing="0"/>
        <w:ind w:firstLine="420"/>
        <w:rPr>
          <w:rFonts w:ascii="Times New Roman" w:hAnsi="Times New Roman" w:cs="Times New Roman"/>
          <w:sz w:val="21"/>
          <w:szCs w:val="21"/>
        </w:rPr>
      </w:pPr>
      <w:r>
        <w:rPr>
          <w:rFonts w:ascii="Times New Roman" w:hAnsi="Times New Roman" w:cs="Times New Roman"/>
          <w:color w:val="000000"/>
          <w:sz w:val="21"/>
          <w:szCs w:val="21"/>
        </w:rPr>
        <w:t>本公司采用直线法将经营租赁的租赁收款额确认为租赁期内各期间的租金收入。与经营租赁有关的未计入租赁收款额的可变租赁付款额，于实际发生时计入当期损益。</w:t>
      </w:r>
      <w:r>
        <w:rPr>
          <w:rFonts w:ascii="Times New Roman" w:hAnsi="Times New Roman" w:cs="Times New Roman"/>
          <w:color w:val="000000"/>
          <w:sz w:val="21"/>
          <w:szCs w:val="21"/>
        </w:rPr>
        <w:t xml:space="preserve"> </w:t>
      </w:r>
    </w:p>
    <w:p w:rsidR="00CE3C32" w:rsidRDefault="006413B8">
      <w:pPr>
        <w:pStyle w:val="a6"/>
        <w:spacing w:beforeLines="50" w:before="156" w:beforeAutospacing="0" w:afterLines="50" w:after="156" w:afterAutospacing="0"/>
        <w:ind w:firstLine="420"/>
        <w:rPr>
          <w:rFonts w:ascii="Times New Roman" w:hAnsi="Times New Roman" w:cs="Times New Roman"/>
          <w:sz w:val="21"/>
          <w:szCs w:val="21"/>
        </w:rPr>
      </w:pPr>
      <w:r>
        <w:rPr>
          <w:rStyle w:val="a7"/>
          <w:rFonts w:ascii="Times New Roman" w:hAnsi="Times New Roman" w:cs="Times New Roman"/>
          <w:color w:val="000000"/>
          <w:sz w:val="21"/>
          <w:szCs w:val="21"/>
        </w:rPr>
        <w:t xml:space="preserve">38.2.2 </w:t>
      </w:r>
      <w:r>
        <w:rPr>
          <w:rStyle w:val="a7"/>
          <w:rFonts w:ascii="Times New Roman" w:hAnsi="Times New Roman" w:cs="Times New Roman"/>
          <w:color w:val="000000"/>
          <w:sz w:val="21"/>
          <w:szCs w:val="21"/>
        </w:rPr>
        <w:t>融资租赁</w:t>
      </w:r>
    </w:p>
    <w:p w:rsidR="00CE3C32" w:rsidRDefault="006413B8">
      <w:pPr>
        <w:pStyle w:val="a6"/>
        <w:spacing w:beforeLines="50" w:before="156" w:beforeAutospacing="0" w:afterLines="50" w:after="156" w:afterAutospacing="0"/>
        <w:ind w:firstLine="420"/>
        <w:rPr>
          <w:rFonts w:ascii="Times New Roman" w:hAnsi="Times New Roman" w:cs="Times New Roman"/>
          <w:sz w:val="21"/>
          <w:szCs w:val="21"/>
        </w:rPr>
      </w:pPr>
      <w:r>
        <w:rPr>
          <w:rFonts w:ascii="Times New Roman" w:hAnsi="Times New Roman" w:cs="Times New Roman"/>
          <w:color w:val="000000"/>
          <w:sz w:val="21"/>
          <w:szCs w:val="21"/>
        </w:rPr>
        <w:t>于租赁期开始日，本公司确认应收融资租赁款，并终止确认融资租赁资产。应收融资租赁款以租赁投资净额（未担保余值和租赁期开始日尚未收到的租赁收款额按照租赁内含利率折现的现值之和）进行初始计量，并按照固定的周期性利率计算确认租赁期内的利息收入。本公司取得的未纳入租赁投资净额计量的可变租赁付款额在实际发生时计入当期损益。</w:t>
      </w:r>
    </w:p>
    <w:p w:rsidR="00CE3C32" w:rsidRDefault="006413B8">
      <w:pPr>
        <w:pStyle w:val="3"/>
        <w:spacing w:line="280" w:lineRule="exact"/>
        <w:jc w:val="left"/>
        <w:rPr>
          <w:rFonts w:ascii="Times New Roman" w:hAnsi="Times New Roman" w:cs="Times New Roman"/>
          <w:b/>
          <w:bCs/>
        </w:rPr>
      </w:pPr>
      <w:bookmarkStart w:id="160" w:name="_Toc989046"/>
      <w:r>
        <w:rPr>
          <w:rFonts w:ascii="Times New Roman" w:hAnsi="Times New Roman" w:cs="Times New Roman"/>
          <w:b/>
          <w:bCs/>
        </w:rPr>
        <w:t>39</w:t>
      </w:r>
      <w:r>
        <w:rPr>
          <w:rFonts w:ascii="Times New Roman" w:hAnsi="Times New Roman" w:cs="Times New Roman"/>
          <w:b/>
          <w:bCs/>
        </w:rPr>
        <w:t>、重要会计政策和会计估计变更</w:t>
      </w:r>
      <w:bookmarkEnd w:id="160"/>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161" w:name="_Toc989047"/>
      <w:r>
        <w:rPr>
          <w:rFonts w:ascii="Times New Roman" w:eastAsia="宋体" w:hAnsi="Times New Roman" w:cs="Times New Roman"/>
          <w:b/>
          <w:bCs/>
          <w:sz w:val="18"/>
          <w:szCs w:val="18"/>
        </w:rPr>
        <w:t>（</w:t>
      </w:r>
      <w:r>
        <w:rPr>
          <w:rFonts w:ascii="Times New Roman" w:eastAsia="宋体" w:hAnsi="Times New Roman" w:cs="Times New Roman"/>
          <w:b/>
          <w:bCs/>
          <w:sz w:val="18"/>
          <w:szCs w:val="18"/>
        </w:rPr>
        <w:t>1</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重要会计政策变更</w:t>
      </w:r>
      <w:bookmarkEnd w:id="161"/>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162" w:name="_Toc989048"/>
      <w:r>
        <w:rPr>
          <w:rFonts w:ascii="Times New Roman" w:eastAsia="宋体" w:hAnsi="Times New Roman" w:cs="Times New Roman"/>
          <w:b/>
          <w:bCs/>
          <w:sz w:val="18"/>
          <w:szCs w:val="18"/>
        </w:rPr>
        <w:t>（</w:t>
      </w:r>
      <w:r>
        <w:rPr>
          <w:rFonts w:ascii="Times New Roman" w:eastAsia="宋体" w:hAnsi="Times New Roman" w:cs="Times New Roman"/>
          <w:b/>
          <w:bCs/>
          <w:sz w:val="18"/>
          <w:szCs w:val="18"/>
        </w:rPr>
        <w:t>2</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重要会计估计变更</w:t>
      </w:r>
      <w:bookmarkEnd w:id="162"/>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163" w:name="_Toc989049"/>
      <w:r>
        <w:rPr>
          <w:rFonts w:ascii="Times New Roman" w:eastAsia="宋体" w:hAnsi="Times New Roman" w:cs="Times New Roman"/>
          <w:b/>
          <w:bCs/>
          <w:sz w:val="18"/>
          <w:szCs w:val="18"/>
        </w:rPr>
        <w:t>（</w:t>
      </w:r>
      <w:r>
        <w:rPr>
          <w:rFonts w:ascii="Times New Roman" w:eastAsia="宋体" w:hAnsi="Times New Roman" w:cs="Times New Roman"/>
          <w:b/>
          <w:bCs/>
          <w:sz w:val="18"/>
          <w:szCs w:val="18"/>
        </w:rPr>
        <w:t>3</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2025</w:t>
      </w:r>
      <w:r>
        <w:rPr>
          <w:rFonts w:ascii="Times New Roman" w:eastAsia="宋体" w:hAnsi="Times New Roman" w:cs="Times New Roman"/>
          <w:b/>
          <w:bCs/>
          <w:sz w:val="18"/>
          <w:szCs w:val="18"/>
        </w:rPr>
        <w:t>年起首次执行新会计准则调整首次执行当年年初财务报表相关项目情况</w:t>
      </w:r>
      <w:bookmarkEnd w:id="163"/>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pStyle w:val="2"/>
        <w:spacing w:before="300" w:after="300" w:line="320" w:lineRule="exact"/>
        <w:rPr>
          <w:rFonts w:ascii="Times New Roman" w:eastAsia="宋体" w:hAnsi="Times New Roman" w:cs="Times New Roman"/>
          <w:b/>
          <w:bCs/>
          <w:sz w:val="24"/>
          <w:szCs w:val="24"/>
        </w:rPr>
      </w:pPr>
      <w:bookmarkStart w:id="164" w:name="_Toc989050"/>
      <w:r>
        <w:rPr>
          <w:rFonts w:ascii="Times New Roman" w:eastAsia="宋体" w:hAnsi="Times New Roman" w:cs="Times New Roman"/>
          <w:b/>
          <w:bCs/>
          <w:sz w:val="24"/>
          <w:szCs w:val="24"/>
        </w:rPr>
        <w:t>六、税项</w:t>
      </w:r>
      <w:bookmarkEnd w:id="164"/>
    </w:p>
    <w:p w:rsidR="00CE3C32" w:rsidRDefault="006413B8">
      <w:pPr>
        <w:pStyle w:val="3"/>
        <w:spacing w:line="280" w:lineRule="exact"/>
        <w:jc w:val="left"/>
        <w:rPr>
          <w:rFonts w:ascii="Times New Roman" w:hAnsi="Times New Roman" w:cs="Times New Roman"/>
          <w:b/>
          <w:bCs/>
        </w:rPr>
      </w:pPr>
      <w:bookmarkStart w:id="165" w:name="_Toc989051"/>
      <w:r>
        <w:rPr>
          <w:rFonts w:ascii="Times New Roman" w:hAnsi="Times New Roman" w:cs="Times New Roman"/>
          <w:b/>
          <w:bCs/>
        </w:rPr>
        <w:t>1</w:t>
      </w:r>
      <w:r>
        <w:rPr>
          <w:rFonts w:ascii="Times New Roman" w:hAnsi="Times New Roman" w:cs="Times New Roman"/>
          <w:b/>
          <w:bCs/>
        </w:rPr>
        <w:t>、主要税种及税率</w:t>
      </w:r>
      <w:bookmarkEnd w:id="165"/>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税种</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计税依据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税率</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增值税</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应纳税增值额</w:t>
            </w:r>
            <w:r>
              <w:rPr>
                <w:rFonts w:ascii="Times New Roman" w:eastAsia="宋体" w:hAnsi="Times New Roman" w:cs="Times New Roman"/>
                <w:sz w:val="18"/>
                <w:szCs w:val="18"/>
              </w:rPr>
              <w:t>(</w:t>
            </w:r>
            <w:r>
              <w:rPr>
                <w:rFonts w:ascii="Times New Roman" w:eastAsia="宋体" w:hAnsi="Times New Roman" w:cs="Times New Roman"/>
                <w:sz w:val="18"/>
                <w:szCs w:val="18"/>
              </w:rPr>
              <w:t>应纳税额按应纳税销售额乘以适用税率扣除当期允许抵扣的进项税后的余额计算</w:t>
            </w:r>
            <w:r>
              <w:rPr>
                <w:rFonts w:ascii="Times New Roman" w:eastAsia="宋体" w:hAnsi="Times New Roman" w:cs="Times New Roman"/>
                <w:sz w:val="18"/>
                <w:szCs w:val="18"/>
              </w:rPr>
              <w:t>)</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13%</w:t>
            </w:r>
            <w:r>
              <w:rPr>
                <w:rFonts w:ascii="Times New Roman" w:eastAsia="宋体" w:hAnsi="Times New Roman" w:cs="Times New Roman"/>
                <w:sz w:val="18"/>
                <w:szCs w:val="18"/>
              </w:rPr>
              <w:t>、</w:t>
            </w:r>
            <w:r>
              <w:rPr>
                <w:rFonts w:ascii="Times New Roman" w:eastAsia="宋体" w:hAnsi="Times New Roman" w:cs="Times New Roman"/>
                <w:sz w:val="18"/>
                <w:szCs w:val="18"/>
              </w:rPr>
              <w:t>9%</w:t>
            </w:r>
            <w:r>
              <w:rPr>
                <w:rFonts w:ascii="Times New Roman" w:eastAsia="宋体" w:hAnsi="Times New Roman" w:cs="Times New Roman"/>
                <w:sz w:val="18"/>
                <w:szCs w:val="18"/>
              </w:rPr>
              <w:t>、</w:t>
            </w:r>
            <w:r>
              <w:rPr>
                <w:rFonts w:ascii="Times New Roman" w:eastAsia="宋体" w:hAnsi="Times New Roman" w:cs="Times New Roman"/>
                <w:sz w:val="18"/>
                <w:szCs w:val="18"/>
              </w:rPr>
              <w:t>6%</w:t>
            </w:r>
            <w:r>
              <w:rPr>
                <w:rFonts w:ascii="Times New Roman" w:eastAsia="宋体" w:hAnsi="Times New Roman" w:cs="Times New Roman"/>
                <w:sz w:val="18"/>
                <w:szCs w:val="18"/>
              </w:rPr>
              <w:t>、</w:t>
            </w:r>
            <w:r>
              <w:rPr>
                <w:rFonts w:ascii="Times New Roman" w:eastAsia="宋体" w:hAnsi="Times New Roman" w:cs="Times New Roman"/>
                <w:sz w:val="18"/>
                <w:szCs w:val="18"/>
              </w:rPr>
              <w:t>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城市维护建设税</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缴纳的增值税税额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企业所得税</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应纳税所得额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15%</w:t>
            </w:r>
            <w:r>
              <w:rPr>
                <w:rFonts w:ascii="Times New Roman" w:eastAsia="宋体" w:hAnsi="Times New Roman" w:cs="Times New Roman"/>
                <w:sz w:val="18"/>
                <w:szCs w:val="18"/>
              </w:rPr>
              <w:t>、</w:t>
            </w:r>
            <w:r>
              <w:rPr>
                <w:rFonts w:ascii="Times New Roman" w:eastAsia="宋体" w:hAnsi="Times New Roman" w:cs="Times New Roman"/>
                <w:sz w:val="18"/>
                <w:szCs w:val="18"/>
              </w:rPr>
              <w:t>8.25%</w:t>
            </w:r>
            <w:r>
              <w:rPr>
                <w:rFonts w:ascii="Times New Roman" w:eastAsia="宋体" w:hAnsi="Times New Roman" w:cs="Times New Roman"/>
                <w:sz w:val="18"/>
                <w:szCs w:val="18"/>
              </w:rPr>
              <w:t>、</w:t>
            </w:r>
            <w:r>
              <w:rPr>
                <w:rFonts w:ascii="Times New Roman" w:eastAsia="宋体" w:hAnsi="Times New Roman" w:cs="Times New Roman"/>
                <w:sz w:val="18"/>
                <w:szCs w:val="18"/>
              </w:rPr>
              <w:t>20%</w:t>
            </w:r>
            <w:r>
              <w:rPr>
                <w:rFonts w:ascii="Times New Roman" w:eastAsia="宋体" w:hAnsi="Times New Roman" w:cs="Times New Roman"/>
                <w:sz w:val="18"/>
                <w:szCs w:val="18"/>
              </w:rPr>
              <w:t>、</w:t>
            </w:r>
            <w:r>
              <w:rPr>
                <w:rFonts w:ascii="Times New Roman" w:eastAsia="宋体" w:hAnsi="Times New Roman" w:cs="Times New Roman"/>
                <w:sz w:val="18"/>
                <w:szCs w:val="18"/>
              </w:rPr>
              <w:t>25%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教育费附加</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缴纳的增值税税额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w:t>
            </w:r>
            <w:r>
              <w:rPr>
                <w:rFonts w:ascii="Times New Roman" w:eastAsia="宋体" w:hAnsi="Times New Roman" w:cs="Times New Roman"/>
                <w:sz w:val="18"/>
                <w:szCs w:val="18"/>
              </w:rPr>
              <w:t>2%</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存在不同企业所得税税率纳税主体的，披露情况说明</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blHeader/>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纳税主体名称</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所得税税率</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广东天亿马信息产业股份有限公司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15%</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深圳市互联精英信息技术有限公司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15%</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广东翼启数据产业有限公司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15%</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天亿马信息技术有限公司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15%</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广东天亿马信息科技有限公司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广图粤科（广州）科技有限公司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粤科睿肯（上海）科技有限公司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广东天亿马数字能源有限公司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桓台爱康新能源有限公司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桓台爱道光伏发电有限公司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邯郸庚源新能源科技有限公司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湖南天晨新能源有限公司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广东天亿马新能源产业发展有限公司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深圳市亿泰新能源有限公司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广西亿泰新能源有限公司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广东天亿马数字产业有限公司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广州市天亿马信息技术有限公司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深圳市天亿马信息技术有限公司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25%</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天亿马（香港）信息产业有限公司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8.25%</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重庆天亿马信息技术有限公司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25%</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湖南亿道电力有限公司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海南天亿马数字能源有限公司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天亿马新能源（衡阳）有限公司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衡阳凯晶新能源有限公司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广州路创轨道科技有限公司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惠州市天亿马信息技术有限公司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20%</w:t>
            </w:r>
          </w:p>
        </w:tc>
      </w:tr>
    </w:tbl>
    <w:p w:rsidR="00CE3C32" w:rsidRDefault="006413B8">
      <w:pPr>
        <w:pStyle w:val="3"/>
        <w:spacing w:line="280" w:lineRule="exact"/>
        <w:jc w:val="left"/>
        <w:rPr>
          <w:rFonts w:ascii="Times New Roman" w:hAnsi="Times New Roman" w:cs="Times New Roman"/>
          <w:b/>
          <w:bCs/>
        </w:rPr>
      </w:pPr>
      <w:bookmarkStart w:id="166" w:name="_Toc989052"/>
      <w:r>
        <w:rPr>
          <w:rFonts w:ascii="Times New Roman" w:hAnsi="Times New Roman" w:cs="Times New Roman"/>
          <w:b/>
          <w:bCs/>
        </w:rPr>
        <w:t>2</w:t>
      </w:r>
      <w:r>
        <w:rPr>
          <w:rFonts w:ascii="Times New Roman" w:hAnsi="Times New Roman" w:cs="Times New Roman"/>
          <w:b/>
          <w:bCs/>
        </w:rPr>
        <w:t>、税收优惠</w:t>
      </w:r>
      <w:bookmarkEnd w:id="166"/>
    </w:p>
    <w:p w:rsidR="00CE3C32" w:rsidRDefault="006413B8">
      <w:pPr>
        <w:pStyle w:val="a6"/>
        <w:spacing w:beforeLines="50" w:before="156" w:beforeAutospacing="0" w:afterLines="50" w:after="156" w:afterAutospacing="0"/>
        <w:ind w:firstLine="420"/>
        <w:jc w:val="both"/>
        <w:textAlignment w:val="bottom"/>
        <w:rPr>
          <w:rFonts w:ascii="Times New Roman" w:hAnsi="Times New Roman" w:cs="Times New Roman"/>
          <w:sz w:val="21"/>
          <w:szCs w:val="21"/>
        </w:rPr>
      </w:pPr>
      <w:r>
        <w:rPr>
          <w:rFonts w:ascii="Times New Roman" w:hAnsi="Times New Roman" w:cs="Times New Roman"/>
          <w:snapToGrid w:val="0"/>
          <w:sz w:val="21"/>
          <w:szCs w:val="21"/>
        </w:rPr>
        <w:t>本公司于</w:t>
      </w:r>
      <w:r>
        <w:rPr>
          <w:rFonts w:ascii="Times New Roman" w:hAnsi="Times New Roman" w:cs="Times New Roman"/>
          <w:snapToGrid w:val="0"/>
          <w:sz w:val="21"/>
          <w:szCs w:val="21"/>
        </w:rPr>
        <w:t>2023</w:t>
      </w:r>
      <w:r>
        <w:rPr>
          <w:rFonts w:ascii="Times New Roman" w:hAnsi="Times New Roman" w:cs="Times New Roman"/>
          <w:snapToGrid w:val="0"/>
          <w:sz w:val="21"/>
          <w:szCs w:val="21"/>
        </w:rPr>
        <w:t>年</w:t>
      </w:r>
      <w:r>
        <w:rPr>
          <w:rFonts w:ascii="Times New Roman" w:hAnsi="Times New Roman" w:cs="Times New Roman"/>
          <w:snapToGrid w:val="0"/>
          <w:sz w:val="21"/>
          <w:szCs w:val="21"/>
        </w:rPr>
        <w:t>12</w:t>
      </w:r>
      <w:r>
        <w:rPr>
          <w:rFonts w:ascii="Times New Roman" w:hAnsi="Times New Roman" w:cs="Times New Roman"/>
          <w:snapToGrid w:val="0"/>
          <w:sz w:val="21"/>
          <w:szCs w:val="21"/>
        </w:rPr>
        <w:t>月</w:t>
      </w:r>
      <w:r>
        <w:rPr>
          <w:rFonts w:ascii="Times New Roman" w:hAnsi="Times New Roman" w:cs="Times New Roman"/>
          <w:snapToGrid w:val="0"/>
          <w:sz w:val="21"/>
          <w:szCs w:val="21"/>
        </w:rPr>
        <w:t>28</w:t>
      </w:r>
      <w:r>
        <w:rPr>
          <w:rFonts w:ascii="Times New Roman" w:hAnsi="Times New Roman" w:cs="Times New Roman"/>
          <w:snapToGrid w:val="0"/>
          <w:sz w:val="21"/>
          <w:szCs w:val="21"/>
        </w:rPr>
        <w:t>日取得广东省科学技术厅、广东省财政厅、国家税务总局广东省税务局联合下发的编号</w:t>
      </w:r>
      <w:r>
        <w:rPr>
          <w:rFonts w:ascii="Times New Roman" w:hAnsi="Times New Roman" w:cs="Times New Roman"/>
          <w:snapToGrid w:val="0"/>
          <w:sz w:val="21"/>
          <w:szCs w:val="21"/>
        </w:rPr>
        <w:t>GR202344010435</w:t>
      </w:r>
      <w:r>
        <w:rPr>
          <w:rFonts w:ascii="Times New Roman" w:hAnsi="Times New Roman" w:cs="Times New Roman"/>
          <w:snapToGrid w:val="0"/>
          <w:sz w:val="21"/>
          <w:szCs w:val="21"/>
        </w:rPr>
        <w:t>的高新技术企业证书，证书有效期为三年（</w:t>
      </w:r>
      <w:r>
        <w:rPr>
          <w:rFonts w:ascii="Times New Roman" w:hAnsi="Times New Roman" w:cs="Times New Roman"/>
          <w:snapToGrid w:val="0"/>
          <w:sz w:val="21"/>
          <w:szCs w:val="21"/>
        </w:rPr>
        <w:t>2023—2025</w:t>
      </w:r>
      <w:r>
        <w:rPr>
          <w:rFonts w:ascii="Times New Roman" w:hAnsi="Times New Roman" w:cs="Times New Roman"/>
          <w:snapToGrid w:val="0"/>
          <w:sz w:val="21"/>
          <w:szCs w:val="21"/>
        </w:rPr>
        <w:t>年）。根据企业所得税法第二十八条规定：</w:t>
      </w:r>
      <w:r>
        <w:rPr>
          <w:rFonts w:ascii="Times New Roman" w:hAnsi="Times New Roman" w:cs="Times New Roman"/>
          <w:snapToGrid w:val="0"/>
          <w:sz w:val="21"/>
          <w:szCs w:val="21"/>
        </w:rPr>
        <w:t>“</w:t>
      </w:r>
      <w:r>
        <w:rPr>
          <w:rFonts w:ascii="Times New Roman" w:hAnsi="Times New Roman" w:cs="Times New Roman"/>
          <w:snapToGrid w:val="0"/>
          <w:sz w:val="21"/>
          <w:szCs w:val="21"/>
        </w:rPr>
        <w:t>国家需要重点扶持的高新技术企业，减按</w:t>
      </w:r>
      <w:r>
        <w:rPr>
          <w:rFonts w:ascii="Times New Roman" w:hAnsi="Times New Roman" w:cs="Times New Roman"/>
          <w:snapToGrid w:val="0"/>
          <w:sz w:val="21"/>
          <w:szCs w:val="21"/>
        </w:rPr>
        <w:t>15%</w:t>
      </w:r>
      <w:r>
        <w:rPr>
          <w:rFonts w:ascii="Times New Roman" w:hAnsi="Times New Roman" w:cs="Times New Roman"/>
          <w:snapToGrid w:val="0"/>
          <w:sz w:val="21"/>
          <w:szCs w:val="21"/>
        </w:rPr>
        <w:t>的税率征收企业所得税</w:t>
      </w:r>
      <w:r>
        <w:rPr>
          <w:rFonts w:ascii="Times New Roman" w:hAnsi="Times New Roman" w:cs="Times New Roman"/>
          <w:snapToGrid w:val="0"/>
          <w:sz w:val="21"/>
          <w:szCs w:val="21"/>
        </w:rPr>
        <w:t>”</w:t>
      </w:r>
      <w:r>
        <w:rPr>
          <w:rFonts w:ascii="Times New Roman" w:hAnsi="Times New Roman" w:cs="Times New Roman"/>
          <w:snapToGrid w:val="0"/>
          <w:sz w:val="21"/>
          <w:szCs w:val="21"/>
        </w:rPr>
        <w:t>，</w:t>
      </w:r>
      <w:r>
        <w:rPr>
          <w:rFonts w:ascii="Times New Roman" w:hAnsi="Times New Roman" w:cs="Times New Roman"/>
          <w:snapToGrid w:val="0"/>
          <w:sz w:val="21"/>
          <w:szCs w:val="21"/>
        </w:rPr>
        <w:t>2023</w:t>
      </w:r>
      <w:r>
        <w:rPr>
          <w:rFonts w:ascii="Times New Roman" w:hAnsi="Times New Roman" w:cs="Times New Roman"/>
          <w:snapToGrid w:val="0"/>
          <w:sz w:val="21"/>
          <w:szCs w:val="21"/>
        </w:rPr>
        <w:t>年度至</w:t>
      </w:r>
      <w:r>
        <w:rPr>
          <w:rFonts w:ascii="Times New Roman" w:hAnsi="Times New Roman" w:cs="Times New Roman"/>
          <w:snapToGrid w:val="0"/>
          <w:sz w:val="21"/>
          <w:szCs w:val="21"/>
        </w:rPr>
        <w:t>2025</w:t>
      </w:r>
      <w:r>
        <w:rPr>
          <w:rFonts w:ascii="Times New Roman" w:hAnsi="Times New Roman" w:cs="Times New Roman"/>
          <w:snapToGrid w:val="0"/>
          <w:sz w:val="21"/>
          <w:szCs w:val="21"/>
        </w:rPr>
        <w:t>年度，本公司适用</w:t>
      </w:r>
      <w:r>
        <w:rPr>
          <w:rFonts w:ascii="Times New Roman" w:hAnsi="Times New Roman" w:cs="Times New Roman"/>
          <w:snapToGrid w:val="0"/>
          <w:sz w:val="21"/>
          <w:szCs w:val="21"/>
        </w:rPr>
        <w:t>15%</w:t>
      </w:r>
      <w:r>
        <w:rPr>
          <w:rFonts w:ascii="Times New Roman" w:hAnsi="Times New Roman" w:cs="Times New Roman"/>
          <w:snapToGrid w:val="0"/>
          <w:sz w:val="21"/>
          <w:szCs w:val="21"/>
        </w:rPr>
        <w:t>的企业所得税税率。</w:t>
      </w:r>
    </w:p>
    <w:p w:rsidR="00CE3C32" w:rsidRDefault="006413B8">
      <w:pPr>
        <w:pStyle w:val="a6"/>
        <w:spacing w:beforeLines="50" w:before="156" w:beforeAutospacing="0" w:afterLines="50" w:after="156" w:afterAutospacing="0"/>
        <w:ind w:firstLine="420"/>
        <w:jc w:val="both"/>
        <w:textAlignment w:val="bottom"/>
        <w:rPr>
          <w:rFonts w:ascii="Times New Roman" w:hAnsi="Times New Roman" w:cs="Times New Roman"/>
          <w:sz w:val="21"/>
          <w:szCs w:val="21"/>
        </w:rPr>
      </w:pPr>
      <w:r>
        <w:rPr>
          <w:rFonts w:ascii="Times New Roman" w:hAnsi="Times New Roman" w:cs="Times New Roman"/>
          <w:snapToGrid w:val="0"/>
          <w:sz w:val="21"/>
          <w:szCs w:val="21"/>
        </w:rPr>
        <w:t>子公司深圳市互联精英信息技术有限公司（以下简称</w:t>
      </w:r>
      <w:r>
        <w:rPr>
          <w:rFonts w:ascii="Times New Roman" w:hAnsi="Times New Roman" w:cs="Times New Roman"/>
          <w:snapToGrid w:val="0"/>
          <w:sz w:val="21"/>
          <w:szCs w:val="21"/>
        </w:rPr>
        <w:t>“</w:t>
      </w:r>
      <w:r>
        <w:rPr>
          <w:rFonts w:ascii="Times New Roman" w:hAnsi="Times New Roman" w:cs="Times New Roman"/>
          <w:snapToGrid w:val="0"/>
          <w:sz w:val="21"/>
          <w:szCs w:val="21"/>
        </w:rPr>
        <w:t>互联精英</w:t>
      </w:r>
      <w:r>
        <w:rPr>
          <w:rFonts w:ascii="Times New Roman" w:hAnsi="Times New Roman" w:cs="Times New Roman"/>
          <w:snapToGrid w:val="0"/>
          <w:sz w:val="21"/>
          <w:szCs w:val="21"/>
        </w:rPr>
        <w:t>”</w:t>
      </w:r>
      <w:r>
        <w:rPr>
          <w:rFonts w:ascii="Times New Roman" w:hAnsi="Times New Roman" w:cs="Times New Roman"/>
          <w:snapToGrid w:val="0"/>
          <w:sz w:val="21"/>
          <w:szCs w:val="21"/>
        </w:rPr>
        <w:t>）于</w:t>
      </w:r>
      <w:r>
        <w:rPr>
          <w:rFonts w:ascii="Times New Roman" w:hAnsi="Times New Roman" w:cs="Times New Roman"/>
          <w:snapToGrid w:val="0"/>
          <w:sz w:val="21"/>
          <w:szCs w:val="21"/>
        </w:rPr>
        <w:t>2022</w:t>
      </w:r>
      <w:r>
        <w:rPr>
          <w:rFonts w:ascii="Times New Roman" w:hAnsi="Times New Roman" w:cs="Times New Roman"/>
          <w:snapToGrid w:val="0"/>
          <w:sz w:val="21"/>
          <w:szCs w:val="21"/>
        </w:rPr>
        <w:t>年</w:t>
      </w:r>
      <w:r>
        <w:rPr>
          <w:rFonts w:ascii="Times New Roman" w:hAnsi="Times New Roman" w:cs="Times New Roman"/>
          <w:snapToGrid w:val="0"/>
          <w:sz w:val="21"/>
          <w:szCs w:val="21"/>
        </w:rPr>
        <w:t>12</w:t>
      </w:r>
      <w:r>
        <w:rPr>
          <w:rFonts w:ascii="Times New Roman" w:hAnsi="Times New Roman" w:cs="Times New Roman"/>
          <w:snapToGrid w:val="0"/>
          <w:sz w:val="21"/>
          <w:szCs w:val="21"/>
        </w:rPr>
        <w:t>月</w:t>
      </w:r>
      <w:r>
        <w:rPr>
          <w:rFonts w:ascii="Times New Roman" w:hAnsi="Times New Roman" w:cs="Times New Roman"/>
          <w:snapToGrid w:val="0"/>
          <w:sz w:val="21"/>
          <w:szCs w:val="21"/>
        </w:rPr>
        <w:t>19</w:t>
      </w:r>
      <w:r>
        <w:rPr>
          <w:rFonts w:ascii="Times New Roman" w:hAnsi="Times New Roman" w:cs="Times New Roman"/>
          <w:snapToGrid w:val="0"/>
          <w:sz w:val="21"/>
          <w:szCs w:val="21"/>
        </w:rPr>
        <w:t>日取得深圳市科技创新委员会、深圳市财政局、国家税务总局深圳市税务局联合下发的编号</w:t>
      </w:r>
      <w:r>
        <w:rPr>
          <w:rFonts w:ascii="Times New Roman" w:hAnsi="Times New Roman" w:cs="Times New Roman"/>
          <w:snapToGrid w:val="0"/>
          <w:sz w:val="21"/>
          <w:szCs w:val="21"/>
        </w:rPr>
        <w:t>GR202244206303</w:t>
      </w:r>
      <w:r>
        <w:rPr>
          <w:rFonts w:ascii="Times New Roman" w:hAnsi="Times New Roman" w:cs="Times New Roman"/>
          <w:snapToGrid w:val="0"/>
          <w:sz w:val="21"/>
          <w:szCs w:val="21"/>
        </w:rPr>
        <w:t>的高新技术企业证书，证书有效期为三年（</w:t>
      </w:r>
      <w:r>
        <w:rPr>
          <w:rFonts w:ascii="Times New Roman" w:hAnsi="Times New Roman" w:cs="Times New Roman"/>
          <w:snapToGrid w:val="0"/>
          <w:sz w:val="21"/>
          <w:szCs w:val="21"/>
        </w:rPr>
        <w:t>2022—2024</w:t>
      </w:r>
      <w:r>
        <w:rPr>
          <w:rFonts w:ascii="Times New Roman" w:hAnsi="Times New Roman" w:cs="Times New Roman"/>
          <w:snapToGrid w:val="0"/>
          <w:sz w:val="21"/>
          <w:szCs w:val="21"/>
        </w:rPr>
        <w:t>年）。根据企业所得税法第二十八条规定：</w:t>
      </w:r>
      <w:r>
        <w:rPr>
          <w:rFonts w:ascii="Times New Roman" w:hAnsi="Times New Roman" w:cs="Times New Roman"/>
          <w:snapToGrid w:val="0"/>
          <w:sz w:val="21"/>
          <w:szCs w:val="21"/>
        </w:rPr>
        <w:t>“</w:t>
      </w:r>
      <w:r>
        <w:rPr>
          <w:rFonts w:ascii="Times New Roman" w:hAnsi="Times New Roman" w:cs="Times New Roman"/>
          <w:snapToGrid w:val="0"/>
          <w:sz w:val="21"/>
          <w:szCs w:val="21"/>
        </w:rPr>
        <w:t>国家需要重点扶持的高新技术企业，减按</w:t>
      </w:r>
      <w:r>
        <w:rPr>
          <w:rFonts w:ascii="Times New Roman" w:hAnsi="Times New Roman" w:cs="Times New Roman"/>
          <w:snapToGrid w:val="0"/>
          <w:sz w:val="21"/>
          <w:szCs w:val="21"/>
        </w:rPr>
        <w:t>15%</w:t>
      </w:r>
      <w:r>
        <w:rPr>
          <w:rFonts w:ascii="Times New Roman" w:hAnsi="Times New Roman" w:cs="Times New Roman"/>
          <w:snapToGrid w:val="0"/>
          <w:sz w:val="21"/>
          <w:szCs w:val="21"/>
        </w:rPr>
        <w:t>的税率征收企业所得税</w:t>
      </w:r>
      <w:r>
        <w:rPr>
          <w:rFonts w:ascii="Times New Roman" w:hAnsi="Times New Roman" w:cs="Times New Roman"/>
          <w:snapToGrid w:val="0"/>
          <w:sz w:val="21"/>
          <w:szCs w:val="21"/>
        </w:rPr>
        <w:t>”</w:t>
      </w:r>
      <w:r>
        <w:rPr>
          <w:rFonts w:ascii="Times New Roman" w:hAnsi="Times New Roman" w:cs="Times New Roman"/>
          <w:snapToGrid w:val="0"/>
          <w:sz w:val="21"/>
          <w:szCs w:val="21"/>
        </w:rPr>
        <w:t>，</w:t>
      </w:r>
      <w:r>
        <w:rPr>
          <w:rFonts w:ascii="Times New Roman" w:hAnsi="Times New Roman" w:cs="Times New Roman"/>
          <w:snapToGrid w:val="0"/>
          <w:sz w:val="21"/>
          <w:szCs w:val="21"/>
        </w:rPr>
        <w:t>2022</w:t>
      </w:r>
      <w:r>
        <w:rPr>
          <w:rFonts w:ascii="Times New Roman" w:hAnsi="Times New Roman" w:cs="Times New Roman"/>
          <w:snapToGrid w:val="0"/>
          <w:sz w:val="21"/>
          <w:szCs w:val="21"/>
        </w:rPr>
        <w:t>年度至</w:t>
      </w:r>
      <w:r>
        <w:rPr>
          <w:rFonts w:ascii="Times New Roman" w:hAnsi="Times New Roman" w:cs="Times New Roman"/>
          <w:snapToGrid w:val="0"/>
          <w:sz w:val="21"/>
          <w:szCs w:val="21"/>
        </w:rPr>
        <w:t>2024</w:t>
      </w:r>
      <w:r>
        <w:rPr>
          <w:rFonts w:ascii="Times New Roman" w:hAnsi="Times New Roman" w:cs="Times New Roman"/>
          <w:snapToGrid w:val="0"/>
          <w:sz w:val="21"/>
          <w:szCs w:val="21"/>
        </w:rPr>
        <w:t>年度，互联精英适用</w:t>
      </w:r>
      <w:r>
        <w:rPr>
          <w:rFonts w:ascii="Times New Roman" w:hAnsi="Times New Roman" w:cs="Times New Roman"/>
          <w:snapToGrid w:val="0"/>
          <w:sz w:val="21"/>
          <w:szCs w:val="21"/>
        </w:rPr>
        <w:t>15%</w:t>
      </w:r>
      <w:r>
        <w:rPr>
          <w:rFonts w:ascii="Times New Roman" w:hAnsi="Times New Roman" w:cs="Times New Roman"/>
          <w:snapToGrid w:val="0"/>
          <w:sz w:val="21"/>
          <w:szCs w:val="21"/>
        </w:rPr>
        <w:t>的企业所得税税率。截至本报告披露日，互联精英已申请高新技术企业重新认定，按国家税务总局《关于实施高新技术企业所得税优惠政策有关问题的公告》（国家税务总局公告</w:t>
      </w:r>
      <w:r>
        <w:rPr>
          <w:rFonts w:ascii="Times New Roman" w:hAnsi="Times New Roman" w:cs="Times New Roman"/>
          <w:snapToGrid w:val="0"/>
          <w:sz w:val="21"/>
          <w:szCs w:val="21"/>
        </w:rPr>
        <w:t xml:space="preserve"> 2017 </w:t>
      </w:r>
      <w:r>
        <w:rPr>
          <w:rFonts w:ascii="Times New Roman" w:hAnsi="Times New Roman" w:cs="Times New Roman"/>
          <w:snapToGrid w:val="0"/>
          <w:sz w:val="21"/>
          <w:szCs w:val="21"/>
        </w:rPr>
        <w:t>年第</w:t>
      </w:r>
      <w:r>
        <w:rPr>
          <w:rFonts w:ascii="Times New Roman" w:hAnsi="Times New Roman" w:cs="Times New Roman"/>
          <w:snapToGrid w:val="0"/>
          <w:sz w:val="21"/>
          <w:szCs w:val="21"/>
        </w:rPr>
        <w:t xml:space="preserve"> 24 </w:t>
      </w:r>
      <w:r>
        <w:rPr>
          <w:rFonts w:ascii="Times New Roman" w:hAnsi="Times New Roman" w:cs="Times New Roman"/>
          <w:snapToGrid w:val="0"/>
          <w:sz w:val="21"/>
          <w:szCs w:val="21"/>
        </w:rPr>
        <w:t>号）的规定，报告期仍适用</w:t>
      </w:r>
      <w:r>
        <w:rPr>
          <w:rFonts w:ascii="Times New Roman" w:hAnsi="Times New Roman" w:cs="Times New Roman"/>
          <w:snapToGrid w:val="0"/>
          <w:sz w:val="21"/>
          <w:szCs w:val="21"/>
        </w:rPr>
        <w:t xml:space="preserve"> 15%</w:t>
      </w:r>
      <w:r>
        <w:rPr>
          <w:rFonts w:ascii="Times New Roman" w:hAnsi="Times New Roman" w:cs="Times New Roman"/>
          <w:snapToGrid w:val="0"/>
          <w:sz w:val="21"/>
          <w:szCs w:val="21"/>
        </w:rPr>
        <w:t>的企业所得税税率。</w:t>
      </w:r>
    </w:p>
    <w:p w:rsidR="00CE3C32" w:rsidRDefault="006413B8">
      <w:pPr>
        <w:pStyle w:val="a6"/>
        <w:spacing w:beforeLines="50" w:before="156" w:beforeAutospacing="0" w:afterLines="50" w:after="156" w:afterAutospacing="0"/>
        <w:ind w:firstLine="420"/>
        <w:jc w:val="both"/>
        <w:textAlignment w:val="bottom"/>
        <w:rPr>
          <w:rFonts w:ascii="Times New Roman" w:hAnsi="Times New Roman" w:cs="Times New Roman"/>
          <w:sz w:val="21"/>
          <w:szCs w:val="21"/>
        </w:rPr>
      </w:pPr>
      <w:r>
        <w:rPr>
          <w:rFonts w:ascii="Times New Roman" w:hAnsi="Times New Roman" w:cs="Times New Roman"/>
          <w:snapToGrid w:val="0"/>
          <w:sz w:val="21"/>
          <w:szCs w:val="21"/>
        </w:rPr>
        <w:t>根据《财政部</w:t>
      </w:r>
      <w:r>
        <w:rPr>
          <w:rFonts w:ascii="Times New Roman" w:hAnsi="Times New Roman" w:cs="Times New Roman"/>
          <w:snapToGrid w:val="0"/>
          <w:sz w:val="21"/>
          <w:szCs w:val="21"/>
        </w:rPr>
        <w:t xml:space="preserve"> </w:t>
      </w:r>
      <w:r>
        <w:rPr>
          <w:rFonts w:ascii="Times New Roman" w:hAnsi="Times New Roman" w:cs="Times New Roman"/>
          <w:snapToGrid w:val="0"/>
          <w:sz w:val="21"/>
          <w:szCs w:val="21"/>
        </w:rPr>
        <w:t>税务总局关于进一步支持小微企业和个体工商户发展有关税费政策的公告》（财政部税务总局公告</w:t>
      </w:r>
      <w:r>
        <w:rPr>
          <w:rFonts w:ascii="Times New Roman" w:hAnsi="Times New Roman" w:cs="Times New Roman"/>
          <w:snapToGrid w:val="0"/>
          <w:sz w:val="21"/>
          <w:szCs w:val="21"/>
        </w:rPr>
        <w:t>2023</w:t>
      </w:r>
      <w:r>
        <w:rPr>
          <w:rFonts w:ascii="Times New Roman" w:hAnsi="Times New Roman" w:cs="Times New Roman"/>
          <w:snapToGrid w:val="0"/>
          <w:sz w:val="21"/>
          <w:szCs w:val="21"/>
        </w:rPr>
        <w:t>年第</w:t>
      </w:r>
      <w:r>
        <w:rPr>
          <w:rFonts w:ascii="Times New Roman" w:hAnsi="Times New Roman" w:cs="Times New Roman"/>
          <w:snapToGrid w:val="0"/>
          <w:sz w:val="21"/>
          <w:szCs w:val="21"/>
        </w:rPr>
        <w:t>12</w:t>
      </w:r>
      <w:r>
        <w:rPr>
          <w:rFonts w:ascii="Times New Roman" w:hAnsi="Times New Roman" w:cs="Times New Roman"/>
          <w:snapToGrid w:val="0"/>
          <w:sz w:val="21"/>
          <w:szCs w:val="21"/>
        </w:rPr>
        <w:t>号），对小型微利企业减按</w:t>
      </w:r>
      <w:r>
        <w:rPr>
          <w:rFonts w:ascii="Times New Roman" w:hAnsi="Times New Roman" w:cs="Times New Roman"/>
          <w:snapToGrid w:val="0"/>
          <w:sz w:val="21"/>
          <w:szCs w:val="21"/>
        </w:rPr>
        <w:t>25%</w:t>
      </w:r>
      <w:r>
        <w:rPr>
          <w:rFonts w:ascii="Times New Roman" w:hAnsi="Times New Roman" w:cs="Times New Roman"/>
          <w:snapToGrid w:val="0"/>
          <w:sz w:val="21"/>
          <w:szCs w:val="21"/>
        </w:rPr>
        <w:t>计算应纳税所得额，按</w:t>
      </w:r>
      <w:r>
        <w:rPr>
          <w:rFonts w:ascii="Times New Roman" w:hAnsi="Times New Roman" w:cs="Times New Roman"/>
          <w:snapToGrid w:val="0"/>
          <w:sz w:val="21"/>
          <w:szCs w:val="21"/>
        </w:rPr>
        <w:t>20%</w:t>
      </w:r>
      <w:r>
        <w:rPr>
          <w:rFonts w:ascii="Times New Roman" w:hAnsi="Times New Roman" w:cs="Times New Roman"/>
          <w:snapToGrid w:val="0"/>
          <w:sz w:val="21"/>
          <w:szCs w:val="21"/>
        </w:rPr>
        <w:t>的税率缴纳企业所得税政策，延续执行至</w:t>
      </w:r>
      <w:r>
        <w:rPr>
          <w:rFonts w:ascii="Times New Roman" w:hAnsi="Times New Roman" w:cs="Times New Roman"/>
          <w:snapToGrid w:val="0"/>
          <w:sz w:val="21"/>
          <w:szCs w:val="21"/>
        </w:rPr>
        <w:t>2027</w:t>
      </w:r>
      <w:r>
        <w:rPr>
          <w:rFonts w:ascii="Times New Roman" w:hAnsi="Times New Roman" w:cs="Times New Roman"/>
          <w:snapToGrid w:val="0"/>
          <w:sz w:val="21"/>
          <w:szCs w:val="21"/>
        </w:rPr>
        <w:t>年</w:t>
      </w:r>
      <w:r>
        <w:rPr>
          <w:rFonts w:ascii="Times New Roman" w:hAnsi="Times New Roman" w:cs="Times New Roman"/>
          <w:snapToGrid w:val="0"/>
          <w:sz w:val="21"/>
          <w:szCs w:val="21"/>
        </w:rPr>
        <w:t>12</w:t>
      </w:r>
      <w:r>
        <w:rPr>
          <w:rFonts w:ascii="Times New Roman" w:hAnsi="Times New Roman" w:cs="Times New Roman"/>
          <w:snapToGrid w:val="0"/>
          <w:sz w:val="21"/>
          <w:szCs w:val="21"/>
        </w:rPr>
        <w:t>月</w:t>
      </w:r>
      <w:r>
        <w:rPr>
          <w:rFonts w:ascii="Times New Roman" w:hAnsi="Times New Roman" w:cs="Times New Roman"/>
          <w:snapToGrid w:val="0"/>
          <w:sz w:val="21"/>
          <w:szCs w:val="21"/>
        </w:rPr>
        <w:t>31</w:t>
      </w:r>
      <w:r>
        <w:rPr>
          <w:rFonts w:ascii="Times New Roman" w:hAnsi="Times New Roman" w:cs="Times New Roman"/>
          <w:snapToGrid w:val="0"/>
          <w:sz w:val="21"/>
          <w:szCs w:val="21"/>
        </w:rPr>
        <w:t>日。</w:t>
      </w:r>
      <w:r>
        <w:rPr>
          <w:rFonts w:ascii="Times New Roman" w:hAnsi="Times New Roman" w:cs="Times New Roman"/>
          <w:snapToGrid w:val="0"/>
          <w:sz w:val="21"/>
          <w:szCs w:val="21"/>
        </w:rPr>
        <w:t>2025</w:t>
      </w:r>
      <w:r>
        <w:rPr>
          <w:rFonts w:ascii="Times New Roman" w:hAnsi="Times New Roman" w:cs="Times New Roman"/>
          <w:snapToGrid w:val="0"/>
          <w:sz w:val="21"/>
          <w:szCs w:val="21"/>
        </w:rPr>
        <w:t>年广东天亿马信息科技有限公司（以下简称</w:t>
      </w:r>
      <w:r>
        <w:rPr>
          <w:rFonts w:ascii="Times New Roman" w:hAnsi="Times New Roman" w:cs="Times New Roman"/>
          <w:snapToGrid w:val="0"/>
          <w:sz w:val="21"/>
          <w:szCs w:val="21"/>
        </w:rPr>
        <w:t>“</w:t>
      </w:r>
      <w:r>
        <w:rPr>
          <w:rFonts w:ascii="Times New Roman" w:hAnsi="Times New Roman" w:cs="Times New Roman"/>
          <w:snapToGrid w:val="0"/>
          <w:sz w:val="21"/>
          <w:szCs w:val="21"/>
        </w:rPr>
        <w:t>天亿马科技</w:t>
      </w:r>
      <w:r>
        <w:rPr>
          <w:rFonts w:ascii="Times New Roman" w:hAnsi="Times New Roman" w:cs="Times New Roman"/>
          <w:snapToGrid w:val="0"/>
          <w:sz w:val="21"/>
          <w:szCs w:val="21"/>
        </w:rPr>
        <w:t>”</w:t>
      </w:r>
      <w:r>
        <w:rPr>
          <w:rFonts w:ascii="Times New Roman" w:hAnsi="Times New Roman" w:cs="Times New Roman"/>
          <w:snapToGrid w:val="0"/>
          <w:sz w:val="21"/>
          <w:szCs w:val="21"/>
        </w:rPr>
        <w:t>）适用小微企业税务优惠。</w:t>
      </w:r>
    </w:p>
    <w:p w:rsidR="00CE3C32" w:rsidRDefault="006413B8">
      <w:pPr>
        <w:pStyle w:val="a6"/>
        <w:spacing w:beforeLines="50" w:before="156" w:beforeAutospacing="0" w:afterLines="50" w:after="156" w:afterAutospacing="0"/>
        <w:ind w:firstLine="420"/>
        <w:jc w:val="both"/>
        <w:textAlignment w:val="bottom"/>
        <w:rPr>
          <w:rFonts w:ascii="Times New Roman" w:hAnsi="Times New Roman" w:cs="Times New Roman"/>
          <w:sz w:val="21"/>
          <w:szCs w:val="21"/>
        </w:rPr>
      </w:pPr>
      <w:r>
        <w:rPr>
          <w:rFonts w:ascii="Times New Roman" w:hAnsi="Times New Roman" w:cs="Times New Roman"/>
          <w:sz w:val="21"/>
          <w:szCs w:val="21"/>
        </w:rPr>
        <w:t>子公司</w:t>
      </w:r>
      <w:r>
        <w:rPr>
          <w:rFonts w:ascii="Times New Roman" w:hAnsi="Times New Roman" w:cs="Times New Roman"/>
          <w:sz w:val="21"/>
          <w:szCs w:val="21"/>
        </w:rPr>
        <w:t xml:space="preserve"> </w:t>
      </w:r>
      <w:r>
        <w:rPr>
          <w:rFonts w:ascii="Times New Roman" w:hAnsi="Times New Roman" w:cs="Times New Roman"/>
          <w:sz w:val="21"/>
          <w:szCs w:val="21"/>
        </w:rPr>
        <w:t>亿马（香港）信息产业有限公司（以下简称</w:t>
      </w:r>
      <w:r>
        <w:rPr>
          <w:rFonts w:ascii="Times New Roman" w:hAnsi="Times New Roman" w:cs="Times New Roman"/>
          <w:sz w:val="21"/>
          <w:szCs w:val="21"/>
        </w:rPr>
        <w:t>“</w:t>
      </w:r>
      <w:r>
        <w:rPr>
          <w:rFonts w:ascii="Times New Roman" w:hAnsi="Times New Roman" w:cs="Times New Roman"/>
          <w:sz w:val="21"/>
          <w:szCs w:val="21"/>
        </w:rPr>
        <w:t>香港天亿马</w:t>
      </w:r>
      <w:r>
        <w:rPr>
          <w:rFonts w:ascii="Times New Roman" w:hAnsi="Times New Roman" w:cs="Times New Roman"/>
          <w:sz w:val="21"/>
          <w:szCs w:val="21"/>
        </w:rPr>
        <w:t>”</w:t>
      </w:r>
      <w:r>
        <w:rPr>
          <w:rFonts w:ascii="Times New Roman" w:hAnsi="Times New Roman" w:cs="Times New Roman"/>
          <w:sz w:val="21"/>
          <w:szCs w:val="21"/>
        </w:rPr>
        <w:t>）依照香港立法局颁布的《税务条例》，依据课税年度的应纳税所得额按</w:t>
      </w:r>
      <w:r>
        <w:rPr>
          <w:rFonts w:ascii="Times New Roman" w:hAnsi="Times New Roman" w:cs="Times New Roman"/>
          <w:sz w:val="21"/>
          <w:szCs w:val="21"/>
        </w:rPr>
        <w:t> </w:t>
      </w:r>
      <w:r>
        <w:rPr>
          <w:rFonts w:ascii="Times New Roman" w:hAnsi="Times New Roman" w:cs="Times New Roman"/>
          <w:snapToGrid w:val="0"/>
          <w:sz w:val="21"/>
          <w:szCs w:val="21"/>
        </w:rPr>
        <w:t>的税率缴纳利得税。于</w:t>
      </w:r>
      <w:r>
        <w:rPr>
          <w:rFonts w:ascii="Times New Roman" w:hAnsi="Times New Roman" w:cs="Times New Roman"/>
          <w:snapToGrid w:val="0"/>
          <w:sz w:val="21"/>
          <w:szCs w:val="21"/>
        </w:rPr>
        <w:t>2019</w:t>
      </w:r>
      <w:r>
        <w:rPr>
          <w:rFonts w:ascii="Times New Roman" w:hAnsi="Times New Roman" w:cs="Times New Roman"/>
          <w:snapToGrid w:val="0"/>
          <w:sz w:val="21"/>
          <w:szCs w:val="21"/>
        </w:rPr>
        <w:t>年</w:t>
      </w:r>
      <w:r>
        <w:rPr>
          <w:rFonts w:ascii="Times New Roman" w:hAnsi="Times New Roman" w:cs="Times New Roman"/>
          <w:snapToGrid w:val="0"/>
          <w:sz w:val="21"/>
          <w:szCs w:val="21"/>
        </w:rPr>
        <w:t>4</w:t>
      </w:r>
      <w:r>
        <w:rPr>
          <w:rFonts w:ascii="Times New Roman" w:hAnsi="Times New Roman" w:cs="Times New Roman"/>
          <w:snapToGrid w:val="0"/>
          <w:sz w:val="21"/>
          <w:szCs w:val="21"/>
        </w:rPr>
        <w:t>月</w:t>
      </w:r>
      <w:r>
        <w:rPr>
          <w:rFonts w:ascii="Times New Roman" w:hAnsi="Times New Roman" w:cs="Times New Roman"/>
          <w:snapToGrid w:val="0"/>
          <w:sz w:val="21"/>
          <w:szCs w:val="21"/>
        </w:rPr>
        <w:t>1</w:t>
      </w:r>
      <w:r>
        <w:rPr>
          <w:rFonts w:ascii="Times New Roman" w:hAnsi="Times New Roman" w:cs="Times New Roman"/>
          <w:snapToGrid w:val="0"/>
          <w:sz w:val="21"/>
          <w:szCs w:val="21"/>
        </w:rPr>
        <w:t>日及之后的税务年度采用</w:t>
      </w:r>
      <w:r>
        <w:rPr>
          <w:rFonts w:ascii="Times New Roman" w:hAnsi="Times New Roman" w:cs="Times New Roman"/>
          <w:snapToGrid w:val="0"/>
          <w:sz w:val="21"/>
          <w:szCs w:val="21"/>
        </w:rPr>
        <w:t>“</w:t>
      </w:r>
      <w:r>
        <w:rPr>
          <w:rFonts w:ascii="Times New Roman" w:hAnsi="Times New Roman" w:cs="Times New Roman"/>
          <w:snapToGrid w:val="0"/>
          <w:sz w:val="21"/>
          <w:szCs w:val="21"/>
        </w:rPr>
        <w:t>两级税制</w:t>
      </w:r>
      <w:r>
        <w:rPr>
          <w:rFonts w:ascii="Times New Roman" w:hAnsi="Times New Roman" w:cs="Times New Roman"/>
          <w:snapToGrid w:val="0"/>
          <w:sz w:val="21"/>
          <w:szCs w:val="21"/>
        </w:rPr>
        <w:t>”</w:t>
      </w:r>
      <w:r>
        <w:rPr>
          <w:rFonts w:ascii="Times New Roman" w:hAnsi="Times New Roman" w:cs="Times New Roman"/>
          <w:snapToGrid w:val="0"/>
          <w:sz w:val="21"/>
          <w:szCs w:val="21"/>
        </w:rPr>
        <w:t>，不超过</w:t>
      </w:r>
      <w:r>
        <w:rPr>
          <w:rFonts w:ascii="Times New Roman" w:hAnsi="Times New Roman" w:cs="Times New Roman"/>
          <w:snapToGrid w:val="0"/>
          <w:sz w:val="21"/>
          <w:szCs w:val="21"/>
        </w:rPr>
        <w:t>200</w:t>
      </w:r>
      <w:r>
        <w:rPr>
          <w:rFonts w:ascii="Times New Roman" w:hAnsi="Times New Roman" w:cs="Times New Roman"/>
          <w:snapToGrid w:val="0"/>
          <w:sz w:val="21"/>
          <w:szCs w:val="21"/>
        </w:rPr>
        <w:t>万港币的应评税利润适用</w:t>
      </w:r>
      <w:bookmarkStart w:id="167" w:name="OLE_LINK58"/>
      <w:bookmarkStart w:id="168" w:name="OLE_LINK55"/>
      <w:bookmarkEnd w:id="167"/>
      <w:bookmarkEnd w:id="168"/>
      <w:r>
        <w:rPr>
          <w:rFonts w:ascii="Times New Roman" w:hAnsi="Times New Roman" w:cs="Times New Roman"/>
          <w:snapToGrid w:val="0"/>
          <w:sz w:val="21"/>
          <w:szCs w:val="21"/>
        </w:rPr>
        <w:t xml:space="preserve"> 8.25%</w:t>
      </w:r>
      <w:r>
        <w:rPr>
          <w:rFonts w:ascii="Times New Roman" w:hAnsi="Times New Roman" w:cs="Times New Roman"/>
          <w:snapToGrid w:val="0"/>
          <w:sz w:val="21"/>
          <w:szCs w:val="21"/>
        </w:rPr>
        <w:t>税率，超过</w:t>
      </w:r>
      <w:r>
        <w:rPr>
          <w:rFonts w:ascii="Times New Roman" w:hAnsi="Times New Roman" w:cs="Times New Roman"/>
          <w:snapToGrid w:val="0"/>
          <w:sz w:val="21"/>
          <w:szCs w:val="21"/>
        </w:rPr>
        <w:t>200</w:t>
      </w:r>
      <w:r>
        <w:rPr>
          <w:rFonts w:ascii="Times New Roman" w:hAnsi="Times New Roman" w:cs="Times New Roman"/>
          <w:snapToGrid w:val="0"/>
          <w:sz w:val="21"/>
          <w:szCs w:val="21"/>
        </w:rPr>
        <w:t>万港币的应评税利润适用</w:t>
      </w:r>
      <w:r>
        <w:rPr>
          <w:rFonts w:ascii="Times New Roman" w:hAnsi="Times New Roman" w:cs="Times New Roman"/>
          <w:snapToGrid w:val="0"/>
          <w:sz w:val="21"/>
          <w:szCs w:val="21"/>
        </w:rPr>
        <w:t xml:space="preserve"> 16.5%</w:t>
      </w:r>
      <w:r>
        <w:rPr>
          <w:rFonts w:ascii="Times New Roman" w:hAnsi="Times New Roman" w:cs="Times New Roman"/>
          <w:snapToGrid w:val="0"/>
          <w:sz w:val="21"/>
          <w:szCs w:val="21"/>
        </w:rPr>
        <w:t>税率。</w:t>
      </w:r>
    </w:p>
    <w:p w:rsidR="00CE3C32" w:rsidRDefault="006413B8">
      <w:pPr>
        <w:pStyle w:val="a6"/>
        <w:spacing w:beforeLines="50" w:before="156" w:beforeAutospacing="0" w:afterLines="50" w:after="156" w:afterAutospacing="0"/>
        <w:ind w:firstLine="420"/>
        <w:jc w:val="both"/>
        <w:textAlignment w:val="bottom"/>
        <w:rPr>
          <w:rFonts w:ascii="Times New Roman" w:hAnsi="Times New Roman" w:cs="Times New Roman"/>
          <w:sz w:val="21"/>
          <w:szCs w:val="21"/>
        </w:rPr>
      </w:pPr>
      <w:r>
        <w:rPr>
          <w:rFonts w:ascii="Times New Roman" w:hAnsi="Times New Roman" w:cs="Times New Roman"/>
          <w:snapToGrid w:val="0"/>
          <w:sz w:val="21"/>
          <w:szCs w:val="21"/>
        </w:rPr>
        <w:lastRenderedPageBreak/>
        <w:t>子公司天亿马信息技术有限公司（以下简称</w:t>
      </w:r>
      <w:r>
        <w:rPr>
          <w:rFonts w:ascii="Times New Roman" w:hAnsi="Times New Roman" w:cs="Times New Roman"/>
          <w:snapToGrid w:val="0"/>
          <w:sz w:val="21"/>
          <w:szCs w:val="21"/>
        </w:rPr>
        <w:t>“</w:t>
      </w:r>
      <w:r>
        <w:rPr>
          <w:rFonts w:ascii="Times New Roman" w:hAnsi="Times New Roman" w:cs="Times New Roman"/>
          <w:snapToGrid w:val="0"/>
          <w:sz w:val="21"/>
          <w:szCs w:val="21"/>
        </w:rPr>
        <w:t>天亿马技术</w:t>
      </w:r>
      <w:r>
        <w:rPr>
          <w:rFonts w:ascii="Times New Roman" w:hAnsi="Times New Roman" w:cs="Times New Roman"/>
          <w:snapToGrid w:val="0"/>
          <w:sz w:val="21"/>
          <w:szCs w:val="21"/>
        </w:rPr>
        <w:t>”</w:t>
      </w:r>
      <w:r>
        <w:rPr>
          <w:rFonts w:ascii="Times New Roman" w:hAnsi="Times New Roman" w:cs="Times New Roman"/>
          <w:snapToGrid w:val="0"/>
          <w:sz w:val="21"/>
          <w:szCs w:val="21"/>
        </w:rPr>
        <w:t>）于</w:t>
      </w:r>
      <w:r>
        <w:rPr>
          <w:rFonts w:ascii="Times New Roman" w:hAnsi="Times New Roman" w:cs="Times New Roman"/>
          <w:snapToGrid w:val="0"/>
          <w:sz w:val="21"/>
          <w:szCs w:val="21"/>
        </w:rPr>
        <w:t>2024</w:t>
      </w:r>
      <w:r>
        <w:rPr>
          <w:rFonts w:ascii="Times New Roman" w:hAnsi="Times New Roman" w:cs="Times New Roman"/>
          <w:snapToGrid w:val="0"/>
          <w:sz w:val="21"/>
          <w:szCs w:val="21"/>
        </w:rPr>
        <w:t>年</w:t>
      </w:r>
      <w:r>
        <w:rPr>
          <w:rFonts w:ascii="Times New Roman" w:hAnsi="Times New Roman" w:cs="Times New Roman"/>
          <w:snapToGrid w:val="0"/>
          <w:sz w:val="21"/>
          <w:szCs w:val="21"/>
        </w:rPr>
        <w:t>11</w:t>
      </w:r>
      <w:r>
        <w:rPr>
          <w:rFonts w:ascii="Times New Roman" w:hAnsi="Times New Roman" w:cs="Times New Roman"/>
          <w:snapToGrid w:val="0"/>
          <w:sz w:val="21"/>
          <w:szCs w:val="21"/>
        </w:rPr>
        <w:t>月</w:t>
      </w:r>
      <w:r>
        <w:rPr>
          <w:rFonts w:ascii="Times New Roman" w:hAnsi="Times New Roman" w:cs="Times New Roman"/>
          <w:snapToGrid w:val="0"/>
          <w:sz w:val="21"/>
          <w:szCs w:val="21"/>
        </w:rPr>
        <w:t>28</w:t>
      </w:r>
      <w:r>
        <w:rPr>
          <w:rFonts w:ascii="Times New Roman" w:hAnsi="Times New Roman" w:cs="Times New Roman"/>
          <w:snapToGrid w:val="0"/>
          <w:sz w:val="21"/>
          <w:szCs w:val="21"/>
        </w:rPr>
        <w:t>日取得广东省科学技术厅、广东省财政厅、国家税务总局广东省税务局联合下发的编号</w:t>
      </w:r>
      <w:r>
        <w:rPr>
          <w:rFonts w:ascii="Times New Roman" w:hAnsi="Times New Roman" w:cs="Times New Roman"/>
          <w:snapToGrid w:val="0"/>
          <w:sz w:val="21"/>
          <w:szCs w:val="21"/>
        </w:rPr>
        <w:t>GR202444006228</w:t>
      </w:r>
      <w:r>
        <w:rPr>
          <w:rFonts w:ascii="Times New Roman" w:hAnsi="Times New Roman" w:cs="Times New Roman"/>
          <w:snapToGrid w:val="0"/>
          <w:sz w:val="21"/>
          <w:szCs w:val="21"/>
        </w:rPr>
        <w:t>的高新技术企业证书，证书有效期为三年（</w:t>
      </w:r>
      <w:r>
        <w:rPr>
          <w:rFonts w:ascii="Times New Roman" w:hAnsi="Times New Roman" w:cs="Times New Roman"/>
          <w:snapToGrid w:val="0"/>
          <w:sz w:val="21"/>
          <w:szCs w:val="21"/>
        </w:rPr>
        <w:t>2024—2026</w:t>
      </w:r>
      <w:r>
        <w:rPr>
          <w:rFonts w:ascii="Times New Roman" w:hAnsi="Times New Roman" w:cs="Times New Roman"/>
          <w:snapToGrid w:val="0"/>
          <w:sz w:val="21"/>
          <w:szCs w:val="21"/>
        </w:rPr>
        <w:t>年）。根据企业所得税法第二十八条规定：</w:t>
      </w:r>
      <w:r>
        <w:rPr>
          <w:rFonts w:ascii="Times New Roman" w:hAnsi="Times New Roman" w:cs="Times New Roman"/>
          <w:snapToGrid w:val="0"/>
          <w:sz w:val="21"/>
          <w:szCs w:val="21"/>
        </w:rPr>
        <w:t>“</w:t>
      </w:r>
      <w:r>
        <w:rPr>
          <w:rFonts w:ascii="Times New Roman" w:hAnsi="Times New Roman" w:cs="Times New Roman"/>
          <w:snapToGrid w:val="0"/>
          <w:sz w:val="21"/>
          <w:szCs w:val="21"/>
        </w:rPr>
        <w:t>国家需要重点扶持的高新技术企业，减按</w:t>
      </w:r>
      <w:r>
        <w:rPr>
          <w:rFonts w:ascii="Times New Roman" w:hAnsi="Times New Roman" w:cs="Times New Roman"/>
          <w:snapToGrid w:val="0"/>
          <w:sz w:val="21"/>
          <w:szCs w:val="21"/>
        </w:rPr>
        <w:t>15%</w:t>
      </w:r>
      <w:r>
        <w:rPr>
          <w:rFonts w:ascii="Times New Roman" w:hAnsi="Times New Roman" w:cs="Times New Roman"/>
          <w:snapToGrid w:val="0"/>
          <w:sz w:val="21"/>
          <w:szCs w:val="21"/>
        </w:rPr>
        <w:t>的税率征收企业所得税</w:t>
      </w:r>
      <w:r>
        <w:rPr>
          <w:rFonts w:ascii="Times New Roman" w:hAnsi="Times New Roman" w:cs="Times New Roman"/>
          <w:snapToGrid w:val="0"/>
          <w:sz w:val="21"/>
          <w:szCs w:val="21"/>
        </w:rPr>
        <w:t>”</w:t>
      </w:r>
      <w:r>
        <w:rPr>
          <w:rFonts w:ascii="Times New Roman" w:hAnsi="Times New Roman" w:cs="Times New Roman"/>
          <w:snapToGrid w:val="0"/>
          <w:sz w:val="21"/>
          <w:szCs w:val="21"/>
        </w:rPr>
        <w:t>，</w:t>
      </w:r>
      <w:r>
        <w:rPr>
          <w:rFonts w:ascii="Times New Roman" w:hAnsi="Times New Roman" w:cs="Times New Roman"/>
          <w:snapToGrid w:val="0"/>
          <w:sz w:val="21"/>
          <w:szCs w:val="21"/>
        </w:rPr>
        <w:t>2024</w:t>
      </w:r>
      <w:r>
        <w:rPr>
          <w:rFonts w:ascii="Times New Roman" w:hAnsi="Times New Roman" w:cs="Times New Roman"/>
          <w:snapToGrid w:val="0"/>
          <w:sz w:val="21"/>
          <w:szCs w:val="21"/>
        </w:rPr>
        <w:t>年度至</w:t>
      </w:r>
      <w:r>
        <w:rPr>
          <w:rFonts w:ascii="Times New Roman" w:hAnsi="Times New Roman" w:cs="Times New Roman"/>
          <w:snapToGrid w:val="0"/>
          <w:sz w:val="21"/>
          <w:szCs w:val="21"/>
        </w:rPr>
        <w:t>2026</w:t>
      </w:r>
      <w:r>
        <w:rPr>
          <w:rFonts w:ascii="Times New Roman" w:hAnsi="Times New Roman" w:cs="Times New Roman"/>
          <w:snapToGrid w:val="0"/>
          <w:sz w:val="21"/>
          <w:szCs w:val="21"/>
        </w:rPr>
        <w:t>年度，天亿马技术适用</w:t>
      </w:r>
      <w:r>
        <w:rPr>
          <w:rFonts w:ascii="Times New Roman" w:hAnsi="Times New Roman" w:cs="Times New Roman"/>
          <w:snapToGrid w:val="0"/>
          <w:sz w:val="21"/>
          <w:szCs w:val="21"/>
        </w:rPr>
        <w:t>15%</w:t>
      </w:r>
      <w:r>
        <w:rPr>
          <w:rFonts w:ascii="Times New Roman" w:hAnsi="Times New Roman" w:cs="Times New Roman"/>
          <w:snapToGrid w:val="0"/>
          <w:sz w:val="21"/>
          <w:szCs w:val="21"/>
        </w:rPr>
        <w:t>的企业所得税税率。</w:t>
      </w:r>
    </w:p>
    <w:p w:rsidR="00CE3C32" w:rsidRDefault="006413B8">
      <w:pPr>
        <w:pStyle w:val="a6"/>
        <w:spacing w:beforeLines="50" w:before="156" w:beforeAutospacing="0" w:afterLines="50" w:after="156" w:afterAutospacing="0"/>
        <w:ind w:firstLine="420"/>
        <w:jc w:val="both"/>
        <w:textAlignment w:val="bottom"/>
        <w:rPr>
          <w:rFonts w:ascii="Times New Roman" w:hAnsi="Times New Roman" w:cs="Times New Roman"/>
          <w:sz w:val="21"/>
          <w:szCs w:val="21"/>
        </w:rPr>
      </w:pPr>
      <w:r>
        <w:rPr>
          <w:rFonts w:ascii="Times New Roman" w:hAnsi="Times New Roman" w:cs="Times New Roman"/>
          <w:snapToGrid w:val="0"/>
          <w:sz w:val="21"/>
          <w:szCs w:val="21"/>
        </w:rPr>
        <w:t>根据《财政部</w:t>
      </w:r>
      <w:r>
        <w:rPr>
          <w:rFonts w:ascii="Times New Roman" w:hAnsi="Times New Roman" w:cs="Times New Roman"/>
          <w:snapToGrid w:val="0"/>
          <w:sz w:val="21"/>
          <w:szCs w:val="21"/>
        </w:rPr>
        <w:t xml:space="preserve"> </w:t>
      </w:r>
      <w:r>
        <w:rPr>
          <w:rFonts w:ascii="Times New Roman" w:hAnsi="Times New Roman" w:cs="Times New Roman"/>
          <w:snapToGrid w:val="0"/>
          <w:sz w:val="21"/>
          <w:szCs w:val="21"/>
        </w:rPr>
        <w:t>税务总局</w:t>
      </w:r>
      <w:r>
        <w:rPr>
          <w:rFonts w:ascii="Times New Roman" w:hAnsi="Times New Roman" w:cs="Times New Roman"/>
          <w:snapToGrid w:val="0"/>
          <w:sz w:val="21"/>
          <w:szCs w:val="21"/>
        </w:rPr>
        <w:t xml:space="preserve"> </w:t>
      </w:r>
      <w:r>
        <w:rPr>
          <w:rFonts w:ascii="Times New Roman" w:hAnsi="Times New Roman" w:cs="Times New Roman"/>
          <w:snapToGrid w:val="0"/>
          <w:sz w:val="21"/>
          <w:szCs w:val="21"/>
        </w:rPr>
        <w:t>科技部关于进一步提高科技型中小企业研发费用税前加计扣除比例的公告》（</w:t>
      </w:r>
      <w:r>
        <w:rPr>
          <w:rFonts w:ascii="Times New Roman" w:hAnsi="Times New Roman" w:cs="Times New Roman"/>
          <w:snapToGrid w:val="0"/>
          <w:sz w:val="21"/>
          <w:szCs w:val="21"/>
        </w:rPr>
        <w:t>2022</w:t>
      </w:r>
      <w:r>
        <w:rPr>
          <w:rFonts w:ascii="Times New Roman" w:hAnsi="Times New Roman" w:cs="Times New Roman"/>
          <w:snapToGrid w:val="0"/>
          <w:sz w:val="21"/>
          <w:szCs w:val="21"/>
        </w:rPr>
        <w:t>年第</w:t>
      </w:r>
      <w:r>
        <w:rPr>
          <w:rFonts w:ascii="Times New Roman" w:hAnsi="Times New Roman" w:cs="Times New Roman"/>
          <w:snapToGrid w:val="0"/>
          <w:sz w:val="21"/>
          <w:szCs w:val="21"/>
        </w:rPr>
        <w:t>16</w:t>
      </w:r>
      <w:r>
        <w:rPr>
          <w:rFonts w:ascii="Times New Roman" w:hAnsi="Times New Roman" w:cs="Times New Roman"/>
          <w:snapToGrid w:val="0"/>
          <w:sz w:val="21"/>
          <w:szCs w:val="21"/>
        </w:rPr>
        <w:t>号），科技型中小企业开展研发活动中实际发生的研发费用，未形成无形资产计入当期损益的，在按规定据实扣除的基础上，自</w:t>
      </w:r>
      <w:r>
        <w:rPr>
          <w:rFonts w:ascii="Times New Roman" w:hAnsi="Times New Roman" w:cs="Times New Roman"/>
          <w:snapToGrid w:val="0"/>
          <w:sz w:val="21"/>
          <w:szCs w:val="21"/>
        </w:rPr>
        <w:t>2022</w:t>
      </w:r>
      <w:r>
        <w:rPr>
          <w:rFonts w:ascii="Times New Roman" w:hAnsi="Times New Roman" w:cs="Times New Roman"/>
          <w:snapToGrid w:val="0"/>
          <w:sz w:val="21"/>
          <w:szCs w:val="21"/>
        </w:rPr>
        <w:t>年</w:t>
      </w:r>
      <w:r>
        <w:rPr>
          <w:rFonts w:ascii="Times New Roman" w:hAnsi="Times New Roman" w:cs="Times New Roman"/>
          <w:snapToGrid w:val="0"/>
          <w:sz w:val="21"/>
          <w:szCs w:val="21"/>
        </w:rPr>
        <w:t>1</w:t>
      </w:r>
      <w:r>
        <w:rPr>
          <w:rFonts w:ascii="Times New Roman" w:hAnsi="Times New Roman" w:cs="Times New Roman"/>
          <w:snapToGrid w:val="0"/>
          <w:sz w:val="21"/>
          <w:szCs w:val="21"/>
        </w:rPr>
        <w:t>月</w:t>
      </w:r>
      <w:r>
        <w:rPr>
          <w:rFonts w:ascii="Times New Roman" w:hAnsi="Times New Roman" w:cs="Times New Roman"/>
          <w:snapToGrid w:val="0"/>
          <w:sz w:val="21"/>
          <w:szCs w:val="21"/>
        </w:rPr>
        <w:t>1</w:t>
      </w:r>
      <w:r>
        <w:rPr>
          <w:rFonts w:ascii="Times New Roman" w:hAnsi="Times New Roman" w:cs="Times New Roman"/>
          <w:snapToGrid w:val="0"/>
          <w:sz w:val="21"/>
          <w:szCs w:val="21"/>
        </w:rPr>
        <w:t>日起，再按照实际发生额的</w:t>
      </w:r>
      <w:r>
        <w:rPr>
          <w:rFonts w:ascii="Times New Roman" w:hAnsi="Times New Roman" w:cs="Times New Roman"/>
          <w:snapToGrid w:val="0"/>
          <w:sz w:val="21"/>
          <w:szCs w:val="21"/>
        </w:rPr>
        <w:t>100%</w:t>
      </w:r>
      <w:r>
        <w:rPr>
          <w:rFonts w:ascii="Times New Roman" w:hAnsi="Times New Roman" w:cs="Times New Roman"/>
          <w:snapToGrid w:val="0"/>
          <w:sz w:val="21"/>
          <w:szCs w:val="21"/>
        </w:rPr>
        <w:t>在税前加计扣除；形成无形资产的，自</w:t>
      </w:r>
      <w:r>
        <w:rPr>
          <w:rFonts w:ascii="Times New Roman" w:hAnsi="Times New Roman" w:cs="Times New Roman"/>
          <w:snapToGrid w:val="0"/>
          <w:sz w:val="21"/>
          <w:szCs w:val="21"/>
        </w:rPr>
        <w:t>2022</w:t>
      </w:r>
      <w:r>
        <w:rPr>
          <w:rFonts w:ascii="Times New Roman" w:hAnsi="Times New Roman" w:cs="Times New Roman"/>
          <w:snapToGrid w:val="0"/>
          <w:sz w:val="21"/>
          <w:szCs w:val="21"/>
        </w:rPr>
        <w:t>年</w:t>
      </w:r>
      <w:r>
        <w:rPr>
          <w:rFonts w:ascii="Times New Roman" w:hAnsi="Times New Roman" w:cs="Times New Roman"/>
          <w:snapToGrid w:val="0"/>
          <w:sz w:val="21"/>
          <w:szCs w:val="21"/>
        </w:rPr>
        <w:t>1</w:t>
      </w:r>
      <w:r>
        <w:rPr>
          <w:rFonts w:ascii="Times New Roman" w:hAnsi="Times New Roman" w:cs="Times New Roman"/>
          <w:snapToGrid w:val="0"/>
          <w:sz w:val="21"/>
          <w:szCs w:val="21"/>
        </w:rPr>
        <w:t>月</w:t>
      </w:r>
      <w:r>
        <w:rPr>
          <w:rFonts w:ascii="Times New Roman" w:hAnsi="Times New Roman" w:cs="Times New Roman"/>
          <w:snapToGrid w:val="0"/>
          <w:sz w:val="21"/>
          <w:szCs w:val="21"/>
        </w:rPr>
        <w:t>1</w:t>
      </w:r>
      <w:r>
        <w:rPr>
          <w:rFonts w:ascii="Times New Roman" w:hAnsi="Times New Roman" w:cs="Times New Roman"/>
          <w:snapToGrid w:val="0"/>
          <w:sz w:val="21"/>
          <w:szCs w:val="21"/>
        </w:rPr>
        <w:t>日起，按照无形资产成本的</w:t>
      </w:r>
      <w:r>
        <w:rPr>
          <w:rFonts w:ascii="Times New Roman" w:hAnsi="Times New Roman" w:cs="Times New Roman"/>
          <w:snapToGrid w:val="0"/>
          <w:sz w:val="21"/>
          <w:szCs w:val="21"/>
        </w:rPr>
        <w:t>200%</w:t>
      </w:r>
      <w:r>
        <w:rPr>
          <w:rFonts w:ascii="Times New Roman" w:hAnsi="Times New Roman" w:cs="Times New Roman"/>
          <w:snapToGrid w:val="0"/>
          <w:sz w:val="21"/>
          <w:szCs w:val="21"/>
        </w:rPr>
        <w:t>在税前摊销。</w:t>
      </w:r>
      <w:r>
        <w:rPr>
          <w:rFonts w:ascii="Times New Roman" w:hAnsi="Times New Roman" w:cs="Times New Roman"/>
          <w:snapToGrid w:val="0"/>
          <w:sz w:val="21"/>
          <w:szCs w:val="21"/>
        </w:rPr>
        <w:t>2025</w:t>
      </w:r>
      <w:r>
        <w:rPr>
          <w:rFonts w:ascii="Times New Roman" w:hAnsi="Times New Roman" w:cs="Times New Roman"/>
          <w:snapToGrid w:val="0"/>
          <w:sz w:val="21"/>
          <w:szCs w:val="21"/>
        </w:rPr>
        <w:t>年广东天亿马信息产业股份有限公司、天亿马信息技术有限公司、深圳市互联精英信息技术有限公司、广东翼启数据产业有限公司、广图粤科（广州）科技有限公司均符合相关条件，研究开发费研发费用税前加计扣除比例为</w:t>
      </w:r>
      <w:r>
        <w:rPr>
          <w:rFonts w:ascii="Times New Roman" w:hAnsi="Times New Roman" w:cs="Times New Roman"/>
          <w:snapToGrid w:val="0"/>
          <w:sz w:val="21"/>
          <w:szCs w:val="21"/>
        </w:rPr>
        <w:t>100%</w:t>
      </w:r>
      <w:r>
        <w:rPr>
          <w:rFonts w:ascii="Times New Roman" w:hAnsi="Times New Roman" w:cs="Times New Roman"/>
          <w:snapToGrid w:val="0"/>
          <w:sz w:val="21"/>
          <w:szCs w:val="21"/>
        </w:rPr>
        <w:t>。</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公司需遵守《深圳证券交易所上市公司自律监管指引第</w:t>
      </w:r>
      <w:r>
        <w:rPr>
          <w:rFonts w:ascii="Times New Roman" w:eastAsia="宋体" w:hAnsi="Times New Roman" w:cs="Times New Roman"/>
          <w:sz w:val="18"/>
          <w:szCs w:val="18"/>
        </w:rPr>
        <w:t>3</w:t>
      </w:r>
      <w:r>
        <w:rPr>
          <w:rFonts w:ascii="Times New Roman" w:eastAsia="宋体" w:hAnsi="Times New Roman" w:cs="Times New Roman"/>
          <w:sz w:val="18"/>
          <w:szCs w:val="18"/>
        </w:rPr>
        <w:t>号</w:t>
      </w:r>
      <w:r>
        <w:rPr>
          <w:rFonts w:ascii="Times New Roman" w:eastAsia="宋体" w:hAnsi="Times New Roman" w:cs="Times New Roman"/>
          <w:sz w:val="18"/>
          <w:szCs w:val="18"/>
        </w:rPr>
        <w:t>——</w:t>
      </w:r>
      <w:r>
        <w:rPr>
          <w:rFonts w:ascii="Times New Roman" w:eastAsia="宋体" w:hAnsi="Times New Roman" w:cs="Times New Roman"/>
          <w:sz w:val="18"/>
          <w:szCs w:val="18"/>
        </w:rPr>
        <w:t>行业信息披露》中的</w:t>
      </w:r>
      <w:r>
        <w:rPr>
          <w:rFonts w:ascii="Times New Roman" w:eastAsia="宋体" w:hAnsi="Times New Roman" w:cs="Times New Roman"/>
          <w:sz w:val="18"/>
          <w:szCs w:val="18"/>
        </w:rPr>
        <w:t>“</w:t>
      </w:r>
      <w:r>
        <w:rPr>
          <w:rFonts w:ascii="Times New Roman" w:eastAsia="宋体" w:hAnsi="Times New Roman" w:cs="Times New Roman"/>
          <w:sz w:val="18"/>
          <w:szCs w:val="18"/>
        </w:rPr>
        <w:t>软件与信息技术服务业</w:t>
      </w:r>
      <w:r>
        <w:rPr>
          <w:rFonts w:ascii="Times New Roman" w:eastAsia="宋体" w:hAnsi="Times New Roman" w:cs="Times New Roman"/>
          <w:sz w:val="18"/>
          <w:szCs w:val="18"/>
        </w:rPr>
        <w:t>”</w:t>
      </w:r>
      <w:r>
        <w:rPr>
          <w:rFonts w:ascii="Times New Roman" w:eastAsia="宋体" w:hAnsi="Times New Roman" w:cs="Times New Roman"/>
          <w:sz w:val="18"/>
          <w:szCs w:val="18"/>
        </w:rPr>
        <w:t>的披露要求</w:t>
      </w:r>
    </w:p>
    <w:p w:rsidR="00CE3C32" w:rsidRDefault="00CE3C32">
      <w:pPr>
        <w:rPr>
          <w:rFonts w:ascii="Times New Roman" w:hAnsi="Times New Roman" w:cs="Times New Roman"/>
          <w:sz w:val="18"/>
          <w:szCs w:val="18"/>
        </w:rPr>
      </w:pPr>
    </w:p>
    <w:p w:rsidR="00CE3C32" w:rsidRDefault="006413B8">
      <w:pPr>
        <w:pStyle w:val="3"/>
        <w:spacing w:line="280" w:lineRule="exact"/>
        <w:jc w:val="left"/>
        <w:rPr>
          <w:rFonts w:ascii="Times New Roman" w:hAnsi="Times New Roman" w:cs="Times New Roman"/>
          <w:b/>
          <w:bCs/>
        </w:rPr>
      </w:pPr>
      <w:bookmarkStart w:id="169" w:name="_Toc989053"/>
      <w:r>
        <w:rPr>
          <w:rFonts w:ascii="Times New Roman" w:hAnsi="Times New Roman" w:cs="Times New Roman"/>
          <w:b/>
          <w:bCs/>
        </w:rPr>
        <w:t>3</w:t>
      </w:r>
      <w:r>
        <w:rPr>
          <w:rFonts w:ascii="Times New Roman" w:hAnsi="Times New Roman" w:cs="Times New Roman"/>
          <w:b/>
          <w:bCs/>
        </w:rPr>
        <w:t>、其他</w:t>
      </w:r>
      <w:bookmarkEnd w:id="169"/>
    </w:p>
    <w:p w:rsidR="00CE3C32" w:rsidRDefault="006413B8">
      <w:pPr>
        <w:rPr>
          <w:rFonts w:ascii="Times New Roman" w:hAnsi="Times New Roman" w:cs="Times New Roman"/>
          <w:sz w:val="18"/>
          <w:szCs w:val="18"/>
        </w:rPr>
      </w:pPr>
      <w:r>
        <w:rPr>
          <w:rFonts w:ascii="Times New Roman" w:hAnsi="Times New Roman" w:cs="Times New Roman" w:hint="eastAsia"/>
          <w:sz w:val="18"/>
          <w:szCs w:val="18"/>
        </w:rPr>
        <w:t>无。</w:t>
      </w:r>
    </w:p>
    <w:p w:rsidR="00CE3C32" w:rsidRDefault="006413B8">
      <w:pPr>
        <w:pStyle w:val="2"/>
        <w:spacing w:before="300" w:after="300" w:line="320" w:lineRule="exact"/>
        <w:rPr>
          <w:rFonts w:ascii="Times New Roman" w:eastAsia="宋体" w:hAnsi="Times New Roman" w:cs="Times New Roman"/>
          <w:b/>
          <w:bCs/>
          <w:sz w:val="24"/>
          <w:szCs w:val="24"/>
        </w:rPr>
      </w:pPr>
      <w:bookmarkStart w:id="170" w:name="_Toc989054"/>
      <w:r>
        <w:rPr>
          <w:rFonts w:ascii="Times New Roman" w:eastAsia="宋体" w:hAnsi="Times New Roman" w:cs="Times New Roman"/>
          <w:b/>
          <w:bCs/>
          <w:sz w:val="24"/>
          <w:szCs w:val="24"/>
        </w:rPr>
        <w:t>七、合并财务报表项目注释</w:t>
      </w:r>
      <w:bookmarkEnd w:id="170"/>
    </w:p>
    <w:p w:rsidR="00CE3C32" w:rsidRDefault="006413B8">
      <w:pPr>
        <w:pStyle w:val="3"/>
        <w:spacing w:line="280" w:lineRule="exact"/>
        <w:jc w:val="left"/>
        <w:rPr>
          <w:rFonts w:ascii="Times New Roman" w:hAnsi="Times New Roman" w:cs="Times New Roman"/>
          <w:b/>
          <w:bCs/>
        </w:rPr>
      </w:pPr>
      <w:bookmarkStart w:id="171" w:name="_Toc989055"/>
      <w:r>
        <w:rPr>
          <w:rFonts w:ascii="Times New Roman" w:hAnsi="Times New Roman" w:cs="Times New Roman"/>
          <w:b/>
          <w:bCs/>
        </w:rPr>
        <w:t>1</w:t>
      </w:r>
      <w:r>
        <w:rPr>
          <w:rFonts w:ascii="Times New Roman" w:hAnsi="Times New Roman" w:cs="Times New Roman"/>
          <w:b/>
          <w:bCs/>
        </w:rPr>
        <w:t>、货币资金</w:t>
      </w:r>
      <w:bookmarkEnd w:id="171"/>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库存现金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21,725.40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118,274.31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银行存款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274,761,114.82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332,882,832.98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其他货币资金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2,070,739.03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1,622,727.95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276,853,579.25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334,623,835.24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其中：存放在境外的款项总额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3,079,786.23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3,327,875.01</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其他说明</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注：因抵押、质押或冻结等对使用有限制的货币资金详见本报告本节七、</w:t>
      </w:r>
      <w:r>
        <w:rPr>
          <w:rFonts w:ascii="Times New Roman" w:hAnsi="Times New Roman" w:cs="Times New Roman"/>
          <w:sz w:val="18"/>
          <w:szCs w:val="18"/>
        </w:rPr>
        <w:t xml:space="preserve">31 </w:t>
      </w:r>
      <w:r>
        <w:rPr>
          <w:rFonts w:ascii="Times New Roman" w:hAnsi="Times New Roman" w:cs="Times New Roman"/>
          <w:sz w:val="18"/>
          <w:szCs w:val="18"/>
        </w:rPr>
        <w:t>所有权或使用权受到限制的资产。</w:t>
      </w:r>
    </w:p>
    <w:p w:rsidR="00CE3C32" w:rsidRDefault="006413B8">
      <w:pPr>
        <w:pStyle w:val="3"/>
        <w:spacing w:line="280" w:lineRule="exact"/>
        <w:jc w:val="left"/>
        <w:rPr>
          <w:rFonts w:ascii="Times New Roman" w:hAnsi="Times New Roman" w:cs="Times New Roman"/>
          <w:b/>
          <w:bCs/>
        </w:rPr>
      </w:pPr>
      <w:bookmarkStart w:id="172" w:name="_Toc989056"/>
      <w:r>
        <w:rPr>
          <w:rFonts w:ascii="Times New Roman" w:hAnsi="Times New Roman" w:cs="Times New Roman"/>
          <w:b/>
          <w:bCs/>
        </w:rPr>
        <w:t>2</w:t>
      </w:r>
      <w:r>
        <w:rPr>
          <w:rFonts w:ascii="Times New Roman" w:hAnsi="Times New Roman" w:cs="Times New Roman"/>
          <w:b/>
          <w:bCs/>
        </w:rPr>
        <w:t>、交易性金融资产</w:t>
      </w:r>
      <w:bookmarkEnd w:id="17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173" w:name="_Toc989057"/>
      <w:r>
        <w:rPr>
          <w:rFonts w:ascii="Times New Roman" w:hAnsi="Times New Roman" w:cs="Times New Roman"/>
          <w:b/>
          <w:bCs/>
        </w:rPr>
        <w:lastRenderedPageBreak/>
        <w:t>3</w:t>
      </w:r>
      <w:r>
        <w:rPr>
          <w:rFonts w:ascii="Times New Roman" w:hAnsi="Times New Roman" w:cs="Times New Roman"/>
          <w:b/>
          <w:bCs/>
        </w:rPr>
        <w:t>、衍生金融资产</w:t>
      </w:r>
      <w:bookmarkEnd w:id="173"/>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174" w:name="_Toc989058"/>
      <w:r>
        <w:rPr>
          <w:rFonts w:ascii="Times New Roman" w:hAnsi="Times New Roman" w:cs="Times New Roman"/>
          <w:b/>
          <w:bCs/>
        </w:rPr>
        <w:t>4</w:t>
      </w:r>
      <w:r>
        <w:rPr>
          <w:rFonts w:ascii="Times New Roman" w:hAnsi="Times New Roman" w:cs="Times New Roman"/>
          <w:b/>
          <w:bCs/>
        </w:rPr>
        <w:t>、应收票据</w:t>
      </w:r>
      <w:bookmarkEnd w:id="174"/>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75" w:name="_Toc989059"/>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应收票据分类列示</w:t>
      </w:r>
      <w:bookmarkEnd w:id="175"/>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银行承兑票据</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2,859,571.00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2,570,000.00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2,859,571.00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2,570,000.00</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76" w:name="_Toc989060"/>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按坏账计提方法分类披露</w:t>
      </w:r>
      <w:bookmarkEnd w:id="176"/>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877"/>
        <w:gridCol w:w="876"/>
        <w:gridCol w:w="877"/>
        <w:gridCol w:w="876"/>
        <w:gridCol w:w="876"/>
        <w:gridCol w:w="877"/>
        <w:gridCol w:w="876"/>
        <w:gridCol w:w="877"/>
        <w:gridCol w:w="876"/>
      </w:tblGrid>
      <w:tr w:rsidR="00CE3C32">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类别</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r>
      <w:tr w:rsidR="00CE3C32">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按组合计提坏账准备的应收票据</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2,859,571.00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2,859,571.00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2,570,000.00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2,570,000.00</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组合</w:t>
            </w:r>
            <w:r>
              <w:rPr>
                <w:rFonts w:ascii="Times New Roman" w:eastAsia="宋体" w:hAnsi="Times New Roman" w:cs="Times New Roman"/>
                <w:sz w:val="18"/>
                <w:szCs w:val="18"/>
              </w:rPr>
              <w:t>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2,859,571.00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2,859,571.00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2,570,000.00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2,570,000.00</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2,859,571.00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2,859,571.00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2,570,000.00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2,570,000.00</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按组合计提坏账准备类别名称：组合</w:t>
      </w:r>
      <w:r>
        <w:rPr>
          <w:rFonts w:ascii="Times New Roman" w:eastAsia="宋体" w:hAnsi="Times New Roman" w:cs="Times New Roman"/>
          <w:sz w:val="18"/>
          <w:szCs w:val="18"/>
        </w:rPr>
        <w:t>1</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年以内</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2,859,571.00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2,859,571.00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确定该组合依据的说明：</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本组合为信用等级较高银行承兑的银行承兑汇票，且不计提坏账准备。</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如是按照预期信用损失一般模型计提应收票据坏账准备：</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77" w:name="_Toc989061"/>
      <w:r>
        <w:rPr>
          <w:rFonts w:ascii="Times New Roman" w:eastAsia="宋体" w:hAnsi="Times New Roman" w:cs="Times New Roman"/>
          <w:b/>
          <w:bCs/>
          <w:szCs w:val="21"/>
        </w:rPr>
        <w:lastRenderedPageBreak/>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本期计提、收回或转回的坏账准备情况</w:t>
      </w:r>
      <w:bookmarkEnd w:id="177"/>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本期计提坏账准备情况：</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其中本期坏账准备收回或转回金额重要的：</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78" w:name="_Toc989062"/>
      <w:r>
        <w:rPr>
          <w:rFonts w:ascii="Times New Roman" w:eastAsia="宋体" w:hAnsi="Times New Roman" w:cs="Times New Roman"/>
          <w:b/>
          <w:bCs/>
          <w:szCs w:val="21"/>
        </w:rPr>
        <w:t>（</w:t>
      </w:r>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期末公司已质押的应收票据</w:t>
      </w:r>
      <w:bookmarkEnd w:id="17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期末已质押金额</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79" w:name="_Toc989063"/>
      <w:r>
        <w:rPr>
          <w:rFonts w:ascii="Times New Roman" w:eastAsia="宋体" w:hAnsi="Times New Roman" w:cs="Times New Roman"/>
          <w:b/>
          <w:bCs/>
          <w:szCs w:val="21"/>
        </w:rPr>
        <w:t>（</w:t>
      </w:r>
      <w:r>
        <w:rPr>
          <w:rFonts w:ascii="Times New Roman" w:eastAsia="宋体" w:hAnsi="Times New Roman" w:cs="Times New Roman"/>
          <w:b/>
          <w:bCs/>
          <w:szCs w:val="21"/>
        </w:rPr>
        <w:t>5</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期末公司已背书或贴现且在资产负债表日尚未到期的应收票据</w:t>
      </w:r>
      <w:bookmarkEnd w:id="179"/>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期末终止确认金额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期末未终止确认金额</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80" w:name="_Toc989064"/>
      <w:r>
        <w:rPr>
          <w:rFonts w:ascii="Times New Roman" w:eastAsia="宋体" w:hAnsi="Times New Roman" w:cs="Times New Roman"/>
          <w:b/>
          <w:bCs/>
          <w:szCs w:val="21"/>
        </w:rPr>
        <w:t>（</w:t>
      </w:r>
      <w:r>
        <w:rPr>
          <w:rFonts w:ascii="Times New Roman" w:eastAsia="宋体" w:hAnsi="Times New Roman" w:cs="Times New Roman"/>
          <w:b/>
          <w:bCs/>
          <w:szCs w:val="21"/>
        </w:rPr>
        <w:t>6</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本期实际核销的应收票据情况</w:t>
      </w:r>
      <w:bookmarkEnd w:id="180"/>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其中重要的应收票据核销情况：</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应收票据性质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款项是否由关联交易产生</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应收票据核销说明：</w:t>
      </w:r>
      <w:r>
        <w:rPr>
          <w:rFonts w:ascii="Times New Roman" w:hAnsi="Times New Roman" w:cs="Times New Roman"/>
          <w:sz w:val="18"/>
          <w:szCs w:val="18"/>
        </w:rPr>
        <w:t>本期无核销的应收票据。</w:t>
      </w:r>
    </w:p>
    <w:p w:rsidR="00CE3C32" w:rsidRDefault="006413B8">
      <w:pPr>
        <w:pStyle w:val="3"/>
        <w:spacing w:line="280" w:lineRule="exact"/>
        <w:jc w:val="left"/>
        <w:rPr>
          <w:rFonts w:ascii="Times New Roman" w:hAnsi="Times New Roman" w:cs="Times New Roman"/>
          <w:b/>
          <w:bCs/>
        </w:rPr>
      </w:pPr>
      <w:bookmarkStart w:id="181" w:name="_Toc989065"/>
      <w:r>
        <w:rPr>
          <w:rFonts w:ascii="Times New Roman" w:hAnsi="Times New Roman" w:cs="Times New Roman"/>
          <w:b/>
          <w:bCs/>
        </w:rPr>
        <w:t>5</w:t>
      </w:r>
      <w:r>
        <w:rPr>
          <w:rFonts w:ascii="Times New Roman" w:hAnsi="Times New Roman" w:cs="Times New Roman"/>
          <w:b/>
          <w:bCs/>
        </w:rPr>
        <w:t>、应收账款</w:t>
      </w:r>
      <w:bookmarkEnd w:id="181"/>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82" w:name="_Toc989066"/>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按账龄披露</w:t>
      </w:r>
      <w:bookmarkEnd w:id="182"/>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账龄</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期末账面余额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期初账面余额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年以内（含</w:t>
            </w:r>
            <w:r>
              <w:rPr>
                <w:rFonts w:ascii="Times New Roman" w:eastAsia="宋体" w:hAnsi="Times New Roman" w:cs="Times New Roman"/>
                <w:sz w:val="18"/>
                <w:szCs w:val="18"/>
              </w:rPr>
              <w:t>1</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146,606,720.21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105,506,477.36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至</w:t>
            </w:r>
            <w:r>
              <w:rPr>
                <w:rFonts w:ascii="Times New Roman" w:eastAsia="宋体" w:hAnsi="Times New Roman" w:cs="Times New Roman"/>
                <w:sz w:val="18"/>
                <w:szCs w:val="18"/>
              </w:rPr>
              <w:t>2</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106,726,428.58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115,898,063.35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至</w:t>
            </w:r>
            <w:r>
              <w:rPr>
                <w:rFonts w:ascii="Times New Roman" w:eastAsia="宋体" w:hAnsi="Times New Roman" w:cs="Times New Roman"/>
                <w:sz w:val="18"/>
                <w:szCs w:val="18"/>
              </w:rPr>
              <w:t>3</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59,611,270.41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63,766,791.23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年以上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64,012,305.87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73,036,285.79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至</w:t>
            </w:r>
            <w:r>
              <w:rPr>
                <w:rFonts w:ascii="Times New Roman" w:eastAsia="宋体" w:hAnsi="Times New Roman" w:cs="Times New Roman"/>
                <w:sz w:val="18"/>
                <w:szCs w:val="18"/>
              </w:rPr>
              <w:t>4</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38,785,996.38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49,897,104.09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至</w:t>
            </w:r>
            <w:r>
              <w:rPr>
                <w:rFonts w:ascii="Times New Roman" w:eastAsia="宋体" w:hAnsi="Times New Roman" w:cs="Times New Roman"/>
                <w:sz w:val="18"/>
                <w:szCs w:val="18"/>
              </w:rPr>
              <w:t>5</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8,234,504.61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8,761,197.95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年以上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16,991,804.88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14,377,983.75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376,956,725.07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358,207,617.73</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83" w:name="_Toc989067"/>
      <w:r>
        <w:rPr>
          <w:rFonts w:ascii="Times New Roman" w:eastAsia="宋体" w:hAnsi="Times New Roman" w:cs="Times New Roman"/>
          <w:b/>
          <w:bCs/>
          <w:szCs w:val="21"/>
        </w:rPr>
        <w:lastRenderedPageBreak/>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按坏账计提方法分类披露</w:t>
      </w:r>
      <w:bookmarkEnd w:id="183"/>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877"/>
        <w:gridCol w:w="876"/>
        <w:gridCol w:w="877"/>
        <w:gridCol w:w="876"/>
        <w:gridCol w:w="876"/>
        <w:gridCol w:w="877"/>
        <w:gridCol w:w="876"/>
        <w:gridCol w:w="877"/>
        <w:gridCol w:w="876"/>
      </w:tblGrid>
      <w:tr w:rsidR="00CE3C32">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类别</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r>
      <w:tr w:rsidR="00CE3C32">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按组合计提坏账准备的应收账款</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376,956,725.07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80,261,360.71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21.29%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296,695,364.36</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358,207,617.73</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83,337,736.00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23.27%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274,869,881.73</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组合</w:t>
            </w:r>
            <w:r>
              <w:rPr>
                <w:rFonts w:ascii="Times New Roman" w:eastAsia="宋体" w:hAnsi="Times New Roman" w:cs="Times New Roman"/>
                <w:sz w:val="18"/>
                <w:szCs w:val="18"/>
              </w:rPr>
              <w:t>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115,398,498.50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30.61%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24,637,708.30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21.35%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90,760,790.20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91,176,131.62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25.45%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23,129,981.57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25.37%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68,046,150.05</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组合</w:t>
            </w:r>
            <w:r>
              <w:rPr>
                <w:rFonts w:ascii="Times New Roman" w:eastAsia="宋体" w:hAnsi="Times New Roman" w:cs="Times New Roman"/>
                <w:sz w:val="18"/>
                <w:szCs w:val="18"/>
              </w:rPr>
              <w:t>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261,558,226.57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69.39%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55,623,652.41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21.27%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205,934,574.17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267,031,486.11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74.55%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60,207,754.43</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22.55%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206,823,731.68</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376,956,725.07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80,261,360.71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21.29%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296,695,364.36</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358,207,617.73</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83,337,736.00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23.27%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274,869,881.73</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按组合计提坏账准备类别名称：组合</w:t>
      </w:r>
      <w:r>
        <w:rPr>
          <w:rFonts w:ascii="Times New Roman" w:eastAsia="宋体" w:hAnsi="Times New Roman" w:cs="Times New Roman"/>
          <w:sz w:val="18"/>
          <w:szCs w:val="18"/>
        </w:rPr>
        <w:t>1</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年以内</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63,530,354.69</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3,176,517.75</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至</w:t>
            </w:r>
            <w:r>
              <w:rPr>
                <w:rFonts w:ascii="Times New Roman" w:eastAsia="宋体" w:hAnsi="Times New Roman" w:cs="Times New Roman"/>
                <w:sz w:val="18"/>
                <w:szCs w:val="18"/>
              </w:rPr>
              <w:t>2</w:t>
            </w:r>
            <w:r>
              <w:rPr>
                <w:rFonts w:ascii="Times New Roman" w:eastAsia="宋体" w:hAnsi="Times New Roman" w:cs="Times New Roman"/>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16,006,759.88</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1,600,675.99</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至</w:t>
            </w:r>
            <w:r>
              <w:rPr>
                <w:rFonts w:ascii="Times New Roman" w:eastAsia="宋体" w:hAnsi="Times New Roman" w:cs="Times New Roman"/>
                <w:sz w:val="18"/>
                <w:szCs w:val="18"/>
              </w:rPr>
              <w:t>3</w:t>
            </w:r>
            <w:r>
              <w:rPr>
                <w:rFonts w:ascii="Times New Roman" w:eastAsia="宋体" w:hAnsi="Times New Roman" w:cs="Times New Roman"/>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13,641,481.33</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4,092,444.39</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至</w:t>
            </w:r>
            <w:r>
              <w:rPr>
                <w:rFonts w:ascii="Times New Roman" w:eastAsia="宋体" w:hAnsi="Times New Roman" w:cs="Times New Roman"/>
                <w:sz w:val="18"/>
                <w:szCs w:val="18"/>
              </w:rPr>
              <w:t>4</w:t>
            </w:r>
            <w:r>
              <w:rPr>
                <w:rFonts w:ascii="Times New Roman" w:eastAsia="宋体" w:hAnsi="Times New Roman" w:cs="Times New Roman"/>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12,415,050.89</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6,207,525.45</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至</w:t>
            </w:r>
            <w:r>
              <w:rPr>
                <w:rFonts w:ascii="Times New Roman" w:eastAsia="宋体" w:hAnsi="Times New Roman" w:cs="Times New Roman"/>
                <w:sz w:val="18"/>
                <w:szCs w:val="18"/>
              </w:rPr>
              <w:t>5</w:t>
            </w:r>
            <w:r>
              <w:rPr>
                <w:rFonts w:ascii="Times New Roman" w:eastAsia="宋体" w:hAnsi="Times New Roman" w:cs="Times New Roman"/>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1,221,534.96</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977,227.97</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年以上</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8,583,316.75</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8,583,316.75</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115,398,498.50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24,637,708.30</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确定该组合依据的说明：</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确定应收账款组合的依据详见本节五、</w:t>
      </w:r>
      <w:r>
        <w:rPr>
          <w:rFonts w:ascii="Times New Roman" w:hAnsi="Times New Roman" w:cs="Times New Roman"/>
          <w:sz w:val="18"/>
          <w:szCs w:val="18"/>
        </w:rPr>
        <w:t>13</w:t>
      </w:r>
      <w:r>
        <w:rPr>
          <w:rFonts w:ascii="Times New Roman" w:hAnsi="Times New Roman" w:cs="Times New Roman"/>
          <w:sz w:val="18"/>
          <w:szCs w:val="18"/>
        </w:rPr>
        <w:t>。</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按组合计提坏账准备类别名称：组合</w:t>
      </w:r>
      <w:r>
        <w:rPr>
          <w:rFonts w:ascii="Times New Roman" w:eastAsia="宋体" w:hAnsi="Times New Roman" w:cs="Times New Roman"/>
          <w:sz w:val="18"/>
          <w:szCs w:val="18"/>
        </w:rPr>
        <w:t>2</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年以内</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83,076,365.52</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4,153,818.29</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至</w:t>
            </w:r>
            <w:r>
              <w:rPr>
                <w:rFonts w:ascii="Times New Roman" w:eastAsia="宋体" w:hAnsi="Times New Roman" w:cs="Times New Roman"/>
                <w:sz w:val="18"/>
                <w:szCs w:val="18"/>
              </w:rPr>
              <w:t>2</w:t>
            </w:r>
            <w:r>
              <w:rPr>
                <w:rFonts w:ascii="Times New Roman" w:eastAsia="宋体" w:hAnsi="Times New Roman" w:cs="Times New Roman"/>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90,719,668.70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9,071,966.87</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至</w:t>
            </w:r>
            <w:r>
              <w:rPr>
                <w:rFonts w:ascii="Times New Roman" w:eastAsia="宋体" w:hAnsi="Times New Roman" w:cs="Times New Roman"/>
                <w:sz w:val="18"/>
                <w:szCs w:val="18"/>
              </w:rPr>
              <w:t>3</w:t>
            </w:r>
            <w:r>
              <w:rPr>
                <w:rFonts w:ascii="Times New Roman" w:eastAsia="宋体" w:hAnsi="Times New Roman" w:cs="Times New Roman"/>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45,969,789.08</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13,790,936.72</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至</w:t>
            </w:r>
            <w:r>
              <w:rPr>
                <w:rFonts w:ascii="Times New Roman" w:eastAsia="宋体" w:hAnsi="Times New Roman" w:cs="Times New Roman"/>
                <w:sz w:val="18"/>
                <w:szCs w:val="18"/>
              </w:rPr>
              <w:t>4</w:t>
            </w:r>
            <w:r>
              <w:rPr>
                <w:rFonts w:ascii="Times New Roman" w:eastAsia="宋体" w:hAnsi="Times New Roman" w:cs="Times New Roman"/>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26,370,945.49</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13,185,472.75</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至</w:t>
            </w:r>
            <w:r>
              <w:rPr>
                <w:rFonts w:ascii="Times New Roman" w:eastAsia="宋体" w:hAnsi="Times New Roman" w:cs="Times New Roman"/>
                <w:sz w:val="18"/>
                <w:szCs w:val="18"/>
              </w:rPr>
              <w:t>5</w:t>
            </w:r>
            <w:r>
              <w:rPr>
                <w:rFonts w:ascii="Times New Roman" w:eastAsia="宋体" w:hAnsi="Times New Roman" w:cs="Times New Roman"/>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7,012,969.65</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7,012,969.65</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年以上</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8,408,488.13</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8,408,488.13</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261,558,226.57</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55,623,652.41</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确定该组合依据的说明：</w:t>
      </w:r>
      <w:r>
        <w:rPr>
          <w:rFonts w:ascii="Times New Roman" w:hAnsi="Times New Roman" w:cs="Times New Roman"/>
          <w:sz w:val="18"/>
          <w:szCs w:val="18"/>
        </w:rPr>
        <w:t>确定应收账款组合的依据详见本节五、</w:t>
      </w:r>
      <w:r>
        <w:rPr>
          <w:rFonts w:ascii="Times New Roman" w:hAnsi="Times New Roman" w:cs="Times New Roman"/>
          <w:sz w:val="18"/>
          <w:szCs w:val="18"/>
        </w:rPr>
        <w:t>13</w:t>
      </w:r>
      <w:r>
        <w:rPr>
          <w:rFonts w:ascii="Times New Roman" w:hAnsi="Times New Roman" w:cs="Times New Roman"/>
          <w:sz w:val="18"/>
          <w:szCs w:val="18"/>
        </w:rPr>
        <w:t>。</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如是按照预期信用损失一般模型计提应收账款坏账准备：</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84" w:name="_Toc989068"/>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本期计提、收回或转回的坏账准备情况</w:t>
      </w:r>
      <w:bookmarkEnd w:id="184"/>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本期计提坏账准备情况：</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账龄组合</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83,337,736.00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-3,076,375.29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80,261,360.71</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83,337,736.00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-3,076,375.29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80,261,360.71</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其中本期坏账准备收回或转回金额重要的：</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收回或转回金额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转回原因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收回方式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确定原坏账准备计提比例的依据及其合理性</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85" w:name="_Toc989069"/>
      <w:r>
        <w:rPr>
          <w:rFonts w:ascii="Times New Roman" w:eastAsia="宋体" w:hAnsi="Times New Roman" w:cs="Times New Roman"/>
          <w:b/>
          <w:bCs/>
          <w:szCs w:val="21"/>
        </w:rPr>
        <w:t>（</w:t>
      </w:r>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本期实际核销的应收账款情况</w:t>
      </w:r>
      <w:bookmarkEnd w:id="185"/>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其中重要的应收账款核销情况：</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应收账款性质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款项是否由关联交易产生</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应收账款核销说明：</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本期无实际核销的应收账款。</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86" w:name="_Toc989070"/>
      <w:r>
        <w:rPr>
          <w:rFonts w:ascii="Times New Roman" w:eastAsia="宋体" w:hAnsi="Times New Roman" w:cs="Times New Roman"/>
          <w:b/>
          <w:bCs/>
          <w:szCs w:val="21"/>
        </w:rPr>
        <w:t>（</w:t>
      </w:r>
      <w:r>
        <w:rPr>
          <w:rFonts w:ascii="Times New Roman" w:eastAsia="宋体" w:hAnsi="Times New Roman" w:cs="Times New Roman"/>
          <w:b/>
          <w:bCs/>
          <w:szCs w:val="21"/>
        </w:rPr>
        <w:t>5</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按欠款方归集的期末余额前五名的应收账款和合同资产情况</w:t>
      </w:r>
      <w:bookmarkEnd w:id="186"/>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应收账款期末余额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合同资产期末余额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应收账款和合同资产期末余额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占应收账款和合同资产期末余额合计数的比例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应收账款坏账准备和合同资产减值准备期末余额</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客户一</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48,213,058.09</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2,489,343.85</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50,702,401.94</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13.23%</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12,740,408.84</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客户二</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31,064,256.62</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31,064,256.62</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8.10%</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10,899,606.54</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客户三</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20,800,854.72</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20,800,854.72</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5.43%</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2,080,085.47</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客户四</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17,857,251.37</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1,005,685.00</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18,862,936.37</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4.92%</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943,146.82</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客户五</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20,388,438.72</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20,388,438.72</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5.32%</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1,581,986.68</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138,323,859.52</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3,495,028.85</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141,818,888.37</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37.00%</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28,245,234.35</w:t>
            </w:r>
          </w:p>
        </w:tc>
      </w:tr>
    </w:tbl>
    <w:p w:rsidR="00CE3C32" w:rsidRDefault="006413B8">
      <w:pPr>
        <w:pStyle w:val="3"/>
        <w:spacing w:line="280" w:lineRule="exact"/>
        <w:jc w:val="left"/>
        <w:rPr>
          <w:rFonts w:ascii="Times New Roman" w:hAnsi="Times New Roman" w:cs="Times New Roman"/>
          <w:b/>
          <w:bCs/>
        </w:rPr>
      </w:pPr>
      <w:bookmarkStart w:id="187" w:name="_Toc989071"/>
      <w:r>
        <w:rPr>
          <w:rFonts w:ascii="Times New Roman" w:hAnsi="Times New Roman" w:cs="Times New Roman"/>
          <w:b/>
          <w:bCs/>
        </w:rPr>
        <w:lastRenderedPageBreak/>
        <w:t>6</w:t>
      </w:r>
      <w:r>
        <w:rPr>
          <w:rFonts w:ascii="Times New Roman" w:hAnsi="Times New Roman" w:cs="Times New Roman"/>
          <w:b/>
          <w:bCs/>
        </w:rPr>
        <w:t>、合同资产</w:t>
      </w:r>
      <w:bookmarkEnd w:id="187"/>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88" w:name="_Toc989072"/>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合同资产情况</w:t>
      </w:r>
      <w:bookmarkEnd w:id="18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质保金</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6,415,055.53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1,116,842.99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5,298,212.54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6,552,936.89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1,141,237.06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5,411,699.83</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减：计入其他非流动资产（本节七、</w:t>
            </w:r>
            <w:r>
              <w:rPr>
                <w:rFonts w:ascii="Times New Roman" w:eastAsia="宋体" w:hAnsi="Times New Roman" w:cs="Times New Roman"/>
                <w:sz w:val="18"/>
                <w:szCs w:val="18"/>
              </w:rPr>
              <w:t>30</w:t>
            </w:r>
            <w:r>
              <w:rPr>
                <w:rFonts w:ascii="Times New Roman" w:eastAsia="宋体" w:hAnsi="Times New Roman" w:cs="Times New Roman"/>
                <w:sz w:val="18"/>
                <w:szCs w:val="18"/>
              </w:rPr>
              <w:t>）</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-510,449.89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-25,522.49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-484,927.40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-821,399.89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-41,069.99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-780,329.90</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5,904,605.64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1,091,320.50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4,813,285.14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5,731,537.00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1,100,167.07</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4,631,369.93</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89" w:name="_Toc989073"/>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报告期内账面价值发生的重大变动金额和原因</w:t>
      </w:r>
      <w:bookmarkEnd w:id="189"/>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变动金额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变动原因</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90" w:name="_Toc989074"/>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按坏账计提方法分类披露</w:t>
      </w:r>
      <w:bookmarkEnd w:id="190"/>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877"/>
        <w:gridCol w:w="876"/>
        <w:gridCol w:w="877"/>
        <w:gridCol w:w="876"/>
        <w:gridCol w:w="876"/>
        <w:gridCol w:w="877"/>
        <w:gridCol w:w="876"/>
        <w:gridCol w:w="877"/>
        <w:gridCol w:w="876"/>
      </w:tblGrid>
      <w:tr w:rsidR="00CE3C32">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类别</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r>
      <w:tr w:rsidR="00CE3C32">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按组合计提坏账准备</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5,904,605.64</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1,091,320.50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18.48%</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4,813,285.14</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5,731,537.00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1,100,167.07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19.19%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4,631,369.93</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组合</w:t>
            </w:r>
            <w:r>
              <w:rPr>
                <w:rFonts w:ascii="Times New Roman" w:eastAsia="宋体" w:hAnsi="Times New Roman" w:cs="Times New Roman"/>
                <w:sz w:val="18"/>
                <w:szCs w:val="18"/>
              </w:rPr>
              <w:t>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564,150.39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9.55%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28,207.52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535,942.87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564,150.39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9.84%</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28,207.52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535,942.87</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组合</w:t>
            </w:r>
            <w:r>
              <w:rPr>
                <w:rFonts w:ascii="Times New Roman" w:eastAsia="宋体" w:hAnsi="Times New Roman" w:cs="Times New Roman"/>
                <w:sz w:val="18"/>
                <w:szCs w:val="18"/>
              </w:rPr>
              <w:t>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5,340,455.25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90.45%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1,063,112.98</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19.91%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4,277,342.27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5,167,386.61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90.16%</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1,071,959.55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20.74%</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4,095,427.06</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5,904,605.64</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1,091,320.50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24.91%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4,813,285.14</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5,731,537.00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1,100,167.07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19.19%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4,631,369.93</w:t>
            </w:r>
          </w:p>
        </w:tc>
      </w:tr>
    </w:tbl>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按组合计提坏账准备类别个数：</w:t>
      </w:r>
      <w:r>
        <w:rPr>
          <w:rFonts w:ascii="Times New Roman" w:eastAsia="宋体" w:hAnsi="Times New Roman" w:cs="Times New Roman"/>
          <w:sz w:val="18"/>
          <w:szCs w:val="18"/>
        </w:rPr>
        <w:t>2</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按组合计提坏账准备类别名称：组合</w:t>
      </w:r>
      <w:r>
        <w:rPr>
          <w:rFonts w:ascii="Times New Roman" w:eastAsia="宋体" w:hAnsi="Times New Roman" w:cs="Times New Roman"/>
          <w:sz w:val="18"/>
          <w:szCs w:val="18"/>
        </w:rPr>
        <w:t>1</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年以内</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564,150.39</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28,207.52</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564,150.39</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28,207.52</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确定该组合依据的说明：</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确定合同资产组合的依据详见本节五、</w:t>
      </w:r>
      <w:r>
        <w:rPr>
          <w:rFonts w:ascii="Times New Roman" w:hAnsi="Times New Roman" w:cs="Times New Roman"/>
          <w:sz w:val="18"/>
          <w:szCs w:val="18"/>
        </w:rPr>
        <w:t>16</w:t>
      </w:r>
      <w:r>
        <w:rPr>
          <w:rFonts w:ascii="Times New Roman" w:hAnsi="Times New Roman" w:cs="Times New Roman"/>
          <w:sz w:val="18"/>
          <w:szCs w:val="18"/>
        </w:rPr>
        <w:t>。</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按组合计提坏账准备类别名称：组合</w:t>
      </w:r>
      <w:r>
        <w:rPr>
          <w:rFonts w:ascii="Times New Roman" w:eastAsia="宋体" w:hAnsi="Times New Roman" w:cs="Times New Roman"/>
          <w:sz w:val="18"/>
          <w:szCs w:val="18"/>
        </w:rPr>
        <w:t>2</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年以内</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2,256,026.40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112,801.32</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1-2</w:t>
            </w:r>
            <w:r>
              <w:rPr>
                <w:rFonts w:ascii="Times New Roman" w:eastAsia="宋体" w:hAnsi="Times New Roman" w:cs="Times New Roman"/>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435,085.00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43,508.50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2-3</w:t>
            </w:r>
            <w:r>
              <w:rPr>
                <w:rFonts w:ascii="Times New Roman" w:eastAsia="宋体" w:hAnsi="Times New Roman" w:cs="Times New Roman"/>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2,489,343.85</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746,803.16</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3-4</w:t>
            </w:r>
            <w:r>
              <w:rPr>
                <w:rFonts w:ascii="Times New Roman" w:eastAsia="宋体" w:hAnsi="Times New Roman" w:cs="Times New Roman"/>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4-5</w:t>
            </w:r>
            <w:r>
              <w:rPr>
                <w:rFonts w:ascii="Times New Roman" w:eastAsia="宋体" w:hAnsi="Times New Roman" w:cs="Times New Roman"/>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160,000.00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160,000.00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5,340,455.25</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1,063,112.98</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确定该组合依据的说明：</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确定合同资产组合的依据详见本节五、</w:t>
      </w:r>
      <w:r>
        <w:rPr>
          <w:rFonts w:ascii="Times New Roman" w:hAnsi="Times New Roman" w:cs="Times New Roman"/>
          <w:sz w:val="18"/>
          <w:szCs w:val="18"/>
        </w:rPr>
        <w:t>16</w:t>
      </w:r>
      <w:r>
        <w:rPr>
          <w:rFonts w:ascii="Times New Roman" w:hAnsi="Times New Roman" w:cs="Times New Roman"/>
          <w:sz w:val="18"/>
          <w:szCs w:val="18"/>
        </w:rPr>
        <w:t>。</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按预期信用损失一般模型计提坏账准备</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91" w:name="_Toc989075"/>
      <w:r>
        <w:rPr>
          <w:rFonts w:ascii="Times New Roman" w:eastAsia="宋体" w:hAnsi="Times New Roman" w:cs="Times New Roman"/>
          <w:b/>
          <w:bCs/>
          <w:szCs w:val="21"/>
        </w:rPr>
        <w:t>（</w:t>
      </w:r>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本期计提、收回或转回的坏账准备情况</w:t>
      </w:r>
      <w:bookmarkEnd w:id="191"/>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本期计提</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本期收回或转回</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本期转销</w:t>
            </w:r>
            <w:r>
              <w:rPr>
                <w:rFonts w:ascii="Times New Roman" w:eastAsia="宋体" w:hAnsi="Times New Roman" w:cs="Times New Roman"/>
                <w:sz w:val="18"/>
                <w:szCs w:val="18"/>
              </w:rPr>
              <w:t>/</w:t>
            </w:r>
            <w:r>
              <w:rPr>
                <w:rFonts w:ascii="Times New Roman" w:eastAsia="宋体" w:hAnsi="Times New Roman" w:cs="Times New Roman"/>
                <w:sz w:val="18"/>
                <w:szCs w:val="18"/>
              </w:rPr>
              <w:t>核销</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原因</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质保金</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-24,394.07</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-24,394.07</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其中本期坏账准备收回或转回金额重要的：</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收回或转回金额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转回原因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收回方式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确定原坏账准备计提比例的依据及其合理性</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92" w:name="_Toc989076"/>
      <w:r>
        <w:rPr>
          <w:rFonts w:ascii="Times New Roman" w:eastAsia="宋体" w:hAnsi="Times New Roman" w:cs="Times New Roman"/>
          <w:b/>
          <w:bCs/>
          <w:szCs w:val="21"/>
        </w:rPr>
        <w:t>（</w:t>
      </w:r>
      <w:r>
        <w:rPr>
          <w:rFonts w:ascii="Times New Roman" w:eastAsia="宋体" w:hAnsi="Times New Roman" w:cs="Times New Roman"/>
          <w:b/>
          <w:bCs/>
          <w:szCs w:val="21"/>
        </w:rPr>
        <w:t>5</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本期实际核销的合同资产情况</w:t>
      </w:r>
      <w:bookmarkEnd w:id="19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其中重要的合同资产核销情况</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款项是否由关联交易产生</w:t>
            </w:r>
          </w:p>
        </w:tc>
      </w:tr>
    </w:tbl>
    <w:p w:rsidR="00CE3C32" w:rsidRDefault="006413B8">
      <w:pPr>
        <w:spacing w:before="100" w:after="100" w:line="240" w:lineRule="exact"/>
        <w:rPr>
          <w:rFonts w:ascii="Times New Roman" w:hAnsi="Times New Roman" w:cs="Times New Roman"/>
          <w:szCs w:val="21"/>
        </w:rPr>
      </w:pPr>
      <w:r>
        <w:rPr>
          <w:rFonts w:ascii="Times New Roman" w:eastAsia="宋体" w:hAnsi="Times New Roman" w:cs="Times New Roman"/>
          <w:sz w:val="18"/>
          <w:szCs w:val="18"/>
        </w:rPr>
        <w:t>合同资产核销说明：</w:t>
      </w:r>
      <w:r>
        <w:rPr>
          <w:rFonts w:ascii="Times New Roman" w:hAnsi="Times New Roman" w:cs="Times New Roman"/>
          <w:sz w:val="18"/>
          <w:szCs w:val="18"/>
        </w:rPr>
        <w:t>本期无实际核销的合同资产。</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193" w:name="_Toc989077"/>
      <w:r>
        <w:rPr>
          <w:rFonts w:ascii="Times New Roman" w:hAnsi="Times New Roman" w:cs="Times New Roman"/>
          <w:b/>
          <w:bCs/>
        </w:rPr>
        <w:t>7</w:t>
      </w:r>
      <w:r>
        <w:rPr>
          <w:rFonts w:ascii="Times New Roman" w:hAnsi="Times New Roman" w:cs="Times New Roman"/>
          <w:b/>
          <w:bCs/>
        </w:rPr>
        <w:t>、应收款项融资</w:t>
      </w:r>
      <w:bookmarkEnd w:id="193"/>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94" w:name="_Toc989078"/>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应收款项融资分类列示</w:t>
      </w:r>
      <w:bookmarkEnd w:id="194"/>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95" w:name="_Toc989079"/>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按坏账计提方法分类披露</w:t>
      </w:r>
      <w:bookmarkEnd w:id="195"/>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877"/>
        <w:gridCol w:w="876"/>
        <w:gridCol w:w="877"/>
        <w:gridCol w:w="876"/>
        <w:gridCol w:w="876"/>
        <w:gridCol w:w="877"/>
        <w:gridCol w:w="876"/>
        <w:gridCol w:w="877"/>
        <w:gridCol w:w="876"/>
      </w:tblGrid>
      <w:tr w:rsidR="00CE3C32">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类别</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r>
      <w:tr w:rsidR="00CE3C32">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w:t>
            </w:r>
          </w:p>
        </w:tc>
      </w:tr>
      <w:tr w:rsidR="00CE3C32">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按预期信用损失一般模型计提坏账准备</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第一阶段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第二阶段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第三阶段</w:t>
            </w:r>
          </w:p>
        </w:tc>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合计</w:t>
            </w:r>
          </w:p>
        </w:tc>
      </w:tr>
      <w:tr w:rsidR="00CE3C32">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未来</w:t>
            </w:r>
            <w:r>
              <w:rPr>
                <w:rFonts w:ascii="Times New Roman" w:eastAsia="宋体" w:hAnsi="Times New Roman" w:cs="Times New Roman"/>
                <w:sz w:val="18"/>
                <w:szCs w:val="18"/>
              </w:rPr>
              <w:t>12</w:t>
            </w:r>
            <w:r>
              <w:rPr>
                <w:rFonts w:ascii="Times New Roman" w:eastAsia="宋体" w:hAnsi="Times New Roman" w:cs="Times New Roman"/>
                <w:sz w:val="18"/>
                <w:szCs w:val="18"/>
              </w:rPr>
              <w:t>个月预期信用损失</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整个存续期预期信用损失（未发生信用减值）</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整个存续期预期信用损失（已发生信用减值）</w:t>
            </w:r>
          </w:p>
        </w:tc>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日余额在本期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各阶段划分依据和坏账准备计提比例</w:t>
      </w:r>
      <w:r>
        <w:rPr>
          <w:rFonts w:ascii="Times New Roman" w:eastAsia="宋体" w:hAnsi="Times New Roman" w:cs="Times New Roman" w:hint="eastAsia"/>
          <w:sz w:val="18"/>
          <w:szCs w:val="18"/>
        </w:rPr>
        <w:t>：</w:t>
      </w:r>
      <w:r>
        <w:rPr>
          <w:rFonts w:ascii="Times New Roman" w:hAnsi="Times New Roman" w:cs="Times New Roman"/>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对本期发生损失准备变动的应收款项融资账面余额显著变动的情况说明：</w:t>
      </w: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196" w:name="_Toc989080"/>
      <w:r>
        <w:rPr>
          <w:rFonts w:ascii="Times New Roman" w:eastAsia="宋体" w:hAnsi="Times New Roman" w:cs="Times New Roman"/>
          <w:b/>
          <w:bCs/>
          <w:sz w:val="18"/>
          <w:szCs w:val="18"/>
        </w:rPr>
        <w:t>（</w:t>
      </w:r>
      <w:r>
        <w:rPr>
          <w:rFonts w:ascii="Times New Roman" w:eastAsia="宋体" w:hAnsi="Times New Roman" w:cs="Times New Roman"/>
          <w:b/>
          <w:bCs/>
          <w:sz w:val="18"/>
          <w:szCs w:val="18"/>
        </w:rPr>
        <w:t>3</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本期计提、收回或转回的坏账准备的情况</w:t>
      </w:r>
      <w:bookmarkEnd w:id="196"/>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转销或核销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其他变动</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其中本期坏账准备收回或转回金额重要的：</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收回或转回金额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转回原因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收回方式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确定原坏账准备计提比例的依据及其合理性</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97" w:name="_Toc989081"/>
      <w:r>
        <w:rPr>
          <w:rFonts w:ascii="Times New Roman" w:eastAsia="宋体" w:hAnsi="Times New Roman" w:cs="Times New Roman"/>
          <w:b/>
          <w:bCs/>
          <w:szCs w:val="21"/>
        </w:rPr>
        <w:t>（</w:t>
      </w:r>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期末公司已质押的应收款项融资</w:t>
      </w:r>
      <w:bookmarkEnd w:id="197"/>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期末已质押金额</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198" w:name="_Toc989082"/>
      <w:r>
        <w:rPr>
          <w:rFonts w:ascii="Times New Roman" w:eastAsia="宋体" w:hAnsi="Times New Roman" w:cs="Times New Roman"/>
          <w:b/>
          <w:bCs/>
          <w:szCs w:val="21"/>
        </w:rPr>
        <w:t>（</w:t>
      </w:r>
      <w:r>
        <w:rPr>
          <w:rFonts w:ascii="Times New Roman" w:eastAsia="宋体" w:hAnsi="Times New Roman" w:cs="Times New Roman"/>
          <w:b/>
          <w:bCs/>
          <w:szCs w:val="21"/>
        </w:rPr>
        <w:t>5</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期末公司已背书或贴现且在资产负债表日尚未到期的应收款项融资</w:t>
      </w:r>
      <w:bookmarkEnd w:id="19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期末终止确认金额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期末未终止确认金额</w:t>
            </w:r>
          </w:p>
        </w:tc>
      </w:tr>
    </w:tbl>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199" w:name="_Toc989083"/>
      <w:r>
        <w:rPr>
          <w:rFonts w:ascii="Times New Roman" w:eastAsia="宋体" w:hAnsi="Times New Roman" w:cs="Times New Roman"/>
          <w:b/>
          <w:bCs/>
          <w:sz w:val="18"/>
          <w:szCs w:val="18"/>
        </w:rPr>
        <w:lastRenderedPageBreak/>
        <w:t>（</w:t>
      </w:r>
      <w:r>
        <w:rPr>
          <w:rFonts w:ascii="Times New Roman" w:eastAsia="宋体" w:hAnsi="Times New Roman" w:cs="Times New Roman"/>
          <w:b/>
          <w:bCs/>
          <w:sz w:val="18"/>
          <w:szCs w:val="18"/>
        </w:rPr>
        <w:t>6</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本期实际核销的应收款项融资情况</w:t>
      </w:r>
      <w:bookmarkEnd w:id="199"/>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其中重要的应收款项融资核销情况</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款项是否由关联交易产生</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核销说明：</w:t>
      </w: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200" w:name="_Toc989084"/>
      <w:r>
        <w:rPr>
          <w:rFonts w:ascii="Times New Roman" w:eastAsia="宋体" w:hAnsi="Times New Roman" w:cs="Times New Roman"/>
          <w:b/>
          <w:bCs/>
          <w:sz w:val="18"/>
          <w:szCs w:val="18"/>
        </w:rPr>
        <w:t>（</w:t>
      </w:r>
      <w:r>
        <w:rPr>
          <w:rFonts w:ascii="Times New Roman" w:eastAsia="宋体" w:hAnsi="Times New Roman" w:cs="Times New Roman"/>
          <w:b/>
          <w:bCs/>
          <w:sz w:val="18"/>
          <w:szCs w:val="18"/>
        </w:rPr>
        <w:t>7</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应收款项融资本期增减变动及公允价值变动情况</w:t>
      </w:r>
      <w:bookmarkEnd w:id="200"/>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201" w:name="_Toc989085"/>
      <w:r>
        <w:rPr>
          <w:rFonts w:ascii="Times New Roman" w:eastAsia="宋体" w:hAnsi="Times New Roman" w:cs="Times New Roman"/>
          <w:b/>
          <w:bCs/>
          <w:sz w:val="18"/>
          <w:szCs w:val="18"/>
        </w:rPr>
        <w:t>（</w:t>
      </w:r>
      <w:r>
        <w:rPr>
          <w:rFonts w:ascii="Times New Roman" w:eastAsia="宋体" w:hAnsi="Times New Roman" w:cs="Times New Roman"/>
          <w:b/>
          <w:bCs/>
          <w:sz w:val="18"/>
          <w:szCs w:val="18"/>
        </w:rPr>
        <w:t>8</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其他说明</w:t>
      </w:r>
      <w:bookmarkEnd w:id="201"/>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202" w:name="_Toc989086"/>
      <w:r>
        <w:rPr>
          <w:rFonts w:ascii="Times New Roman" w:hAnsi="Times New Roman" w:cs="Times New Roman"/>
          <w:b/>
          <w:bCs/>
        </w:rPr>
        <w:t>8</w:t>
      </w:r>
      <w:r>
        <w:rPr>
          <w:rFonts w:ascii="Times New Roman" w:hAnsi="Times New Roman" w:cs="Times New Roman"/>
          <w:b/>
          <w:bCs/>
        </w:rPr>
        <w:t>、其他应收款</w:t>
      </w:r>
      <w:bookmarkEnd w:id="20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4,025,404.00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3,640,083.65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4,025,404.00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3,640,083.65</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03" w:name="_Toc989087"/>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应收利息</w:t>
      </w:r>
      <w:bookmarkEnd w:id="203"/>
    </w:p>
    <w:p w:rsidR="00CE3C32" w:rsidRDefault="006413B8">
      <w:pPr>
        <w:keepNext/>
        <w:keepLines/>
        <w:spacing w:before="300" w:after="300" w:line="280" w:lineRule="exact"/>
        <w:outlineLvl w:val="4"/>
        <w:rPr>
          <w:rFonts w:ascii="Times New Roman" w:eastAsia="宋体" w:hAnsi="Times New Roman" w:cs="Times New Roman"/>
          <w:b/>
          <w:bCs/>
          <w:szCs w:val="21"/>
        </w:rPr>
      </w:pPr>
      <w:bookmarkStart w:id="204" w:name="_Toc989088"/>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应收利息分类</w:t>
      </w:r>
      <w:bookmarkEnd w:id="204"/>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bl>
    <w:p w:rsidR="00CE3C32" w:rsidRDefault="006413B8">
      <w:pPr>
        <w:keepNext/>
        <w:keepLines/>
        <w:spacing w:before="300" w:after="300" w:line="280" w:lineRule="exact"/>
        <w:outlineLvl w:val="4"/>
        <w:rPr>
          <w:rFonts w:ascii="Times New Roman" w:eastAsia="宋体" w:hAnsi="Times New Roman" w:cs="Times New Roman"/>
          <w:b/>
          <w:bCs/>
          <w:szCs w:val="21"/>
        </w:rPr>
      </w:pPr>
      <w:bookmarkStart w:id="205" w:name="_Toc989089"/>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重要逾期利息</w:t>
      </w:r>
      <w:bookmarkEnd w:id="205"/>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借款单位</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逾期时间</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逾期原因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是否发生减值及其判断依据</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keepNext/>
        <w:keepLines/>
        <w:spacing w:before="300" w:after="300" w:line="280" w:lineRule="exact"/>
        <w:outlineLvl w:val="4"/>
        <w:rPr>
          <w:rFonts w:ascii="Times New Roman" w:eastAsia="宋体" w:hAnsi="Times New Roman" w:cs="Times New Roman"/>
          <w:b/>
          <w:bCs/>
          <w:szCs w:val="21"/>
        </w:rPr>
      </w:pPr>
      <w:bookmarkStart w:id="206" w:name="_Toc989090"/>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按坏账计提方法分类披露</w:t>
      </w:r>
      <w:bookmarkEnd w:id="206"/>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4"/>
        <w:rPr>
          <w:rFonts w:ascii="Times New Roman" w:eastAsia="宋体" w:hAnsi="Times New Roman" w:cs="Times New Roman"/>
          <w:b/>
          <w:bCs/>
          <w:sz w:val="18"/>
          <w:szCs w:val="18"/>
        </w:rPr>
      </w:pPr>
      <w:bookmarkStart w:id="207" w:name="_Toc989091"/>
      <w:r>
        <w:rPr>
          <w:rFonts w:ascii="Times New Roman" w:eastAsia="宋体" w:hAnsi="Times New Roman" w:cs="Times New Roman"/>
          <w:b/>
          <w:bCs/>
          <w:sz w:val="18"/>
          <w:szCs w:val="18"/>
        </w:rPr>
        <w:t>4</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本期计提、收回或转回的坏账准备的情况</w:t>
      </w:r>
      <w:bookmarkEnd w:id="207"/>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转销或核销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其他变动</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其中本期坏账准备收回或转回金额重要的：</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收回或转回金额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转回原因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收回方式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确定原坏账准备计提比例的依据及其合理性</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keepNext/>
        <w:keepLines/>
        <w:spacing w:before="300" w:after="300" w:line="280" w:lineRule="exact"/>
        <w:outlineLvl w:val="4"/>
        <w:rPr>
          <w:rFonts w:ascii="Times New Roman" w:eastAsia="宋体" w:hAnsi="Times New Roman" w:cs="Times New Roman"/>
          <w:b/>
          <w:bCs/>
          <w:sz w:val="18"/>
          <w:szCs w:val="18"/>
        </w:rPr>
      </w:pPr>
      <w:bookmarkStart w:id="208" w:name="_Toc989092"/>
      <w:r>
        <w:rPr>
          <w:rFonts w:ascii="Times New Roman" w:eastAsia="宋体" w:hAnsi="Times New Roman" w:cs="Times New Roman"/>
          <w:b/>
          <w:bCs/>
          <w:sz w:val="18"/>
          <w:szCs w:val="18"/>
        </w:rPr>
        <w:t>5</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本期实际核销的应收利息情况</w:t>
      </w:r>
      <w:bookmarkEnd w:id="20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其中重要的应收利息核销情况</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款项是否由关联交易产生</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核销说明：</w:t>
      </w:r>
      <w:r>
        <w:rPr>
          <w:rFonts w:ascii="Times New Roman" w:hAnsi="Times New Roman" w:cs="Times New Roman"/>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09" w:name="_Toc989093"/>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应收股利</w:t>
      </w:r>
      <w:bookmarkEnd w:id="209"/>
    </w:p>
    <w:p w:rsidR="00CE3C32" w:rsidRDefault="006413B8">
      <w:pPr>
        <w:keepNext/>
        <w:keepLines/>
        <w:spacing w:before="300" w:after="300" w:line="280" w:lineRule="exact"/>
        <w:outlineLvl w:val="4"/>
        <w:rPr>
          <w:rFonts w:ascii="Times New Roman" w:eastAsia="宋体" w:hAnsi="Times New Roman" w:cs="Times New Roman"/>
          <w:b/>
          <w:bCs/>
          <w:szCs w:val="21"/>
        </w:rPr>
      </w:pPr>
      <w:bookmarkStart w:id="210" w:name="_Toc989094"/>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应收股利分类</w:t>
      </w:r>
      <w:bookmarkEnd w:id="210"/>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r>
              <w:rPr>
                <w:rFonts w:ascii="Times New Roman" w:eastAsia="宋体" w:hAnsi="Times New Roman" w:cs="Times New Roman"/>
                <w:sz w:val="18"/>
                <w:szCs w:val="18"/>
              </w:rPr>
              <w:t>(</w:t>
            </w:r>
            <w:r>
              <w:rPr>
                <w:rFonts w:ascii="Times New Roman" w:eastAsia="宋体" w:hAnsi="Times New Roman" w:cs="Times New Roman"/>
                <w:sz w:val="18"/>
                <w:szCs w:val="18"/>
              </w:rPr>
              <w:t>或被投资单位</w:t>
            </w:r>
            <w:r>
              <w:rPr>
                <w:rFonts w:ascii="Times New Roman" w:eastAsia="宋体" w:hAnsi="Times New Roman" w:cs="Times New Roman"/>
                <w:sz w:val="18"/>
                <w:szCs w:val="18"/>
              </w:rPr>
              <w:t>)</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bl>
    <w:p w:rsidR="00CE3C32" w:rsidRDefault="006413B8">
      <w:pPr>
        <w:keepNext/>
        <w:keepLines/>
        <w:spacing w:before="300" w:after="300" w:line="280" w:lineRule="exact"/>
        <w:outlineLvl w:val="4"/>
        <w:rPr>
          <w:rFonts w:ascii="Times New Roman" w:eastAsia="宋体" w:hAnsi="Times New Roman" w:cs="Times New Roman"/>
          <w:b/>
          <w:bCs/>
          <w:szCs w:val="21"/>
        </w:rPr>
      </w:pPr>
      <w:bookmarkStart w:id="211" w:name="_Toc989095"/>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重要的账龄超过</w:t>
      </w:r>
      <w:r>
        <w:rPr>
          <w:rFonts w:ascii="Times New Roman" w:eastAsia="宋体" w:hAnsi="Times New Roman" w:cs="Times New Roman"/>
          <w:b/>
          <w:bCs/>
          <w:szCs w:val="21"/>
        </w:rPr>
        <w:t>1</w:t>
      </w:r>
      <w:r>
        <w:rPr>
          <w:rFonts w:ascii="Times New Roman" w:eastAsia="宋体" w:hAnsi="Times New Roman" w:cs="Times New Roman"/>
          <w:b/>
          <w:bCs/>
          <w:szCs w:val="21"/>
        </w:rPr>
        <w:t>年的应收股利</w:t>
      </w:r>
      <w:bookmarkEnd w:id="211"/>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r>
              <w:rPr>
                <w:rFonts w:ascii="Times New Roman" w:eastAsia="宋体" w:hAnsi="Times New Roman" w:cs="Times New Roman"/>
                <w:sz w:val="18"/>
                <w:szCs w:val="18"/>
              </w:rPr>
              <w:t>(</w:t>
            </w:r>
            <w:r>
              <w:rPr>
                <w:rFonts w:ascii="Times New Roman" w:eastAsia="宋体" w:hAnsi="Times New Roman" w:cs="Times New Roman"/>
                <w:sz w:val="18"/>
                <w:szCs w:val="18"/>
              </w:rPr>
              <w:t>或被投资单位</w:t>
            </w:r>
            <w:r>
              <w:rPr>
                <w:rFonts w:ascii="Times New Roman" w:eastAsia="宋体" w:hAnsi="Times New Roman" w:cs="Times New Roman"/>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账龄</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未收回的原因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是否发生减值及其判断依据</w:t>
            </w:r>
          </w:p>
        </w:tc>
      </w:tr>
    </w:tbl>
    <w:p w:rsidR="00CE3C32" w:rsidRDefault="006413B8">
      <w:pPr>
        <w:keepNext/>
        <w:keepLines/>
        <w:spacing w:before="300" w:after="300" w:line="280" w:lineRule="exact"/>
        <w:outlineLvl w:val="4"/>
        <w:rPr>
          <w:rFonts w:ascii="Times New Roman" w:eastAsia="宋体" w:hAnsi="Times New Roman" w:cs="Times New Roman"/>
          <w:b/>
          <w:bCs/>
          <w:szCs w:val="21"/>
        </w:rPr>
      </w:pPr>
      <w:bookmarkStart w:id="212" w:name="_Toc989096"/>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按坏账计提方法分类披露</w:t>
      </w:r>
      <w:bookmarkEnd w:id="212"/>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4"/>
        <w:rPr>
          <w:rFonts w:ascii="Times New Roman" w:eastAsia="宋体" w:hAnsi="Times New Roman" w:cs="Times New Roman"/>
          <w:b/>
          <w:bCs/>
          <w:szCs w:val="21"/>
        </w:rPr>
      </w:pPr>
      <w:bookmarkStart w:id="213" w:name="_Toc989097"/>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本期计提、收回或转回的坏账准备的情况</w:t>
      </w:r>
      <w:bookmarkEnd w:id="213"/>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转销或核销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其他变动</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其中本期坏账准备收回或转回金额重要的：</w:t>
      </w:r>
      <w:r>
        <w:rPr>
          <w:rFonts w:ascii="Times New Roman" w:eastAsia="宋体" w:hAnsi="Times New Roman" w:cs="Times New Roman" w:hint="eastAsia"/>
          <w:sz w:val="18"/>
          <w:szCs w:val="18"/>
        </w:rPr>
        <w:t>无。</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收回或转回金额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转回原因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收回方式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确定原坏账准备计提</w:t>
            </w:r>
            <w:r>
              <w:rPr>
                <w:rFonts w:ascii="Times New Roman" w:eastAsia="宋体" w:hAnsi="Times New Roman" w:cs="Times New Roman"/>
                <w:sz w:val="18"/>
                <w:szCs w:val="18"/>
              </w:rPr>
              <w:lastRenderedPageBreak/>
              <w:t>比例的依据及其合理性</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其他说明：</w:t>
      </w:r>
      <w:r>
        <w:rPr>
          <w:rFonts w:ascii="Times New Roman" w:eastAsia="宋体" w:hAnsi="Times New Roman" w:cs="Times New Roman" w:hint="eastAsia"/>
          <w:sz w:val="18"/>
          <w:szCs w:val="18"/>
        </w:rPr>
        <w:t>无。</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keepNext/>
        <w:keepLines/>
        <w:spacing w:before="300" w:after="300" w:line="280" w:lineRule="exact"/>
        <w:outlineLvl w:val="4"/>
        <w:rPr>
          <w:rFonts w:ascii="Times New Roman" w:eastAsia="宋体" w:hAnsi="Times New Roman" w:cs="Times New Roman"/>
          <w:b/>
          <w:bCs/>
          <w:szCs w:val="21"/>
        </w:rPr>
      </w:pPr>
      <w:bookmarkStart w:id="214" w:name="_Toc989098"/>
      <w:r>
        <w:rPr>
          <w:rFonts w:ascii="Times New Roman" w:eastAsia="宋体" w:hAnsi="Times New Roman" w:cs="Times New Roman"/>
          <w:b/>
          <w:bCs/>
          <w:szCs w:val="21"/>
        </w:rPr>
        <w:t>5</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本期实际核销的应收股利情况</w:t>
      </w:r>
      <w:bookmarkEnd w:id="214"/>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其中重要的应收股利核销情况</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款项是否由关联交易产生</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核销说明：</w:t>
      </w:r>
      <w:r>
        <w:rPr>
          <w:rFonts w:ascii="Times New Roman" w:hAnsi="Times New Roman" w:cs="Times New Roman" w:hint="eastAsia"/>
          <w:sz w:val="18"/>
          <w:szCs w:val="18"/>
        </w:rPr>
        <w:t>无</w:t>
      </w:r>
      <w:r>
        <w:rPr>
          <w:rFonts w:ascii="Times New Roman" w:hAnsi="Times New Roman" w:cs="Times New Roman"/>
          <w:sz w:val="18"/>
          <w:szCs w:val="18"/>
        </w:rPr>
        <w:t>。</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hint="eastAsia"/>
          <w:sz w:val="18"/>
          <w:szCs w:val="18"/>
        </w:rPr>
        <w:t>无</w:t>
      </w:r>
      <w:r>
        <w:rPr>
          <w:rFonts w:ascii="Times New Roman" w:hAnsi="Times New Roman" w:cs="Times New Roman"/>
          <w:sz w:val="18"/>
          <w:szCs w:val="18"/>
        </w:rPr>
        <w:t>。</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15" w:name="_Toc989099"/>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其他应收款</w:t>
      </w:r>
      <w:bookmarkEnd w:id="215"/>
    </w:p>
    <w:p w:rsidR="00CE3C32" w:rsidRDefault="006413B8">
      <w:pPr>
        <w:keepNext/>
        <w:keepLines/>
        <w:spacing w:before="300" w:after="300" w:line="280" w:lineRule="exact"/>
        <w:outlineLvl w:val="4"/>
        <w:rPr>
          <w:rFonts w:ascii="Times New Roman" w:eastAsia="宋体" w:hAnsi="Times New Roman" w:cs="Times New Roman"/>
          <w:b/>
          <w:bCs/>
          <w:szCs w:val="21"/>
        </w:rPr>
      </w:pPr>
      <w:bookmarkStart w:id="216" w:name="_Toc989100"/>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其他应收款按款项性质分类情况</w:t>
      </w:r>
      <w:bookmarkEnd w:id="216"/>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款项性质</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期末账面余额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期初账面余额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押金及保证金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2,689,664.60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2,410,509.60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备用金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1,515,341.18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814,324.98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往来款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896,083.54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1,228,234.87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代扣代缴社保公积金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352,689.20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358,846.31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5,453,778.52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4,811,915.76</w:t>
            </w:r>
          </w:p>
        </w:tc>
      </w:tr>
    </w:tbl>
    <w:p w:rsidR="00CE3C32" w:rsidRDefault="006413B8">
      <w:pPr>
        <w:keepNext/>
        <w:keepLines/>
        <w:spacing w:before="300" w:after="300" w:line="280" w:lineRule="exact"/>
        <w:outlineLvl w:val="4"/>
        <w:rPr>
          <w:rFonts w:ascii="Times New Roman" w:eastAsia="宋体" w:hAnsi="Times New Roman" w:cs="Times New Roman"/>
          <w:b/>
          <w:bCs/>
          <w:szCs w:val="21"/>
        </w:rPr>
      </w:pPr>
      <w:bookmarkStart w:id="217" w:name="_Toc989101"/>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按账龄披露</w:t>
      </w:r>
      <w:bookmarkEnd w:id="217"/>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账龄</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期末账面余额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期初账面余额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年以内（含</w:t>
            </w:r>
            <w:r>
              <w:rPr>
                <w:rFonts w:ascii="Times New Roman" w:eastAsia="宋体" w:hAnsi="Times New Roman" w:cs="Times New Roman"/>
                <w:sz w:val="18"/>
                <w:szCs w:val="18"/>
              </w:rPr>
              <w:t>1</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2,396,291.90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2,331,967.86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至</w:t>
            </w:r>
            <w:r>
              <w:rPr>
                <w:rFonts w:ascii="Times New Roman" w:eastAsia="宋体" w:hAnsi="Times New Roman" w:cs="Times New Roman"/>
                <w:sz w:val="18"/>
                <w:szCs w:val="18"/>
              </w:rPr>
              <w:t>2</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684,976.73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353,659.97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至</w:t>
            </w:r>
            <w:r>
              <w:rPr>
                <w:rFonts w:ascii="Times New Roman" w:eastAsia="宋体" w:hAnsi="Times New Roman" w:cs="Times New Roman"/>
                <w:sz w:val="18"/>
                <w:szCs w:val="18"/>
              </w:rPr>
              <w:t>3</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963,736.05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864,323.34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年以上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1,408,773.84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1,261,964.59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至</w:t>
            </w:r>
            <w:r>
              <w:rPr>
                <w:rFonts w:ascii="Times New Roman" w:eastAsia="宋体" w:hAnsi="Times New Roman" w:cs="Times New Roman"/>
                <w:sz w:val="18"/>
                <w:szCs w:val="18"/>
              </w:rPr>
              <w:t>4</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656,995.27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905,673.02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至</w:t>
            </w:r>
            <w:r>
              <w:rPr>
                <w:rFonts w:ascii="Times New Roman" w:eastAsia="宋体" w:hAnsi="Times New Roman" w:cs="Times New Roman"/>
                <w:sz w:val="18"/>
                <w:szCs w:val="18"/>
              </w:rPr>
              <w:t>5</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646,673.86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242,786.86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年以上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105,104.71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113,504.71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5,453,778.52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4,811,915.76</w:t>
            </w:r>
          </w:p>
        </w:tc>
      </w:tr>
    </w:tbl>
    <w:p w:rsidR="00CE3C32" w:rsidRDefault="006413B8">
      <w:pPr>
        <w:keepNext/>
        <w:keepLines/>
        <w:spacing w:before="300" w:after="300" w:line="280" w:lineRule="exact"/>
        <w:outlineLvl w:val="4"/>
        <w:rPr>
          <w:rFonts w:ascii="Times New Roman" w:eastAsia="宋体" w:hAnsi="Times New Roman" w:cs="Times New Roman"/>
          <w:b/>
          <w:bCs/>
          <w:szCs w:val="21"/>
        </w:rPr>
      </w:pPr>
      <w:bookmarkStart w:id="218" w:name="_Toc989102"/>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按坏账计提方法分类披露</w:t>
      </w:r>
      <w:bookmarkEnd w:id="218"/>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877"/>
        <w:gridCol w:w="876"/>
        <w:gridCol w:w="877"/>
        <w:gridCol w:w="876"/>
        <w:gridCol w:w="876"/>
        <w:gridCol w:w="877"/>
        <w:gridCol w:w="876"/>
        <w:gridCol w:w="877"/>
        <w:gridCol w:w="876"/>
      </w:tblGrid>
      <w:tr w:rsidR="00CE3C32">
        <w:trPr>
          <w:trHeight w:val="240"/>
          <w:tblHeader/>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类别</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blHeader/>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r>
      <w:tr w:rsidR="00CE3C32">
        <w:trPr>
          <w:trHeight w:val="240"/>
          <w:tblHeader/>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按组合计提坏账准备</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5,453,778.52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1,428,374.52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26.19%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4,025,404.00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4,811,915.76</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1,171,832.11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24.35%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3,640,083.65</w:t>
            </w:r>
          </w:p>
        </w:tc>
      </w:tr>
      <w:tr w:rsidR="00CE3C32">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组合</w:t>
            </w:r>
            <w:r>
              <w:rPr>
                <w:rFonts w:ascii="Times New Roman" w:eastAsia="宋体" w:hAnsi="Times New Roman" w:cs="Times New Roman"/>
                <w:sz w:val="18"/>
                <w:szCs w:val="18"/>
              </w:rPr>
              <w:t>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2,689,664.60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49.32%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1,031,696.64</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38.36%</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1,657,967.96</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2,410,509.60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890,930.79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36.96%</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1,519,578.81</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组合</w:t>
            </w:r>
            <w:r>
              <w:rPr>
                <w:rFonts w:ascii="Times New Roman" w:eastAsia="宋体" w:hAnsi="Times New Roman" w:cs="Times New Roman"/>
                <w:sz w:val="18"/>
                <w:szCs w:val="18"/>
              </w:rPr>
              <w:t>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1,868,030.38</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34.25%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221,269.64</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11.85%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1,646,760.74</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1,173,171.29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24.38%</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96,403.04</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8.22%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1,076,768.25</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组合</w:t>
            </w:r>
            <w:r>
              <w:rPr>
                <w:rFonts w:ascii="Times New Roman" w:eastAsia="宋体" w:hAnsi="Times New Roman" w:cs="Times New Roman"/>
                <w:sz w:val="18"/>
                <w:szCs w:val="18"/>
              </w:rPr>
              <w:t>3</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896,083.54</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16.43%</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175,408.24</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19.57%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720,675.30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1,228,234.87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25.53%</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184,498.28</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15.02%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1,043,736.59</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5,453,778.52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1,428,374.52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26.19%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4,025,404.00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4,811,915.76</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1,171,832.11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24.35%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3,640,083.65</w:t>
            </w:r>
          </w:p>
        </w:tc>
      </w:tr>
    </w:tbl>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按组合计提坏账准备类别名称：组合</w:t>
      </w:r>
      <w:r>
        <w:rPr>
          <w:rFonts w:ascii="Times New Roman" w:eastAsia="宋体" w:hAnsi="Times New Roman" w:cs="Times New Roman"/>
          <w:sz w:val="18"/>
          <w:szCs w:val="18"/>
        </w:rPr>
        <w:t>1</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押金、投标保证金、履约保证金、质量保证金等应收款项</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2,689,664.60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1,031,696.64</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38.36%</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2,689,664.60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1,031,696.64</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确定该组合依据的说明：</w:t>
      </w:r>
      <w:r>
        <w:rPr>
          <w:rFonts w:ascii="Times New Roman" w:hAnsi="Times New Roman" w:cs="Times New Roman"/>
          <w:sz w:val="18"/>
          <w:szCs w:val="18"/>
        </w:rPr>
        <w:t>确定其他应收款组合的依据详见本节五、</w:t>
      </w:r>
      <w:r>
        <w:rPr>
          <w:rFonts w:ascii="Times New Roman" w:hAnsi="Times New Roman" w:cs="Times New Roman"/>
          <w:sz w:val="18"/>
          <w:szCs w:val="18"/>
        </w:rPr>
        <w:t>15</w:t>
      </w:r>
      <w:r>
        <w:rPr>
          <w:rFonts w:ascii="Times New Roman" w:hAnsi="Times New Roman" w:cs="Times New Roman"/>
          <w:sz w:val="18"/>
          <w:szCs w:val="18"/>
        </w:rPr>
        <w:t>。</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按组合计提坏账准备类别名称：组合</w:t>
      </w:r>
      <w:r>
        <w:rPr>
          <w:rFonts w:ascii="Times New Roman" w:eastAsia="宋体" w:hAnsi="Times New Roman" w:cs="Times New Roman"/>
          <w:sz w:val="18"/>
          <w:szCs w:val="18"/>
        </w:rPr>
        <w:t>2</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备用金、代垫社保公积金、代垫费用等应收款项</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1,868,030.38</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221,269.64</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11.85%</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1,868,030.38</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221,269.64</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确定该组合依据的说明：</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确定其他应收款组合的依据详见本节五、</w:t>
      </w:r>
      <w:r>
        <w:rPr>
          <w:rFonts w:ascii="Times New Roman" w:hAnsi="Times New Roman" w:cs="Times New Roman"/>
          <w:sz w:val="18"/>
          <w:szCs w:val="18"/>
        </w:rPr>
        <w:t>15</w:t>
      </w:r>
      <w:r>
        <w:rPr>
          <w:rFonts w:ascii="Times New Roman" w:hAnsi="Times New Roman" w:cs="Times New Roman"/>
          <w:sz w:val="18"/>
          <w:szCs w:val="18"/>
        </w:rPr>
        <w:t>。</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按组合计提坏账准备类别名称：组合</w:t>
      </w:r>
      <w:r>
        <w:rPr>
          <w:rFonts w:ascii="Times New Roman" w:eastAsia="宋体" w:hAnsi="Times New Roman" w:cs="Times New Roman"/>
          <w:sz w:val="18"/>
          <w:szCs w:val="18"/>
        </w:rPr>
        <w:t>3</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应收其他款项</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896,083.54</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175,408.24</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19.57%</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896,083.54</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175,408.24</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确定该组合依据的说明：</w:t>
      </w:r>
      <w:r>
        <w:rPr>
          <w:rFonts w:ascii="Times New Roman" w:hAnsi="Times New Roman" w:cs="Times New Roman"/>
          <w:sz w:val="18"/>
          <w:szCs w:val="18"/>
        </w:rPr>
        <w:t>确定其他应收款组合的依据详见本节五、</w:t>
      </w:r>
      <w:r>
        <w:rPr>
          <w:rFonts w:ascii="Times New Roman" w:hAnsi="Times New Roman" w:cs="Times New Roman"/>
          <w:sz w:val="18"/>
          <w:szCs w:val="18"/>
        </w:rPr>
        <w:t>15</w:t>
      </w:r>
      <w:r>
        <w:rPr>
          <w:rFonts w:ascii="Times New Roman" w:hAnsi="Times New Roman" w:cs="Times New Roman"/>
          <w:sz w:val="18"/>
          <w:szCs w:val="18"/>
        </w:rPr>
        <w:t>。</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按预期信用损失一般模型计提坏账准备：</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第一阶段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第二阶段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第三阶段</w:t>
            </w:r>
          </w:p>
        </w:tc>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合计</w:t>
            </w:r>
          </w:p>
        </w:tc>
      </w:tr>
      <w:tr w:rsidR="00CE3C32">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未来</w:t>
            </w:r>
            <w:r>
              <w:rPr>
                <w:rFonts w:ascii="Times New Roman" w:eastAsia="宋体" w:hAnsi="Times New Roman" w:cs="Times New Roman"/>
                <w:sz w:val="18"/>
                <w:szCs w:val="18"/>
              </w:rPr>
              <w:t>12</w:t>
            </w:r>
            <w:r>
              <w:rPr>
                <w:rFonts w:ascii="Times New Roman" w:eastAsia="宋体" w:hAnsi="Times New Roman" w:cs="Times New Roman"/>
                <w:sz w:val="18"/>
                <w:szCs w:val="18"/>
              </w:rPr>
              <w:t>个月预期信用</w:t>
            </w:r>
            <w:r>
              <w:rPr>
                <w:rFonts w:ascii="Times New Roman" w:eastAsia="宋体" w:hAnsi="Times New Roman" w:cs="Times New Roman"/>
                <w:sz w:val="18"/>
                <w:szCs w:val="18"/>
              </w:rPr>
              <w:lastRenderedPageBreak/>
              <w:t>损失</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整个存续期预期信用</w:t>
            </w:r>
            <w:r>
              <w:rPr>
                <w:rFonts w:ascii="Times New Roman" w:eastAsia="宋体" w:hAnsi="Times New Roman" w:cs="Times New Roman"/>
                <w:sz w:val="18"/>
                <w:szCs w:val="18"/>
              </w:rPr>
              <w:lastRenderedPageBreak/>
              <w:t>损失</w:t>
            </w:r>
            <w:r>
              <w:rPr>
                <w:rFonts w:ascii="Times New Roman" w:eastAsia="宋体" w:hAnsi="Times New Roman" w:cs="Times New Roman"/>
                <w:sz w:val="18"/>
                <w:szCs w:val="18"/>
              </w:rPr>
              <w:t>(</w:t>
            </w:r>
            <w:r>
              <w:rPr>
                <w:rFonts w:ascii="Times New Roman" w:eastAsia="宋体" w:hAnsi="Times New Roman" w:cs="Times New Roman"/>
                <w:sz w:val="18"/>
                <w:szCs w:val="18"/>
              </w:rPr>
              <w:t>未发生信用减值</w:t>
            </w:r>
            <w:r>
              <w:rPr>
                <w:rFonts w:ascii="Times New Roman" w:eastAsia="宋体" w:hAnsi="Times New Roman" w:cs="Times New Roman"/>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整个存续期预期信用</w:t>
            </w:r>
            <w:r>
              <w:rPr>
                <w:rFonts w:ascii="Times New Roman" w:eastAsia="宋体" w:hAnsi="Times New Roman" w:cs="Times New Roman"/>
                <w:sz w:val="18"/>
                <w:szCs w:val="18"/>
              </w:rPr>
              <w:lastRenderedPageBreak/>
              <w:t>损失</w:t>
            </w:r>
            <w:r>
              <w:rPr>
                <w:rFonts w:ascii="Times New Roman" w:eastAsia="宋体" w:hAnsi="Times New Roman" w:cs="Times New Roman"/>
                <w:sz w:val="18"/>
                <w:szCs w:val="18"/>
              </w:rPr>
              <w:t>(</w:t>
            </w:r>
            <w:r>
              <w:rPr>
                <w:rFonts w:ascii="Times New Roman" w:eastAsia="宋体" w:hAnsi="Times New Roman" w:cs="Times New Roman"/>
                <w:sz w:val="18"/>
                <w:szCs w:val="18"/>
              </w:rPr>
              <w:t>已发生信用减值</w:t>
            </w:r>
            <w:r>
              <w:rPr>
                <w:rFonts w:ascii="Times New Roman" w:eastAsia="宋体" w:hAnsi="Times New Roman" w:cs="Times New Roman"/>
                <w:sz w:val="18"/>
                <w:szCs w:val="18"/>
              </w:rPr>
              <w:t>)</w:t>
            </w:r>
          </w:p>
        </w:tc>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2025</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日余额</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1,171,832.11</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1,171,832.11</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日余额在本期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本期计提</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256,542.41</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256,542.41</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6</w:t>
            </w:r>
            <w:r>
              <w:rPr>
                <w:rFonts w:ascii="Times New Roman" w:eastAsia="宋体" w:hAnsi="Times New Roman" w:cs="Times New Roman"/>
                <w:sz w:val="18"/>
                <w:szCs w:val="18"/>
              </w:rPr>
              <w:t>月</w:t>
            </w:r>
            <w:r>
              <w:rPr>
                <w:rFonts w:ascii="Times New Roman" w:eastAsia="宋体" w:hAnsi="Times New Roman" w:cs="Times New Roman"/>
                <w:sz w:val="18"/>
                <w:szCs w:val="18"/>
              </w:rPr>
              <w:t>30</w:t>
            </w:r>
            <w:r>
              <w:rPr>
                <w:rFonts w:ascii="Times New Roman" w:eastAsia="宋体" w:hAnsi="Times New Roman" w:cs="Times New Roman"/>
                <w:sz w:val="18"/>
                <w:szCs w:val="18"/>
              </w:rPr>
              <w:t>日余额</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1,428,374.52</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1,428,374.52</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各阶段划分依据和坏账准备计提比例</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损失准备本期变动金额重大的账面余额变动情况</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4"/>
        <w:rPr>
          <w:rFonts w:ascii="Times New Roman" w:eastAsia="宋体" w:hAnsi="Times New Roman" w:cs="Times New Roman"/>
          <w:b/>
          <w:bCs/>
          <w:szCs w:val="21"/>
        </w:rPr>
      </w:pPr>
      <w:bookmarkStart w:id="219" w:name="_Toc989103"/>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本期计提、收回或转回的坏账准备情况</w:t>
      </w:r>
      <w:bookmarkEnd w:id="219"/>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本期计提坏账准备情况：</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转销或核销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账龄组合</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1,171,832.11</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256,542.41</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1,428,374.52</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1,171,832.11</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256,542.41</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1,428,374.52</w:t>
            </w:r>
          </w:p>
        </w:tc>
      </w:tr>
    </w:tbl>
    <w:p w:rsidR="00CE3C32" w:rsidRDefault="00CE3C32">
      <w:pPr>
        <w:rPr>
          <w:rFonts w:ascii="Times New Roman" w:hAnsi="Times New Roman" w:cs="Times New Roman"/>
          <w:sz w:val="18"/>
          <w:szCs w:val="18"/>
        </w:rPr>
      </w:pP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其中本期坏账准备转回或收回金额重要的：</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收回或转回金额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转回原因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收回方式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确定原坏账准备计提比例的依据及其合理性</w:t>
            </w:r>
          </w:p>
        </w:tc>
      </w:tr>
    </w:tbl>
    <w:p w:rsidR="00CE3C32" w:rsidRDefault="00CE3C32">
      <w:pPr>
        <w:rPr>
          <w:rFonts w:ascii="Times New Roman" w:hAnsi="Times New Roman" w:cs="Times New Roman"/>
          <w:sz w:val="18"/>
          <w:szCs w:val="18"/>
        </w:rPr>
      </w:pPr>
    </w:p>
    <w:p w:rsidR="00CE3C32" w:rsidRDefault="006413B8">
      <w:pPr>
        <w:keepNext/>
        <w:keepLines/>
        <w:spacing w:before="300" w:after="300" w:line="280" w:lineRule="exact"/>
        <w:outlineLvl w:val="4"/>
        <w:rPr>
          <w:rFonts w:ascii="Times New Roman" w:eastAsia="宋体" w:hAnsi="Times New Roman" w:cs="Times New Roman"/>
          <w:b/>
          <w:bCs/>
          <w:szCs w:val="21"/>
        </w:rPr>
      </w:pPr>
      <w:bookmarkStart w:id="220" w:name="_Toc989104"/>
      <w:r>
        <w:rPr>
          <w:rFonts w:ascii="Times New Roman" w:eastAsia="宋体" w:hAnsi="Times New Roman" w:cs="Times New Roman"/>
          <w:b/>
          <w:bCs/>
          <w:szCs w:val="21"/>
        </w:rPr>
        <w:t>5</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本期实际核销的其他应收款情况</w:t>
      </w:r>
      <w:bookmarkEnd w:id="220"/>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其中重要的其他应收款核销情况：</w:t>
      </w:r>
      <w:r>
        <w:rPr>
          <w:rFonts w:ascii="Times New Roman" w:eastAsia="宋体" w:hAnsi="Times New Roman" w:cs="Times New Roman" w:hint="eastAsia"/>
          <w:sz w:val="18"/>
          <w:szCs w:val="18"/>
        </w:rPr>
        <w:t>无。</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其他应收款性质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款项是否由关联交易产生</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其他应收款核销说明：</w:t>
      </w:r>
      <w:r>
        <w:rPr>
          <w:rFonts w:ascii="Times New Roman" w:eastAsia="宋体" w:hAnsi="Times New Roman" w:cs="Times New Roman" w:hint="eastAsia"/>
          <w:sz w:val="18"/>
          <w:szCs w:val="18"/>
        </w:rPr>
        <w:t>无。</w:t>
      </w:r>
    </w:p>
    <w:p w:rsidR="00CE3C32" w:rsidRDefault="006413B8">
      <w:pPr>
        <w:keepNext/>
        <w:keepLines/>
        <w:spacing w:before="300" w:after="300" w:line="280" w:lineRule="exact"/>
        <w:outlineLvl w:val="4"/>
        <w:rPr>
          <w:rFonts w:ascii="Times New Roman" w:eastAsia="宋体" w:hAnsi="Times New Roman" w:cs="Times New Roman"/>
          <w:b/>
          <w:bCs/>
          <w:szCs w:val="21"/>
        </w:rPr>
      </w:pPr>
      <w:bookmarkStart w:id="221" w:name="_Toc989105"/>
      <w:r>
        <w:rPr>
          <w:rFonts w:ascii="Times New Roman" w:eastAsia="宋体" w:hAnsi="Times New Roman" w:cs="Times New Roman"/>
          <w:b/>
          <w:bCs/>
          <w:szCs w:val="21"/>
        </w:rPr>
        <w:t>6</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按欠款方归集的期末余额前五名的其他应收款情况</w:t>
      </w:r>
      <w:bookmarkEnd w:id="221"/>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款项的性质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账龄</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占其他应收款期末余额合计数的比例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坏账准备期末余额</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汕头市海逸投资</w:t>
            </w:r>
            <w:r>
              <w:rPr>
                <w:rFonts w:ascii="Times New Roman" w:eastAsia="宋体" w:hAnsi="Times New Roman" w:cs="Times New Roman"/>
                <w:sz w:val="18"/>
                <w:szCs w:val="18"/>
              </w:rPr>
              <w:lastRenderedPageBreak/>
              <w:t>（集团）有限公司</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押金保证金</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437,993.40</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年以内</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8.03%</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21,899.67</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祥云县住房和城乡建设局</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外部往来</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355,653.08</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1-2</w:t>
            </w:r>
            <w:r>
              <w:rPr>
                <w:rFonts w:ascii="Times New Roman" w:eastAsia="宋体" w:hAnsi="Times New Roman" w:cs="Times New Roman"/>
                <w:sz w:val="18"/>
                <w:szCs w:val="18"/>
              </w:rPr>
              <w:t>年</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6.52%</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35,565.31</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中交机电工程局有限公司</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押金保证金</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349,409.00</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4-5</w:t>
            </w:r>
            <w:r>
              <w:rPr>
                <w:rFonts w:ascii="Times New Roman" w:eastAsia="宋体" w:hAnsi="Times New Roman" w:cs="Times New Roman"/>
                <w:sz w:val="18"/>
                <w:szCs w:val="18"/>
              </w:rPr>
              <w:t>年</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6.41%</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279,527.20</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广州寰城实业发展有限公司</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押金保证金</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342,012.80</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2-3</w:t>
            </w:r>
            <w:r>
              <w:rPr>
                <w:rFonts w:ascii="Times New Roman" w:eastAsia="宋体" w:hAnsi="Times New Roman" w:cs="Times New Roman"/>
                <w:sz w:val="18"/>
                <w:szCs w:val="18"/>
              </w:rPr>
              <w:t>年</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6.27%</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102,603.84</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汕头职业技术学院</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押金保证金</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275,580.58</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1-2</w:t>
            </w:r>
            <w:r>
              <w:rPr>
                <w:rFonts w:ascii="Times New Roman" w:eastAsia="宋体" w:hAnsi="Times New Roman" w:cs="Times New Roman"/>
                <w:sz w:val="18"/>
                <w:szCs w:val="18"/>
              </w:rPr>
              <w:t>年、</w:t>
            </w:r>
            <w:r>
              <w:rPr>
                <w:rFonts w:ascii="Times New Roman" w:eastAsia="宋体" w:hAnsi="Times New Roman" w:cs="Times New Roman"/>
                <w:sz w:val="18"/>
                <w:szCs w:val="18"/>
              </w:rPr>
              <w:t>3-5</w:t>
            </w:r>
            <w:r>
              <w:rPr>
                <w:rFonts w:ascii="Times New Roman" w:eastAsia="宋体" w:hAnsi="Times New Roman" w:cs="Times New Roman"/>
                <w:sz w:val="18"/>
                <w:szCs w:val="18"/>
              </w:rPr>
              <w:t>年</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5.05%</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211,883.62</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1,760,648.86</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32.28%</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651,479.64</w:t>
            </w:r>
          </w:p>
        </w:tc>
      </w:tr>
    </w:tbl>
    <w:p w:rsidR="00CE3C32" w:rsidRDefault="006413B8">
      <w:pPr>
        <w:keepNext/>
        <w:keepLines/>
        <w:spacing w:before="300" w:after="300" w:line="280" w:lineRule="exact"/>
        <w:outlineLvl w:val="4"/>
        <w:rPr>
          <w:rFonts w:ascii="Times New Roman" w:eastAsia="宋体" w:hAnsi="Times New Roman" w:cs="Times New Roman"/>
          <w:b/>
          <w:bCs/>
          <w:szCs w:val="21"/>
        </w:rPr>
      </w:pPr>
      <w:bookmarkStart w:id="222" w:name="_Toc989106"/>
      <w:r>
        <w:rPr>
          <w:rFonts w:ascii="Times New Roman" w:eastAsia="宋体" w:hAnsi="Times New Roman" w:cs="Times New Roman"/>
          <w:b/>
          <w:bCs/>
          <w:szCs w:val="21"/>
        </w:rPr>
        <w:t>7</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因资金集中管理而列报于其他应收款</w:t>
      </w:r>
      <w:bookmarkEnd w:id="22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223" w:name="_Toc989107"/>
      <w:r>
        <w:rPr>
          <w:rFonts w:ascii="Times New Roman" w:hAnsi="Times New Roman" w:cs="Times New Roman"/>
          <w:b/>
          <w:bCs/>
        </w:rPr>
        <w:t>9</w:t>
      </w:r>
      <w:r>
        <w:rPr>
          <w:rFonts w:ascii="Times New Roman" w:hAnsi="Times New Roman" w:cs="Times New Roman"/>
          <w:b/>
          <w:bCs/>
        </w:rPr>
        <w:t>、预付款项</w:t>
      </w:r>
      <w:bookmarkEnd w:id="223"/>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24" w:name="_Toc989108"/>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预付款项按账龄列示</w:t>
      </w:r>
      <w:bookmarkEnd w:id="224"/>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账龄</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比例</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比例</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年以内</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17,934,736.37</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95.51%</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16,840,941.93</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98.68%</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至</w:t>
            </w:r>
            <w:r>
              <w:rPr>
                <w:rFonts w:ascii="Times New Roman" w:eastAsia="宋体" w:hAnsi="Times New Roman" w:cs="Times New Roman"/>
                <w:sz w:val="18"/>
                <w:szCs w:val="18"/>
              </w:rPr>
              <w:t>2</w:t>
            </w:r>
            <w:r>
              <w:rPr>
                <w:rFonts w:ascii="Times New Roman" w:eastAsia="宋体" w:hAnsi="Times New Roman" w:cs="Times New Roman"/>
                <w:sz w:val="18"/>
                <w:szCs w:val="18"/>
              </w:rPr>
              <w:t>年</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626,083.34</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3.33%</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97,871.24</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0.57%</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至</w:t>
            </w:r>
            <w:r>
              <w:rPr>
                <w:rFonts w:ascii="Times New Roman" w:eastAsia="宋体" w:hAnsi="Times New Roman" w:cs="Times New Roman"/>
                <w:sz w:val="18"/>
                <w:szCs w:val="18"/>
              </w:rPr>
              <w:t>3</w:t>
            </w:r>
            <w:r>
              <w:rPr>
                <w:rFonts w:ascii="Times New Roman" w:eastAsia="宋体" w:hAnsi="Times New Roman" w:cs="Times New Roman"/>
                <w:sz w:val="18"/>
                <w:szCs w:val="18"/>
              </w:rPr>
              <w:t>年</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93,074.37</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0.50%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122,477.06</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0.72%</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年以上</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123,492.00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0.66%</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5,846.36</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0.03%</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18,777,386.08</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17,067,136.59</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账龄超过</w:t>
      </w:r>
      <w:r>
        <w:rPr>
          <w:rFonts w:ascii="Times New Roman" w:eastAsia="宋体" w:hAnsi="Times New Roman" w:cs="Times New Roman"/>
          <w:sz w:val="18"/>
          <w:szCs w:val="18"/>
        </w:rPr>
        <w:t>1</w:t>
      </w:r>
      <w:r>
        <w:rPr>
          <w:rFonts w:ascii="Times New Roman" w:eastAsia="宋体" w:hAnsi="Times New Roman" w:cs="Times New Roman"/>
          <w:sz w:val="18"/>
          <w:szCs w:val="18"/>
        </w:rPr>
        <w:t>年且金额重要的预付款项未及时结算原因的说明：</w:t>
      </w: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25" w:name="_Toc989109"/>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按预付对象归集的期末余额前五名的预付款情况</w:t>
      </w:r>
      <w:bookmarkEnd w:id="225"/>
    </w:p>
    <w:tbl>
      <w:tblPr>
        <w:tblW w:w="5000" w:type="pct"/>
        <w:tblCellMar>
          <w:left w:w="0" w:type="dxa"/>
          <w:right w:w="0" w:type="dxa"/>
        </w:tblCellMar>
        <w:tblLook w:val="04A0" w:firstRow="1" w:lastRow="0" w:firstColumn="1" w:lastColumn="0" w:noHBand="0" w:noVBand="1"/>
      </w:tblPr>
      <w:tblGrid>
        <w:gridCol w:w="3765"/>
        <w:gridCol w:w="1807"/>
        <w:gridCol w:w="4095"/>
      </w:tblGrid>
      <w:tr w:rsidR="00CE3C32">
        <w:trPr>
          <w:trHeight w:val="279"/>
        </w:trPr>
        <w:tc>
          <w:tcPr>
            <w:tcW w:w="1947" w:type="pct"/>
            <w:tcBorders>
              <w:top w:val="single" w:sz="4" w:space="0" w:color="auto"/>
              <w:left w:val="single" w:sz="4" w:space="0" w:color="auto"/>
              <w:bottom w:val="single" w:sz="4" w:space="0" w:color="auto"/>
              <w:right w:val="single" w:sz="4" w:space="0" w:color="auto"/>
            </w:tcBorders>
            <w:shd w:val="clear" w:color="auto" w:fill="D3D3D3"/>
            <w:tcMar>
              <w:top w:w="15" w:type="dxa"/>
              <w:left w:w="15" w:type="dxa"/>
              <w:bottom w:w="0" w:type="dxa"/>
              <w:right w:w="15" w:type="dxa"/>
            </w:tcMar>
            <w:vAlign w:val="center"/>
          </w:tcPr>
          <w:p w:rsidR="00CE3C32" w:rsidRDefault="006413B8">
            <w:pPr>
              <w:jc w:val="center"/>
              <w:rPr>
                <w:rFonts w:ascii="Times New Roman" w:eastAsia="宋体" w:hAnsi="Times New Roman" w:cs="Times New Roman"/>
                <w:sz w:val="18"/>
                <w:szCs w:val="18"/>
              </w:rPr>
            </w:pPr>
            <w:r>
              <w:rPr>
                <w:rFonts w:ascii="Times New Roman" w:hAnsi="Times New Roman" w:cs="Times New Roman"/>
                <w:sz w:val="18"/>
                <w:szCs w:val="18"/>
              </w:rPr>
              <w:t>单位名称</w:t>
            </w:r>
          </w:p>
        </w:tc>
        <w:tc>
          <w:tcPr>
            <w:tcW w:w="934" w:type="pct"/>
            <w:tcBorders>
              <w:top w:val="single" w:sz="8" w:space="0" w:color="auto"/>
              <w:left w:val="nil"/>
              <w:bottom w:val="single" w:sz="8" w:space="0" w:color="auto"/>
              <w:right w:val="single" w:sz="8" w:space="0" w:color="auto"/>
            </w:tcBorders>
            <w:shd w:val="clear" w:color="auto" w:fill="D3D3D3"/>
            <w:tcMar>
              <w:top w:w="15" w:type="dxa"/>
              <w:left w:w="15" w:type="dxa"/>
              <w:bottom w:w="0" w:type="dxa"/>
              <w:right w:w="15" w:type="dxa"/>
            </w:tcMar>
            <w:vAlign w:val="center"/>
          </w:tcPr>
          <w:p w:rsidR="00CE3C32" w:rsidRDefault="006413B8">
            <w:pPr>
              <w:jc w:val="center"/>
              <w:rPr>
                <w:rFonts w:ascii="Times New Roman" w:eastAsia="宋体" w:hAnsi="Times New Roman" w:cs="Times New Roman"/>
                <w:sz w:val="18"/>
                <w:szCs w:val="18"/>
              </w:rPr>
            </w:pPr>
            <w:r>
              <w:rPr>
                <w:rFonts w:ascii="Times New Roman" w:hAnsi="Times New Roman" w:cs="Times New Roman"/>
                <w:sz w:val="18"/>
                <w:szCs w:val="18"/>
              </w:rPr>
              <w:t>期末余额（元）</w:t>
            </w:r>
          </w:p>
        </w:tc>
        <w:tc>
          <w:tcPr>
            <w:tcW w:w="2118" w:type="pct"/>
            <w:tcBorders>
              <w:top w:val="single" w:sz="8" w:space="0" w:color="auto"/>
              <w:left w:val="nil"/>
              <w:bottom w:val="single" w:sz="8" w:space="0" w:color="auto"/>
              <w:right w:val="single" w:sz="8" w:space="0" w:color="auto"/>
            </w:tcBorders>
            <w:shd w:val="clear" w:color="auto" w:fill="D3D3D3"/>
            <w:tcMar>
              <w:top w:w="15" w:type="dxa"/>
              <w:left w:w="15" w:type="dxa"/>
              <w:bottom w:w="0" w:type="dxa"/>
              <w:right w:w="15" w:type="dxa"/>
            </w:tcMar>
            <w:vAlign w:val="center"/>
          </w:tcPr>
          <w:p w:rsidR="00CE3C32" w:rsidRDefault="006413B8">
            <w:pPr>
              <w:jc w:val="center"/>
              <w:rPr>
                <w:rFonts w:ascii="Times New Roman" w:eastAsia="宋体" w:hAnsi="Times New Roman" w:cs="Times New Roman"/>
                <w:sz w:val="18"/>
                <w:szCs w:val="18"/>
              </w:rPr>
            </w:pPr>
            <w:r>
              <w:rPr>
                <w:rFonts w:ascii="Times New Roman" w:hAnsi="Times New Roman" w:cs="Times New Roman"/>
                <w:sz w:val="18"/>
                <w:szCs w:val="18"/>
              </w:rPr>
              <w:t>占预付款项期末余额合计数的比例</w:t>
            </w:r>
          </w:p>
        </w:tc>
      </w:tr>
      <w:tr w:rsidR="00CE3C32">
        <w:trPr>
          <w:trHeight w:val="279"/>
        </w:trPr>
        <w:tc>
          <w:tcPr>
            <w:tcW w:w="1947" w:type="pct"/>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tcPr>
          <w:p w:rsidR="00CE3C32" w:rsidRDefault="006413B8">
            <w:pPr>
              <w:rPr>
                <w:rFonts w:ascii="Times New Roman" w:eastAsia="宋体" w:hAnsi="Times New Roman" w:cs="Times New Roman"/>
                <w:color w:val="000000"/>
                <w:sz w:val="18"/>
                <w:szCs w:val="18"/>
              </w:rPr>
            </w:pPr>
            <w:r>
              <w:rPr>
                <w:rFonts w:ascii="Times New Roman" w:hAnsi="Times New Roman" w:cs="Times New Roman"/>
                <w:color w:val="000000"/>
                <w:sz w:val="18"/>
                <w:szCs w:val="18"/>
              </w:rPr>
              <w:t>供应商一</w:t>
            </w:r>
          </w:p>
        </w:tc>
        <w:tc>
          <w:tcPr>
            <w:tcW w:w="934" w:type="pct"/>
            <w:tcBorders>
              <w:top w:val="nil"/>
              <w:left w:val="nil"/>
              <w:bottom w:val="single" w:sz="8" w:space="0" w:color="auto"/>
              <w:right w:val="single" w:sz="8" w:space="0" w:color="auto"/>
            </w:tcBorders>
            <w:tcMar>
              <w:top w:w="15" w:type="dxa"/>
              <w:left w:w="15" w:type="dxa"/>
              <w:bottom w:w="0" w:type="dxa"/>
              <w:right w:w="15" w:type="dxa"/>
            </w:tcMar>
            <w:vAlign w:val="center"/>
          </w:tcPr>
          <w:p w:rsidR="00CE3C32" w:rsidRDefault="006413B8">
            <w:pPr>
              <w:jc w:val="right"/>
              <w:rPr>
                <w:rFonts w:ascii="Times New Roman" w:eastAsia="宋体" w:hAnsi="Times New Roman" w:cs="Times New Roman"/>
                <w:sz w:val="18"/>
                <w:szCs w:val="18"/>
              </w:rPr>
            </w:pPr>
            <w:r>
              <w:rPr>
                <w:rFonts w:ascii="Times New Roman" w:hAnsi="Times New Roman" w:cs="Times New Roman"/>
                <w:sz w:val="18"/>
                <w:szCs w:val="18"/>
              </w:rPr>
              <w:t>4,107,225.55</w:t>
            </w:r>
          </w:p>
        </w:tc>
        <w:tc>
          <w:tcPr>
            <w:tcW w:w="2118" w:type="pct"/>
            <w:tcBorders>
              <w:top w:val="nil"/>
              <w:left w:val="nil"/>
              <w:bottom w:val="single" w:sz="8" w:space="0" w:color="auto"/>
              <w:right w:val="single" w:sz="8" w:space="0" w:color="auto"/>
            </w:tcBorders>
            <w:tcMar>
              <w:top w:w="15" w:type="dxa"/>
              <w:left w:w="15" w:type="dxa"/>
              <w:bottom w:w="0" w:type="dxa"/>
              <w:right w:w="15" w:type="dxa"/>
            </w:tcMar>
            <w:vAlign w:val="center"/>
          </w:tcPr>
          <w:p w:rsidR="00CE3C32" w:rsidRDefault="006413B8">
            <w:pPr>
              <w:jc w:val="right"/>
              <w:rPr>
                <w:rFonts w:ascii="Times New Roman" w:eastAsia="宋体" w:hAnsi="Times New Roman" w:cs="Times New Roman"/>
                <w:sz w:val="18"/>
                <w:szCs w:val="18"/>
              </w:rPr>
            </w:pPr>
            <w:r>
              <w:rPr>
                <w:rFonts w:ascii="Times New Roman" w:hAnsi="Times New Roman" w:cs="Times New Roman"/>
                <w:sz w:val="18"/>
                <w:szCs w:val="18"/>
              </w:rPr>
              <w:t>21.87%</w:t>
            </w:r>
          </w:p>
        </w:tc>
      </w:tr>
      <w:tr w:rsidR="00CE3C32">
        <w:trPr>
          <w:trHeight w:val="279"/>
        </w:trPr>
        <w:tc>
          <w:tcPr>
            <w:tcW w:w="1947" w:type="pct"/>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tcPr>
          <w:p w:rsidR="00CE3C32" w:rsidRDefault="006413B8">
            <w:pPr>
              <w:rPr>
                <w:rFonts w:ascii="Times New Roman" w:eastAsia="宋体" w:hAnsi="Times New Roman" w:cs="Times New Roman"/>
                <w:color w:val="000000"/>
                <w:sz w:val="18"/>
                <w:szCs w:val="18"/>
              </w:rPr>
            </w:pPr>
            <w:r>
              <w:rPr>
                <w:rFonts w:ascii="Times New Roman" w:hAnsi="Times New Roman" w:cs="Times New Roman"/>
                <w:color w:val="000000"/>
                <w:sz w:val="18"/>
                <w:szCs w:val="18"/>
              </w:rPr>
              <w:t>供应商二</w:t>
            </w:r>
          </w:p>
        </w:tc>
        <w:tc>
          <w:tcPr>
            <w:tcW w:w="934" w:type="pct"/>
            <w:tcBorders>
              <w:top w:val="nil"/>
              <w:left w:val="nil"/>
              <w:bottom w:val="single" w:sz="8" w:space="0" w:color="auto"/>
              <w:right w:val="single" w:sz="8" w:space="0" w:color="auto"/>
            </w:tcBorders>
            <w:tcMar>
              <w:top w:w="15" w:type="dxa"/>
              <w:left w:w="15" w:type="dxa"/>
              <w:bottom w:w="0" w:type="dxa"/>
              <w:right w:w="15" w:type="dxa"/>
            </w:tcMar>
            <w:vAlign w:val="center"/>
          </w:tcPr>
          <w:p w:rsidR="00CE3C32" w:rsidRDefault="006413B8">
            <w:pPr>
              <w:jc w:val="right"/>
              <w:rPr>
                <w:rFonts w:ascii="Times New Roman" w:eastAsia="宋体" w:hAnsi="Times New Roman" w:cs="Times New Roman"/>
                <w:sz w:val="18"/>
                <w:szCs w:val="18"/>
              </w:rPr>
            </w:pPr>
            <w:r>
              <w:rPr>
                <w:rFonts w:ascii="Times New Roman" w:hAnsi="Times New Roman" w:cs="Times New Roman"/>
                <w:sz w:val="18"/>
                <w:szCs w:val="18"/>
              </w:rPr>
              <w:t>3,329,338.52</w:t>
            </w:r>
          </w:p>
        </w:tc>
        <w:tc>
          <w:tcPr>
            <w:tcW w:w="2118" w:type="pct"/>
            <w:tcBorders>
              <w:top w:val="nil"/>
              <w:left w:val="nil"/>
              <w:bottom w:val="single" w:sz="8" w:space="0" w:color="auto"/>
              <w:right w:val="single" w:sz="8" w:space="0" w:color="auto"/>
            </w:tcBorders>
            <w:tcMar>
              <w:top w:w="15" w:type="dxa"/>
              <w:left w:w="15" w:type="dxa"/>
              <w:bottom w:w="0" w:type="dxa"/>
              <w:right w:w="15" w:type="dxa"/>
            </w:tcMar>
            <w:vAlign w:val="center"/>
          </w:tcPr>
          <w:p w:rsidR="00CE3C32" w:rsidRDefault="006413B8">
            <w:pPr>
              <w:jc w:val="right"/>
              <w:rPr>
                <w:rFonts w:ascii="Times New Roman" w:eastAsia="宋体" w:hAnsi="Times New Roman" w:cs="Times New Roman"/>
                <w:sz w:val="18"/>
                <w:szCs w:val="18"/>
              </w:rPr>
            </w:pPr>
            <w:r>
              <w:rPr>
                <w:rFonts w:ascii="Times New Roman" w:hAnsi="Times New Roman" w:cs="Times New Roman"/>
                <w:sz w:val="18"/>
                <w:szCs w:val="18"/>
              </w:rPr>
              <w:t>17.73%</w:t>
            </w:r>
          </w:p>
        </w:tc>
      </w:tr>
      <w:tr w:rsidR="00CE3C32">
        <w:trPr>
          <w:trHeight w:val="279"/>
        </w:trPr>
        <w:tc>
          <w:tcPr>
            <w:tcW w:w="1947" w:type="pct"/>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tcPr>
          <w:p w:rsidR="00CE3C32" w:rsidRDefault="006413B8">
            <w:pPr>
              <w:rPr>
                <w:rFonts w:ascii="Times New Roman" w:eastAsia="宋体" w:hAnsi="Times New Roman" w:cs="Times New Roman"/>
                <w:color w:val="000000"/>
                <w:sz w:val="18"/>
                <w:szCs w:val="18"/>
              </w:rPr>
            </w:pPr>
            <w:r>
              <w:rPr>
                <w:rFonts w:ascii="Times New Roman" w:hAnsi="Times New Roman" w:cs="Times New Roman"/>
                <w:color w:val="000000"/>
                <w:sz w:val="18"/>
                <w:szCs w:val="18"/>
              </w:rPr>
              <w:t>供应商三</w:t>
            </w:r>
          </w:p>
        </w:tc>
        <w:tc>
          <w:tcPr>
            <w:tcW w:w="934" w:type="pct"/>
            <w:tcBorders>
              <w:top w:val="nil"/>
              <w:left w:val="nil"/>
              <w:bottom w:val="single" w:sz="8" w:space="0" w:color="auto"/>
              <w:right w:val="single" w:sz="8" w:space="0" w:color="auto"/>
            </w:tcBorders>
            <w:tcMar>
              <w:top w:w="15" w:type="dxa"/>
              <w:left w:w="15" w:type="dxa"/>
              <w:bottom w:w="0" w:type="dxa"/>
              <w:right w:w="15" w:type="dxa"/>
            </w:tcMar>
            <w:vAlign w:val="center"/>
          </w:tcPr>
          <w:p w:rsidR="00CE3C32" w:rsidRDefault="006413B8">
            <w:pPr>
              <w:jc w:val="right"/>
              <w:rPr>
                <w:rFonts w:ascii="Times New Roman" w:eastAsia="宋体" w:hAnsi="Times New Roman" w:cs="Times New Roman"/>
                <w:sz w:val="18"/>
                <w:szCs w:val="18"/>
              </w:rPr>
            </w:pPr>
            <w:r>
              <w:rPr>
                <w:rFonts w:ascii="Times New Roman" w:hAnsi="Times New Roman" w:cs="Times New Roman"/>
                <w:sz w:val="18"/>
                <w:szCs w:val="18"/>
              </w:rPr>
              <w:t>2,450,000.00</w:t>
            </w:r>
          </w:p>
        </w:tc>
        <w:tc>
          <w:tcPr>
            <w:tcW w:w="2118" w:type="pct"/>
            <w:tcBorders>
              <w:top w:val="nil"/>
              <w:left w:val="nil"/>
              <w:bottom w:val="single" w:sz="8" w:space="0" w:color="auto"/>
              <w:right w:val="single" w:sz="8" w:space="0" w:color="auto"/>
            </w:tcBorders>
            <w:tcMar>
              <w:top w:w="15" w:type="dxa"/>
              <w:left w:w="15" w:type="dxa"/>
              <w:bottom w:w="0" w:type="dxa"/>
              <w:right w:w="15" w:type="dxa"/>
            </w:tcMar>
            <w:vAlign w:val="center"/>
          </w:tcPr>
          <w:p w:rsidR="00CE3C32" w:rsidRDefault="006413B8">
            <w:pPr>
              <w:jc w:val="right"/>
              <w:rPr>
                <w:rFonts w:ascii="Times New Roman" w:eastAsia="宋体" w:hAnsi="Times New Roman" w:cs="Times New Roman"/>
                <w:sz w:val="18"/>
                <w:szCs w:val="18"/>
              </w:rPr>
            </w:pPr>
            <w:r>
              <w:rPr>
                <w:rFonts w:ascii="Times New Roman" w:hAnsi="Times New Roman" w:cs="Times New Roman"/>
                <w:sz w:val="18"/>
                <w:szCs w:val="18"/>
              </w:rPr>
              <w:t>13.05%</w:t>
            </w:r>
          </w:p>
        </w:tc>
      </w:tr>
      <w:tr w:rsidR="00CE3C32">
        <w:trPr>
          <w:trHeight w:val="279"/>
        </w:trPr>
        <w:tc>
          <w:tcPr>
            <w:tcW w:w="1947" w:type="pct"/>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tcPr>
          <w:p w:rsidR="00CE3C32" w:rsidRDefault="006413B8">
            <w:pPr>
              <w:rPr>
                <w:rFonts w:ascii="Times New Roman" w:eastAsia="宋体" w:hAnsi="Times New Roman" w:cs="Times New Roman"/>
                <w:color w:val="000000"/>
                <w:sz w:val="18"/>
                <w:szCs w:val="18"/>
              </w:rPr>
            </w:pPr>
            <w:r>
              <w:rPr>
                <w:rFonts w:ascii="Times New Roman" w:hAnsi="Times New Roman" w:cs="Times New Roman"/>
                <w:color w:val="000000"/>
                <w:sz w:val="18"/>
                <w:szCs w:val="18"/>
              </w:rPr>
              <w:t>供应商四</w:t>
            </w:r>
          </w:p>
        </w:tc>
        <w:tc>
          <w:tcPr>
            <w:tcW w:w="934" w:type="pct"/>
            <w:tcBorders>
              <w:top w:val="nil"/>
              <w:left w:val="nil"/>
              <w:bottom w:val="single" w:sz="8" w:space="0" w:color="auto"/>
              <w:right w:val="single" w:sz="8" w:space="0" w:color="auto"/>
            </w:tcBorders>
            <w:tcMar>
              <w:top w:w="15" w:type="dxa"/>
              <w:left w:w="15" w:type="dxa"/>
              <w:bottom w:w="0" w:type="dxa"/>
              <w:right w:w="15" w:type="dxa"/>
            </w:tcMar>
            <w:vAlign w:val="center"/>
          </w:tcPr>
          <w:p w:rsidR="00CE3C32" w:rsidRDefault="006413B8">
            <w:pPr>
              <w:jc w:val="right"/>
              <w:rPr>
                <w:rFonts w:ascii="Times New Roman" w:eastAsia="宋体" w:hAnsi="Times New Roman" w:cs="Times New Roman"/>
                <w:sz w:val="18"/>
                <w:szCs w:val="18"/>
              </w:rPr>
            </w:pPr>
            <w:r>
              <w:rPr>
                <w:rFonts w:ascii="Times New Roman" w:hAnsi="Times New Roman" w:cs="Times New Roman"/>
                <w:sz w:val="18"/>
                <w:szCs w:val="18"/>
              </w:rPr>
              <w:t>1,364,882.03</w:t>
            </w:r>
          </w:p>
        </w:tc>
        <w:tc>
          <w:tcPr>
            <w:tcW w:w="2118" w:type="pct"/>
            <w:tcBorders>
              <w:top w:val="nil"/>
              <w:left w:val="nil"/>
              <w:bottom w:val="single" w:sz="8" w:space="0" w:color="auto"/>
              <w:right w:val="single" w:sz="8" w:space="0" w:color="auto"/>
            </w:tcBorders>
            <w:tcMar>
              <w:top w:w="15" w:type="dxa"/>
              <w:left w:w="15" w:type="dxa"/>
              <w:bottom w:w="0" w:type="dxa"/>
              <w:right w:w="15" w:type="dxa"/>
            </w:tcMar>
            <w:vAlign w:val="center"/>
          </w:tcPr>
          <w:p w:rsidR="00CE3C32" w:rsidRDefault="006413B8">
            <w:pPr>
              <w:jc w:val="right"/>
              <w:rPr>
                <w:rFonts w:ascii="Times New Roman" w:eastAsia="宋体" w:hAnsi="Times New Roman" w:cs="Times New Roman"/>
                <w:sz w:val="18"/>
                <w:szCs w:val="18"/>
              </w:rPr>
            </w:pPr>
            <w:r>
              <w:rPr>
                <w:rFonts w:ascii="Times New Roman" w:hAnsi="Times New Roman" w:cs="Times New Roman"/>
                <w:sz w:val="18"/>
                <w:szCs w:val="18"/>
              </w:rPr>
              <w:t>7.27%</w:t>
            </w:r>
          </w:p>
        </w:tc>
      </w:tr>
      <w:tr w:rsidR="00CE3C32">
        <w:trPr>
          <w:trHeight w:val="279"/>
        </w:trPr>
        <w:tc>
          <w:tcPr>
            <w:tcW w:w="1947" w:type="pct"/>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tcPr>
          <w:p w:rsidR="00CE3C32" w:rsidRDefault="006413B8">
            <w:pPr>
              <w:rPr>
                <w:rFonts w:ascii="Times New Roman" w:eastAsia="宋体" w:hAnsi="Times New Roman" w:cs="Times New Roman"/>
                <w:color w:val="000000"/>
                <w:sz w:val="18"/>
                <w:szCs w:val="18"/>
              </w:rPr>
            </w:pPr>
            <w:r>
              <w:rPr>
                <w:rFonts w:ascii="Times New Roman" w:hAnsi="Times New Roman" w:cs="Times New Roman"/>
                <w:color w:val="000000"/>
                <w:sz w:val="18"/>
                <w:szCs w:val="18"/>
              </w:rPr>
              <w:t>供应商五</w:t>
            </w:r>
          </w:p>
        </w:tc>
        <w:tc>
          <w:tcPr>
            <w:tcW w:w="934" w:type="pct"/>
            <w:tcBorders>
              <w:top w:val="nil"/>
              <w:left w:val="nil"/>
              <w:bottom w:val="single" w:sz="8" w:space="0" w:color="auto"/>
              <w:right w:val="single" w:sz="8" w:space="0" w:color="auto"/>
            </w:tcBorders>
            <w:tcMar>
              <w:top w:w="15" w:type="dxa"/>
              <w:left w:w="15" w:type="dxa"/>
              <w:bottom w:w="0" w:type="dxa"/>
              <w:right w:w="15" w:type="dxa"/>
            </w:tcMar>
            <w:vAlign w:val="center"/>
          </w:tcPr>
          <w:p w:rsidR="00CE3C32" w:rsidRDefault="006413B8">
            <w:pPr>
              <w:jc w:val="right"/>
              <w:rPr>
                <w:rFonts w:ascii="Times New Roman" w:eastAsia="宋体" w:hAnsi="Times New Roman" w:cs="Times New Roman"/>
                <w:sz w:val="18"/>
                <w:szCs w:val="18"/>
              </w:rPr>
            </w:pPr>
            <w:r>
              <w:rPr>
                <w:rFonts w:ascii="Times New Roman" w:hAnsi="Times New Roman" w:cs="Times New Roman"/>
                <w:sz w:val="18"/>
                <w:szCs w:val="18"/>
              </w:rPr>
              <w:t>866,648.69</w:t>
            </w:r>
          </w:p>
        </w:tc>
        <w:tc>
          <w:tcPr>
            <w:tcW w:w="2118" w:type="pct"/>
            <w:tcBorders>
              <w:top w:val="nil"/>
              <w:left w:val="nil"/>
              <w:bottom w:val="single" w:sz="8" w:space="0" w:color="auto"/>
              <w:right w:val="single" w:sz="8" w:space="0" w:color="auto"/>
            </w:tcBorders>
            <w:tcMar>
              <w:top w:w="15" w:type="dxa"/>
              <w:left w:w="15" w:type="dxa"/>
              <w:bottom w:w="0" w:type="dxa"/>
              <w:right w:w="15" w:type="dxa"/>
            </w:tcMar>
            <w:vAlign w:val="center"/>
          </w:tcPr>
          <w:p w:rsidR="00CE3C32" w:rsidRDefault="006413B8">
            <w:pPr>
              <w:jc w:val="right"/>
              <w:rPr>
                <w:rFonts w:ascii="Times New Roman" w:eastAsia="宋体" w:hAnsi="Times New Roman" w:cs="Times New Roman"/>
                <w:sz w:val="18"/>
                <w:szCs w:val="18"/>
              </w:rPr>
            </w:pPr>
            <w:r>
              <w:rPr>
                <w:rFonts w:ascii="Times New Roman" w:hAnsi="Times New Roman" w:cs="Times New Roman"/>
                <w:sz w:val="18"/>
                <w:szCs w:val="18"/>
              </w:rPr>
              <w:t>4.62%</w:t>
            </w:r>
          </w:p>
        </w:tc>
      </w:tr>
      <w:tr w:rsidR="00CE3C32">
        <w:trPr>
          <w:trHeight w:val="279"/>
        </w:trPr>
        <w:tc>
          <w:tcPr>
            <w:tcW w:w="1947" w:type="pct"/>
            <w:tcBorders>
              <w:top w:val="nil"/>
              <w:left w:val="single" w:sz="8" w:space="0" w:color="auto"/>
              <w:bottom w:val="single" w:sz="8" w:space="0" w:color="auto"/>
              <w:right w:val="single" w:sz="8" w:space="0" w:color="auto"/>
            </w:tcBorders>
            <w:shd w:val="clear" w:color="auto" w:fill="D3D3D3"/>
            <w:tcMar>
              <w:top w:w="15" w:type="dxa"/>
              <w:left w:w="15" w:type="dxa"/>
              <w:bottom w:w="0" w:type="dxa"/>
              <w:right w:w="15" w:type="dxa"/>
            </w:tcMar>
            <w:vAlign w:val="center"/>
          </w:tcPr>
          <w:p w:rsidR="00CE3C32" w:rsidRDefault="006413B8">
            <w:pPr>
              <w:rPr>
                <w:rFonts w:ascii="Times New Roman" w:eastAsia="宋体" w:hAnsi="Times New Roman" w:cs="Times New Roman"/>
                <w:sz w:val="18"/>
                <w:szCs w:val="18"/>
              </w:rPr>
            </w:pPr>
            <w:r>
              <w:rPr>
                <w:rFonts w:ascii="Times New Roman" w:hAnsi="Times New Roman" w:cs="Times New Roman"/>
                <w:sz w:val="18"/>
                <w:szCs w:val="18"/>
              </w:rPr>
              <w:t>合计</w:t>
            </w:r>
          </w:p>
        </w:tc>
        <w:tc>
          <w:tcPr>
            <w:tcW w:w="934" w:type="pct"/>
            <w:tcBorders>
              <w:top w:val="nil"/>
              <w:left w:val="nil"/>
              <w:bottom w:val="single" w:sz="8" w:space="0" w:color="auto"/>
              <w:right w:val="single" w:sz="8" w:space="0" w:color="auto"/>
            </w:tcBorders>
            <w:tcMar>
              <w:top w:w="15" w:type="dxa"/>
              <w:left w:w="15" w:type="dxa"/>
              <w:bottom w:w="0" w:type="dxa"/>
              <w:right w:w="15" w:type="dxa"/>
            </w:tcMar>
            <w:vAlign w:val="center"/>
          </w:tcPr>
          <w:p w:rsidR="00CE3C32" w:rsidRDefault="006413B8">
            <w:pPr>
              <w:jc w:val="right"/>
              <w:rPr>
                <w:rFonts w:ascii="Times New Roman" w:eastAsia="宋体" w:hAnsi="Times New Roman" w:cs="Times New Roman"/>
                <w:sz w:val="18"/>
                <w:szCs w:val="18"/>
              </w:rPr>
            </w:pPr>
            <w:r>
              <w:rPr>
                <w:rFonts w:ascii="Times New Roman" w:hAnsi="Times New Roman" w:cs="Times New Roman"/>
                <w:sz w:val="18"/>
                <w:szCs w:val="18"/>
              </w:rPr>
              <w:t>12,118,094.79</w:t>
            </w:r>
          </w:p>
        </w:tc>
        <w:tc>
          <w:tcPr>
            <w:tcW w:w="2118" w:type="pct"/>
            <w:tcBorders>
              <w:top w:val="nil"/>
              <w:left w:val="nil"/>
              <w:bottom w:val="single" w:sz="8" w:space="0" w:color="auto"/>
              <w:right w:val="single" w:sz="8" w:space="0" w:color="auto"/>
            </w:tcBorders>
            <w:tcMar>
              <w:top w:w="15" w:type="dxa"/>
              <w:left w:w="15" w:type="dxa"/>
              <w:bottom w:w="0" w:type="dxa"/>
              <w:right w:w="15" w:type="dxa"/>
            </w:tcMar>
            <w:vAlign w:val="center"/>
          </w:tcPr>
          <w:p w:rsidR="00CE3C32" w:rsidRDefault="006413B8">
            <w:pPr>
              <w:jc w:val="right"/>
              <w:rPr>
                <w:rFonts w:ascii="Times New Roman" w:eastAsia="宋体" w:hAnsi="Times New Roman" w:cs="Times New Roman"/>
                <w:sz w:val="18"/>
                <w:szCs w:val="18"/>
              </w:rPr>
            </w:pPr>
            <w:r>
              <w:rPr>
                <w:rFonts w:ascii="Times New Roman" w:hAnsi="Times New Roman" w:cs="Times New Roman"/>
                <w:sz w:val="18"/>
                <w:szCs w:val="18"/>
              </w:rPr>
              <w:t>64.54%</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226" w:name="_Toc989110"/>
      <w:r>
        <w:rPr>
          <w:rFonts w:ascii="Times New Roman" w:hAnsi="Times New Roman" w:cs="Times New Roman"/>
          <w:b/>
          <w:bCs/>
        </w:rPr>
        <w:t>10</w:t>
      </w:r>
      <w:r>
        <w:rPr>
          <w:rFonts w:ascii="Times New Roman" w:hAnsi="Times New Roman" w:cs="Times New Roman"/>
          <w:b/>
          <w:bCs/>
        </w:rPr>
        <w:t>、存货</w:t>
      </w:r>
      <w:bookmarkEnd w:id="226"/>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公司是否需要遵守房地产行业的披露要求</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否</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27" w:name="_Toc989111"/>
      <w:r>
        <w:rPr>
          <w:rFonts w:ascii="Times New Roman" w:eastAsia="宋体" w:hAnsi="Times New Roman" w:cs="Times New Roman"/>
          <w:b/>
          <w:bCs/>
          <w:szCs w:val="21"/>
        </w:rPr>
        <w:lastRenderedPageBreak/>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存货分类</w:t>
      </w:r>
      <w:bookmarkEnd w:id="227"/>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blHeader/>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blHeader/>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存货跌价准备或合同履约成本减值准备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存货跌价准备或合同履约成本减值准备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原材料</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1,452,349.76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48,397.72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1,403,952.04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1,122,265.32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40,739.75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1,081,525.57</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在产品</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135,146,032.93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758,066.25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134,387,966.68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79,083,676.85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501,702.28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78,581,974.57</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库存商品</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2,132,496.34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90,592.02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2,041,904.32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1,108,039.88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47,343.18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1,060,696.70</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发出商品</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3,432,919.25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35,387.71</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3,397,531.54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511,346.49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13,725.94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497,620.55</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142,163,798.28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932,443.70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141,231,354.58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81,825,328.54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603,511.15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81,221,817.39</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28" w:name="_Toc989112"/>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确认为存货的数据资源</w:t>
      </w:r>
      <w:bookmarkEnd w:id="22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外购的数据资源存货</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自行加工的数据资源存货</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其他方式取得的数据资源存货</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合计</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29" w:name="_Toc989113"/>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存货跌价准备和合同履约成本减值准备</w:t>
      </w:r>
      <w:bookmarkEnd w:id="229"/>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本期增加金额</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本期减少金额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转回或转销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原材料</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40,739.75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7,683.97</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48,397.72</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在产品</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501,702.28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374,641.00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118,277.03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758,066.25</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库存商品</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47,343.18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51,342.22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8,093.38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90,592.02</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发出商品</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13,725.94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24,997.48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3,335.71</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35,387.71</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603,511.15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458,664.67</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129,732.12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932,443.70</w:t>
            </w:r>
          </w:p>
        </w:tc>
      </w:tr>
    </w:tbl>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按组合计提存货跌价准备</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组合名称</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跌价准备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跌价准备计提比例</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跌价准备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跌价准备计提比例</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按组合计提存货跌价准备的计提标准</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30" w:name="_Toc989114"/>
      <w:r>
        <w:rPr>
          <w:rFonts w:ascii="Times New Roman" w:eastAsia="宋体" w:hAnsi="Times New Roman" w:cs="Times New Roman"/>
          <w:b/>
          <w:bCs/>
          <w:szCs w:val="21"/>
        </w:rPr>
        <w:t>（</w:t>
      </w:r>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存货期末余额含有借款费用资本化金额的说明</w:t>
      </w:r>
      <w:bookmarkEnd w:id="230"/>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31" w:name="_Toc989115"/>
      <w:r>
        <w:rPr>
          <w:rFonts w:ascii="Times New Roman" w:eastAsia="宋体" w:hAnsi="Times New Roman" w:cs="Times New Roman"/>
          <w:b/>
          <w:bCs/>
          <w:szCs w:val="21"/>
        </w:rPr>
        <w:t>（</w:t>
      </w:r>
      <w:r>
        <w:rPr>
          <w:rFonts w:ascii="Times New Roman" w:eastAsia="宋体" w:hAnsi="Times New Roman" w:cs="Times New Roman"/>
          <w:b/>
          <w:bCs/>
          <w:szCs w:val="21"/>
        </w:rPr>
        <w:t>5</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合同履约成本本期摊销金额的说明</w:t>
      </w:r>
      <w:bookmarkEnd w:id="231"/>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232" w:name="_Toc989116"/>
      <w:r>
        <w:rPr>
          <w:rFonts w:ascii="Times New Roman" w:hAnsi="Times New Roman" w:cs="Times New Roman"/>
          <w:b/>
          <w:bCs/>
        </w:rPr>
        <w:lastRenderedPageBreak/>
        <w:t>11</w:t>
      </w:r>
      <w:r>
        <w:rPr>
          <w:rFonts w:ascii="Times New Roman" w:hAnsi="Times New Roman" w:cs="Times New Roman"/>
          <w:b/>
          <w:bCs/>
        </w:rPr>
        <w:t>、持有待售资产</w:t>
      </w:r>
      <w:bookmarkEnd w:id="23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公允价值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预计处置费用</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预计处置时间</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233" w:name="_Toc989117"/>
      <w:r>
        <w:rPr>
          <w:rFonts w:ascii="Times New Roman" w:hAnsi="Times New Roman" w:cs="Times New Roman"/>
          <w:b/>
          <w:bCs/>
        </w:rPr>
        <w:t>12</w:t>
      </w:r>
      <w:r>
        <w:rPr>
          <w:rFonts w:ascii="Times New Roman" w:hAnsi="Times New Roman" w:cs="Times New Roman"/>
          <w:b/>
          <w:bCs/>
        </w:rPr>
        <w:t>、一年内到期的非流动资产</w:t>
      </w:r>
      <w:bookmarkEnd w:id="233"/>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一年内到期的长期应收款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23,865,338.15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24,399,620.88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23,865,338.15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24,399,620.88</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34" w:name="_Toc989118"/>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一年内到期的债权投资</w:t>
      </w:r>
      <w:bookmarkEnd w:id="234"/>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35" w:name="_Toc989119"/>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一年内到期的其他债权投资</w:t>
      </w:r>
      <w:bookmarkEnd w:id="235"/>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236" w:name="_Toc989120"/>
      <w:r>
        <w:rPr>
          <w:rFonts w:ascii="Times New Roman" w:hAnsi="Times New Roman" w:cs="Times New Roman"/>
          <w:b/>
          <w:bCs/>
        </w:rPr>
        <w:t>13</w:t>
      </w:r>
      <w:r>
        <w:rPr>
          <w:rFonts w:ascii="Times New Roman" w:hAnsi="Times New Roman" w:cs="Times New Roman"/>
          <w:b/>
          <w:bCs/>
        </w:rPr>
        <w:t>、其他流动资产</w:t>
      </w:r>
      <w:bookmarkEnd w:id="236"/>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待认证、待抵扣进项税额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57,345,803.25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51,676,777.78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金融工具应计利息</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636,424.15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176,982.91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留抵税额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3,019,578.01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1,331.32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预缴税费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2,286,094.79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2,171,579.96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63,287,900.20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54,026,671.97</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237" w:name="_Toc989121"/>
      <w:r>
        <w:rPr>
          <w:rFonts w:ascii="Times New Roman" w:hAnsi="Times New Roman" w:cs="Times New Roman"/>
          <w:b/>
          <w:bCs/>
        </w:rPr>
        <w:t>14</w:t>
      </w:r>
      <w:r>
        <w:rPr>
          <w:rFonts w:ascii="Times New Roman" w:hAnsi="Times New Roman" w:cs="Times New Roman"/>
          <w:b/>
          <w:bCs/>
        </w:rPr>
        <w:t>、债权投资</w:t>
      </w:r>
      <w:bookmarkEnd w:id="237"/>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38" w:name="_Toc989122"/>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债权投资的情况</w:t>
      </w:r>
      <w:bookmarkEnd w:id="23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债权投资减值准备本期变动情况</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39" w:name="_Toc989123"/>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期末重要的债权投资</w:t>
      </w:r>
      <w:bookmarkEnd w:id="239"/>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7"/>
        <w:gridCol w:w="876"/>
        <w:gridCol w:w="876"/>
        <w:gridCol w:w="876"/>
        <w:gridCol w:w="876"/>
        <w:gridCol w:w="877"/>
        <w:gridCol w:w="876"/>
        <w:gridCol w:w="876"/>
        <w:gridCol w:w="876"/>
        <w:gridCol w:w="876"/>
        <w:gridCol w:w="877"/>
      </w:tblGrid>
      <w:tr w:rsidR="00CE3C32">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债权项目</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面值</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票面利率</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实际利率</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到期日</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逾期本金</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面值</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票面利率</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实际利率</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到期日</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逾期本金</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40" w:name="_Toc989124"/>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减值准备计提情况</w:t>
      </w:r>
      <w:bookmarkEnd w:id="240"/>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第一阶段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第二阶段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第三阶段</w:t>
            </w:r>
          </w:p>
        </w:tc>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合计</w:t>
            </w:r>
          </w:p>
        </w:tc>
      </w:tr>
      <w:tr w:rsidR="00CE3C32">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未来</w:t>
            </w:r>
            <w:r>
              <w:rPr>
                <w:rFonts w:ascii="Times New Roman" w:eastAsia="宋体" w:hAnsi="Times New Roman" w:cs="Times New Roman"/>
                <w:sz w:val="18"/>
                <w:szCs w:val="18"/>
              </w:rPr>
              <w:t>12</w:t>
            </w:r>
            <w:r>
              <w:rPr>
                <w:rFonts w:ascii="Times New Roman" w:eastAsia="宋体" w:hAnsi="Times New Roman" w:cs="Times New Roman"/>
                <w:sz w:val="18"/>
                <w:szCs w:val="18"/>
              </w:rPr>
              <w:t>个月预期信用损失</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整个存续期预期信用损失</w:t>
            </w:r>
            <w:r>
              <w:rPr>
                <w:rFonts w:ascii="Times New Roman" w:eastAsia="宋体" w:hAnsi="Times New Roman" w:cs="Times New Roman"/>
                <w:sz w:val="18"/>
                <w:szCs w:val="18"/>
              </w:rPr>
              <w:t>(</w:t>
            </w:r>
            <w:r>
              <w:rPr>
                <w:rFonts w:ascii="Times New Roman" w:eastAsia="宋体" w:hAnsi="Times New Roman" w:cs="Times New Roman"/>
                <w:sz w:val="18"/>
                <w:szCs w:val="18"/>
              </w:rPr>
              <w:t>未发生信用减值</w:t>
            </w:r>
            <w:r>
              <w:rPr>
                <w:rFonts w:ascii="Times New Roman" w:eastAsia="宋体" w:hAnsi="Times New Roman" w:cs="Times New Roman"/>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整个存续期预期信用损失</w:t>
            </w:r>
            <w:r>
              <w:rPr>
                <w:rFonts w:ascii="Times New Roman" w:eastAsia="宋体" w:hAnsi="Times New Roman" w:cs="Times New Roman"/>
                <w:sz w:val="18"/>
                <w:szCs w:val="18"/>
              </w:rPr>
              <w:t>(</w:t>
            </w:r>
            <w:r>
              <w:rPr>
                <w:rFonts w:ascii="Times New Roman" w:eastAsia="宋体" w:hAnsi="Times New Roman" w:cs="Times New Roman"/>
                <w:sz w:val="18"/>
                <w:szCs w:val="18"/>
              </w:rPr>
              <w:t>已发生信用减值</w:t>
            </w:r>
            <w:r>
              <w:rPr>
                <w:rFonts w:ascii="Times New Roman" w:eastAsia="宋体" w:hAnsi="Times New Roman" w:cs="Times New Roman"/>
                <w:sz w:val="18"/>
                <w:szCs w:val="18"/>
              </w:rPr>
              <w:t>)</w:t>
            </w:r>
          </w:p>
        </w:tc>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日余额在本期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各阶段划分依据和坏账准备计提比例</w:t>
      </w:r>
      <w:r>
        <w:rPr>
          <w:rFonts w:ascii="Times New Roman" w:eastAsia="宋体" w:hAnsi="Times New Roman" w:cs="Times New Roman" w:hint="eastAsia"/>
          <w:sz w:val="18"/>
          <w:szCs w:val="18"/>
        </w:rPr>
        <w:t>：</w:t>
      </w: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41" w:name="_Toc989125"/>
      <w:r>
        <w:rPr>
          <w:rFonts w:ascii="Times New Roman" w:eastAsia="宋体" w:hAnsi="Times New Roman" w:cs="Times New Roman"/>
          <w:b/>
          <w:bCs/>
          <w:szCs w:val="21"/>
        </w:rPr>
        <w:t>（</w:t>
      </w:r>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本期实际核销的债权投资情况</w:t>
      </w:r>
      <w:bookmarkEnd w:id="241"/>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r>
    </w:tbl>
    <w:p w:rsidR="00CE3C32" w:rsidRDefault="006413B8">
      <w:pPr>
        <w:spacing w:before="100" w:after="100" w:line="240" w:lineRule="exact"/>
        <w:rPr>
          <w:rFonts w:ascii="Times New Roman" w:hAnsi="Times New Roman" w:cs="Times New Roman"/>
        </w:rPr>
      </w:pPr>
      <w:r>
        <w:rPr>
          <w:rFonts w:ascii="Times New Roman" w:eastAsia="宋体" w:hAnsi="Times New Roman" w:cs="Times New Roman"/>
          <w:sz w:val="18"/>
          <w:szCs w:val="18"/>
        </w:rPr>
        <w:t>其中重要的债权投资核销情况</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债权投资核销说明：</w:t>
      </w:r>
      <w:r>
        <w:rPr>
          <w:rFonts w:ascii="Times New Roman"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损失准备本期变动金额重大的账面余额变动情况</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242" w:name="_Toc989126"/>
      <w:r>
        <w:rPr>
          <w:rFonts w:ascii="Times New Roman" w:hAnsi="Times New Roman" w:cs="Times New Roman"/>
          <w:b/>
          <w:bCs/>
        </w:rPr>
        <w:t>15</w:t>
      </w:r>
      <w:r>
        <w:rPr>
          <w:rFonts w:ascii="Times New Roman" w:hAnsi="Times New Roman" w:cs="Times New Roman"/>
          <w:b/>
          <w:bCs/>
        </w:rPr>
        <w:t>、其他债权投资</w:t>
      </w:r>
      <w:bookmarkEnd w:id="242"/>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43" w:name="_Toc989127"/>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其他债权投资的情况</w:t>
      </w:r>
      <w:bookmarkEnd w:id="243"/>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63"/>
        <w:gridCol w:w="964"/>
        <w:gridCol w:w="964"/>
        <w:gridCol w:w="964"/>
        <w:gridCol w:w="964"/>
        <w:gridCol w:w="964"/>
        <w:gridCol w:w="964"/>
        <w:gridCol w:w="964"/>
        <w:gridCol w:w="964"/>
        <w:gridCol w:w="964"/>
      </w:tblGrid>
      <w:tr w:rsidR="00CE3C32">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应计利息</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利息调整</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本期公允价值变动</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成本</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累计公允价值变动</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累计在其他综合收益中确认的减值准备</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备注</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其他债权投资减值准备本期变动情况</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44" w:name="_Toc989128"/>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期末重要的其他债权投资</w:t>
      </w:r>
      <w:bookmarkEnd w:id="244"/>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7"/>
        <w:gridCol w:w="876"/>
        <w:gridCol w:w="876"/>
        <w:gridCol w:w="876"/>
        <w:gridCol w:w="876"/>
        <w:gridCol w:w="877"/>
        <w:gridCol w:w="876"/>
        <w:gridCol w:w="876"/>
        <w:gridCol w:w="876"/>
        <w:gridCol w:w="876"/>
        <w:gridCol w:w="877"/>
      </w:tblGrid>
      <w:tr w:rsidR="00CE3C32">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其他债权项目</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面值</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票面利率</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实际利率</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到期日</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逾期本金</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面值</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票面利率</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实际利率</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到期日</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逾期本金</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45" w:name="_Toc989129"/>
      <w:r>
        <w:rPr>
          <w:rFonts w:ascii="Times New Roman" w:eastAsia="宋体" w:hAnsi="Times New Roman" w:cs="Times New Roman"/>
          <w:b/>
          <w:bCs/>
          <w:szCs w:val="21"/>
        </w:rPr>
        <w:lastRenderedPageBreak/>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减值准备计提情况</w:t>
      </w:r>
      <w:bookmarkEnd w:id="245"/>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第一阶段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第二阶段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第三阶段</w:t>
            </w:r>
          </w:p>
        </w:tc>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合计</w:t>
            </w:r>
          </w:p>
        </w:tc>
      </w:tr>
      <w:tr w:rsidR="00CE3C32">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未来</w:t>
            </w:r>
            <w:r>
              <w:rPr>
                <w:rFonts w:ascii="Times New Roman" w:eastAsia="宋体" w:hAnsi="Times New Roman" w:cs="Times New Roman"/>
                <w:sz w:val="18"/>
                <w:szCs w:val="18"/>
              </w:rPr>
              <w:t>12</w:t>
            </w:r>
            <w:r>
              <w:rPr>
                <w:rFonts w:ascii="Times New Roman" w:eastAsia="宋体" w:hAnsi="Times New Roman" w:cs="Times New Roman"/>
                <w:sz w:val="18"/>
                <w:szCs w:val="18"/>
              </w:rPr>
              <w:t>个月预期信用损失</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整个存续期预期信用损失</w:t>
            </w:r>
            <w:r>
              <w:rPr>
                <w:rFonts w:ascii="Times New Roman" w:eastAsia="宋体" w:hAnsi="Times New Roman" w:cs="Times New Roman"/>
                <w:sz w:val="18"/>
                <w:szCs w:val="18"/>
              </w:rPr>
              <w:t>(</w:t>
            </w:r>
            <w:r>
              <w:rPr>
                <w:rFonts w:ascii="Times New Roman" w:eastAsia="宋体" w:hAnsi="Times New Roman" w:cs="Times New Roman"/>
                <w:sz w:val="18"/>
                <w:szCs w:val="18"/>
              </w:rPr>
              <w:t>未发生信用减值</w:t>
            </w:r>
            <w:r>
              <w:rPr>
                <w:rFonts w:ascii="Times New Roman" w:eastAsia="宋体" w:hAnsi="Times New Roman" w:cs="Times New Roman"/>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整个存续期预期信用损失</w:t>
            </w:r>
            <w:r>
              <w:rPr>
                <w:rFonts w:ascii="Times New Roman" w:eastAsia="宋体" w:hAnsi="Times New Roman" w:cs="Times New Roman"/>
                <w:sz w:val="18"/>
                <w:szCs w:val="18"/>
              </w:rPr>
              <w:t>(</w:t>
            </w:r>
            <w:r>
              <w:rPr>
                <w:rFonts w:ascii="Times New Roman" w:eastAsia="宋体" w:hAnsi="Times New Roman" w:cs="Times New Roman"/>
                <w:sz w:val="18"/>
                <w:szCs w:val="18"/>
              </w:rPr>
              <w:t>已发生信用减值</w:t>
            </w:r>
            <w:r>
              <w:rPr>
                <w:rFonts w:ascii="Times New Roman" w:eastAsia="宋体" w:hAnsi="Times New Roman" w:cs="Times New Roman"/>
                <w:sz w:val="18"/>
                <w:szCs w:val="18"/>
              </w:rPr>
              <w:t>)</w:t>
            </w:r>
          </w:p>
        </w:tc>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日余额在本期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各阶段划分依据和坏账准备计提比例</w:t>
      </w:r>
      <w:r>
        <w:rPr>
          <w:rFonts w:ascii="Times New Roman" w:eastAsia="宋体" w:hAnsi="Times New Roman" w:cs="Times New Roman" w:hint="eastAsia"/>
          <w:sz w:val="18"/>
          <w:szCs w:val="18"/>
        </w:rPr>
        <w:t>：</w:t>
      </w: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46" w:name="_Toc989130"/>
      <w:r>
        <w:rPr>
          <w:rFonts w:ascii="Times New Roman" w:eastAsia="宋体" w:hAnsi="Times New Roman" w:cs="Times New Roman"/>
          <w:b/>
          <w:bCs/>
          <w:szCs w:val="21"/>
        </w:rPr>
        <w:t>（</w:t>
      </w:r>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本期实际核销的其他债权投资情况</w:t>
      </w:r>
      <w:bookmarkEnd w:id="246"/>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其中重要的其他债权投资核销情况</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损失准备本期变动金额重大的账面余额变动情况</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247" w:name="_Toc989131"/>
      <w:r>
        <w:rPr>
          <w:rFonts w:ascii="Times New Roman" w:hAnsi="Times New Roman" w:cs="Times New Roman"/>
          <w:b/>
          <w:bCs/>
        </w:rPr>
        <w:t>16</w:t>
      </w:r>
      <w:r>
        <w:rPr>
          <w:rFonts w:ascii="Times New Roman" w:hAnsi="Times New Roman" w:cs="Times New Roman"/>
          <w:b/>
          <w:bCs/>
        </w:rPr>
        <w:t>、其他权益工具投资</w:t>
      </w:r>
      <w:bookmarkEnd w:id="247"/>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2"/>
        <w:gridCol w:w="1161"/>
        <w:gridCol w:w="904"/>
        <w:gridCol w:w="905"/>
        <w:gridCol w:w="1031"/>
        <w:gridCol w:w="1513"/>
        <w:gridCol w:w="735"/>
        <w:gridCol w:w="1161"/>
        <w:gridCol w:w="1411"/>
      </w:tblGrid>
      <w:tr w:rsidR="00CE3C32">
        <w:trPr>
          <w:trHeight w:val="240"/>
        </w:trPr>
        <w:tc>
          <w:tcPr>
            <w:tcW w:w="52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项目名称</w:t>
            </w:r>
          </w:p>
        </w:tc>
        <w:tc>
          <w:tcPr>
            <w:tcW w:w="589"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459"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本期计入其他综合收益的利得</w:t>
            </w:r>
          </w:p>
        </w:tc>
        <w:tc>
          <w:tcPr>
            <w:tcW w:w="459"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本期计入其他综合收益的损失</w:t>
            </w:r>
          </w:p>
        </w:tc>
        <w:tc>
          <w:tcPr>
            <w:tcW w:w="52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本期末累计计入其他综合收益的利得</w:t>
            </w:r>
          </w:p>
        </w:tc>
        <w:tc>
          <w:tcPr>
            <w:tcW w:w="76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本期末累计计入其他综合收益的损失</w:t>
            </w:r>
          </w:p>
        </w:tc>
        <w:tc>
          <w:tcPr>
            <w:tcW w:w="37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本期确认的股利收入</w:t>
            </w:r>
          </w:p>
        </w:tc>
        <w:tc>
          <w:tcPr>
            <w:tcW w:w="589"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71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指定为以公允价值计量且其变动计入其他综合收益的原因</w:t>
            </w:r>
          </w:p>
        </w:tc>
      </w:tr>
      <w:tr w:rsidR="00CE3C32">
        <w:trPr>
          <w:trHeight w:val="240"/>
        </w:trPr>
        <w:tc>
          <w:tcPr>
            <w:tcW w:w="52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广东潮阳农村商业银行股份有限公司</w:t>
            </w:r>
          </w:p>
        </w:tc>
        <w:tc>
          <w:tcPr>
            <w:tcW w:w="58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4,083,400.00</w:t>
            </w:r>
          </w:p>
        </w:tc>
        <w:tc>
          <w:tcPr>
            <w:tcW w:w="459"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9"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52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6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316,600.00</w:t>
            </w:r>
          </w:p>
        </w:tc>
        <w:tc>
          <w:tcPr>
            <w:tcW w:w="37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58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4,083,400.00</w:t>
            </w:r>
          </w:p>
        </w:tc>
        <w:tc>
          <w:tcPr>
            <w:tcW w:w="71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52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58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4,083,400.00</w:t>
            </w:r>
          </w:p>
        </w:tc>
        <w:tc>
          <w:tcPr>
            <w:tcW w:w="459"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9"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52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6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316,600.00</w:t>
            </w:r>
          </w:p>
        </w:tc>
        <w:tc>
          <w:tcPr>
            <w:tcW w:w="37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58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4,083,400.00</w:t>
            </w:r>
          </w:p>
        </w:tc>
        <w:tc>
          <w:tcPr>
            <w:tcW w:w="71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本期存在终止确认</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转入留存收益的累计利得</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转入留存收益的累计损失</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终止确认的原因</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分项披露本期非交易性权益工具投资</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确认的股利收入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累计利得</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累计损失</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其他综合收益转入留存收益的金额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指定为以公允价值计量且其变动计入其他综合收益的原因</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其他综合收益转入留存收益的原因</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广东潮阳农村商业银行股份有限公司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316,600.00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不适用。</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lastRenderedPageBreak/>
        <w:t>不适用。</w:t>
      </w:r>
    </w:p>
    <w:p w:rsidR="00CE3C32" w:rsidRDefault="006413B8">
      <w:pPr>
        <w:pStyle w:val="3"/>
        <w:spacing w:line="280" w:lineRule="exact"/>
        <w:jc w:val="left"/>
        <w:rPr>
          <w:rFonts w:ascii="Times New Roman" w:hAnsi="Times New Roman" w:cs="Times New Roman"/>
          <w:b/>
          <w:bCs/>
        </w:rPr>
      </w:pPr>
      <w:bookmarkStart w:id="248" w:name="_Toc989132"/>
      <w:r>
        <w:rPr>
          <w:rFonts w:ascii="Times New Roman" w:hAnsi="Times New Roman" w:cs="Times New Roman"/>
          <w:b/>
          <w:bCs/>
        </w:rPr>
        <w:t>17</w:t>
      </w:r>
      <w:r>
        <w:rPr>
          <w:rFonts w:ascii="Times New Roman" w:hAnsi="Times New Roman" w:cs="Times New Roman"/>
          <w:b/>
          <w:bCs/>
        </w:rPr>
        <w:t>、长期应收款</w:t>
      </w:r>
      <w:bookmarkEnd w:id="248"/>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49" w:name="_Toc989133"/>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长期应收款情况</w:t>
      </w:r>
      <w:bookmarkEnd w:id="249"/>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692"/>
        <w:gridCol w:w="1269"/>
        <w:gridCol w:w="1182"/>
        <w:gridCol w:w="1272"/>
        <w:gridCol w:w="1272"/>
        <w:gridCol w:w="1182"/>
        <w:gridCol w:w="1272"/>
        <w:gridCol w:w="712"/>
      </w:tblGrid>
      <w:tr w:rsidR="00CE3C32">
        <w:trPr>
          <w:trHeight w:val="240"/>
        </w:trPr>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0" w:type="auto"/>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0" w:type="auto"/>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71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折现率区间</w:t>
            </w:r>
          </w:p>
        </w:tc>
      </w:tr>
      <w:tr w:rsidR="00CE3C32">
        <w:trPr>
          <w:trHeight w:val="240"/>
        </w:trPr>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712"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分期收款销售商品</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41,399,264.07</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7,046,632.72</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34,352,631.35</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42,165,606.77</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7,034,901.53</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35,130,705.24</w:t>
            </w:r>
          </w:p>
        </w:tc>
        <w:tc>
          <w:tcPr>
            <w:tcW w:w="71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3.6%-4.75%</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减：一年内到期的长期应收款（本节七、</w:t>
            </w:r>
            <w:r>
              <w:rPr>
                <w:rFonts w:ascii="Times New Roman" w:eastAsia="宋体" w:hAnsi="Times New Roman" w:cs="Times New Roman"/>
                <w:sz w:val="18"/>
                <w:szCs w:val="18"/>
              </w:rPr>
              <w:t>12</w:t>
            </w:r>
            <w:r>
              <w:rPr>
                <w:rFonts w:ascii="Times New Roman" w:eastAsia="宋体" w:hAnsi="Times New Roman" w:cs="Times New Roman"/>
                <w:sz w:val="18"/>
                <w:szCs w:val="18"/>
              </w:rPr>
              <w:t>）</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-30,911,970.87</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-7,046,632.72</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-23,865,338.15</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-31,428,156.81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-7,028,535.93</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-24,399,620.88</w:t>
            </w:r>
          </w:p>
        </w:tc>
        <w:tc>
          <w:tcPr>
            <w:tcW w:w="712"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3.6%-4.75%</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10,487,293.20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10,487,293.20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10,737,449.96</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6,365.60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10,731,084.36</w:t>
            </w:r>
          </w:p>
        </w:tc>
        <w:tc>
          <w:tcPr>
            <w:tcW w:w="712"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50" w:name="_Toc989134"/>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按坏账计提方法分类披露</w:t>
      </w:r>
      <w:bookmarkEnd w:id="250"/>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877"/>
        <w:gridCol w:w="876"/>
        <w:gridCol w:w="877"/>
        <w:gridCol w:w="876"/>
        <w:gridCol w:w="876"/>
        <w:gridCol w:w="877"/>
        <w:gridCol w:w="876"/>
        <w:gridCol w:w="877"/>
        <w:gridCol w:w="876"/>
      </w:tblGrid>
      <w:tr w:rsidR="00CE3C32">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类别</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r>
      <w:tr w:rsidR="00CE3C32">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按组合计提坏账准备</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41,399,264.07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7,046,632.72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17.02%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34,352,631.35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42,165,606.77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7,034,901.53</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16.68%</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35,130,705.24</w:t>
            </w:r>
          </w:p>
        </w:tc>
      </w:tr>
      <w:tr w:rsidR="00CE3C32">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组合</w:t>
            </w:r>
            <w:r>
              <w:rPr>
                <w:rFonts w:ascii="Times New Roman" w:eastAsia="宋体" w:hAnsi="Times New Roman" w:cs="Times New Roman"/>
                <w:sz w:val="18"/>
                <w:szCs w:val="18"/>
              </w:rPr>
              <w:t>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13,835,221.87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33.42%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19,096.79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0.14%</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13,816,125.08</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13,835,221.87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32.81%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6,365.60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13,828,856.27</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组合</w:t>
            </w:r>
            <w:r>
              <w:rPr>
                <w:rFonts w:ascii="Times New Roman" w:eastAsia="宋体" w:hAnsi="Times New Roman" w:cs="Times New Roman"/>
                <w:sz w:val="18"/>
                <w:szCs w:val="18"/>
              </w:rPr>
              <w:t>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27,564,042.20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66.58%</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7,027,535.93</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25.50%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20,536,506.27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28,330,384.90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67.19%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7,028,535.93</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24.81%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21,301,848.97</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41,399,264.07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7,046,632.72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17.02%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34,352,631.35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42,165,606.77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7,034,901.53</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16.68%</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35,130,705.24</w:t>
            </w:r>
          </w:p>
        </w:tc>
      </w:tr>
    </w:tbl>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按组合计提坏账准备类别名称：组合</w:t>
      </w:r>
      <w:r>
        <w:rPr>
          <w:rFonts w:ascii="Times New Roman" w:eastAsia="宋体" w:hAnsi="Times New Roman" w:cs="Times New Roman"/>
          <w:sz w:val="18"/>
          <w:szCs w:val="18"/>
        </w:rPr>
        <w:t>1</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政府部门、教育医疗单位的应收款项</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13,835,221.87</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19,096.79</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0.14%</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13,835,221.87</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19,096.79</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确定该组合依据的说明：</w:t>
      </w:r>
      <w:r>
        <w:rPr>
          <w:rFonts w:ascii="Times New Roman" w:hAnsi="Times New Roman" w:cs="Times New Roman"/>
          <w:sz w:val="18"/>
          <w:szCs w:val="18"/>
        </w:rPr>
        <w:t>确定长期应收款组合的依据详见本节五、</w:t>
      </w:r>
      <w:r>
        <w:rPr>
          <w:rFonts w:ascii="Times New Roman" w:hAnsi="Times New Roman" w:cs="Times New Roman"/>
          <w:sz w:val="18"/>
          <w:szCs w:val="18"/>
        </w:rPr>
        <w:t>21</w:t>
      </w:r>
      <w:r>
        <w:rPr>
          <w:rFonts w:ascii="Times New Roman" w:hAnsi="Times New Roman" w:cs="Times New Roman"/>
          <w:sz w:val="18"/>
          <w:szCs w:val="18"/>
        </w:rPr>
        <w:t>。</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按组合计提坏账准备类别名称：组合</w:t>
      </w:r>
      <w:r>
        <w:rPr>
          <w:rFonts w:ascii="Times New Roman" w:eastAsia="宋体" w:hAnsi="Times New Roman" w:cs="Times New Roman"/>
          <w:sz w:val="18"/>
          <w:szCs w:val="18"/>
        </w:rPr>
        <w:t>2</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blHeader/>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blHeader/>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企业及其他单位的应收款项</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27,564,042.20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7,027,535.93</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25.50%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27,564,042.20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7,027,535.93</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lastRenderedPageBreak/>
        <w:t>确定该组合依据的说明：</w:t>
      </w:r>
      <w:r>
        <w:rPr>
          <w:rFonts w:ascii="Times New Roman" w:hAnsi="Times New Roman" w:cs="Times New Roman"/>
          <w:sz w:val="18"/>
          <w:szCs w:val="18"/>
        </w:rPr>
        <w:t>确定长期应收款组合的依据详见本节五、</w:t>
      </w:r>
      <w:r>
        <w:rPr>
          <w:rFonts w:ascii="Times New Roman" w:hAnsi="Times New Roman" w:cs="Times New Roman"/>
          <w:sz w:val="18"/>
          <w:szCs w:val="18"/>
        </w:rPr>
        <w:t>21</w:t>
      </w:r>
      <w:r>
        <w:rPr>
          <w:rFonts w:ascii="Times New Roman" w:hAnsi="Times New Roman" w:cs="Times New Roman"/>
          <w:sz w:val="18"/>
          <w:szCs w:val="18"/>
        </w:rPr>
        <w:t>。</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按预期信用损失一般模型计提坏账准备</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第一阶段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第二阶段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第三阶段</w:t>
            </w:r>
          </w:p>
        </w:tc>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合计</w:t>
            </w:r>
          </w:p>
        </w:tc>
      </w:tr>
      <w:tr w:rsidR="00CE3C32">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未来</w:t>
            </w:r>
            <w:r>
              <w:rPr>
                <w:rFonts w:ascii="Times New Roman" w:eastAsia="宋体" w:hAnsi="Times New Roman" w:cs="Times New Roman"/>
                <w:sz w:val="18"/>
                <w:szCs w:val="18"/>
              </w:rPr>
              <w:t>12</w:t>
            </w:r>
            <w:r>
              <w:rPr>
                <w:rFonts w:ascii="Times New Roman" w:eastAsia="宋体" w:hAnsi="Times New Roman" w:cs="Times New Roman"/>
                <w:sz w:val="18"/>
                <w:szCs w:val="18"/>
              </w:rPr>
              <w:t>个月预期信用损失</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整个存续期预期信用损失</w:t>
            </w:r>
            <w:r>
              <w:rPr>
                <w:rFonts w:ascii="Times New Roman" w:eastAsia="宋体" w:hAnsi="Times New Roman" w:cs="Times New Roman"/>
                <w:sz w:val="18"/>
                <w:szCs w:val="18"/>
              </w:rPr>
              <w:t>(</w:t>
            </w:r>
            <w:r>
              <w:rPr>
                <w:rFonts w:ascii="Times New Roman" w:eastAsia="宋体" w:hAnsi="Times New Roman" w:cs="Times New Roman"/>
                <w:sz w:val="18"/>
                <w:szCs w:val="18"/>
              </w:rPr>
              <w:t>未发生信用减值</w:t>
            </w:r>
            <w:r>
              <w:rPr>
                <w:rFonts w:ascii="Times New Roman" w:eastAsia="宋体" w:hAnsi="Times New Roman" w:cs="Times New Roman"/>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整个存续期预期信用损失</w:t>
            </w:r>
            <w:r>
              <w:rPr>
                <w:rFonts w:ascii="Times New Roman" w:eastAsia="宋体" w:hAnsi="Times New Roman" w:cs="Times New Roman"/>
                <w:sz w:val="18"/>
                <w:szCs w:val="18"/>
              </w:rPr>
              <w:t>(</w:t>
            </w:r>
            <w:r>
              <w:rPr>
                <w:rFonts w:ascii="Times New Roman" w:eastAsia="宋体" w:hAnsi="Times New Roman" w:cs="Times New Roman"/>
                <w:sz w:val="18"/>
                <w:szCs w:val="18"/>
              </w:rPr>
              <w:t>已发生信用减值</w:t>
            </w:r>
            <w:r>
              <w:rPr>
                <w:rFonts w:ascii="Times New Roman" w:eastAsia="宋体" w:hAnsi="Times New Roman" w:cs="Times New Roman"/>
                <w:sz w:val="18"/>
                <w:szCs w:val="18"/>
              </w:rPr>
              <w:t>)</w:t>
            </w:r>
          </w:p>
        </w:tc>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日余额在本期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各阶段划分依据和坏账准备计提比例</w:t>
      </w:r>
      <w:r>
        <w:rPr>
          <w:rFonts w:ascii="Times New Roman" w:eastAsia="宋体" w:hAnsi="Times New Roman" w:cs="Times New Roman" w:hint="eastAsia"/>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51" w:name="_Toc989135"/>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本期计提、收回或转回的坏账准备的情况</w:t>
      </w:r>
      <w:bookmarkEnd w:id="251"/>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转销或核销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账龄组合</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7,034,901.53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11,731.19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7,046,632.72</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7,034,901.53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11,731.19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7,046,632.72</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其中本期坏账准备转回或收回金额重要的：</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收回或转回金额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转回原因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收回方式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确定原坏账准备计提比例的依据及其合理性</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52" w:name="_Toc989136"/>
      <w:r>
        <w:rPr>
          <w:rFonts w:ascii="Times New Roman" w:eastAsia="宋体" w:hAnsi="Times New Roman" w:cs="Times New Roman"/>
          <w:b/>
          <w:bCs/>
          <w:szCs w:val="21"/>
        </w:rPr>
        <w:t>（</w:t>
      </w:r>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本期实际核销的长期应收款情况</w:t>
      </w:r>
      <w:bookmarkEnd w:id="25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其中重要的长期应收款核销情况：</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款项是否由关联交易产生</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长期应收款核销说明：</w:t>
      </w:r>
      <w:r>
        <w:rPr>
          <w:rFonts w:ascii="Times New Roman" w:hAnsi="Times New Roman" w:cs="Times New Roman"/>
          <w:sz w:val="18"/>
          <w:szCs w:val="18"/>
        </w:rPr>
        <w:t>本期无实际核销的长期应收款。</w:t>
      </w:r>
    </w:p>
    <w:p w:rsidR="00CE3C32" w:rsidRDefault="006413B8">
      <w:pPr>
        <w:pStyle w:val="3"/>
        <w:spacing w:line="280" w:lineRule="exact"/>
        <w:jc w:val="left"/>
        <w:rPr>
          <w:rFonts w:ascii="Times New Roman" w:hAnsi="Times New Roman" w:cs="Times New Roman"/>
          <w:b/>
          <w:bCs/>
        </w:rPr>
      </w:pPr>
      <w:bookmarkStart w:id="253" w:name="_Toc989137"/>
      <w:r>
        <w:rPr>
          <w:rFonts w:ascii="Times New Roman" w:hAnsi="Times New Roman" w:cs="Times New Roman"/>
          <w:b/>
          <w:bCs/>
        </w:rPr>
        <w:t>18</w:t>
      </w:r>
      <w:r>
        <w:rPr>
          <w:rFonts w:ascii="Times New Roman" w:hAnsi="Times New Roman" w:cs="Times New Roman"/>
          <w:b/>
          <w:bCs/>
        </w:rPr>
        <w:t>、长期股权投资</w:t>
      </w:r>
      <w:bookmarkEnd w:id="253"/>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41"/>
        <w:gridCol w:w="741"/>
        <w:gridCol w:w="741"/>
        <w:gridCol w:w="741"/>
        <w:gridCol w:w="741"/>
        <w:gridCol w:w="741"/>
        <w:gridCol w:w="741"/>
        <w:gridCol w:w="741"/>
        <w:gridCol w:w="741"/>
        <w:gridCol w:w="741"/>
        <w:gridCol w:w="745"/>
        <w:gridCol w:w="741"/>
        <w:gridCol w:w="743"/>
      </w:tblGrid>
      <w:tr w:rsidR="00CE3C32">
        <w:trPr>
          <w:trHeight w:val="240"/>
        </w:trPr>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被投资单位</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期初余额（账面价值）</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减值准备期初余额</w:t>
            </w:r>
          </w:p>
        </w:tc>
        <w:tc>
          <w:tcPr>
            <w:tcW w:w="5932" w:type="dxa"/>
            <w:gridSpan w:val="8"/>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本期增减变动</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期末余额（账面价值）</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减值准备期末余额</w:t>
            </w:r>
          </w:p>
        </w:tc>
      </w:tr>
      <w:tr w:rsidR="00CE3C32">
        <w:trPr>
          <w:trHeight w:val="240"/>
        </w:trPr>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追加投资</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减少投资</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权益法下确认的投资损益</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其他综合收益调整</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其他权益变动</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宣告发放现金股利或利润</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计提减值准备</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9639" w:type="dxa"/>
            <w:gridSpan w:val="1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一、合营企业</w:t>
            </w:r>
          </w:p>
        </w:tc>
      </w:tr>
      <w:tr w:rsidR="00CE3C32">
        <w:trPr>
          <w:trHeight w:val="240"/>
        </w:trPr>
        <w:tc>
          <w:tcPr>
            <w:tcW w:w="9639" w:type="dxa"/>
            <w:gridSpan w:val="1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二、联营企业</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可收回金额按公允价值减去处置费用后的净额确定</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可收回金额按预计未来现金流量的现值确定</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前述信息与以前年度减值测试采用的信息或外部信息明显不一致的差异原因</w:t>
      </w:r>
      <w:r>
        <w:rPr>
          <w:rFonts w:ascii="Times New Roman" w:eastAsia="宋体" w:hAnsi="Times New Roman" w:cs="Times New Roman" w:hint="eastAsia"/>
          <w:sz w:val="18"/>
          <w:szCs w:val="18"/>
        </w:rPr>
        <w:t>：</w:t>
      </w:r>
      <w:r>
        <w:rPr>
          <w:rFonts w:ascii="Times New Roman" w:hAnsi="Times New Roman" w:cs="Times New Roman"/>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公司以前年度减值测试采用信息与当年实际情况明显不一致的差异原因</w:t>
      </w:r>
      <w:r>
        <w:rPr>
          <w:rFonts w:ascii="Times New Roman" w:eastAsia="宋体" w:hAnsi="Times New Roman" w:cs="Times New Roman" w:hint="eastAsia"/>
          <w:sz w:val="18"/>
          <w:szCs w:val="18"/>
        </w:rPr>
        <w:t>：</w:t>
      </w:r>
      <w:r>
        <w:rPr>
          <w:rFonts w:ascii="Times New Roman" w:hAnsi="Times New Roman" w:cs="Times New Roman"/>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254" w:name="_Toc989138"/>
      <w:r>
        <w:rPr>
          <w:rFonts w:ascii="Times New Roman" w:hAnsi="Times New Roman" w:cs="Times New Roman"/>
          <w:b/>
          <w:bCs/>
        </w:rPr>
        <w:t>19</w:t>
      </w:r>
      <w:r>
        <w:rPr>
          <w:rFonts w:ascii="Times New Roman" w:hAnsi="Times New Roman" w:cs="Times New Roman"/>
          <w:b/>
          <w:bCs/>
        </w:rPr>
        <w:t>、其他非流动金融资产</w:t>
      </w:r>
      <w:bookmarkEnd w:id="254"/>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255" w:name="_Toc989139"/>
      <w:r>
        <w:rPr>
          <w:rFonts w:ascii="Times New Roman" w:hAnsi="Times New Roman" w:cs="Times New Roman"/>
          <w:b/>
          <w:bCs/>
        </w:rPr>
        <w:t>20</w:t>
      </w:r>
      <w:r>
        <w:rPr>
          <w:rFonts w:ascii="Times New Roman" w:hAnsi="Times New Roman" w:cs="Times New Roman"/>
          <w:b/>
          <w:bCs/>
        </w:rPr>
        <w:t>、投资性房地产</w:t>
      </w:r>
      <w:bookmarkEnd w:id="255"/>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256" w:name="_Toc989140"/>
      <w:r>
        <w:rPr>
          <w:rFonts w:ascii="Times New Roman" w:eastAsia="宋体" w:hAnsi="Times New Roman" w:cs="Times New Roman"/>
          <w:b/>
          <w:bCs/>
          <w:sz w:val="18"/>
          <w:szCs w:val="18"/>
        </w:rPr>
        <w:t>（</w:t>
      </w:r>
      <w:r>
        <w:rPr>
          <w:rFonts w:ascii="Times New Roman" w:eastAsia="宋体" w:hAnsi="Times New Roman" w:cs="Times New Roman"/>
          <w:b/>
          <w:bCs/>
          <w:sz w:val="18"/>
          <w:szCs w:val="18"/>
        </w:rPr>
        <w:t>1</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采用成本计量模式的投资性房地产</w:t>
      </w:r>
      <w:bookmarkEnd w:id="256"/>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257" w:name="_Toc989141"/>
      <w:r>
        <w:rPr>
          <w:rFonts w:ascii="Times New Roman" w:eastAsia="宋体" w:hAnsi="Times New Roman" w:cs="Times New Roman"/>
          <w:b/>
          <w:bCs/>
          <w:sz w:val="18"/>
          <w:szCs w:val="18"/>
        </w:rPr>
        <w:t>（</w:t>
      </w:r>
      <w:r>
        <w:rPr>
          <w:rFonts w:ascii="Times New Roman" w:eastAsia="宋体" w:hAnsi="Times New Roman" w:cs="Times New Roman"/>
          <w:b/>
          <w:bCs/>
          <w:sz w:val="18"/>
          <w:szCs w:val="18"/>
        </w:rPr>
        <w:t>2</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采用公允价值计量模式的投资性房地产</w:t>
      </w:r>
      <w:bookmarkEnd w:id="257"/>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258" w:name="_Toc989142"/>
      <w:r>
        <w:rPr>
          <w:rFonts w:ascii="Times New Roman" w:eastAsia="宋体" w:hAnsi="Times New Roman" w:cs="Times New Roman"/>
          <w:b/>
          <w:bCs/>
          <w:sz w:val="18"/>
          <w:szCs w:val="18"/>
        </w:rPr>
        <w:t>（</w:t>
      </w:r>
      <w:r>
        <w:rPr>
          <w:rFonts w:ascii="Times New Roman" w:eastAsia="宋体" w:hAnsi="Times New Roman" w:cs="Times New Roman"/>
          <w:b/>
          <w:bCs/>
          <w:sz w:val="18"/>
          <w:szCs w:val="18"/>
        </w:rPr>
        <w:t>3</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转换为投资性房地产并采用公允价值计量</w:t>
      </w:r>
      <w:bookmarkEnd w:id="25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转换前核算科目</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转换理由</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审批程序</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对损益的影响</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对其他综合收益的影响</w:t>
            </w:r>
          </w:p>
        </w:tc>
      </w:tr>
    </w:tbl>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259" w:name="_Toc989143"/>
      <w:r>
        <w:rPr>
          <w:rFonts w:ascii="Times New Roman" w:eastAsia="宋体" w:hAnsi="Times New Roman" w:cs="Times New Roman"/>
          <w:b/>
          <w:bCs/>
          <w:sz w:val="18"/>
          <w:szCs w:val="18"/>
        </w:rPr>
        <w:t>（</w:t>
      </w:r>
      <w:r>
        <w:rPr>
          <w:rFonts w:ascii="Times New Roman" w:eastAsia="宋体" w:hAnsi="Times New Roman" w:cs="Times New Roman"/>
          <w:b/>
          <w:bCs/>
          <w:sz w:val="18"/>
          <w:szCs w:val="18"/>
        </w:rPr>
        <w:t>4</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未办妥产权证书的投资性房地产情况</w:t>
      </w:r>
      <w:bookmarkEnd w:id="259"/>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未办妥产权证书原因</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260" w:name="_Toc989144"/>
      <w:r>
        <w:rPr>
          <w:rFonts w:ascii="Times New Roman" w:hAnsi="Times New Roman" w:cs="Times New Roman"/>
          <w:b/>
          <w:bCs/>
        </w:rPr>
        <w:t>21</w:t>
      </w:r>
      <w:r>
        <w:rPr>
          <w:rFonts w:ascii="Times New Roman" w:hAnsi="Times New Roman" w:cs="Times New Roman"/>
          <w:b/>
          <w:bCs/>
        </w:rPr>
        <w:t>、固定资产</w:t>
      </w:r>
      <w:bookmarkEnd w:id="260"/>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531,579,387.66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125,026,382.09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531,579,387.66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125,026,382.09</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61" w:name="_Toc989145"/>
      <w:r>
        <w:rPr>
          <w:rFonts w:ascii="Times New Roman" w:eastAsia="宋体" w:hAnsi="Times New Roman" w:cs="Times New Roman"/>
          <w:b/>
          <w:bCs/>
          <w:szCs w:val="21"/>
        </w:rPr>
        <w:lastRenderedPageBreak/>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固定资产情况</w:t>
      </w:r>
      <w:bookmarkEnd w:id="261"/>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3"/>
        <w:gridCol w:w="1251"/>
        <w:gridCol w:w="1161"/>
        <w:gridCol w:w="1341"/>
        <w:gridCol w:w="1341"/>
        <w:gridCol w:w="1251"/>
        <w:gridCol w:w="1254"/>
        <w:gridCol w:w="1341"/>
      </w:tblGrid>
      <w:tr w:rsidR="00CE3C32">
        <w:trPr>
          <w:trHeight w:val="240"/>
          <w:tblHeader/>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0" w:type="auto"/>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房屋建筑物</w:t>
            </w:r>
          </w:p>
        </w:tc>
        <w:tc>
          <w:tcPr>
            <w:tcW w:w="0" w:type="auto"/>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运输设备</w:t>
            </w:r>
          </w:p>
        </w:tc>
        <w:tc>
          <w:tcPr>
            <w:tcW w:w="0" w:type="auto"/>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算力设备</w:t>
            </w:r>
          </w:p>
        </w:tc>
        <w:tc>
          <w:tcPr>
            <w:tcW w:w="0" w:type="auto"/>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新能源设备</w:t>
            </w:r>
          </w:p>
        </w:tc>
        <w:tc>
          <w:tcPr>
            <w:tcW w:w="0" w:type="auto"/>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电子设备</w:t>
            </w:r>
          </w:p>
        </w:tc>
        <w:tc>
          <w:tcPr>
            <w:tcW w:w="0" w:type="auto"/>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 xml:space="preserve">  </w:t>
            </w:r>
            <w:r>
              <w:rPr>
                <w:rFonts w:ascii="Times New Roman" w:eastAsia="宋体" w:hAnsi="Times New Roman" w:cs="Times New Roman"/>
                <w:sz w:val="18"/>
                <w:szCs w:val="18"/>
              </w:rPr>
              <w:t>办公设备及其他</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合计</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一、账面原值：</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期初余额</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80,823,372.42</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5,470,888.96</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42,406,157.44</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2,869,401.21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2,007,614.33</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133,577,434.36</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本期增加金额</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327,767.10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280,973,451.33</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130,728,610.30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14,146,292.31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17,903.19</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426,194,024.23</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1</w:t>
            </w:r>
            <w:r>
              <w:rPr>
                <w:rFonts w:ascii="Times New Roman" w:eastAsia="宋体" w:hAnsi="Times New Roman" w:cs="Times New Roman"/>
                <w:sz w:val="18"/>
                <w:szCs w:val="18"/>
              </w:rPr>
              <w:t>）购置</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327,767.10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110,346.30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17,903.19</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456,016.59</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2</w:t>
            </w:r>
            <w:r>
              <w:rPr>
                <w:rFonts w:ascii="Times New Roman" w:eastAsia="宋体" w:hAnsi="Times New Roman" w:cs="Times New Roman"/>
                <w:sz w:val="18"/>
                <w:szCs w:val="18"/>
              </w:rPr>
              <w:t>）在建工程转入</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280,973,451.33</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130,728,610.30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14,035,946.01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425,738,007.64</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3</w:t>
            </w:r>
            <w:r>
              <w:rPr>
                <w:rFonts w:ascii="Times New Roman" w:eastAsia="宋体" w:hAnsi="Times New Roman" w:cs="Times New Roman"/>
                <w:sz w:val="18"/>
                <w:szCs w:val="18"/>
              </w:rPr>
              <w:t>）企业合并增加</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本期减少金额</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17,657.79</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17,657.79</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1</w:t>
            </w:r>
            <w:r>
              <w:rPr>
                <w:rFonts w:ascii="Times New Roman" w:eastAsia="宋体" w:hAnsi="Times New Roman" w:cs="Times New Roman"/>
                <w:sz w:val="18"/>
                <w:szCs w:val="18"/>
              </w:rPr>
              <w:t>）处置或报废</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17,657.79</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17,657.79</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期末余额</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81,151,139.52</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5,470,888.96</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280,973,451.33</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173,134,767.74</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16,998,035.73</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2,025,517.52</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559,753,800.80</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二、累计折旧</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期初余额</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2,527,721.10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1,993,467.98</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337,078.88</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2,151,025.04</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1,541,759.27</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8,551,052.27</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本期增加金额</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1,284,893.04</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230,929.83</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14,195,012.90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2,677,505.31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1,201,884.35</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49,910.34</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19,640,135.77</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1</w:t>
            </w:r>
            <w:r>
              <w:rPr>
                <w:rFonts w:ascii="Times New Roman" w:eastAsia="宋体" w:hAnsi="Times New Roman" w:cs="Times New Roman"/>
                <w:sz w:val="18"/>
                <w:szCs w:val="18"/>
              </w:rPr>
              <w:t>）计提</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1,284,893.04</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230,929.83</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14,195,012.90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2,677,505.31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1,201,884.35</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49,910.34</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19,640,135.77</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本期减少金额</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16,774.90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16,774.90</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1</w:t>
            </w:r>
            <w:r>
              <w:rPr>
                <w:rFonts w:ascii="Times New Roman" w:eastAsia="宋体" w:hAnsi="Times New Roman" w:cs="Times New Roman"/>
                <w:sz w:val="18"/>
                <w:szCs w:val="18"/>
              </w:rPr>
              <w:t>）处置或报废</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16,774.90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16,774.90</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期末余额</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3,812,614.14</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2,224,397.81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14,195,012.90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3,014,584.19</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3,336,134.49</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1,591,669.61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28,174,413.14</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三、减值准备</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期</w:t>
            </w:r>
            <w:r>
              <w:rPr>
                <w:rFonts w:ascii="Times New Roman" w:eastAsia="宋体" w:hAnsi="Times New Roman" w:cs="Times New Roman"/>
                <w:sz w:val="18"/>
                <w:szCs w:val="18"/>
              </w:rPr>
              <w:lastRenderedPageBreak/>
              <w:t>初余额</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lastRenderedPageBreak/>
              <w:t>2.</w:t>
            </w:r>
            <w:r>
              <w:rPr>
                <w:rFonts w:ascii="Times New Roman" w:eastAsia="宋体" w:hAnsi="Times New Roman" w:cs="Times New Roman"/>
                <w:sz w:val="18"/>
                <w:szCs w:val="18"/>
              </w:rPr>
              <w:t>本期增加金额</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1</w:t>
            </w:r>
            <w:r>
              <w:rPr>
                <w:rFonts w:ascii="Times New Roman" w:eastAsia="宋体" w:hAnsi="Times New Roman" w:cs="Times New Roman"/>
                <w:sz w:val="18"/>
                <w:szCs w:val="18"/>
              </w:rPr>
              <w:t>）计提</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本期减少金额</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1</w:t>
            </w:r>
            <w:r>
              <w:rPr>
                <w:rFonts w:ascii="Times New Roman" w:eastAsia="宋体" w:hAnsi="Times New Roman" w:cs="Times New Roman"/>
                <w:sz w:val="18"/>
                <w:szCs w:val="18"/>
              </w:rPr>
              <w:t>）处置或报废</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期末余额</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四、账面价值</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期末账面价值</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77,338,525.38</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3,246,491.15</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266,778,438.43</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170,120,183.55</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13,661,901.24</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433,847.91</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531,579,387.66</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期初账面价值</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78,295,651.32</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3,477,420.98</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42,069,078.56</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718,376.17</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465,855.06</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125,026,382.09</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62" w:name="_Toc989146"/>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暂时闲置的固定资产情况</w:t>
      </w:r>
      <w:bookmarkEnd w:id="26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账面原值</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累计折旧</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减值准备</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备注</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63" w:name="_Toc989147"/>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通过经营租赁租出的固定资产</w:t>
      </w:r>
      <w:bookmarkEnd w:id="263"/>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期末账面价值</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64" w:name="_Toc989148"/>
      <w:r>
        <w:rPr>
          <w:rFonts w:ascii="Times New Roman" w:eastAsia="宋体" w:hAnsi="Times New Roman" w:cs="Times New Roman"/>
          <w:b/>
          <w:bCs/>
          <w:szCs w:val="21"/>
        </w:rPr>
        <w:t>（</w:t>
      </w:r>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未办妥产权证书的固定资产情况</w:t>
      </w:r>
      <w:bookmarkEnd w:id="264"/>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未办妥产权证书的原因</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65" w:name="_Toc989149"/>
      <w:r>
        <w:rPr>
          <w:rFonts w:ascii="Times New Roman" w:eastAsia="宋体" w:hAnsi="Times New Roman" w:cs="Times New Roman"/>
          <w:b/>
          <w:bCs/>
          <w:szCs w:val="21"/>
        </w:rPr>
        <w:t>（</w:t>
      </w:r>
      <w:r>
        <w:rPr>
          <w:rFonts w:ascii="Times New Roman" w:eastAsia="宋体" w:hAnsi="Times New Roman" w:cs="Times New Roman"/>
          <w:b/>
          <w:bCs/>
          <w:szCs w:val="21"/>
        </w:rPr>
        <w:t>5</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固定资产的减值测试情况</w:t>
      </w:r>
      <w:bookmarkEnd w:id="265"/>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66" w:name="_Toc989150"/>
      <w:r>
        <w:rPr>
          <w:rFonts w:ascii="Times New Roman" w:eastAsia="宋体" w:hAnsi="Times New Roman" w:cs="Times New Roman"/>
          <w:b/>
          <w:bCs/>
          <w:szCs w:val="21"/>
        </w:rPr>
        <w:lastRenderedPageBreak/>
        <w:t>（</w:t>
      </w:r>
      <w:r>
        <w:rPr>
          <w:rFonts w:ascii="Times New Roman" w:eastAsia="宋体" w:hAnsi="Times New Roman" w:cs="Times New Roman"/>
          <w:b/>
          <w:bCs/>
          <w:szCs w:val="21"/>
        </w:rPr>
        <w:t>6</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固定资产清理</w:t>
      </w:r>
      <w:bookmarkEnd w:id="266"/>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267" w:name="_Toc989151"/>
      <w:r>
        <w:rPr>
          <w:rFonts w:ascii="Times New Roman" w:hAnsi="Times New Roman" w:cs="Times New Roman"/>
          <w:b/>
          <w:bCs/>
        </w:rPr>
        <w:t>22</w:t>
      </w:r>
      <w:r>
        <w:rPr>
          <w:rFonts w:ascii="Times New Roman" w:hAnsi="Times New Roman" w:cs="Times New Roman"/>
          <w:b/>
          <w:bCs/>
        </w:rPr>
        <w:t>、在建工程</w:t>
      </w:r>
      <w:bookmarkEnd w:id="267"/>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3,192,307.78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350,737,899.50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3,192,307.78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350,737,899.50</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68" w:name="_Toc989152"/>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在建工程情况</w:t>
      </w:r>
      <w:bookmarkEnd w:id="26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海逸</w:t>
            </w:r>
            <w:r>
              <w:rPr>
                <w:rFonts w:ascii="Times New Roman" w:eastAsia="宋体" w:hAnsi="Times New Roman" w:cs="Times New Roman"/>
                <w:sz w:val="18"/>
                <w:szCs w:val="18"/>
              </w:rPr>
              <w:t>7</w:t>
            </w:r>
            <w:r>
              <w:rPr>
                <w:rFonts w:ascii="Times New Roman" w:eastAsia="宋体" w:hAnsi="Times New Roman" w:cs="Times New Roman"/>
                <w:sz w:val="18"/>
                <w:szCs w:val="18"/>
              </w:rPr>
              <w:t>楼办公装修</w:t>
            </w:r>
            <w:r>
              <w:rPr>
                <w:rFonts w:ascii="Times New Roman" w:eastAsia="宋体" w:hAnsi="Times New Roman" w:cs="Times New Roman"/>
                <w:sz w:val="18"/>
                <w:szCs w:val="18"/>
              </w:rPr>
              <w:t>+</w:t>
            </w:r>
            <w:r>
              <w:rPr>
                <w:rFonts w:ascii="Times New Roman" w:eastAsia="宋体" w:hAnsi="Times New Roman" w:cs="Times New Roman"/>
                <w:sz w:val="18"/>
                <w:szCs w:val="18"/>
              </w:rPr>
              <w:t>弱电项目</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509,080.28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509,080.28</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天宝实业分布式光伏项目发电项目</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53,326,359.55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53,326,359.55</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广西锦江火浪</w:t>
            </w:r>
            <w:r>
              <w:rPr>
                <w:rFonts w:ascii="Times New Roman" w:eastAsia="宋体" w:hAnsi="Times New Roman" w:cs="Times New Roman"/>
                <w:sz w:val="18"/>
                <w:szCs w:val="18"/>
              </w:rPr>
              <w:t>3.379MWp</w:t>
            </w:r>
            <w:r>
              <w:rPr>
                <w:rFonts w:ascii="Times New Roman" w:eastAsia="宋体" w:hAnsi="Times New Roman" w:cs="Times New Roman"/>
                <w:sz w:val="18"/>
                <w:szCs w:val="18"/>
              </w:rPr>
              <w:t>屋顶分布式光伏项目</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2,654,672.05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2,654,672.05</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深圳天亿马公司与某客户算力网络集群服务项目</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294,247,787.62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294,247,787.62</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汕头市周凯迪置业分布式光伏发电项目</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3,192,307.78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3,192,307.78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3,192,307.78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3,192,307.78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350,737,899.50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350,737,899.50</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69" w:name="_Toc989153"/>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重要在建工程项目本期变动情况</w:t>
      </w:r>
      <w:bookmarkEnd w:id="269"/>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42"/>
        <w:gridCol w:w="742"/>
        <w:gridCol w:w="742"/>
        <w:gridCol w:w="742"/>
        <w:gridCol w:w="742"/>
        <w:gridCol w:w="742"/>
        <w:gridCol w:w="741"/>
        <w:gridCol w:w="741"/>
        <w:gridCol w:w="741"/>
        <w:gridCol w:w="741"/>
        <w:gridCol w:w="741"/>
        <w:gridCol w:w="741"/>
        <w:gridCol w:w="741"/>
      </w:tblGrid>
      <w:tr w:rsidR="00CE3C32">
        <w:trPr>
          <w:trHeight w:val="240"/>
          <w:tblHeader/>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项目名称</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预算数</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本期转入固定资产金额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本期其他减少金额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工程累计投入占预算比例</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工程进度</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利息资本化累计金额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其中：本期利息资本化金额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本期利息资本化率</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资金来源</w:t>
            </w:r>
          </w:p>
        </w:tc>
      </w:tr>
      <w:tr w:rsidR="00CE3C32">
        <w:trPr>
          <w:trHeight w:val="240"/>
        </w:trPr>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海逸</w:t>
            </w:r>
            <w:r>
              <w:rPr>
                <w:rFonts w:ascii="Times New Roman" w:eastAsia="宋体" w:hAnsi="Times New Roman" w:cs="Times New Roman"/>
                <w:sz w:val="18"/>
                <w:szCs w:val="18"/>
              </w:rPr>
              <w:t>7</w:t>
            </w:r>
            <w:r>
              <w:rPr>
                <w:rFonts w:ascii="Times New Roman" w:eastAsia="宋体" w:hAnsi="Times New Roman" w:cs="Times New Roman"/>
                <w:sz w:val="18"/>
                <w:szCs w:val="18"/>
              </w:rPr>
              <w:t>楼办公装修</w:t>
            </w:r>
            <w:r>
              <w:rPr>
                <w:rFonts w:ascii="Times New Roman" w:eastAsia="宋体" w:hAnsi="Times New Roman" w:cs="Times New Roman"/>
                <w:sz w:val="18"/>
                <w:szCs w:val="18"/>
              </w:rPr>
              <w:t>+</w:t>
            </w:r>
            <w:r>
              <w:rPr>
                <w:rFonts w:ascii="Times New Roman" w:eastAsia="宋体" w:hAnsi="Times New Roman" w:cs="Times New Roman"/>
                <w:sz w:val="18"/>
                <w:szCs w:val="18"/>
              </w:rPr>
              <w:t>弱</w:t>
            </w:r>
            <w:r>
              <w:rPr>
                <w:rFonts w:ascii="Times New Roman" w:eastAsia="宋体" w:hAnsi="Times New Roman" w:cs="Times New Roman"/>
                <w:sz w:val="18"/>
                <w:szCs w:val="18"/>
              </w:rPr>
              <w:lastRenderedPageBreak/>
              <w:t>电项目</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lastRenderedPageBreak/>
              <w:t>860,000.00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509,080.28</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968,183.91</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1,477,264.19</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171.77%</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w:t>
            </w:r>
          </w:p>
        </w:tc>
      </w:tr>
      <w:tr w:rsidR="00CE3C32">
        <w:trPr>
          <w:trHeight w:val="240"/>
        </w:trPr>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天宝实业分布式光伏项目发电项目</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71,253,434.90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53,326,359.55</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281,002.74</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53,607,362.29</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75.23%</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501,738.34</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111,728.17</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16.08%</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其他、金融机构贷款</w:t>
            </w:r>
          </w:p>
        </w:tc>
      </w:tr>
      <w:tr w:rsidR="00CE3C32">
        <w:trPr>
          <w:trHeight w:val="240"/>
        </w:trPr>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广西锦江火浪</w:t>
            </w:r>
            <w:r>
              <w:rPr>
                <w:rFonts w:ascii="Times New Roman" w:eastAsia="宋体" w:hAnsi="Times New Roman" w:cs="Times New Roman"/>
                <w:sz w:val="18"/>
                <w:szCs w:val="18"/>
              </w:rPr>
              <w:t>3.379MWp</w:t>
            </w:r>
            <w:r>
              <w:rPr>
                <w:rFonts w:ascii="Times New Roman" w:eastAsia="宋体" w:hAnsi="Times New Roman" w:cs="Times New Roman"/>
                <w:sz w:val="18"/>
                <w:szCs w:val="18"/>
              </w:rPr>
              <w:t>屋顶分布式光伏项目</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10,474,900.00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2,654,672.05</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6,719,566.84</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9,374,238.89</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89.49%</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w:t>
            </w:r>
          </w:p>
        </w:tc>
      </w:tr>
      <w:tr w:rsidR="00CE3C32">
        <w:trPr>
          <w:trHeight w:val="240"/>
        </w:trPr>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深圳天亿马公司与某客户算力网络集群服务项目</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332,500,000.00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294,247,787.62</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761,609.72</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295,009,397.34</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88.72%</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761,609.72</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761,609.72</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17.46%</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募集资金、金融机构贷款</w:t>
            </w:r>
          </w:p>
        </w:tc>
      </w:tr>
      <w:tr w:rsidR="00CE3C32">
        <w:trPr>
          <w:trHeight w:val="240"/>
        </w:trPr>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河北省邯郸市复兴区</w:t>
            </w:r>
            <w:r>
              <w:rPr>
                <w:rFonts w:ascii="Times New Roman" w:eastAsia="宋体" w:hAnsi="Times New Roman" w:cs="Times New Roman"/>
                <w:sz w:val="18"/>
                <w:szCs w:val="18"/>
              </w:rPr>
              <w:t>24MW</w:t>
            </w:r>
            <w:r>
              <w:rPr>
                <w:rFonts w:ascii="Times New Roman" w:eastAsia="宋体" w:hAnsi="Times New Roman" w:cs="Times New Roman"/>
                <w:sz w:val="18"/>
                <w:szCs w:val="18"/>
              </w:rPr>
              <w:t>地面光伏电站项目</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84,141,603.00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67,651,563.58</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67,651,563.58</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80.40%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w:t>
            </w:r>
          </w:p>
        </w:tc>
      </w:tr>
      <w:tr w:rsidR="00CE3C32">
        <w:trPr>
          <w:trHeight w:val="240"/>
        </w:trPr>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汕头市周凯迪置业分布式光伏发电项目</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22,794,414.00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3,192,307.78</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3,192,307.78</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14.00%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14.00%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w:t>
            </w:r>
          </w:p>
        </w:tc>
      </w:tr>
      <w:tr w:rsidR="00CE3C32">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合计</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522,024,351.90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350,737,899.50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79,574,234.57</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425,642,562.10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1,477,264.19</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3,192,307.78</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1,263,348.06</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873,337.89</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70" w:name="_Toc989154"/>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本期计提在建工程减值准备情况</w:t>
      </w:r>
      <w:bookmarkEnd w:id="270"/>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本期减少</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计提原因</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71" w:name="_Toc989155"/>
      <w:r>
        <w:rPr>
          <w:rFonts w:ascii="Times New Roman" w:eastAsia="宋体" w:hAnsi="Times New Roman" w:cs="Times New Roman"/>
          <w:b/>
          <w:bCs/>
          <w:szCs w:val="21"/>
        </w:rPr>
        <w:t>（</w:t>
      </w:r>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在建工程的减值测试情况</w:t>
      </w:r>
      <w:bookmarkEnd w:id="271"/>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72" w:name="_Toc989156"/>
      <w:r>
        <w:rPr>
          <w:rFonts w:ascii="Times New Roman" w:eastAsia="宋体" w:hAnsi="Times New Roman" w:cs="Times New Roman"/>
          <w:b/>
          <w:bCs/>
          <w:szCs w:val="21"/>
        </w:rPr>
        <w:t>（</w:t>
      </w:r>
      <w:r>
        <w:rPr>
          <w:rFonts w:ascii="Times New Roman" w:eastAsia="宋体" w:hAnsi="Times New Roman" w:cs="Times New Roman"/>
          <w:b/>
          <w:bCs/>
          <w:szCs w:val="21"/>
        </w:rPr>
        <w:t>5</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工程物资</w:t>
      </w:r>
      <w:bookmarkEnd w:id="27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273" w:name="_Toc989157"/>
      <w:r>
        <w:rPr>
          <w:rFonts w:ascii="Times New Roman" w:hAnsi="Times New Roman" w:cs="Times New Roman"/>
          <w:b/>
          <w:bCs/>
        </w:rPr>
        <w:t>23</w:t>
      </w:r>
      <w:r>
        <w:rPr>
          <w:rFonts w:ascii="Times New Roman" w:hAnsi="Times New Roman" w:cs="Times New Roman"/>
          <w:b/>
          <w:bCs/>
        </w:rPr>
        <w:t>、生产性生物资产</w:t>
      </w:r>
      <w:bookmarkEnd w:id="273"/>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74" w:name="_Toc989158"/>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采用成本计量模式的生产性生物资产</w:t>
      </w:r>
      <w:bookmarkEnd w:id="274"/>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75" w:name="_Toc989159"/>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采用成本计量模式的生产性生物资产的减值测试情况</w:t>
      </w:r>
      <w:bookmarkEnd w:id="275"/>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76" w:name="_Toc989160"/>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采用公允价值计量模式的生产性生物资产</w:t>
      </w:r>
      <w:bookmarkEnd w:id="276"/>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277" w:name="_Toc989161"/>
      <w:r>
        <w:rPr>
          <w:rFonts w:ascii="Times New Roman" w:hAnsi="Times New Roman" w:cs="Times New Roman"/>
          <w:b/>
          <w:bCs/>
        </w:rPr>
        <w:t>24</w:t>
      </w:r>
      <w:r>
        <w:rPr>
          <w:rFonts w:ascii="Times New Roman" w:hAnsi="Times New Roman" w:cs="Times New Roman"/>
          <w:b/>
          <w:bCs/>
        </w:rPr>
        <w:t>、油气资产</w:t>
      </w:r>
      <w:bookmarkEnd w:id="277"/>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278" w:name="_Toc989162"/>
      <w:r>
        <w:rPr>
          <w:rFonts w:ascii="Times New Roman" w:hAnsi="Times New Roman" w:cs="Times New Roman"/>
          <w:b/>
          <w:bCs/>
        </w:rPr>
        <w:lastRenderedPageBreak/>
        <w:t>25</w:t>
      </w:r>
      <w:r>
        <w:rPr>
          <w:rFonts w:ascii="Times New Roman" w:hAnsi="Times New Roman" w:cs="Times New Roman"/>
          <w:b/>
          <w:bCs/>
        </w:rPr>
        <w:t>、使用权资产</w:t>
      </w:r>
      <w:bookmarkEnd w:id="278"/>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79" w:name="_Toc989163"/>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使用权资产情况</w:t>
      </w:r>
      <w:bookmarkEnd w:id="279"/>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blHeader/>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房屋及建筑物</w:t>
            </w:r>
          </w:p>
        </w:tc>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土地使用权</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合计</w:t>
            </w: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一、账面原值</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期初余额</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11,285,446.47</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11,285,446.47</w:t>
            </w: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本期增加金额</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4,484,668.95</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5,565,526.45</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10,050,195.40</w:t>
            </w: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租入</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4,484,668.95</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5,565,526.45</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10,050,195.40</w:t>
            </w: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本期减少金额</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3,260,994.10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3,260,994.10</w:t>
            </w: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退租</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3,260,994.10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3,260,994.10</w:t>
            </w: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期末余额</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12,509,121.32</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18,074,647.77</w:t>
            </w: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二、累计折旧</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期初余额</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2,690,737.61</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2,690,737.61</w:t>
            </w: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本期增加金额</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1,784,425.53</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100,922.76</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1,885,348.29</w:t>
            </w: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1</w:t>
            </w:r>
            <w:r>
              <w:rPr>
                <w:rFonts w:ascii="Times New Roman" w:eastAsia="宋体" w:hAnsi="Times New Roman" w:cs="Times New Roman"/>
                <w:sz w:val="18"/>
                <w:szCs w:val="18"/>
              </w:rPr>
              <w:t>）计提</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1,784,425.53</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100,922.76</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1,885,348.29</w:t>
            </w: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本期减少金额</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3,260,994.10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3,260,994.10</w:t>
            </w: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1</w:t>
            </w:r>
            <w:r>
              <w:rPr>
                <w:rFonts w:ascii="Times New Roman" w:eastAsia="宋体" w:hAnsi="Times New Roman" w:cs="Times New Roman"/>
                <w:sz w:val="18"/>
                <w:szCs w:val="18"/>
              </w:rPr>
              <w:t>）处置</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3,260,994.10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3,260,994.10</w:t>
            </w: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期末余额</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1,214,169.04</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100,922.76</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1,315,091.80</w:t>
            </w: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三、减值准备</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期初余额</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本期增加金额</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1</w:t>
            </w:r>
            <w:r>
              <w:rPr>
                <w:rFonts w:ascii="Times New Roman" w:eastAsia="宋体" w:hAnsi="Times New Roman" w:cs="Times New Roman"/>
                <w:sz w:val="18"/>
                <w:szCs w:val="18"/>
              </w:rPr>
              <w:t>）计提</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本期减少金额</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1</w:t>
            </w:r>
            <w:r>
              <w:rPr>
                <w:rFonts w:ascii="Times New Roman" w:eastAsia="宋体" w:hAnsi="Times New Roman" w:cs="Times New Roman"/>
                <w:sz w:val="18"/>
                <w:szCs w:val="18"/>
              </w:rPr>
              <w:t>）处置</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期末余额</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四、账面价值</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期末账面价值</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11,294,952.28</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5,464,603.69</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16,759,555.97</w:t>
            </w: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期初账面价值</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8,594,708.86</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8,594,708.86</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80" w:name="_Toc989164"/>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使用权资产的减值测试情况</w:t>
      </w:r>
      <w:bookmarkEnd w:id="280"/>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281" w:name="_Toc989165"/>
      <w:r>
        <w:rPr>
          <w:rFonts w:ascii="Times New Roman" w:hAnsi="Times New Roman" w:cs="Times New Roman"/>
          <w:b/>
          <w:bCs/>
        </w:rPr>
        <w:t>26</w:t>
      </w:r>
      <w:r>
        <w:rPr>
          <w:rFonts w:ascii="Times New Roman" w:hAnsi="Times New Roman" w:cs="Times New Roman"/>
          <w:b/>
          <w:bCs/>
        </w:rPr>
        <w:t>、无形资产</w:t>
      </w:r>
      <w:bookmarkEnd w:id="281"/>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82" w:name="_Toc989166"/>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无形资产情况</w:t>
      </w:r>
      <w:bookmarkEnd w:id="28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058"/>
        <w:gridCol w:w="1316"/>
        <w:gridCol w:w="893"/>
        <w:gridCol w:w="1370"/>
        <w:gridCol w:w="1370"/>
        <w:gridCol w:w="1370"/>
        <w:gridCol w:w="1476"/>
      </w:tblGrid>
      <w:tr w:rsidR="00CE3C32">
        <w:trPr>
          <w:trHeight w:val="240"/>
          <w:tblHeader/>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66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土地使用权</w:t>
            </w:r>
          </w:p>
        </w:tc>
        <w:tc>
          <w:tcPr>
            <w:tcW w:w="45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专利权</w:t>
            </w:r>
          </w:p>
        </w:tc>
        <w:tc>
          <w:tcPr>
            <w:tcW w:w="69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非专利技术</w:t>
            </w:r>
          </w:p>
        </w:tc>
        <w:tc>
          <w:tcPr>
            <w:tcW w:w="695" w:type="pct"/>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软件</w:t>
            </w:r>
          </w:p>
        </w:tc>
        <w:tc>
          <w:tcPr>
            <w:tcW w:w="695" w:type="pct"/>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著作权</w:t>
            </w:r>
          </w:p>
        </w:tc>
        <w:tc>
          <w:tcPr>
            <w:tcW w:w="749"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合计</w:t>
            </w: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一、账面原值</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期初余额</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1,500,000.00</w:t>
            </w: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7,122,513.69</w:t>
            </w: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7,580,000.00</w:t>
            </w: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16,202,513.69</w:t>
            </w: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本期增加金额</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lastRenderedPageBreak/>
              <w:t>（</w:t>
            </w:r>
            <w:r>
              <w:rPr>
                <w:rFonts w:ascii="Times New Roman" w:eastAsia="宋体" w:hAnsi="Times New Roman" w:cs="Times New Roman"/>
                <w:sz w:val="18"/>
                <w:szCs w:val="18"/>
              </w:rPr>
              <w:t>1</w:t>
            </w:r>
            <w:r>
              <w:rPr>
                <w:rFonts w:ascii="Times New Roman" w:eastAsia="宋体" w:hAnsi="Times New Roman" w:cs="Times New Roman"/>
                <w:sz w:val="18"/>
                <w:szCs w:val="18"/>
              </w:rPr>
              <w:t>）购置</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2</w:t>
            </w:r>
            <w:r>
              <w:rPr>
                <w:rFonts w:ascii="Times New Roman" w:eastAsia="宋体" w:hAnsi="Times New Roman" w:cs="Times New Roman"/>
                <w:sz w:val="18"/>
                <w:szCs w:val="18"/>
              </w:rPr>
              <w:t>）内部研发</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3</w:t>
            </w:r>
            <w:r>
              <w:rPr>
                <w:rFonts w:ascii="Times New Roman" w:eastAsia="宋体" w:hAnsi="Times New Roman" w:cs="Times New Roman"/>
                <w:sz w:val="18"/>
                <w:szCs w:val="18"/>
              </w:rPr>
              <w:t>）企业合并增加</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本期减少金额</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1</w:t>
            </w:r>
            <w:r>
              <w:rPr>
                <w:rFonts w:ascii="Times New Roman" w:eastAsia="宋体" w:hAnsi="Times New Roman" w:cs="Times New Roman"/>
                <w:sz w:val="18"/>
                <w:szCs w:val="18"/>
              </w:rPr>
              <w:t>）处置</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期末余额</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1,500,000.00</w:t>
            </w: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7,122,513.69</w:t>
            </w: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7,580,000.00</w:t>
            </w: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16,202,513.69</w:t>
            </w: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二、累计摊销</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期初余额</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1,500,000.00</w:t>
            </w: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6,954,914.80</w:t>
            </w: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5,626,625.00</w:t>
            </w: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14,081,539.80</w:t>
            </w: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本期增加金额</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9,141.78</w:t>
            </w: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9,141.78</w:t>
            </w: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1</w:t>
            </w:r>
            <w:r>
              <w:rPr>
                <w:rFonts w:ascii="Times New Roman" w:eastAsia="宋体" w:hAnsi="Times New Roman" w:cs="Times New Roman"/>
                <w:sz w:val="18"/>
                <w:szCs w:val="18"/>
              </w:rPr>
              <w:t>）计提</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9,141.78</w:t>
            </w: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9,141.78</w:t>
            </w: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本期减少金额</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1</w:t>
            </w:r>
            <w:r>
              <w:rPr>
                <w:rFonts w:ascii="Times New Roman" w:eastAsia="宋体" w:hAnsi="Times New Roman" w:cs="Times New Roman"/>
                <w:sz w:val="18"/>
                <w:szCs w:val="18"/>
              </w:rPr>
              <w:t>）处置</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期末余额</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1,500,000.00</w:t>
            </w: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6,964,056.58</w:t>
            </w: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5,626,625.00</w:t>
            </w: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14,090,681.58</w:t>
            </w: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三、减值准备</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期初余额</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1,953,375.00</w:t>
            </w: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1,953,375.00</w:t>
            </w: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本期增加金额</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1</w:t>
            </w:r>
            <w:r>
              <w:rPr>
                <w:rFonts w:ascii="Times New Roman" w:eastAsia="宋体" w:hAnsi="Times New Roman" w:cs="Times New Roman"/>
                <w:sz w:val="18"/>
                <w:szCs w:val="18"/>
              </w:rPr>
              <w:t>）计提</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本期减少金额</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400" w:firstLine="720"/>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1</w:t>
            </w:r>
            <w:r>
              <w:rPr>
                <w:rFonts w:ascii="Times New Roman" w:eastAsia="宋体" w:hAnsi="Times New Roman" w:cs="Times New Roman"/>
                <w:sz w:val="18"/>
                <w:szCs w:val="18"/>
              </w:rPr>
              <w:t>）处置</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期末余额</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1,953,375.00</w:t>
            </w: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1,953,375.00</w:t>
            </w: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四、账面价值</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期末账面价值</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158,457.11</w:t>
            </w: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158,457.11</w:t>
            </w:r>
          </w:p>
        </w:tc>
      </w:tr>
      <w:tr w:rsidR="00CE3C32">
        <w:trPr>
          <w:trHeight w:val="240"/>
        </w:trPr>
        <w:tc>
          <w:tcPr>
            <w:tcW w:w="10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期初账面价值</w:t>
            </w:r>
          </w:p>
        </w:tc>
        <w:tc>
          <w:tcPr>
            <w:tcW w:w="66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5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167,598.89</w:t>
            </w:r>
          </w:p>
        </w:tc>
        <w:tc>
          <w:tcPr>
            <w:tcW w:w="69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4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167,598.89</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本期末通过公司内部研发形成的无形资产占无形资产余额的比例</w:t>
      </w:r>
      <w:r>
        <w:rPr>
          <w:rFonts w:ascii="Times New Roman" w:eastAsia="宋体" w:hAnsi="Times New Roman" w:cs="Times New Roman"/>
          <w:sz w:val="18"/>
          <w:szCs w:val="18"/>
        </w:rPr>
        <w:t>0.00%</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83" w:name="_Toc989167"/>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确认为无形资产的数据资源</w:t>
      </w:r>
      <w:bookmarkEnd w:id="283"/>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外购的数据资源无形资产</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自行开发的数据资源无形资产</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其他方式取得的数据资源无形资产</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合计</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84" w:name="_Toc989168"/>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未办妥产权证书的土地使用权情况</w:t>
      </w:r>
      <w:bookmarkEnd w:id="284"/>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未办妥产权证书的原因</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85" w:name="_Toc989169"/>
      <w:r>
        <w:rPr>
          <w:rFonts w:ascii="Times New Roman" w:eastAsia="宋体" w:hAnsi="Times New Roman" w:cs="Times New Roman"/>
          <w:b/>
          <w:bCs/>
          <w:szCs w:val="21"/>
        </w:rPr>
        <w:t>（</w:t>
      </w:r>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无形资产的减值测试情况</w:t>
      </w:r>
      <w:bookmarkEnd w:id="285"/>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286" w:name="_Toc989170"/>
      <w:r>
        <w:rPr>
          <w:rFonts w:ascii="Times New Roman" w:hAnsi="Times New Roman" w:cs="Times New Roman"/>
          <w:b/>
          <w:bCs/>
        </w:rPr>
        <w:lastRenderedPageBreak/>
        <w:t>27</w:t>
      </w:r>
      <w:r>
        <w:rPr>
          <w:rFonts w:ascii="Times New Roman" w:hAnsi="Times New Roman" w:cs="Times New Roman"/>
          <w:b/>
          <w:bCs/>
        </w:rPr>
        <w:t>、商誉</w:t>
      </w:r>
      <w:bookmarkEnd w:id="286"/>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87" w:name="_Toc989171"/>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商誉账面原值</w:t>
      </w:r>
      <w:bookmarkEnd w:id="287"/>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2754"/>
        <w:gridCol w:w="2754"/>
        <w:gridCol w:w="1377"/>
      </w:tblGrid>
      <w:tr w:rsidR="00CE3C32">
        <w:trPr>
          <w:trHeight w:val="240"/>
          <w:tblHeader/>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被投资单位名称或形成商誉的事项</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275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w:t>
            </w:r>
          </w:p>
        </w:tc>
        <w:tc>
          <w:tcPr>
            <w:tcW w:w="275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本期减少</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blHeader/>
        </w:trPr>
        <w:tc>
          <w:tcPr>
            <w:tcW w:w="1377" w:type="dxa"/>
            <w:vMerge/>
            <w:tcBorders>
              <w:top w:val="single" w:sz="2" w:space="0" w:color="auto"/>
              <w:left w:val="single" w:sz="2" w:space="0" w:color="auto"/>
              <w:bottom w:val="single" w:sz="2" w:space="0" w:color="auto"/>
              <w:right w:val="single" w:sz="2" w:space="0" w:color="auto"/>
            </w:tcBorders>
            <w:vAlign w:val="center"/>
          </w:tcPr>
          <w:p w:rsidR="00CE3C32" w:rsidRDefault="00CE3C32">
            <w:pPr>
              <w:rPr>
                <w:rFonts w:ascii="Times New Roman" w:hAnsi="Times New Roman" w:cs="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75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企业合并形成的</w:t>
            </w:r>
          </w:p>
        </w:tc>
        <w:tc>
          <w:tcPr>
            <w:tcW w:w="275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处置</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深圳市互联精英信息技术有限公司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2,682,094.38</w:t>
            </w:r>
          </w:p>
        </w:tc>
        <w:tc>
          <w:tcPr>
            <w:tcW w:w="2754"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754"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2,682,094.38</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广图粤科（广州）科技有限公司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1,810,891.86</w:t>
            </w:r>
          </w:p>
        </w:tc>
        <w:tc>
          <w:tcPr>
            <w:tcW w:w="2754"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754"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1,810,891.86</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广东翼启数据产业有限公司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303,959.67</w:t>
            </w:r>
          </w:p>
        </w:tc>
        <w:tc>
          <w:tcPr>
            <w:tcW w:w="2754"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754"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303,959.67</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4,796,945.91</w:t>
            </w:r>
          </w:p>
        </w:tc>
        <w:tc>
          <w:tcPr>
            <w:tcW w:w="2754"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754"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4,796,945.91</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88" w:name="_Toc989172"/>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商誉减值准备</w:t>
      </w:r>
      <w:bookmarkEnd w:id="28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2754"/>
        <w:gridCol w:w="2754"/>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被投资单位名称或形成商誉的事项</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275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w:t>
            </w:r>
          </w:p>
        </w:tc>
        <w:tc>
          <w:tcPr>
            <w:tcW w:w="275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本期减少</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vAlign w:val="center"/>
          </w:tcPr>
          <w:p w:rsidR="00CE3C32" w:rsidRDefault="00CE3C32">
            <w:pPr>
              <w:rPr>
                <w:rFonts w:ascii="Times New Roman" w:hAnsi="Times New Roman" w:cs="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75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w:t>
            </w:r>
          </w:p>
        </w:tc>
        <w:tc>
          <w:tcPr>
            <w:tcW w:w="275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处置</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深圳市互联精英信息技术有限公司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1,110,600.00</w:t>
            </w:r>
          </w:p>
        </w:tc>
        <w:tc>
          <w:tcPr>
            <w:tcW w:w="2754"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754"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1,110,600.00</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广图粤科（广州）科技有限公司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1,810,891.86</w:t>
            </w:r>
          </w:p>
        </w:tc>
        <w:tc>
          <w:tcPr>
            <w:tcW w:w="2754"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754"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1,810,891.86</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2,921,491.86</w:t>
            </w:r>
          </w:p>
        </w:tc>
        <w:tc>
          <w:tcPr>
            <w:tcW w:w="2754"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754"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2,921,491.86</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89" w:name="_Toc989173"/>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商誉所在资产组或资产组组合的相关信息</w:t>
      </w:r>
      <w:bookmarkEnd w:id="289"/>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所属资产组或组合的构成及依据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所属经营分部及依据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是否与以前年度保持一致</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深圳市互联精英信息技术有限公司</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深圳市互联精英信息技术有限公司经营性资产组</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根据从事的业务类型，划分为软件开发与服务行业分布</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广图粤科（广州）科技有限公司</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广图粤科（广州）科技有限公司经营性资产组</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根据从事的业务类型，划分为软件开发与服务行业分布</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广东翼启数据产业有限公司</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广东翼启数据产业有限公司经营性资产组</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根据从事的业务类型，划分为软件开发与服务行业分布</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资产组或资产组组合发生变化</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变化前的构成</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变化后的构成</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导致变化的客观事实及依据</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其他说明</w:t>
      </w:r>
    </w:p>
    <w:p w:rsidR="00CE3C32" w:rsidRDefault="006413B8">
      <w:pPr>
        <w:pStyle w:val="a6"/>
        <w:ind w:firstLineChars="200" w:firstLine="360"/>
        <w:rPr>
          <w:rFonts w:ascii="Times New Roman" w:hAnsi="Times New Roman" w:cs="Times New Roman"/>
          <w:sz w:val="18"/>
          <w:szCs w:val="18"/>
        </w:rPr>
      </w:pPr>
      <w:r>
        <w:rPr>
          <w:rFonts w:ascii="Times New Roman" w:hAnsi="Times New Roman" w:cs="Times New Roman"/>
          <w:sz w:val="18"/>
          <w:szCs w:val="18"/>
        </w:rPr>
        <w:t>商誉减值测试涉及的资产组或资产组组合的构成情况如下：资产负债表日的测试范围为与商誉相关的最小资产组所涉及的资产及负债，该资产组与购买日及以前年度商誉减值测试时所确定的资产组或资产组组合一致。</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90" w:name="_Toc989174"/>
      <w:r>
        <w:rPr>
          <w:rFonts w:ascii="Times New Roman" w:eastAsia="宋体" w:hAnsi="Times New Roman" w:cs="Times New Roman"/>
          <w:b/>
          <w:bCs/>
          <w:szCs w:val="21"/>
        </w:rPr>
        <w:lastRenderedPageBreak/>
        <w:t>（</w:t>
      </w:r>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可收回金额的具体确定方法</w:t>
      </w:r>
      <w:bookmarkEnd w:id="290"/>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可收回金额按公允价值减去处置费用后的净额确定</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可收回金额按预计未来现金流量的现值确定</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617"/>
        <w:gridCol w:w="1251"/>
        <w:gridCol w:w="1251"/>
        <w:gridCol w:w="1161"/>
        <w:gridCol w:w="797"/>
        <w:gridCol w:w="957"/>
        <w:gridCol w:w="1253"/>
        <w:gridCol w:w="1566"/>
      </w:tblGrid>
      <w:tr w:rsidR="00CE3C32">
        <w:trPr>
          <w:trHeight w:val="240"/>
          <w:tblHeader/>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可收回金额</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减值金额</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预测期的年限</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预测期的关键参数</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稳定期的关键参数</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稳定期的关键参数的确定依据</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深圳市互联精英信息技术有限公司</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79,110,566.04</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78,000,000.00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1,110,600.00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年</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预计未来现金流量</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低于预测期末</w:t>
            </w:r>
            <w:r>
              <w:rPr>
                <w:rFonts w:ascii="Times New Roman" w:eastAsia="宋体" w:hAnsi="Times New Roman" w:cs="Times New Roman"/>
                <w:sz w:val="18"/>
                <w:szCs w:val="18"/>
              </w:rPr>
              <w:t>2029</w:t>
            </w:r>
            <w:r>
              <w:rPr>
                <w:rFonts w:ascii="Times New Roman" w:eastAsia="宋体" w:hAnsi="Times New Roman" w:cs="Times New Roman"/>
                <w:sz w:val="18"/>
                <w:szCs w:val="18"/>
              </w:rPr>
              <w:t>年</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税前折现率</w:t>
            </w:r>
            <w:r>
              <w:rPr>
                <w:rFonts w:ascii="Times New Roman" w:eastAsia="宋体" w:hAnsi="Times New Roman" w:cs="Times New Roman"/>
                <w:sz w:val="18"/>
                <w:szCs w:val="18"/>
              </w:rPr>
              <w:t>12.59%</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广图粤科（广州）科技有限公司</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9,633,231.93</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6,000,000.00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3,550,768.35</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年</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预计未来现金流量</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低于预测期末</w:t>
            </w:r>
            <w:r>
              <w:rPr>
                <w:rFonts w:ascii="Times New Roman" w:eastAsia="宋体" w:hAnsi="Times New Roman" w:cs="Times New Roman"/>
                <w:sz w:val="18"/>
                <w:szCs w:val="18"/>
              </w:rPr>
              <w:t>2029</w:t>
            </w:r>
            <w:r>
              <w:rPr>
                <w:rFonts w:ascii="Times New Roman" w:eastAsia="宋体" w:hAnsi="Times New Roman" w:cs="Times New Roman"/>
                <w:sz w:val="18"/>
                <w:szCs w:val="18"/>
              </w:rPr>
              <w:t>年</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税前折现率</w:t>
            </w:r>
            <w:r>
              <w:rPr>
                <w:rFonts w:ascii="Times New Roman" w:eastAsia="宋体" w:hAnsi="Times New Roman" w:cs="Times New Roman"/>
                <w:sz w:val="18"/>
                <w:szCs w:val="18"/>
              </w:rPr>
              <w:t xml:space="preserve"> 13.38%</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广东翼启数据产业有限公司</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10,231,816.07</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12,000,000.00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年</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预计未来现金流量</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与预测期末</w:t>
            </w:r>
            <w:r>
              <w:rPr>
                <w:rFonts w:ascii="Times New Roman" w:eastAsia="宋体" w:hAnsi="Times New Roman" w:cs="Times New Roman"/>
                <w:sz w:val="18"/>
                <w:szCs w:val="18"/>
              </w:rPr>
              <w:t>2029</w:t>
            </w:r>
            <w:r>
              <w:rPr>
                <w:rFonts w:ascii="Times New Roman" w:eastAsia="宋体" w:hAnsi="Times New Roman" w:cs="Times New Roman"/>
                <w:sz w:val="18"/>
                <w:szCs w:val="18"/>
              </w:rPr>
              <w:t>年持平</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税前折现率</w:t>
            </w:r>
            <w:r>
              <w:rPr>
                <w:rFonts w:ascii="Times New Roman" w:eastAsia="宋体" w:hAnsi="Times New Roman" w:cs="Times New Roman"/>
                <w:sz w:val="18"/>
                <w:szCs w:val="18"/>
              </w:rPr>
              <w:t xml:space="preserve"> 12.59%</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98,975,614.04</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96,000,000.00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4,661,368.35</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前述信息与以前年度减值测试采用的信息或外部信息明显不一致的差异原因</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公司以前年度减值测试采用信息与当年实际情况明显不一致的差异原因</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91" w:name="_Toc989175"/>
      <w:r>
        <w:rPr>
          <w:rFonts w:ascii="Times New Roman" w:eastAsia="宋体" w:hAnsi="Times New Roman" w:cs="Times New Roman"/>
          <w:b/>
          <w:bCs/>
          <w:szCs w:val="21"/>
        </w:rPr>
        <w:t>（</w:t>
      </w:r>
      <w:r>
        <w:rPr>
          <w:rFonts w:ascii="Times New Roman" w:eastAsia="宋体" w:hAnsi="Times New Roman" w:cs="Times New Roman"/>
          <w:b/>
          <w:bCs/>
          <w:szCs w:val="21"/>
        </w:rPr>
        <w:t>5</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业绩承诺完成及对应商誉减值情况</w:t>
      </w:r>
      <w:bookmarkEnd w:id="291"/>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形成商誉时存在业绩承诺且报告期或报告期上一期间处于业绩承诺期内</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其他说明</w:t>
      </w:r>
    </w:p>
    <w:p w:rsidR="00CE3C32" w:rsidRDefault="00CE3C32">
      <w:pPr>
        <w:rPr>
          <w:rFonts w:ascii="Times New Roman" w:hAnsi="Times New Roman" w:cs="Times New Roman"/>
          <w:sz w:val="18"/>
          <w:szCs w:val="18"/>
        </w:rPr>
      </w:pPr>
    </w:p>
    <w:p w:rsidR="00CE3C32" w:rsidRDefault="006413B8">
      <w:pPr>
        <w:pStyle w:val="3"/>
        <w:spacing w:line="280" w:lineRule="exact"/>
        <w:jc w:val="left"/>
        <w:rPr>
          <w:rFonts w:ascii="Times New Roman" w:hAnsi="Times New Roman" w:cs="Times New Roman"/>
          <w:b/>
          <w:bCs/>
        </w:rPr>
      </w:pPr>
      <w:bookmarkStart w:id="292" w:name="_Toc989176"/>
      <w:r>
        <w:rPr>
          <w:rFonts w:ascii="Times New Roman" w:hAnsi="Times New Roman" w:cs="Times New Roman"/>
          <w:b/>
          <w:bCs/>
        </w:rPr>
        <w:t>28</w:t>
      </w:r>
      <w:r>
        <w:rPr>
          <w:rFonts w:ascii="Times New Roman" w:hAnsi="Times New Roman" w:cs="Times New Roman"/>
          <w:b/>
          <w:bCs/>
        </w:rPr>
        <w:t>、长期待摊费用</w:t>
      </w:r>
      <w:bookmarkEnd w:id="29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本期摊销金额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其他减少金额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装修费用</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2,644,196.98</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1,433,189.18</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322,042.30</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3,755,343.86</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OA</w:t>
            </w:r>
            <w:r>
              <w:rPr>
                <w:rFonts w:ascii="Times New Roman" w:eastAsia="宋体" w:hAnsi="Times New Roman" w:cs="Times New Roman"/>
                <w:sz w:val="18"/>
                <w:szCs w:val="18"/>
              </w:rPr>
              <w:t>软件实施</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250,753.77</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25,075.38</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225,678.39</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2,894,950.75</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1,433,189.18</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347,117.68</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3,981,022.25</w:t>
            </w:r>
          </w:p>
        </w:tc>
      </w:tr>
    </w:tbl>
    <w:p w:rsidR="00CE3C32" w:rsidRDefault="006413B8">
      <w:pPr>
        <w:spacing w:before="100" w:after="100" w:line="240" w:lineRule="exact"/>
        <w:rPr>
          <w:rFonts w:ascii="Times New Roman" w:hAnsi="Times New Roman" w:cs="Times New Roman"/>
          <w:szCs w:val="21"/>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r>
        <w:rPr>
          <w:rFonts w:ascii="Times New Roman" w:hAnsi="Times New Roman" w:cs="Times New Roman"/>
          <w:sz w:val="18"/>
          <w:szCs w:val="18"/>
        </w:rPr>
        <w:t>本期新增主要系海逸</w:t>
      </w:r>
      <w:r>
        <w:rPr>
          <w:rFonts w:ascii="Times New Roman" w:hAnsi="Times New Roman" w:cs="Times New Roman"/>
          <w:sz w:val="18"/>
          <w:szCs w:val="18"/>
        </w:rPr>
        <w:t>7</w:t>
      </w:r>
      <w:r>
        <w:rPr>
          <w:rFonts w:ascii="Times New Roman" w:hAnsi="Times New Roman" w:cs="Times New Roman"/>
          <w:sz w:val="18"/>
          <w:szCs w:val="18"/>
        </w:rPr>
        <w:t>楼办公装修</w:t>
      </w:r>
      <w:r>
        <w:rPr>
          <w:rFonts w:ascii="Times New Roman" w:hAnsi="Times New Roman" w:cs="Times New Roman"/>
          <w:sz w:val="18"/>
          <w:szCs w:val="18"/>
        </w:rPr>
        <w:t>+</w:t>
      </w:r>
      <w:r>
        <w:rPr>
          <w:rFonts w:ascii="Times New Roman" w:hAnsi="Times New Roman" w:cs="Times New Roman"/>
          <w:sz w:val="18"/>
          <w:szCs w:val="18"/>
        </w:rPr>
        <w:t>弱电</w:t>
      </w:r>
      <w:r>
        <w:rPr>
          <w:rFonts w:ascii="Times New Roman" w:hAnsi="Times New Roman" w:cs="Times New Roman" w:hint="eastAsia"/>
          <w:sz w:val="18"/>
          <w:szCs w:val="18"/>
        </w:rPr>
        <w:t>项目</w:t>
      </w:r>
      <w:r>
        <w:rPr>
          <w:rFonts w:ascii="Times New Roman" w:hAnsi="Times New Roman" w:cs="Times New Roman"/>
          <w:sz w:val="18"/>
          <w:szCs w:val="18"/>
        </w:rPr>
        <w:t>。</w:t>
      </w:r>
    </w:p>
    <w:p w:rsidR="00CE3C32" w:rsidRDefault="006413B8">
      <w:pPr>
        <w:pStyle w:val="3"/>
        <w:spacing w:line="280" w:lineRule="exact"/>
        <w:jc w:val="left"/>
        <w:rPr>
          <w:rFonts w:ascii="Times New Roman" w:hAnsi="Times New Roman" w:cs="Times New Roman"/>
          <w:b/>
          <w:bCs/>
        </w:rPr>
      </w:pPr>
      <w:bookmarkStart w:id="293" w:name="_Toc989177"/>
      <w:r>
        <w:rPr>
          <w:rFonts w:ascii="Times New Roman" w:hAnsi="Times New Roman" w:cs="Times New Roman"/>
          <w:b/>
          <w:bCs/>
        </w:rPr>
        <w:t>29</w:t>
      </w:r>
      <w:r>
        <w:rPr>
          <w:rFonts w:ascii="Times New Roman" w:hAnsi="Times New Roman" w:cs="Times New Roman"/>
          <w:b/>
          <w:bCs/>
        </w:rPr>
        <w:t>、递延所得税资产</w:t>
      </w:r>
      <w:r>
        <w:rPr>
          <w:rFonts w:ascii="Times New Roman" w:hAnsi="Times New Roman" w:cs="Times New Roman"/>
          <w:b/>
          <w:bCs/>
        </w:rPr>
        <w:t>/</w:t>
      </w:r>
      <w:r>
        <w:rPr>
          <w:rFonts w:ascii="Times New Roman" w:hAnsi="Times New Roman" w:cs="Times New Roman"/>
          <w:b/>
          <w:bCs/>
        </w:rPr>
        <w:t>递延所得税负债</w:t>
      </w:r>
      <w:bookmarkEnd w:id="293"/>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94" w:name="_Toc989178"/>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未经抵销的递延所得税资产</w:t>
      </w:r>
      <w:bookmarkEnd w:id="294"/>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blHeader/>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项目</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blHeader/>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可抵扣暂时性差异</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递延所得税资产</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可抵扣暂时性差异</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递延所得税资产</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资产减值准备</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90,595,891.88</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13,662,863.82</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93,289,217.85</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14,069,102.19</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内部交易未实现利润</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5,638.36</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845.75</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65,242.46</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9,786.37</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可抵扣亏损</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56,870,456.79</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9,946,681.85</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56,490,835.53</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9,546,509.54</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分期收款销售商品存货的所得税影响</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27,279,918.11</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4,091,987.72</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27,635,156.65</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4,145,273.50</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无形资产摊销差异</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2,515,890.80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377,383.62</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2,809,182.98</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421,377.45</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其他权益工具投资</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316,600.00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47,490.00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316,600.00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47,490.00</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租赁负债</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16,530,307.40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3,003,710.54</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8,517,744.37</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1,365,840.83</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股份支付</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19,893,714.60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3,117,824.22</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14,209,796.15</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2,219,148.20</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214,008,417.94</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34,248,787.52</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203,333,775.99</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31,824,528.08</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95" w:name="_Toc989179"/>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未经抵销的递延所得税负债</w:t>
      </w:r>
      <w:bookmarkEnd w:id="295"/>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应纳税暂时性差异</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递延所得税负债</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应纳税暂时性差异</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递延所得税负债</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长期应收款</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38,021,979.21</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5,703,296.88</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38,727,568.34</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5,809,135.25</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使用权资产</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16,759,555.97</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3,043,913.52</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8,594,708.86</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1,372,625.36</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54,781,535.18</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8,747,210.40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47,322,277.20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7,181,760.61</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96" w:name="_Toc989180"/>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以抵销后净额列示的递延所得税资产或负债</w:t>
      </w:r>
      <w:bookmarkEnd w:id="296"/>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递延所得税资产和负债期末互抵金额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抵销后递延所得税资产或负债期末余额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递延所得税资产和负债期初互抵金额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抵销后递延所得税资产或负债期初余额</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递延所得税资产</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34,248,787.52</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31,824,528.08</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递延所得税负债</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8,747,210.40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7,181,760.61</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97" w:name="_Toc989181"/>
      <w:r>
        <w:rPr>
          <w:rFonts w:ascii="Times New Roman" w:eastAsia="宋体" w:hAnsi="Times New Roman" w:cs="Times New Roman"/>
          <w:b/>
          <w:bCs/>
          <w:szCs w:val="21"/>
        </w:rPr>
        <w:t>（</w:t>
      </w:r>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未确认递延所得税资产明细</w:t>
      </w:r>
      <w:bookmarkEnd w:id="297"/>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298" w:name="_Toc989182"/>
      <w:r>
        <w:rPr>
          <w:rFonts w:ascii="Times New Roman" w:eastAsia="宋体" w:hAnsi="Times New Roman" w:cs="Times New Roman"/>
          <w:b/>
          <w:bCs/>
          <w:szCs w:val="21"/>
        </w:rPr>
        <w:t>（</w:t>
      </w:r>
      <w:r>
        <w:rPr>
          <w:rFonts w:ascii="Times New Roman" w:eastAsia="宋体" w:hAnsi="Times New Roman" w:cs="Times New Roman"/>
          <w:b/>
          <w:bCs/>
          <w:szCs w:val="21"/>
        </w:rPr>
        <w:t>5</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未确认递延所得税资产的可抵扣亏损将于以下年度到期</w:t>
      </w:r>
      <w:bookmarkEnd w:id="29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年份</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备注</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299" w:name="_Toc989183"/>
      <w:r>
        <w:rPr>
          <w:rFonts w:ascii="Times New Roman" w:hAnsi="Times New Roman" w:cs="Times New Roman"/>
          <w:b/>
          <w:bCs/>
        </w:rPr>
        <w:t>30</w:t>
      </w:r>
      <w:r>
        <w:rPr>
          <w:rFonts w:ascii="Times New Roman" w:hAnsi="Times New Roman" w:cs="Times New Roman"/>
          <w:b/>
          <w:bCs/>
        </w:rPr>
        <w:t>、其他非流动资产</w:t>
      </w:r>
      <w:bookmarkEnd w:id="299"/>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合同资产</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510,449.89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25,522.49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484,927.40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821,399.89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41,069.99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780,329.90</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合计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510,449.89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25,522.49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484,927.40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821,399.89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41,069.99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780,329.90</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CE3C32">
      <w:pPr>
        <w:rPr>
          <w:rFonts w:ascii="Times New Roman" w:hAnsi="Times New Roman" w:cs="Times New Roman"/>
          <w:sz w:val="18"/>
          <w:szCs w:val="18"/>
        </w:rPr>
      </w:pPr>
    </w:p>
    <w:p w:rsidR="00CE3C32" w:rsidRDefault="006413B8">
      <w:pPr>
        <w:pStyle w:val="3"/>
        <w:spacing w:line="280" w:lineRule="exact"/>
        <w:jc w:val="left"/>
        <w:rPr>
          <w:rFonts w:ascii="Times New Roman" w:hAnsi="Times New Roman" w:cs="Times New Roman"/>
          <w:b/>
          <w:bCs/>
        </w:rPr>
      </w:pPr>
      <w:bookmarkStart w:id="300" w:name="_Toc989184"/>
      <w:r>
        <w:rPr>
          <w:rFonts w:ascii="Times New Roman" w:hAnsi="Times New Roman" w:cs="Times New Roman"/>
          <w:b/>
          <w:bCs/>
        </w:rPr>
        <w:t>31</w:t>
      </w:r>
      <w:r>
        <w:rPr>
          <w:rFonts w:ascii="Times New Roman" w:hAnsi="Times New Roman" w:cs="Times New Roman"/>
          <w:b/>
          <w:bCs/>
        </w:rPr>
        <w:t>、所有权或使用权受到限制的资产</w:t>
      </w:r>
      <w:bookmarkEnd w:id="300"/>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CE3C32">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w:t>
            </w:r>
          </w:p>
        </w:tc>
      </w:tr>
      <w:tr w:rsidR="00CE3C32">
        <w:trPr>
          <w:trHeight w:val="240"/>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受限类型</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受限情况</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受限类型</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受限情况</w:t>
            </w:r>
          </w:p>
        </w:tc>
      </w:tr>
      <w:tr w:rsidR="00CE3C32">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货币资金</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71,968,016.03</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71,968,016.03</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承兑保证金、保函保证金、大额定期存单</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62,901,653.46</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62,901,653.46</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承兑保证金、保函保证金、质押存款、大额定期存单</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71,968,016.03</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71,968,016.03</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62,901,653.46</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62,901,653.46</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301" w:name="_Toc989185"/>
      <w:r>
        <w:rPr>
          <w:rFonts w:ascii="Times New Roman" w:hAnsi="Times New Roman" w:cs="Times New Roman"/>
          <w:b/>
          <w:bCs/>
        </w:rPr>
        <w:t>32</w:t>
      </w:r>
      <w:r>
        <w:rPr>
          <w:rFonts w:ascii="Times New Roman" w:hAnsi="Times New Roman" w:cs="Times New Roman"/>
          <w:b/>
          <w:bCs/>
        </w:rPr>
        <w:t>、短期借款</w:t>
      </w:r>
      <w:bookmarkEnd w:id="301"/>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02" w:name="_Toc989186"/>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短期借款分类</w:t>
      </w:r>
      <w:bookmarkEnd w:id="30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保证借款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64,141,107.04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46,223,781.13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信用证融资</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27,306,310.90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91,447,417.94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46,223,781.13</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短期借款分类的说明：</w:t>
      </w:r>
      <w:r>
        <w:rPr>
          <w:rFonts w:ascii="Times New Roman" w:eastAsia="宋体" w:hAnsi="Times New Roman" w:cs="Times New Roman" w:hint="eastAsia"/>
          <w:sz w:val="18"/>
          <w:szCs w:val="18"/>
        </w:rPr>
        <w:t>无。</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03" w:name="_Toc989187"/>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已逾期未偿还的短期借款情况</w:t>
      </w:r>
      <w:bookmarkEnd w:id="303"/>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本期末已逾期未偿还的短期借款总额为</w:t>
      </w:r>
      <w:r>
        <w:rPr>
          <w:rFonts w:ascii="Times New Roman" w:eastAsia="宋体" w:hAnsi="Times New Roman" w:cs="Times New Roman"/>
          <w:sz w:val="18"/>
          <w:szCs w:val="18"/>
        </w:rPr>
        <w:t>0.00</w:t>
      </w:r>
      <w:r>
        <w:rPr>
          <w:rFonts w:ascii="Times New Roman" w:eastAsia="宋体" w:hAnsi="Times New Roman" w:cs="Times New Roman"/>
          <w:sz w:val="18"/>
          <w:szCs w:val="18"/>
        </w:rPr>
        <w:t>元，其中重要的已逾期未偿还的短期借款情况如下：</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借款单位</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借款利率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逾期时间</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逾期利率</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304" w:name="_Toc989188"/>
      <w:r>
        <w:rPr>
          <w:rFonts w:ascii="Times New Roman" w:hAnsi="Times New Roman" w:cs="Times New Roman"/>
          <w:b/>
          <w:bCs/>
        </w:rPr>
        <w:t>33</w:t>
      </w:r>
      <w:r>
        <w:rPr>
          <w:rFonts w:ascii="Times New Roman" w:hAnsi="Times New Roman" w:cs="Times New Roman"/>
          <w:b/>
          <w:bCs/>
        </w:rPr>
        <w:t>、交易性金融负债</w:t>
      </w:r>
      <w:bookmarkEnd w:id="304"/>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305" w:name="_Toc989189"/>
      <w:r>
        <w:rPr>
          <w:rFonts w:ascii="Times New Roman" w:hAnsi="Times New Roman" w:cs="Times New Roman"/>
          <w:b/>
          <w:bCs/>
        </w:rPr>
        <w:t>34</w:t>
      </w:r>
      <w:r>
        <w:rPr>
          <w:rFonts w:ascii="Times New Roman" w:hAnsi="Times New Roman" w:cs="Times New Roman"/>
          <w:b/>
          <w:bCs/>
        </w:rPr>
        <w:t>、衍生金融负债</w:t>
      </w:r>
      <w:bookmarkEnd w:id="305"/>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306" w:name="_Toc989190"/>
      <w:r>
        <w:rPr>
          <w:rFonts w:ascii="Times New Roman" w:hAnsi="Times New Roman" w:cs="Times New Roman"/>
          <w:b/>
          <w:bCs/>
        </w:rPr>
        <w:t>35</w:t>
      </w:r>
      <w:r>
        <w:rPr>
          <w:rFonts w:ascii="Times New Roman" w:hAnsi="Times New Roman" w:cs="Times New Roman"/>
          <w:b/>
          <w:bCs/>
        </w:rPr>
        <w:t>、应付票据</w:t>
      </w:r>
      <w:bookmarkEnd w:id="306"/>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种类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银行承兑汇票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6,378,346.00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6,378,346.00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bl>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本期末已到期未支付的应付票据总额为</w:t>
      </w:r>
      <w:r>
        <w:rPr>
          <w:rFonts w:ascii="Times New Roman" w:eastAsia="宋体" w:hAnsi="Times New Roman" w:cs="Times New Roman"/>
          <w:sz w:val="18"/>
          <w:szCs w:val="18"/>
        </w:rPr>
        <w:t>0.00</w:t>
      </w:r>
      <w:r>
        <w:rPr>
          <w:rFonts w:ascii="Times New Roman" w:eastAsia="宋体" w:hAnsi="Times New Roman" w:cs="Times New Roman"/>
          <w:sz w:val="18"/>
          <w:szCs w:val="18"/>
        </w:rPr>
        <w:t>元。</w:t>
      </w:r>
    </w:p>
    <w:p w:rsidR="00CE3C32" w:rsidRDefault="006413B8">
      <w:pPr>
        <w:pStyle w:val="3"/>
        <w:spacing w:line="280" w:lineRule="exact"/>
        <w:jc w:val="left"/>
        <w:rPr>
          <w:rFonts w:ascii="Times New Roman" w:hAnsi="Times New Roman" w:cs="Times New Roman"/>
          <w:b/>
          <w:bCs/>
        </w:rPr>
      </w:pPr>
      <w:bookmarkStart w:id="307" w:name="_Toc989191"/>
      <w:r>
        <w:rPr>
          <w:rFonts w:ascii="Times New Roman" w:hAnsi="Times New Roman" w:cs="Times New Roman"/>
          <w:b/>
          <w:bCs/>
        </w:rPr>
        <w:t>36</w:t>
      </w:r>
      <w:r>
        <w:rPr>
          <w:rFonts w:ascii="Times New Roman" w:hAnsi="Times New Roman" w:cs="Times New Roman"/>
          <w:b/>
          <w:bCs/>
        </w:rPr>
        <w:t>、应付账款</w:t>
      </w:r>
      <w:bookmarkEnd w:id="307"/>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308" w:name="_Toc989192"/>
      <w:r>
        <w:rPr>
          <w:rFonts w:ascii="Times New Roman" w:eastAsia="宋体" w:hAnsi="Times New Roman" w:cs="Times New Roman"/>
          <w:b/>
          <w:bCs/>
          <w:sz w:val="18"/>
          <w:szCs w:val="18"/>
        </w:rPr>
        <w:t>（</w:t>
      </w:r>
      <w:r>
        <w:rPr>
          <w:rFonts w:ascii="Times New Roman" w:eastAsia="宋体" w:hAnsi="Times New Roman" w:cs="Times New Roman"/>
          <w:b/>
          <w:bCs/>
          <w:sz w:val="18"/>
          <w:szCs w:val="18"/>
        </w:rPr>
        <w:t>1</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应付账款列示</w:t>
      </w:r>
      <w:bookmarkEnd w:id="30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年以内</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60,361,152.48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284,195,157.30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至</w:t>
            </w:r>
            <w:r>
              <w:rPr>
                <w:rFonts w:ascii="Times New Roman" w:eastAsia="宋体" w:hAnsi="Times New Roman" w:cs="Times New Roman"/>
                <w:sz w:val="18"/>
                <w:szCs w:val="18"/>
              </w:rPr>
              <w:t>2</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20,646,249.19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15,183,821.09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至</w:t>
            </w:r>
            <w:r>
              <w:rPr>
                <w:rFonts w:ascii="Times New Roman" w:eastAsia="宋体" w:hAnsi="Times New Roman" w:cs="Times New Roman"/>
                <w:sz w:val="18"/>
                <w:szCs w:val="18"/>
              </w:rPr>
              <w:t>3</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7,034,651.35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7,630,570.52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至</w:t>
            </w:r>
            <w:r>
              <w:rPr>
                <w:rFonts w:ascii="Times New Roman" w:eastAsia="宋体" w:hAnsi="Times New Roman" w:cs="Times New Roman"/>
                <w:sz w:val="18"/>
                <w:szCs w:val="18"/>
              </w:rPr>
              <w:t>4</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3,704,403.65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3,088,569.55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至</w:t>
            </w:r>
            <w:r>
              <w:rPr>
                <w:rFonts w:ascii="Times New Roman" w:eastAsia="宋体" w:hAnsi="Times New Roman" w:cs="Times New Roman"/>
                <w:sz w:val="18"/>
                <w:szCs w:val="18"/>
              </w:rPr>
              <w:t>5</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973,433.47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130,869.11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年以上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593,479.74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466,308.87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93,313,369.88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310,695,296.44</w:t>
            </w:r>
          </w:p>
        </w:tc>
      </w:tr>
    </w:tbl>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309" w:name="_Toc989193"/>
      <w:r>
        <w:rPr>
          <w:rFonts w:ascii="Times New Roman" w:eastAsia="宋体" w:hAnsi="Times New Roman" w:cs="Times New Roman"/>
          <w:b/>
          <w:bCs/>
          <w:sz w:val="18"/>
          <w:szCs w:val="18"/>
        </w:rPr>
        <w:t>（</w:t>
      </w:r>
      <w:r>
        <w:rPr>
          <w:rFonts w:ascii="Times New Roman" w:eastAsia="宋体" w:hAnsi="Times New Roman" w:cs="Times New Roman"/>
          <w:b/>
          <w:bCs/>
          <w:sz w:val="18"/>
          <w:szCs w:val="18"/>
        </w:rPr>
        <w:t>2</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账龄超过</w:t>
      </w:r>
      <w:r>
        <w:rPr>
          <w:rFonts w:ascii="Times New Roman" w:eastAsia="宋体" w:hAnsi="Times New Roman" w:cs="Times New Roman"/>
          <w:b/>
          <w:bCs/>
          <w:sz w:val="18"/>
          <w:szCs w:val="18"/>
        </w:rPr>
        <w:t>1</w:t>
      </w:r>
      <w:r>
        <w:rPr>
          <w:rFonts w:ascii="Times New Roman" w:eastAsia="宋体" w:hAnsi="Times New Roman" w:cs="Times New Roman"/>
          <w:b/>
          <w:bCs/>
          <w:sz w:val="18"/>
          <w:szCs w:val="18"/>
        </w:rPr>
        <w:t>年或逾期的重要应付账款</w:t>
      </w:r>
      <w:bookmarkEnd w:id="309"/>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未偿还或结转的原因</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供应商</w:t>
            </w:r>
            <w:r>
              <w:rPr>
                <w:rFonts w:ascii="Times New Roman" w:eastAsia="宋体" w:hAnsi="Times New Roman" w:cs="Times New Roman"/>
                <w:sz w:val="18"/>
                <w:szCs w:val="18"/>
              </w:rPr>
              <w:t>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8,771,826.15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合同未履行完毕</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供应商</w:t>
            </w:r>
            <w:r>
              <w:rPr>
                <w:rFonts w:ascii="Times New Roman" w:eastAsia="宋体" w:hAnsi="Times New Roman" w:cs="Times New Roman"/>
                <w:sz w:val="18"/>
                <w:szCs w:val="18"/>
              </w:rPr>
              <w:t>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3,996,443.47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合同未履行完毕</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供应商</w:t>
            </w:r>
            <w:r>
              <w:rPr>
                <w:rFonts w:ascii="Times New Roman" w:eastAsia="宋体" w:hAnsi="Times New Roman" w:cs="Times New Roman"/>
                <w:sz w:val="18"/>
                <w:szCs w:val="18"/>
              </w:rPr>
              <w:t>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1,968,335.14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合同未履行完毕</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供应商</w:t>
            </w:r>
            <w:r>
              <w:rPr>
                <w:rFonts w:ascii="Times New Roman" w:eastAsia="宋体" w:hAnsi="Times New Roman" w:cs="Times New Roman"/>
                <w:sz w:val="18"/>
                <w:szCs w:val="18"/>
              </w:rPr>
              <w:t>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2,416,320.80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合同未履行完毕</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供应商</w:t>
            </w:r>
            <w:r>
              <w:rPr>
                <w:rFonts w:ascii="Times New Roman" w:eastAsia="宋体" w:hAnsi="Times New Roman" w:cs="Times New Roman"/>
                <w:sz w:val="18"/>
                <w:szCs w:val="18"/>
              </w:rPr>
              <w:t>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1,523,548.71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合同未履行完毕</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供应商</w:t>
            </w:r>
            <w:r>
              <w:rPr>
                <w:rFonts w:ascii="Times New Roman" w:eastAsia="宋体" w:hAnsi="Times New Roman" w:cs="Times New Roman"/>
                <w:sz w:val="18"/>
                <w:szCs w:val="18"/>
              </w:rPr>
              <w:t>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1,132,075.47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合同未履行完毕</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供应商</w:t>
            </w:r>
            <w:r>
              <w:rPr>
                <w:rFonts w:ascii="Times New Roman" w:eastAsia="宋体" w:hAnsi="Times New Roman" w:cs="Times New Roman"/>
                <w:sz w:val="18"/>
                <w:szCs w:val="18"/>
              </w:rPr>
              <w:t>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1,834,982.72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合同未履行完毕</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供应商</w:t>
            </w:r>
            <w:r>
              <w:rPr>
                <w:rFonts w:ascii="Times New Roman" w:eastAsia="宋体" w:hAnsi="Times New Roman" w:cs="Times New Roman"/>
                <w:sz w:val="18"/>
                <w:szCs w:val="18"/>
              </w:rPr>
              <w:t>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6,237,013.78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合同未履行完毕</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27,880,546.24</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310" w:name="_Toc989194"/>
      <w:r>
        <w:rPr>
          <w:rFonts w:ascii="Times New Roman" w:hAnsi="Times New Roman" w:cs="Times New Roman"/>
          <w:b/>
          <w:bCs/>
        </w:rPr>
        <w:t>37</w:t>
      </w:r>
      <w:r>
        <w:rPr>
          <w:rFonts w:ascii="Times New Roman" w:hAnsi="Times New Roman" w:cs="Times New Roman"/>
          <w:b/>
          <w:bCs/>
        </w:rPr>
        <w:t>、其他应付款</w:t>
      </w:r>
      <w:bookmarkEnd w:id="310"/>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25,426,182.99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29,616,531.12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25,426,182.99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29,616,531.12</w:t>
            </w:r>
          </w:p>
        </w:tc>
      </w:tr>
    </w:tbl>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311" w:name="_Toc989195"/>
      <w:r>
        <w:rPr>
          <w:rFonts w:ascii="Times New Roman" w:eastAsia="宋体" w:hAnsi="Times New Roman" w:cs="Times New Roman"/>
          <w:b/>
          <w:bCs/>
          <w:sz w:val="18"/>
          <w:szCs w:val="18"/>
        </w:rPr>
        <w:lastRenderedPageBreak/>
        <w:t>（</w:t>
      </w:r>
      <w:r>
        <w:rPr>
          <w:rFonts w:ascii="Times New Roman" w:eastAsia="宋体" w:hAnsi="Times New Roman" w:cs="Times New Roman"/>
          <w:b/>
          <w:bCs/>
          <w:sz w:val="18"/>
          <w:szCs w:val="18"/>
        </w:rPr>
        <w:t>1</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应付利息</w:t>
      </w:r>
      <w:bookmarkEnd w:id="311"/>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重要的已逾期未支付的利息情况：</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借款单位</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逾期金额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逾期原因</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312" w:name="_Toc989196"/>
      <w:r>
        <w:rPr>
          <w:rFonts w:ascii="Times New Roman" w:eastAsia="宋体" w:hAnsi="Times New Roman" w:cs="Times New Roman"/>
          <w:b/>
          <w:bCs/>
          <w:sz w:val="18"/>
          <w:szCs w:val="18"/>
        </w:rPr>
        <w:t>（</w:t>
      </w:r>
      <w:r>
        <w:rPr>
          <w:rFonts w:ascii="Times New Roman" w:eastAsia="宋体" w:hAnsi="Times New Roman" w:cs="Times New Roman"/>
          <w:b/>
          <w:bCs/>
          <w:sz w:val="18"/>
          <w:szCs w:val="18"/>
        </w:rPr>
        <w:t>2</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应付股利</w:t>
      </w:r>
      <w:bookmarkEnd w:id="31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其他说明，包括重要的超过</w:t>
      </w:r>
      <w:r>
        <w:rPr>
          <w:rFonts w:ascii="Times New Roman" w:eastAsia="宋体" w:hAnsi="Times New Roman" w:cs="Times New Roman"/>
          <w:sz w:val="18"/>
          <w:szCs w:val="18"/>
        </w:rPr>
        <w:t>1</w:t>
      </w:r>
      <w:r>
        <w:rPr>
          <w:rFonts w:ascii="Times New Roman" w:eastAsia="宋体" w:hAnsi="Times New Roman" w:cs="Times New Roman"/>
          <w:sz w:val="18"/>
          <w:szCs w:val="18"/>
        </w:rPr>
        <w:t>年未支付的应付股利，应披露未支付原因：</w:t>
      </w: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313" w:name="_Toc989197"/>
      <w:r>
        <w:rPr>
          <w:rFonts w:ascii="Times New Roman" w:eastAsia="宋体" w:hAnsi="Times New Roman" w:cs="Times New Roman"/>
          <w:b/>
          <w:bCs/>
          <w:sz w:val="18"/>
          <w:szCs w:val="18"/>
        </w:rPr>
        <w:t>（</w:t>
      </w:r>
      <w:r>
        <w:rPr>
          <w:rFonts w:ascii="Times New Roman" w:eastAsia="宋体" w:hAnsi="Times New Roman" w:cs="Times New Roman"/>
          <w:b/>
          <w:bCs/>
          <w:sz w:val="18"/>
          <w:szCs w:val="18"/>
        </w:rPr>
        <w:t>3</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其他应付款</w:t>
      </w:r>
      <w:bookmarkEnd w:id="313"/>
    </w:p>
    <w:p w:rsidR="00CE3C32" w:rsidRDefault="006413B8">
      <w:pPr>
        <w:keepNext/>
        <w:keepLines/>
        <w:spacing w:before="300" w:after="300" w:line="280" w:lineRule="exact"/>
        <w:outlineLvl w:val="4"/>
        <w:rPr>
          <w:rFonts w:ascii="Times New Roman" w:eastAsia="宋体" w:hAnsi="Times New Roman" w:cs="Times New Roman"/>
          <w:b/>
          <w:bCs/>
          <w:sz w:val="18"/>
          <w:szCs w:val="18"/>
        </w:rPr>
      </w:pPr>
      <w:bookmarkStart w:id="314" w:name="_Toc989198"/>
      <w:r>
        <w:rPr>
          <w:rFonts w:ascii="Times New Roman" w:eastAsia="宋体" w:hAnsi="Times New Roman" w:cs="Times New Roman"/>
          <w:b/>
          <w:bCs/>
          <w:sz w:val="18"/>
          <w:szCs w:val="18"/>
        </w:rPr>
        <w:t>1</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按款项性质列示其他应付款</w:t>
      </w:r>
      <w:bookmarkEnd w:id="314"/>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押金保证金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115,166.78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往来款项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1,973,140.00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2,274,624.99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员工报销款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1,371,125.95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444,494.79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股票回购款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21,750,820.88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25,729,004.00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331,096.16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1,053,240.56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25,426,182.99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29,616,531.12</w:t>
            </w:r>
          </w:p>
        </w:tc>
      </w:tr>
    </w:tbl>
    <w:p w:rsidR="00CE3C32" w:rsidRDefault="006413B8">
      <w:pPr>
        <w:keepNext/>
        <w:keepLines/>
        <w:spacing w:before="300" w:after="300" w:line="280" w:lineRule="exact"/>
        <w:outlineLvl w:val="4"/>
        <w:rPr>
          <w:rFonts w:ascii="Times New Roman" w:eastAsia="宋体" w:hAnsi="Times New Roman" w:cs="Times New Roman"/>
          <w:b/>
          <w:bCs/>
          <w:sz w:val="18"/>
          <w:szCs w:val="18"/>
        </w:rPr>
      </w:pPr>
      <w:bookmarkStart w:id="315" w:name="_Toc989199"/>
      <w:r>
        <w:rPr>
          <w:rFonts w:ascii="Times New Roman" w:eastAsia="宋体" w:hAnsi="Times New Roman" w:cs="Times New Roman"/>
          <w:b/>
          <w:bCs/>
          <w:sz w:val="18"/>
          <w:szCs w:val="18"/>
        </w:rPr>
        <w:t>2</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账龄超过</w:t>
      </w:r>
      <w:r>
        <w:rPr>
          <w:rFonts w:ascii="Times New Roman" w:eastAsia="宋体" w:hAnsi="Times New Roman" w:cs="Times New Roman"/>
          <w:b/>
          <w:bCs/>
          <w:sz w:val="18"/>
          <w:szCs w:val="18"/>
        </w:rPr>
        <w:t>1</w:t>
      </w:r>
      <w:r>
        <w:rPr>
          <w:rFonts w:ascii="Times New Roman" w:eastAsia="宋体" w:hAnsi="Times New Roman" w:cs="Times New Roman"/>
          <w:b/>
          <w:bCs/>
          <w:sz w:val="18"/>
          <w:szCs w:val="18"/>
        </w:rPr>
        <w:t>年或逾期的重要其他应付款</w:t>
      </w:r>
      <w:bookmarkEnd w:id="315"/>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未偿还或结转的原因</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限制性股票回购义务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21,750,820.88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未达到限制性股票解锁条件</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21,750,820.88</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316" w:name="_Toc989200"/>
      <w:r>
        <w:rPr>
          <w:rFonts w:ascii="Times New Roman" w:hAnsi="Times New Roman" w:cs="Times New Roman"/>
          <w:b/>
          <w:bCs/>
        </w:rPr>
        <w:t>38</w:t>
      </w:r>
      <w:r>
        <w:rPr>
          <w:rFonts w:ascii="Times New Roman" w:hAnsi="Times New Roman" w:cs="Times New Roman"/>
          <w:b/>
          <w:bCs/>
        </w:rPr>
        <w:t>、预收款项</w:t>
      </w:r>
      <w:bookmarkEnd w:id="316"/>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317" w:name="_Toc989201"/>
      <w:r>
        <w:rPr>
          <w:rFonts w:ascii="Times New Roman" w:eastAsia="宋体" w:hAnsi="Times New Roman" w:cs="Times New Roman"/>
          <w:b/>
          <w:bCs/>
          <w:sz w:val="18"/>
          <w:szCs w:val="18"/>
        </w:rPr>
        <w:t>（</w:t>
      </w:r>
      <w:r>
        <w:rPr>
          <w:rFonts w:ascii="Times New Roman" w:eastAsia="宋体" w:hAnsi="Times New Roman" w:cs="Times New Roman"/>
          <w:b/>
          <w:bCs/>
          <w:sz w:val="18"/>
          <w:szCs w:val="18"/>
        </w:rPr>
        <w:t>1</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预收款项列示</w:t>
      </w:r>
      <w:bookmarkEnd w:id="317"/>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bl>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318" w:name="_Toc989202"/>
      <w:r>
        <w:rPr>
          <w:rFonts w:ascii="Times New Roman" w:eastAsia="宋体" w:hAnsi="Times New Roman" w:cs="Times New Roman"/>
          <w:b/>
          <w:bCs/>
          <w:sz w:val="18"/>
          <w:szCs w:val="18"/>
        </w:rPr>
        <w:t>（</w:t>
      </w:r>
      <w:r>
        <w:rPr>
          <w:rFonts w:ascii="Times New Roman" w:eastAsia="宋体" w:hAnsi="Times New Roman" w:cs="Times New Roman"/>
          <w:b/>
          <w:bCs/>
          <w:sz w:val="18"/>
          <w:szCs w:val="18"/>
        </w:rPr>
        <w:t>2</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账龄超过</w:t>
      </w:r>
      <w:r>
        <w:rPr>
          <w:rFonts w:ascii="Times New Roman" w:eastAsia="宋体" w:hAnsi="Times New Roman" w:cs="Times New Roman"/>
          <w:b/>
          <w:bCs/>
          <w:sz w:val="18"/>
          <w:szCs w:val="18"/>
        </w:rPr>
        <w:t>1</w:t>
      </w:r>
      <w:r>
        <w:rPr>
          <w:rFonts w:ascii="Times New Roman" w:eastAsia="宋体" w:hAnsi="Times New Roman" w:cs="Times New Roman"/>
          <w:b/>
          <w:bCs/>
          <w:sz w:val="18"/>
          <w:szCs w:val="18"/>
        </w:rPr>
        <w:t>年或逾期的重要预收款项</w:t>
      </w:r>
      <w:bookmarkEnd w:id="31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未偿还或结转的原因</w:t>
            </w:r>
          </w:p>
        </w:tc>
      </w:tr>
    </w:tbl>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变动金额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变动原因</w:t>
            </w:r>
          </w:p>
        </w:tc>
      </w:tr>
    </w:tbl>
    <w:p w:rsidR="00CE3C32" w:rsidRDefault="006413B8">
      <w:pPr>
        <w:pStyle w:val="3"/>
        <w:spacing w:line="280" w:lineRule="exact"/>
        <w:jc w:val="left"/>
        <w:rPr>
          <w:rFonts w:ascii="Times New Roman" w:hAnsi="Times New Roman" w:cs="Times New Roman"/>
          <w:b/>
          <w:bCs/>
        </w:rPr>
      </w:pPr>
      <w:bookmarkStart w:id="319" w:name="_Toc989203"/>
      <w:r>
        <w:rPr>
          <w:rFonts w:ascii="Times New Roman" w:hAnsi="Times New Roman" w:cs="Times New Roman"/>
          <w:b/>
          <w:bCs/>
        </w:rPr>
        <w:t>39</w:t>
      </w:r>
      <w:r>
        <w:rPr>
          <w:rFonts w:ascii="Times New Roman" w:hAnsi="Times New Roman" w:cs="Times New Roman"/>
          <w:b/>
          <w:bCs/>
        </w:rPr>
        <w:t>、合同负债</w:t>
      </w:r>
      <w:bookmarkEnd w:id="319"/>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销货合同相关的合同负债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66,939,345.90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48,564,228.45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66,939,345.90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48,564,228.45</w:t>
            </w:r>
          </w:p>
        </w:tc>
      </w:tr>
    </w:tbl>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账龄超过</w:t>
      </w:r>
      <w:r>
        <w:rPr>
          <w:rFonts w:ascii="Times New Roman" w:eastAsia="宋体" w:hAnsi="Times New Roman" w:cs="Times New Roman"/>
          <w:sz w:val="18"/>
          <w:szCs w:val="18"/>
        </w:rPr>
        <w:t>1</w:t>
      </w:r>
      <w:r>
        <w:rPr>
          <w:rFonts w:ascii="Times New Roman" w:eastAsia="宋体" w:hAnsi="Times New Roman" w:cs="Times New Roman"/>
          <w:sz w:val="18"/>
          <w:szCs w:val="18"/>
        </w:rPr>
        <w:t>年的重要合同负债</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未偿还或结转的原因</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报告期内账面价值发生重大变动的金额和原因</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20"/>
        <w:gridCol w:w="5525"/>
        <w:gridCol w:w="3294"/>
      </w:tblGrid>
      <w:tr w:rsidR="00CE3C32">
        <w:trPr>
          <w:trHeight w:val="240"/>
        </w:trPr>
        <w:tc>
          <w:tcPr>
            <w:tcW w:w="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5525"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变动金额</w:t>
            </w:r>
          </w:p>
        </w:tc>
        <w:tc>
          <w:tcPr>
            <w:tcW w:w="329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变动原因</w:t>
            </w:r>
          </w:p>
        </w:tc>
      </w:tr>
      <w:tr w:rsidR="00CE3C32">
        <w:trPr>
          <w:trHeight w:val="240"/>
        </w:trPr>
        <w:tc>
          <w:tcPr>
            <w:tcW w:w="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项目一</w:t>
            </w:r>
          </w:p>
        </w:tc>
        <w:tc>
          <w:tcPr>
            <w:tcW w:w="552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15,700,393.53</w:t>
            </w:r>
          </w:p>
        </w:tc>
        <w:tc>
          <w:tcPr>
            <w:tcW w:w="329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项目预收款</w:t>
            </w:r>
          </w:p>
        </w:tc>
      </w:tr>
      <w:tr w:rsidR="00CE3C32">
        <w:trPr>
          <w:trHeight w:val="240"/>
        </w:trPr>
        <w:tc>
          <w:tcPr>
            <w:tcW w:w="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项目二</w:t>
            </w:r>
          </w:p>
        </w:tc>
        <w:tc>
          <w:tcPr>
            <w:tcW w:w="552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-3,126,345.42</w:t>
            </w:r>
          </w:p>
        </w:tc>
        <w:tc>
          <w:tcPr>
            <w:tcW w:w="329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项目验收</w:t>
            </w:r>
          </w:p>
        </w:tc>
      </w:tr>
      <w:tr w:rsidR="00CE3C32">
        <w:trPr>
          <w:trHeight w:val="240"/>
        </w:trPr>
        <w:tc>
          <w:tcPr>
            <w:tcW w:w="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项目三</w:t>
            </w:r>
          </w:p>
        </w:tc>
        <w:tc>
          <w:tcPr>
            <w:tcW w:w="552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-2,410,670.79</w:t>
            </w:r>
          </w:p>
        </w:tc>
        <w:tc>
          <w:tcPr>
            <w:tcW w:w="329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项目验收</w:t>
            </w:r>
          </w:p>
        </w:tc>
      </w:tr>
      <w:tr w:rsidR="00CE3C32">
        <w:trPr>
          <w:trHeight w:val="240"/>
        </w:trPr>
        <w:tc>
          <w:tcPr>
            <w:tcW w:w="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项目四</w:t>
            </w:r>
          </w:p>
        </w:tc>
        <w:tc>
          <w:tcPr>
            <w:tcW w:w="552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-5,545,235.43</w:t>
            </w:r>
          </w:p>
        </w:tc>
        <w:tc>
          <w:tcPr>
            <w:tcW w:w="329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项目验收</w:t>
            </w:r>
          </w:p>
        </w:tc>
      </w:tr>
      <w:tr w:rsidR="00CE3C32">
        <w:trPr>
          <w:trHeight w:val="240"/>
        </w:trPr>
        <w:tc>
          <w:tcPr>
            <w:tcW w:w="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项目五</w:t>
            </w:r>
          </w:p>
        </w:tc>
        <w:tc>
          <w:tcPr>
            <w:tcW w:w="552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2,848,842.39</w:t>
            </w:r>
          </w:p>
        </w:tc>
        <w:tc>
          <w:tcPr>
            <w:tcW w:w="329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项目预收款</w:t>
            </w:r>
          </w:p>
        </w:tc>
      </w:tr>
      <w:tr w:rsidR="00CE3C32">
        <w:trPr>
          <w:trHeight w:val="240"/>
        </w:trPr>
        <w:tc>
          <w:tcPr>
            <w:tcW w:w="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5525"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7,466,984.28</w:t>
            </w:r>
          </w:p>
        </w:tc>
        <w:tc>
          <w:tcPr>
            <w:tcW w:w="329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pStyle w:val="3"/>
        <w:spacing w:line="280" w:lineRule="exact"/>
        <w:jc w:val="left"/>
        <w:rPr>
          <w:rFonts w:ascii="Times New Roman" w:hAnsi="Times New Roman" w:cs="Times New Roman"/>
          <w:b/>
          <w:bCs/>
        </w:rPr>
      </w:pPr>
      <w:bookmarkStart w:id="320" w:name="_Toc989204"/>
      <w:r>
        <w:rPr>
          <w:rFonts w:ascii="Times New Roman" w:hAnsi="Times New Roman" w:cs="Times New Roman"/>
          <w:b/>
          <w:bCs/>
        </w:rPr>
        <w:t>40</w:t>
      </w:r>
      <w:r>
        <w:rPr>
          <w:rFonts w:ascii="Times New Roman" w:hAnsi="Times New Roman" w:cs="Times New Roman"/>
          <w:b/>
          <w:bCs/>
        </w:rPr>
        <w:t>、应付职工薪酬</w:t>
      </w:r>
      <w:bookmarkEnd w:id="320"/>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21" w:name="_Toc989205"/>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应付职工薪酬列示</w:t>
      </w:r>
      <w:bookmarkEnd w:id="321"/>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一、短期薪酬</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11,340,345.24</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22,196,927.62</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27,627,008.03</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5,910,264.83</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二、离职后福利</w:t>
            </w:r>
            <w:r>
              <w:rPr>
                <w:rFonts w:ascii="Times New Roman" w:eastAsia="宋体" w:hAnsi="Times New Roman" w:cs="Times New Roman"/>
                <w:sz w:val="18"/>
                <w:szCs w:val="18"/>
              </w:rPr>
              <w:t>-</w:t>
            </w:r>
            <w:r>
              <w:rPr>
                <w:rFonts w:ascii="Times New Roman" w:eastAsia="宋体" w:hAnsi="Times New Roman" w:cs="Times New Roman"/>
                <w:sz w:val="18"/>
                <w:szCs w:val="18"/>
              </w:rPr>
              <w:t>设定提存计划</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12,183.69</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1,747,830.24</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1,749,048.69</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10,965.24</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11,352,528.93</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23,944,757.86</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29,376,056.72</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5,921,230.07</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22" w:name="_Toc989206"/>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短期薪酬列示</w:t>
      </w:r>
      <w:bookmarkEnd w:id="32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3293"/>
        <w:gridCol w:w="1671"/>
        <w:gridCol w:w="1671"/>
        <w:gridCol w:w="1671"/>
        <w:gridCol w:w="1547"/>
      </w:tblGrid>
      <w:tr w:rsidR="00CE3C32">
        <w:trPr>
          <w:trHeight w:val="240"/>
          <w:tblHeader/>
        </w:trPr>
        <w:tc>
          <w:tcPr>
            <w:tcW w:w="167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84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84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w:t>
            </w:r>
          </w:p>
        </w:tc>
        <w:tc>
          <w:tcPr>
            <w:tcW w:w="84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本期减少</w:t>
            </w:r>
          </w:p>
        </w:tc>
        <w:tc>
          <w:tcPr>
            <w:tcW w:w="78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67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、工资、奖金、津贴和补贴</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10,877,731.27</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20,999,190.81</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26,389,256.98</w:t>
            </w:r>
          </w:p>
        </w:tc>
        <w:tc>
          <w:tcPr>
            <w:tcW w:w="78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5,487,665.10</w:t>
            </w:r>
          </w:p>
        </w:tc>
      </w:tr>
      <w:tr w:rsidR="00CE3C32">
        <w:trPr>
          <w:trHeight w:val="240"/>
        </w:trPr>
        <w:tc>
          <w:tcPr>
            <w:tcW w:w="167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、职工福利费</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39,200.00</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264,641.21</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303,841.21</w:t>
            </w:r>
          </w:p>
        </w:tc>
        <w:tc>
          <w:tcPr>
            <w:tcW w:w="78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67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、社会保险费</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6,763.44</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662,645.57</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663,324.81</w:t>
            </w:r>
          </w:p>
        </w:tc>
        <w:tc>
          <w:tcPr>
            <w:tcW w:w="78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6,084.20</w:t>
            </w:r>
          </w:p>
        </w:tc>
      </w:tr>
      <w:tr w:rsidR="00CE3C32">
        <w:trPr>
          <w:trHeight w:val="240"/>
        </w:trPr>
        <w:tc>
          <w:tcPr>
            <w:tcW w:w="167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其中：医疗保险费</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6,645.60</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638,106.47</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638,771.03</w:t>
            </w:r>
          </w:p>
        </w:tc>
        <w:tc>
          <w:tcPr>
            <w:tcW w:w="78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5,981.04</w:t>
            </w:r>
          </w:p>
        </w:tc>
      </w:tr>
      <w:tr w:rsidR="00CE3C32">
        <w:trPr>
          <w:trHeight w:val="240"/>
        </w:trPr>
        <w:tc>
          <w:tcPr>
            <w:tcW w:w="167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500" w:firstLine="900"/>
              <w:rPr>
                <w:rFonts w:ascii="Times New Roman" w:eastAsia="宋体" w:hAnsi="Times New Roman" w:cs="Times New Roman"/>
                <w:sz w:val="18"/>
                <w:szCs w:val="18"/>
              </w:rPr>
            </w:pPr>
            <w:r>
              <w:rPr>
                <w:rFonts w:ascii="Times New Roman" w:eastAsia="宋体" w:hAnsi="Times New Roman" w:cs="Times New Roman"/>
                <w:sz w:val="18"/>
                <w:szCs w:val="18"/>
              </w:rPr>
              <w:t>工伤保险费</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117.84</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15,797.88</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15,812.56</w:t>
            </w:r>
          </w:p>
        </w:tc>
        <w:tc>
          <w:tcPr>
            <w:tcW w:w="78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103.16</w:t>
            </w:r>
          </w:p>
        </w:tc>
      </w:tr>
      <w:tr w:rsidR="00CE3C32">
        <w:trPr>
          <w:trHeight w:val="240"/>
        </w:trPr>
        <w:tc>
          <w:tcPr>
            <w:tcW w:w="167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500" w:firstLine="900"/>
              <w:rPr>
                <w:rFonts w:ascii="Times New Roman" w:eastAsia="宋体" w:hAnsi="Times New Roman" w:cs="Times New Roman"/>
                <w:sz w:val="18"/>
                <w:szCs w:val="18"/>
              </w:rPr>
            </w:pPr>
            <w:r>
              <w:rPr>
                <w:rFonts w:ascii="Times New Roman" w:eastAsia="宋体" w:hAnsi="Times New Roman" w:cs="Times New Roman"/>
                <w:sz w:val="18"/>
                <w:szCs w:val="18"/>
              </w:rPr>
              <w:t>生育保险费</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8,741.22</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8,741.22</w:t>
            </w:r>
          </w:p>
        </w:tc>
        <w:tc>
          <w:tcPr>
            <w:tcW w:w="78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67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、住房公积金</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1,350.00</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254,463.80</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254,598.80</w:t>
            </w:r>
          </w:p>
        </w:tc>
        <w:tc>
          <w:tcPr>
            <w:tcW w:w="78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1,215.00</w:t>
            </w:r>
          </w:p>
        </w:tc>
      </w:tr>
      <w:tr w:rsidR="00CE3C32">
        <w:trPr>
          <w:trHeight w:val="240"/>
        </w:trPr>
        <w:tc>
          <w:tcPr>
            <w:tcW w:w="167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、工会经费和职工教育经费</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415,300.53</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15,986.23</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15,986.23</w:t>
            </w:r>
          </w:p>
        </w:tc>
        <w:tc>
          <w:tcPr>
            <w:tcW w:w="78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415,300.53</w:t>
            </w:r>
          </w:p>
        </w:tc>
      </w:tr>
      <w:tr w:rsidR="00CE3C32">
        <w:trPr>
          <w:trHeight w:val="240"/>
        </w:trPr>
        <w:tc>
          <w:tcPr>
            <w:tcW w:w="167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合计</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11,340,345.24</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22,196,927.62</w:t>
            </w:r>
          </w:p>
        </w:tc>
        <w:tc>
          <w:tcPr>
            <w:tcW w:w="84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27,627,008.03</w:t>
            </w:r>
          </w:p>
        </w:tc>
        <w:tc>
          <w:tcPr>
            <w:tcW w:w="78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5,910,264.83</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23" w:name="_Toc989207"/>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设定提存计划列示</w:t>
      </w:r>
      <w:bookmarkEnd w:id="323"/>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3227"/>
        <w:gridCol w:w="1701"/>
        <w:gridCol w:w="1701"/>
        <w:gridCol w:w="1701"/>
        <w:gridCol w:w="1523"/>
      </w:tblGrid>
      <w:tr w:rsidR="00CE3C32">
        <w:trPr>
          <w:trHeight w:val="240"/>
        </w:trPr>
        <w:tc>
          <w:tcPr>
            <w:tcW w:w="163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86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86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w:t>
            </w:r>
          </w:p>
        </w:tc>
        <w:tc>
          <w:tcPr>
            <w:tcW w:w="86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本期减少</w:t>
            </w:r>
          </w:p>
        </w:tc>
        <w:tc>
          <w:tcPr>
            <w:tcW w:w="77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63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、基本养老保险</w:t>
            </w:r>
          </w:p>
        </w:tc>
        <w:tc>
          <w:tcPr>
            <w:tcW w:w="86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11,814.40</w:t>
            </w:r>
          </w:p>
        </w:tc>
        <w:tc>
          <w:tcPr>
            <w:tcW w:w="86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1,689,544.02</w:t>
            </w:r>
          </w:p>
        </w:tc>
        <w:tc>
          <w:tcPr>
            <w:tcW w:w="86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1,690,725.46</w:t>
            </w:r>
          </w:p>
        </w:tc>
        <w:tc>
          <w:tcPr>
            <w:tcW w:w="77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10,632.96</w:t>
            </w:r>
          </w:p>
        </w:tc>
      </w:tr>
      <w:tr w:rsidR="00CE3C32">
        <w:trPr>
          <w:trHeight w:val="240"/>
        </w:trPr>
        <w:tc>
          <w:tcPr>
            <w:tcW w:w="163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、失业保险费</w:t>
            </w:r>
          </w:p>
        </w:tc>
        <w:tc>
          <w:tcPr>
            <w:tcW w:w="86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369.29</w:t>
            </w:r>
          </w:p>
        </w:tc>
        <w:tc>
          <w:tcPr>
            <w:tcW w:w="86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58,286.22</w:t>
            </w:r>
          </w:p>
        </w:tc>
        <w:tc>
          <w:tcPr>
            <w:tcW w:w="86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58,323.23</w:t>
            </w:r>
          </w:p>
        </w:tc>
        <w:tc>
          <w:tcPr>
            <w:tcW w:w="77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332.28</w:t>
            </w:r>
          </w:p>
        </w:tc>
      </w:tr>
      <w:tr w:rsidR="00CE3C32">
        <w:trPr>
          <w:trHeight w:val="240"/>
        </w:trPr>
        <w:tc>
          <w:tcPr>
            <w:tcW w:w="163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86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12,183.69</w:t>
            </w:r>
          </w:p>
        </w:tc>
        <w:tc>
          <w:tcPr>
            <w:tcW w:w="86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1,747,830.24</w:t>
            </w:r>
          </w:p>
        </w:tc>
        <w:tc>
          <w:tcPr>
            <w:tcW w:w="86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1,749,048.69</w:t>
            </w:r>
          </w:p>
        </w:tc>
        <w:tc>
          <w:tcPr>
            <w:tcW w:w="77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10,965.24</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324" w:name="_Toc989208"/>
      <w:r>
        <w:rPr>
          <w:rFonts w:ascii="Times New Roman" w:hAnsi="Times New Roman" w:cs="Times New Roman"/>
          <w:b/>
          <w:bCs/>
        </w:rPr>
        <w:t>41</w:t>
      </w:r>
      <w:r>
        <w:rPr>
          <w:rFonts w:ascii="Times New Roman" w:hAnsi="Times New Roman" w:cs="Times New Roman"/>
          <w:b/>
          <w:bCs/>
        </w:rPr>
        <w:t>、应交税费</w:t>
      </w:r>
      <w:bookmarkEnd w:id="324"/>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增值税</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42,207,934.77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45,101,524.08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企业所得税</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50,425.94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69,259.31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个人所得税</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109,275.55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125,232.57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城市维护建设税</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2,267,593.63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2,282,817.93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教育费附加（含地方教育费附加）</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1,619,688.32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1,630,562.83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印花税</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44,273.64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262,896.66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281,240.73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46,580,432.58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49,472,293.38</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325" w:name="_Toc989209"/>
      <w:r>
        <w:rPr>
          <w:rFonts w:ascii="Times New Roman" w:hAnsi="Times New Roman" w:cs="Times New Roman"/>
          <w:b/>
          <w:bCs/>
        </w:rPr>
        <w:t>42</w:t>
      </w:r>
      <w:r>
        <w:rPr>
          <w:rFonts w:ascii="Times New Roman" w:hAnsi="Times New Roman" w:cs="Times New Roman"/>
          <w:b/>
          <w:bCs/>
        </w:rPr>
        <w:t>、持有待售负债</w:t>
      </w:r>
      <w:bookmarkEnd w:id="325"/>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326" w:name="_Toc989210"/>
      <w:r>
        <w:rPr>
          <w:rFonts w:ascii="Times New Roman" w:hAnsi="Times New Roman" w:cs="Times New Roman"/>
          <w:b/>
          <w:bCs/>
        </w:rPr>
        <w:t>43</w:t>
      </w:r>
      <w:r>
        <w:rPr>
          <w:rFonts w:ascii="Times New Roman" w:hAnsi="Times New Roman" w:cs="Times New Roman"/>
          <w:b/>
          <w:bCs/>
        </w:rPr>
        <w:t>、一年内到期的非流动负债</w:t>
      </w:r>
      <w:bookmarkEnd w:id="326"/>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一年内到期的长期借款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54,780,309.37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2,755,899.35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一年内到期的长期应付款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3,512,019.45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1,725,937.50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一年内到期的租赁负债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3,493,724.63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2,731,671.29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61,786,053.45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7,213,508.14</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327" w:name="_Toc989211"/>
      <w:r>
        <w:rPr>
          <w:rFonts w:ascii="Times New Roman" w:hAnsi="Times New Roman" w:cs="Times New Roman"/>
          <w:b/>
          <w:bCs/>
        </w:rPr>
        <w:t>44</w:t>
      </w:r>
      <w:r>
        <w:rPr>
          <w:rFonts w:ascii="Times New Roman" w:hAnsi="Times New Roman" w:cs="Times New Roman"/>
          <w:b/>
          <w:bCs/>
        </w:rPr>
        <w:t>、其他流动负债</w:t>
      </w:r>
      <w:bookmarkEnd w:id="327"/>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短期应付债券的增减变动：</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8"/>
        <w:gridCol w:w="758"/>
        <w:gridCol w:w="759"/>
        <w:gridCol w:w="759"/>
        <w:gridCol w:w="759"/>
        <w:gridCol w:w="759"/>
        <w:gridCol w:w="759"/>
        <w:gridCol w:w="757"/>
        <w:gridCol w:w="757"/>
        <w:gridCol w:w="757"/>
        <w:gridCol w:w="757"/>
        <w:gridCol w:w="757"/>
        <w:gridCol w:w="757"/>
      </w:tblGrid>
      <w:tr w:rsidR="00CE3C32">
        <w:trPr>
          <w:trHeight w:val="240"/>
        </w:trPr>
        <w:tc>
          <w:tcPr>
            <w:tcW w:w="38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债券名称</w:t>
            </w:r>
          </w:p>
        </w:tc>
        <w:tc>
          <w:tcPr>
            <w:tcW w:w="38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面值</w:t>
            </w:r>
          </w:p>
        </w:tc>
        <w:tc>
          <w:tcPr>
            <w:tcW w:w="38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票面利率</w:t>
            </w:r>
          </w:p>
        </w:tc>
        <w:tc>
          <w:tcPr>
            <w:tcW w:w="38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发行日期</w:t>
            </w:r>
          </w:p>
        </w:tc>
        <w:tc>
          <w:tcPr>
            <w:tcW w:w="38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债券期限</w:t>
            </w:r>
          </w:p>
        </w:tc>
        <w:tc>
          <w:tcPr>
            <w:tcW w:w="38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发行金额</w:t>
            </w:r>
          </w:p>
        </w:tc>
        <w:tc>
          <w:tcPr>
            <w:tcW w:w="38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38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本期发行</w:t>
            </w:r>
          </w:p>
        </w:tc>
        <w:tc>
          <w:tcPr>
            <w:tcW w:w="38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按面值计提利息</w:t>
            </w:r>
          </w:p>
        </w:tc>
        <w:tc>
          <w:tcPr>
            <w:tcW w:w="38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溢折价摊销</w:t>
            </w:r>
          </w:p>
        </w:tc>
        <w:tc>
          <w:tcPr>
            <w:tcW w:w="38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本期偿还</w:t>
            </w:r>
          </w:p>
        </w:tc>
        <w:tc>
          <w:tcPr>
            <w:tcW w:w="38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8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是否违约</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不适用。</w:t>
      </w:r>
    </w:p>
    <w:p w:rsidR="00CE3C32" w:rsidRDefault="006413B8">
      <w:pPr>
        <w:pStyle w:val="3"/>
        <w:spacing w:line="280" w:lineRule="exact"/>
        <w:jc w:val="left"/>
        <w:rPr>
          <w:rFonts w:ascii="Times New Roman" w:hAnsi="Times New Roman" w:cs="Times New Roman"/>
          <w:b/>
          <w:bCs/>
        </w:rPr>
      </w:pPr>
      <w:bookmarkStart w:id="328" w:name="_Toc989212"/>
      <w:r>
        <w:rPr>
          <w:rFonts w:ascii="Times New Roman" w:hAnsi="Times New Roman" w:cs="Times New Roman"/>
          <w:b/>
          <w:bCs/>
        </w:rPr>
        <w:t>45</w:t>
      </w:r>
      <w:r>
        <w:rPr>
          <w:rFonts w:ascii="Times New Roman" w:hAnsi="Times New Roman" w:cs="Times New Roman"/>
          <w:b/>
          <w:bCs/>
        </w:rPr>
        <w:t>、长期借款</w:t>
      </w:r>
      <w:bookmarkEnd w:id="328"/>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329" w:name="_Toc989213"/>
      <w:r>
        <w:rPr>
          <w:rFonts w:ascii="Times New Roman" w:eastAsia="宋体" w:hAnsi="Times New Roman" w:cs="Times New Roman"/>
          <w:b/>
          <w:bCs/>
          <w:sz w:val="18"/>
          <w:szCs w:val="18"/>
        </w:rPr>
        <w:t>（</w:t>
      </w:r>
      <w:r>
        <w:rPr>
          <w:rFonts w:ascii="Times New Roman" w:eastAsia="宋体" w:hAnsi="Times New Roman" w:cs="Times New Roman"/>
          <w:b/>
          <w:bCs/>
          <w:sz w:val="18"/>
          <w:szCs w:val="18"/>
        </w:rPr>
        <w:t>1</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长期借款分类</w:t>
      </w:r>
      <w:bookmarkEnd w:id="329"/>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88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46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46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质押及保证借款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37,491,736.36</w:t>
            </w:r>
          </w:p>
        </w:tc>
        <w:tc>
          <w:tcPr>
            <w:tcW w:w="346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31,937,786.17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质押及抵押借款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171,400,000.00</w:t>
            </w:r>
          </w:p>
        </w:tc>
        <w:tc>
          <w:tcPr>
            <w:tcW w:w="346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208,891,736.36</w:t>
            </w:r>
          </w:p>
        </w:tc>
        <w:tc>
          <w:tcPr>
            <w:tcW w:w="346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31,937,786.17</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长期借款分类的说明：</w:t>
      </w:r>
    </w:p>
    <w:p w:rsidR="00CE3C32" w:rsidRDefault="006413B8">
      <w:pPr>
        <w:pStyle w:val="a6"/>
        <w:spacing w:beforeLines="50" w:before="156" w:beforeAutospacing="0" w:afterLines="50" w:after="156" w:afterAutospacing="0"/>
        <w:jc w:val="both"/>
        <w:rPr>
          <w:rFonts w:ascii="Times New Roman" w:hAnsi="Times New Roman" w:cs="Times New Roman"/>
          <w:sz w:val="21"/>
          <w:szCs w:val="21"/>
        </w:rPr>
      </w:pPr>
      <w:r>
        <w:rPr>
          <w:rFonts w:hint="eastAsia"/>
          <w:sz w:val="18"/>
          <w:szCs w:val="18"/>
        </w:rPr>
        <w:t>①</w:t>
      </w:r>
      <w:r>
        <w:rPr>
          <w:rFonts w:ascii="Times New Roman" w:hAnsi="Times New Roman" w:cs="Times New Roman"/>
          <w:sz w:val="18"/>
          <w:szCs w:val="18"/>
        </w:rPr>
        <w:t>质押及保证借款：该借款单位系子公司湖南天晨新能源有限公司。</w:t>
      </w:r>
    </w:p>
    <w:p w:rsidR="00CE3C32" w:rsidRDefault="006413B8">
      <w:pPr>
        <w:pStyle w:val="a6"/>
        <w:spacing w:beforeLines="50" w:before="156" w:beforeAutospacing="0" w:afterLines="50" w:after="156" w:afterAutospacing="0"/>
        <w:jc w:val="both"/>
        <w:rPr>
          <w:rFonts w:ascii="Times New Roman" w:hAnsi="Times New Roman" w:cs="Times New Roman"/>
          <w:sz w:val="21"/>
          <w:szCs w:val="21"/>
        </w:rPr>
      </w:pPr>
      <w:r>
        <w:rPr>
          <w:rFonts w:ascii="Times New Roman" w:hAnsi="Times New Roman" w:cs="Times New Roman"/>
          <w:sz w:val="18"/>
          <w:szCs w:val="18"/>
        </w:rPr>
        <w:t>保证人：广东天亿马信息产业股份有限公司。</w:t>
      </w:r>
    </w:p>
    <w:p w:rsidR="00CE3C32" w:rsidRDefault="006413B8">
      <w:pPr>
        <w:pStyle w:val="a6"/>
        <w:spacing w:beforeLines="50" w:before="156" w:beforeAutospacing="0" w:afterLines="50" w:after="156" w:afterAutospacing="0"/>
        <w:jc w:val="both"/>
        <w:rPr>
          <w:rFonts w:ascii="Times New Roman" w:hAnsi="Times New Roman" w:cs="Times New Roman"/>
          <w:sz w:val="21"/>
          <w:szCs w:val="21"/>
        </w:rPr>
      </w:pPr>
      <w:r>
        <w:rPr>
          <w:rFonts w:ascii="Times New Roman" w:hAnsi="Times New Roman" w:cs="Times New Roman"/>
          <w:sz w:val="18"/>
          <w:szCs w:val="18"/>
        </w:rPr>
        <w:t>质押物：湖南天晨新能源有限公司应收账款</w:t>
      </w:r>
      <w:r>
        <w:rPr>
          <w:rFonts w:ascii="Times New Roman" w:hAnsi="Times New Roman" w:cs="Times New Roman"/>
          <w:sz w:val="18"/>
          <w:szCs w:val="18"/>
        </w:rPr>
        <w:t>-</w:t>
      </w:r>
      <w:r>
        <w:rPr>
          <w:rFonts w:ascii="Times New Roman" w:hAnsi="Times New Roman" w:cs="Times New Roman"/>
          <w:sz w:val="18"/>
          <w:szCs w:val="18"/>
        </w:rPr>
        <w:t>售电收费权。</w:t>
      </w:r>
    </w:p>
    <w:p w:rsidR="00CE3C32" w:rsidRDefault="006413B8">
      <w:pPr>
        <w:pStyle w:val="a6"/>
        <w:spacing w:beforeLines="50" w:before="156" w:beforeAutospacing="0" w:afterLines="50" w:after="156" w:afterAutospacing="0"/>
        <w:jc w:val="both"/>
        <w:rPr>
          <w:rFonts w:ascii="Times New Roman" w:hAnsi="Times New Roman" w:cs="Times New Roman"/>
          <w:sz w:val="21"/>
          <w:szCs w:val="21"/>
        </w:rPr>
      </w:pPr>
      <w:r>
        <w:rPr>
          <w:rFonts w:hint="eastAsia"/>
          <w:sz w:val="18"/>
          <w:szCs w:val="18"/>
        </w:rPr>
        <w:t>②</w:t>
      </w:r>
      <w:r>
        <w:rPr>
          <w:rFonts w:ascii="Times New Roman" w:hAnsi="Times New Roman" w:cs="Times New Roman"/>
          <w:sz w:val="18"/>
          <w:szCs w:val="18"/>
        </w:rPr>
        <w:t>质押及抵押借款：该借款单位系广东天亿马信息产业股份有限公司。</w:t>
      </w:r>
    </w:p>
    <w:p w:rsidR="00CE3C32" w:rsidRDefault="006413B8">
      <w:pPr>
        <w:pStyle w:val="a6"/>
        <w:spacing w:beforeLines="50" w:before="156" w:beforeAutospacing="0" w:afterLines="50" w:after="156" w:afterAutospacing="0"/>
        <w:jc w:val="both"/>
        <w:rPr>
          <w:rFonts w:ascii="Times New Roman" w:hAnsi="Times New Roman" w:cs="Times New Roman"/>
          <w:sz w:val="21"/>
          <w:szCs w:val="21"/>
        </w:rPr>
      </w:pPr>
      <w:r>
        <w:rPr>
          <w:rFonts w:ascii="Times New Roman" w:hAnsi="Times New Roman" w:cs="Times New Roman"/>
          <w:sz w:val="18"/>
          <w:szCs w:val="18"/>
        </w:rPr>
        <w:t>质押物：广东天亿马信息产业股份有限公司应收账款</w:t>
      </w:r>
      <w:r>
        <w:rPr>
          <w:rFonts w:ascii="Times New Roman" w:hAnsi="Times New Roman" w:cs="Times New Roman"/>
          <w:sz w:val="18"/>
          <w:szCs w:val="18"/>
        </w:rPr>
        <w:t>-</w:t>
      </w:r>
      <w:r>
        <w:rPr>
          <w:rFonts w:ascii="Times New Roman" w:hAnsi="Times New Roman" w:cs="Times New Roman"/>
          <w:sz w:val="18"/>
          <w:szCs w:val="18"/>
        </w:rPr>
        <w:t>算力服务。</w:t>
      </w:r>
    </w:p>
    <w:p w:rsidR="00CE3C32" w:rsidRDefault="006413B8">
      <w:pPr>
        <w:pStyle w:val="a6"/>
        <w:spacing w:beforeLines="50" w:before="156" w:beforeAutospacing="0" w:afterLines="50" w:after="156" w:afterAutospacing="0"/>
        <w:jc w:val="both"/>
        <w:rPr>
          <w:rFonts w:ascii="Times New Roman" w:hAnsi="Times New Roman" w:cs="Times New Roman"/>
          <w:sz w:val="21"/>
          <w:szCs w:val="21"/>
        </w:rPr>
      </w:pPr>
      <w:r>
        <w:rPr>
          <w:rFonts w:ascii="Times New Roman" w:hAnsi="Times New Roman" w:cs="Times New Roman"/>
          <w:sz w:val="18"/>
          <w:szCs w:val="18"/>
        </w:rPr>
        <w:t>抵押物：</w:t>
      </w:r>
      <w:r>
        <w:rPr>
          <w:rFonts w:ascii="Times New Roman" w:hAnsi="Times New Roman" w:cs="Times New Roman"/>
          <w:sz w:val="18"/>
          <w:szCs w:val="18"/>
        </w:rPr>
        <w:t>127</w:t>
      </w:r>
      <w:r>
        <w:rPr>
          <w:rFonts w:ascii="Times New Roman" w:hAnsi="Times New Roman" w:cs="Times New Roman"/>
          <w:sz w:val="18"/>
          <w:szCs w:val="18"/>
        </w:rPr>
        <w:t>套</w:t>
      </w:r>
      <w:r>
        <w:rPr>
          <w:rFonts w:ascii="Times New Roman" w:hAnsi="Times New Roman" w:cs="Times New Roman"/>
          <w:sz w:val="18"/>
          <w:szCs w:val="18"/>
        </w:rPr>
        <w:t>GPU</w:t>
      </w:r>
      <w:r>
        <w:rPr>
          <w:rFonts w:ascii="Times New Roman" w:hAnsi="Times New Roman" w:cs="Times New Roman"/>
          <w:sz w:val="18"/>
          <w:szCs w:val="18"/>
        </w:rPr>
        <w:t>裸金属算力服务的高性能服务器机器对应配套零件。</w:t>
      </w:r>
    </w:p>
    <w:p w:rsidR="00CE3C32" w:rsidRDefault="006413B8">
      <w:pPr>
        <w:spacing w:beforeLines="50" w:before="156" w:afterLines="50" w:after="156"/>
        <w:rPr>
          <w:rFonts w:ascii="Times New Roman" w:eastAsia="宋体" w:hAnsi="Times New Roman" w:cs="Times New Roman"/>
          <w:sz w:val="18"/>
          <w:szCs w:val="18"/>
        </w:rPr>
      </w:pPr>
      <w:r>
        <w:rPr>
          <w:rFonts w:ascii="Times New Roman" w:eastAsia="宋体" w:hAnsi="Times New Roman" w:cs="Times New Roman"/>
          <w:sz w:val="18"/>
          <w:szCs w:val="18"/>
        </w:rPr>
        <w:t>其他说明，包括利率区间：</w:t>
      </w:r>
    </w:p>
    <w:p w:rsidR="00CE3C32" w:rsidRDefault="006413B8">
      <w:pPr>
        <w:spacing w:beforeLines="50" w:before="156" w:afterLines="50" w:after="156"/>
        <w:rPr>
          <w:rFonts w:ascii="Times New Roman" w:hAnsi="Times New Roman" w:cs="Times New Roman"/>
          <w:sz w:val="18"/>
          <w:szCs w:val="18"/>
        </w:rPr>
      </w:pPr>
      <w:r>
        <w:rPr>
          <w:rFonts w:ascii="Times New Roman" w:hAnsi="Times New Roman" w:cs="Times New Roman"/>
          <w:sz w:val="18"/>
          <w:szCs w:val="18"/>
        </w:rPr>
        <w:t>借款利率区间：</w:t>
      </w:r>
      <w:r>
        <w:rPr>
          <w:rFonts w:ascii="Times New Roman" w:hAnsi="Times New Roman" w:cs="Times New Roman"/>
          <w:sz w:val="18"/>
          <w:szCs w:val="18"/>
        </w:rPr>
        <w:t>3.05%</w:t>
      </w:r>
      <w:r>
        <w:rPr>
          <w:rFonts w:ascii="Times New Roman" w:hAnsi="Times New Roman" w:cs="Times New Roman" w:hint="eastAsia"/>
          <w:sz w:val="18"/>
          <w:szCs w:val="18"/>
        </w:rPr>
        <w:t>-</w:t>
      </w:r>
      <w:r>
        <w:rPr>
          <w:rFonts w:ascii="Times New Roman" w:hAnsi="Times New Roman" w:cs="Times New Roman"/>
          <w:sz w:val="18"/>
          <w:szCs w:val="18"/>
        </w:rPr>
        <w:t>3.8%</w:t>
      </w:r>
    </w:p>
    <w:p w:rsidR="00CE3C32" w:rsidRDefault="006413B8">
      <w:pPr>
        <w:pStyle w:val="3"/>
        <w:spacing w:line="280" w:lineRule="exact"/>
        <w:jc w:val="left"/>
        <w:rPr>
          <w:rFonts w:ascii="Times New Roman" w:hAnsi="Times New Roman" w:cs="Times New Roman"/>
          <w:b/>
          <w:bCs/>
        </w:rPr>
      </w:pPr>
      <w:bookmarkStart w:id="330" w:name="_Toc989214"/>
      <w:r>
        <w:rPr>
          <w:rFonts w:ascii="Times New Roman" w:hAnsi="Times New Roman" w:cs="Times New Roman"/>
          <w:b/>
          <w:bCs/>
        </w:rPr>
        <w:t>46</w:t>
      </w:r>
      <w:r>
        <w:rPr>
          <w:rFonts w:ascii="Times New Roman" w:hAnsi="Times New Roman" w:cs="Times New Roman"/>
          <w:b/>
          <w:bCs/>
        </w:rPr>
        <w:t>、应付债券</w:t>
      </w:r>
      <w:bookmarkEnd w:id="330"/>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31" w:name="_Toc989215"/>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应付债券</w:t>
      </w:r>
      <w:bookmarkEnd w:id="331"/>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32" w:name="_Toc989216"/>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应付债券的增减变动（不包括划分为金融负债的优先股、永续债等其他金融工具）</w:t>
      </w:r>
      <w:bookmarkEnd w:id="33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41"/>
        <w:gridCol w:w="512"/>
        <w:gridCol w:w="740"/>
        <w:gridCol w:w="740"/>
        <w:gridCol w:w="740"/>
        <w:gridCol w:w="740"/>
        <w:gridCol w:w="740"/>
        <w:gridCol w:w="740"/>
        <w:gridCol w:w="1085"/>
        <w:gridCol w:w="855"/>
        <w:gridCol w:w="740"/>
        <w:gridCol w:w="740"/>
        <w:gridCol w:w="740"/>
      </w:tblGrid>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债券名称</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面值</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票面利率</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发行日期</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债券期限</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发行金额</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本期发行</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按面值计提利息</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溢折价摊销</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本期偿还</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是否违约</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33" w:name="_Toc989217"/>
      <w:r>
        <w:rPr>
          <w:rFonts w:ascii="Times New Roman" w:eastAsia="宋体" w:hAnsi="Times New Roman" w:cs="Times New Roman"/>
          <w:b/>
          <w:bCs/>
          <w:szCs w:val="21"/>
        </w:rPr>
        <w:lastRenderedPageBreak/>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可转换公司债券的说明</w:t>
      </w:r>
      <w:bookmarkEnd w:id="333"/>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34" w:name="_Toc989218"/>
      <w:r>
        <w:rPr>
          <w:rFonts w:ascii="Times New Roman" w:eastAsia="宋体" w:hAnsi="Times New Roman" w:cs="Times New Roman"/>
          <w:b/>
          <w:bCs/>
          <w:szCs w:val="21"/>
        </w:rPr>
        <w:t>（</w:t>
      </w:r>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划分为金融负债的其他金融工具说明</w:t>
      </w:r>
      <w:bookmarkEnd w:id="334"/>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期末发行在外的优先股、永续债等其他金融工具基本情况</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期末发行在外的优先股、永续债等金融工具变动情况表</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CE3C32">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发行在外的金融工具</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本期减少</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w:t>
            </w:r>
          </w:p>
        </w:tc>
      </w:tr>
      <w:tr w:rsidR="00CE3C32">
        <w:trPr>
          <w:trHeight w:val="240"/>
        </w:trPr>
        <w:tc>
          <w:tcPr>
            <w:tcW w:w="1071" w:type="dxa"/>
            <w:vMerge/>
            <w:tcBorders>
              <w:top w:val="single" w:sz="2" w:space="0" w:color="auto"/>
              <w:left w:val="single" w:sz="2" w:space="0" w:color="auto"/>
              <w:bottom w:val="single" w:sz="2" w:space="0" w:color="auto"/>
              <w:right w:val="single" w:sz="2" w:space="0" w:color="auto"/>
            </w:tcBorders>
            <w:vAlign w:val="center"/>
          </w:tcPr>
          <w:p w:rsidR="00CE3C32" w:rsidRDefault="00CE3C32">
            <w:pPr>
              <w:rPr>
                <w:rFonts w:ascii="Times New Roman" w:hAnsi="Times New Roman" w:cs="Times New Roman"/>
              </w:rPr>
            </w:pP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数量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数量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数量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数量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其他金融工具划分为金融负债的依据说明</w:t>
      </w:r>
      <w:r>
        <w:rPr>
          <w:rFonts w:ascii="Times New Roman" w:eastAsia="宋体" w:hAnsi="Times New Roman" w:cs="Times New Roman" w:hint="eastAsia"/>
          <w:sz w:val="18"/>
          <w:szCs w:val="18"/>
        </w:rPr>
        <w:t>：</w:t>
      </w:r>
      <w:r>
        <w:rPr>
          <w:rFonts w:ascii="Times New Roman" w:hAnsi="Times New Roman" w:cs="Times New Roman"/>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335" w:name="_Toc989219"/>
      <w:r>
        <w:rPr>
          <w:rFonts w:ascii="Times New Roman" w:hAnsi="Times New Roman" w:cs="Times New Roman"/>
          <w:b/>
          <w:bCs/>
        </w:rPr>
        <w:t>47</w:t>
      </w:r>
      <w:r>
        <w:rPr>
          <w:rFonts w:ascii="Times New Roman" w:hAnsi="Times New Roman" w:cs="Times New Roman"/>
          <w:b/>
          <w:bCs/>
        </w:rPr>
        <w:t>、租赁负债</w:t>
      </w:r>
      <w:bookmarkEnd w:id="335"/>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租赁付款额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20,078,430.21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9,151,608.34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减：未确认的融资费用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-3,548,122.81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-633,863.97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减：一年内到期的租赁负债（本节七、</w:t>
            </w:r>
            <w:r>
              <w:rPr>
                <w:rFonts w:ascii="Times New Roman" w:eastAsia="宋体" w:hAnsi="Times New Roman" w:cs="Times New Roman"/>
                <w:sz w:val="18"/>
                <w:szCs w:val="18"/>
              </w:rPr>
              <w:t>43</w:t>
            </w:r>
            <w:r>
              <w:rPr>
                <w:rFonts w:ascii="Times New Roman" w:eastAsia="宋体" w:hAnsi="Times New Roman" w:cs="Times New Roman"/>
                <w:sz w:val="18"/>
                <w:szCs w:val="18"/>
              </w:rPr>
              <w:t>）</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-3,493,724.63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-2,731,671.29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13,036,582.77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5,786,073.08</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336" w:name="_Toc989220"/>
      <w:r>
        <w:rPr>
          <w:rFonts w:ascii="Times New Roman" w:hAnsi="Times New Roman" w:cs="Times New Roman"/>
          <w:b/>
          <w:bCs/>
        </w:rPr>
        <w:t>48</w:t>
      </w:r>
      <w:r>
        <w:rPr>
          <w:rFonts w:ascii="Times New Roman" w:hAnsi="Times New Roman" w:cs="Times New Roman"/>
          <w:b/>
          <w:bCs/>
        </w:rPr>
        <w:t>、长期应付款</w:t>
      </w:r>
      <w:bookmarkEnd w:id="336"/>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32,379,402.77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19,306,145.83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32,379,402.77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19,306,145.83</w:t>
            </w:r>
          </w:p>
        </w:tc>
      </w:tr>
    </w:tbl>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337" w:name="_Toc989221"/>
      <w:r>
        <w:rPr>
          <w:rFonts w:ascii="Times New Roman" w:eastAsia="宋体" w:hAnsi="Times New Roman" w:cs="Times New Roman"/>
          <w:b/>
          <w:bCs/>
          <w:sz w:val="18"/>
          <w:szCs w:val="18"/>
        </w:rPr>
        <w:t>（</w:t>
      </w:r>
      <w:r>
        <w:rPr>
          <w:rFonts w:ascii="Times New Roman" w:eastAsia="宋体" w:hAnsi="Times New Roman" w:cs="Times New Roman"/>
          <w:b/>
          <w:bCs/>
          <w:sz w:val="18"/>
          <w:szCs w:val="18"/>
        </w:rPr>
        <w:t>1</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按款项性质列示长期应付款</w:t>
      </w:r>
      <w:bookmarkEnd w:id="337"/>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本金及利息</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46,563,683.35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27,494,665.99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减：未确认融资费用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-10,672,261.13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-6,462,582.66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减：一年内到期的长期应付款（本节七、</w:t>
            </w:r>
            <w:r>
              <w:rPr>
                <w:rFonts w:ascii="Times New Roman" w:eastAsia="宋体" w:hAnsi="Times New Roman" w:cs="Times New Roman"/>
                <w:sz w:val="18"/>
                <w:szCs w:val="18"/>
              </w:rPr>
              <w:t>43</w:t>
            </w:r>
            <w:r>
              <w:rPr>
                <w:rFonts w:ascii="Times New Roman" w:eastAsia="宋体" w:hAnsi="Times New Roman" w:cs="Times New Roman"/>
                <w:sz w:val="18"/>
                <w:szCs w:val="18"/>
              </w:rPr>
              <w:t>）</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-3,512,019.45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-1,725,937.50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32,379,402.77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19,306,145.83</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338" w:name="_Toc989222"/>
      <w:r>
        <w:rPr>
          <w:rFonts w:ascii="Times New Roman" w:eastAsia="宋体" w:hAnsi="Times New Roman" w:cs="Times New Roman"/>
          <w:b/>
          <w:bCs/>
          <w:sz w:val="18"/>
          <w:szCs w:val="18"/>
        </w:rPr>
        <w:lastRenderedPageBreak/>
        <w:t>（</w:t>
      </w:r>
      <w:r>
        <w:rPr>
          <w:rFonts w:ascii="Times New Roman" w:eastAsia="宋体" w:hAnsi="Times New Roman" w:cs="Times New Roman"/>
          <w:b/>
          <w:bCs/>
          <w:sz w:val="18"/>
          <w:szCs w:val="18"/>
        </w:rPr>
        <w:t>2</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专项应付款</w:t>
      </w:r>
      <w:bookmarkEnd w:id="33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本期减少</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形成原因</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339" w:name="_Toc989223"/>
      <w:r>
        <w:rPr>
          <w:rFonts w:ascii="Times New Roman" w:hAnsi="Times New Roman" w:cs="Times New Roman"/>
          <w:b/>
          <w:bCs/>
        </w:rPr>
        <w:t>49</w:t>
      </w:r>
      <w:r>
        <w:rPr>
          <w:rFonts w:ascii="Times New Roman" w:hAnsi="Times New Roman" w:cs="Times New Roman"/>
          <w:b/>
          <w:bCs/>
        </w:rPr>
        <w:t>、长期应付职工薪酬</w:t>
      </w:r>
      <w:bookmarkEnd w:id="339"/>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340" w:name="_Toc989224"/>
      <w:r>
        <w:rPr>
          <w:rFonts w:ascii="Times New Roman" w:eastAsia="宋体" w:hAnsi="Times New Roman" w:cs="Times New Roman"/>
          <w:b/>
          <w:bCs/>
          <w:sz w:val="18"/>
          <w:szCs w:val="18"/>
        </w:rPr>
        <w:t>（</w:t>
      </w:r>
      <w:r>
        <w:rPr>
          <w:rFonts w:ascii="Times New Roman" w:eastAsia="宋体" w:hAnsi="Times New Roman" w:cs="Times New Roman"/>
          <w:b/>
          <w:bCs/>
          <w:sz w:val="18"/>
          <w:szCs w:val="18"/>
        </w:rPr>
        <w:t>1</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长期应付职工薪酬表</w:t>
      </w:r>
      <w:bookmarkEnd w:id="340"/>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bl>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341" w:name="_Toc989225"/>
      <w:r>
        <w:rPr>
          <w:rFonts w:ascii="Times New Roman" w:eastAsia="宋体" w:hAnsi="Times New Roman" w:cs="Times New Roman"/>
          <w:b/>
          <w:bCs/>
          <w:sz w:val="18"/>
          <w:szCs w:val="18"/>
        </w:rPr>
        <w:t>（</w:t>
      </w:r>
      <w:r>
        <w:rPr>
          <w:rFonts w:ascii="Times New Roman" w:eastAsia="宋体" w:hAnsi="Times New Roman" w:cs="Times New Roman"/>
          <w:b/>
          <w:bCs/>
          <w:sz w:val="18"/>
          <w:szCs w:val="18"/>
        </w:rPr>
        <w:t>2</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设定受益计划变动情况</w:t>
      </w:r>
      <w:bookmarkEnd w:id="341"/>
    </w:p>
    <w:p w:rsidR="00CE3C32" w:rsidRDefault="006413B8">
      <w:pPr>
        <w:spacing w:before="120" w:after="120" w:line="240" w:lineRule="exact"/>
        <w:rPr>
          <w:rFonts w:ascii="Times New Roman" w:eastAsia="宋体" w:hAnsi="Times New Roman" w:cs="Times New Roman"/>
          <w:sz w:val="18"/>
          <w:szCs w:val="18"/>
        </w:rPr>
      </w:pPr>
      <w:r>
        <w:rPr>
          <w:rFonts w:ascii="Times New Roman" w:eastAsia="宋体" w:hAnsi="Times New Roman" w:cs="Times New Roman"/>
          <w:sz w:val="18"/>
          <w:szCs w:val="18"/>
        </w:rPr>
        <w:t>设定受益计划义务现值：</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计划资产：</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设定受益计划净负债（净资产）</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设定受益计划的内容及与之相关风险、对公司未来现金流量、时间和不确定性的影响说明：</w:t>
      </w:r>
      <w:r>
        <w:rPr>
          <w:rFonts w:ascii="Times New Roman" w:eastAsia="宋体" w:hAnsi="Times New Roman" w:cs="Times New Roman" w:hint="eastAsia"/>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设定受益计划重大精算假设及敏感性分析结果说明：</w:t>
      </w:r>
      <w:r>
        <w:rPr>
          <w:rFonts w:ascii="Times New Roman" w:eastAsia="宋体" w:hAnsi="Times New Roman" w:cs="Times New Roman" w:hint="eastAsia"/>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342" w:name="_Toc989226"/>
      <w:r>
        <w:rPr>
          <w:rFonts w:ascii="Times New Roman" w:hAnsi="Times New Roman" w:cs="Times New Roman"/>
          <w:b/>
          <w:bCs/>
        </w:rPr>
        <w:t>50</w:t>
      </w:r>
      <w:r>
        <w:rPr>
          <w:rFonts w:ascii="Times New Roman" w:hAnsi="Times New Roman" w:cs="Times New Roman"/>
          <w:b/>
          <w:bCs/>
        </w:rPr>
        <w:t>、预计负债</w:t>
      </w:r>
      <w:bookmarkEnd w:id="34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形成原因</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其他说明，包括重要预计负债的相关重要假设、估计说明：</w:t>
      </w:r>
      <w:r>
        <w:rPr>
          <w:rFonts w:ascii="Times New Roman" w:eastAsia="宋体" w:hAnsi="Times New Roman" w:cs="Times New Roman" w:hint="eastAsia"/>
          <w:sz w:val="18"/>
          <w:szCs w:val="18"/>
        </w:rPr>
        <w:t>不适用。</w:t>
      </w:r>
    </w:p>
    <w:p w:rsidR="00CE3C32" w:rsidRDefault="006413B8">
      <w:pPr>
        <w:pStyle w:val="3"/>
        <w:spacing w:line="280" w:lineRule="exact"/>
        <w:jc w:val="left"/>
        <w:rPr>
          <w:rFonts w:ascii="Times New Roman" w:hAnsi="Times New Roman" w:cs="Times New Roman"/>
          <w:b/>
          <w:bCs/>
        </w:rPr>
      </w:pPr>
      <w:bookmarkStart w:id="343" w:name="_Toc989227"/>
      <w:r>
        <w:rPr>
          <w:rFonts w:ascii="Times New Roman" w:hAnsi="Times New Roman" w:cs="Times New Roman"/>
          <w:b/>
          <w:bCs/>
        </w:rPr>
        <w:t>51</w:t>
      </w:r>
      <w:r>
        <w:rPr>
          <w:rFonts w:ascii="Times New Roman" w:hAnsi="Times New Roman" w:cs="Times New Roman"/>
          <w:b/>
          <w:bCs/>
        </w:rPr>
        <w:t>、递延收益</w:t>
      </w:r>
      <w:bookmarkEnd w:id="343"/>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本期减少</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形成原因</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不适用。</w:t>
      </w:r>
    </w:p>
    <w:p w:rsidR="00CE3C32" w:rsidRDefault="006413B8">
      <w:pPr>
        <w:pStyle w:val="3"/>
        <w:spacing w:line="280" w:lineRule="exact"/>
        <w:jc w:val="left"/>
        <w:rPr>
          <w:rFonts w:ascii="Times New Roman" w:hAnsi="Times New Roman" w:cs="Times New Roman"/>
          <w:b/>
          <w:bCs/>
        </w:rPr>
      </w:pPr>
      <w:bookmarkStart w:id="344" w:name="_Toc989228"/>
      <w:r>
        <w:rPr>
          <w:rFonts w:ascii="Times New Roman" w:hAnsi="Times New Roman" w:cs="Times New Roman"/>
          <w:b/>
          <w:bCs/>
        </w:rPr>
        <w:t>52</w:t>
      </w:r>
      <w:r>
        <w:rPr>
          <w:rFonts w:ascii="Times New Roman" w:hAnsi="Times New Roman" w:cs="Times New Roman"/>
          <w:b/>
          <w:bCs/>
        </w:rPr>
        <w:t>、其他非流动负债</w:t>
      </w:r>
      <w:bookmarkEnd w:id="344"/>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lastRenderedPageBreak/>
        <w:t>其他说明：</w:t>
      </w:r>
      <w:r>
        <w:rPr>
          <w:rFonts w:ascii="Times New Roman" w:eastAsia="宋体" w:hAnsi="Times New Roman" w:cs="Times New Roman" w:hint="eastAsia"/>
          <w:sz w:val="18"/>
          <w:szCs w:val="18"/>
        </w:rPr>
        <w:t>不适用。</w:t>
      </w:r>
    </w:p>
    <w:p w:rsidR="00CE3C32" w:rsidRDefault="006413B8">
      <w:pPr>
        <w:pStyle w:val="3"/>
        <w:spacing w:line="280" w:lineRule="exact"/>
        <w:jc w:val="left"/>
        <w:rPr>
          <w:rFonts w:ascii="Times New Roman" w:hAnsi="Times New Roman" w:cs="Times New Roman"/>
          <w:b/>
          <w:bCs/>
        </w:rPr>
      </w:pPr>
      <w:bookmarkStart w:id="345" w:name="_Toc989229"/>
      <w:r>
        <w:rPr>
          <w:rFonts w:ascii="Times New Roman" w:hAnsi="Times New Roman" w:cs="Times New Roman"/>
          <w:b/>
          <w:bCs/>
        </w:rPr>
        <w:t>53</w:t>
      </w:r>
      <w:r>
        <w:rPr>
          <w:rFonts w:ascii="Times New Roman" w:hAnsi="Times New Roman" w:cs="Times New Roman"/>
          <w:b/>
          <w:bCs/>
        </w:rPr>
        <w:t>、股本</w:t>
      </w:r>
      <w:bookmarkEnd w:id="345"/>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204"/>
        <w:gridCol w:w="1314"/>
        <w:gridCol w:w="1096"/>
        <w:gridCol w:w="1205"/>
        <w:gridCol w:w="1205"/>
        <w:gridCol w:w="1205"/>
        <w:gridCol w:w="959"/>
        <w:gridCol w:w="1451"/>
      </w:tblGrid>
      <w:tr w:rsidR="00CE3C32">
        <w:trPr>
          <w:trHeight w:val="240"/>
        </w:trPr>
        <w:tc>
          <w:tcPr>
            <w:tcW w:w="1204"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14"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5670"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本次变动增减（</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w:t>
            </w:r>
          </w:p>
        </w:tc>
        <w:tc>
          <w:tcPr>
            <w:tcW w:w="145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204"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14"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9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发行新股</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送股</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公积金转股</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95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小计</w:t>
            </w:r>
          </w:p>
        </w:tc>
        <w:tc>
          <w:tcPr>
            <w:tcW w:w="145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股份总数</w:t>
            </w:r>
          </w:p>
        </w:tc>
        <w:tc>
          <w:tcPr>
            <w:tcW w:w="1314"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67,108,800.00</w:t>
            </w:r>
          </w:p>
        </w:tc>
        <w:tc>
          <w:tcPr>
            <w:tcW w:w="109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959"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45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67,108,800.00</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346" w:name="_Toc989230"/>
      <w:r>
        <w:rPr>
          <w:rFonts w:ascii="Times New Roman" w:hAnsi="Times New Roman" w:cs="Times New Roman"/>
          <w:b/>
          <w:bCs/>
        </w:rPr>
        <w:t>54</w:t>
      </w:r>
      <w:r>
        <w:rPr>
          <w:rFonts w:ascii="Times New Roman" w:hAnsi="Times New Roman" w:cs="Times New Roman"/>
          <w:b/>
          <w:bCs/>
        </w:rPr>
        <w:t>、其他权益工具</w:t>
      </w:r>
      <w:bookmarkEnd w:id="346"/>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347" w:name="_Toc989231"/>
      <w:r>
        <w:rPr>
          <w:rFonts w:ascii="Times New Roman" w:eastAsia="宋体" w:hAnsi="Times New Roman" w:cs="Times New Roman"/>
          <w:b/>
          <w:bCs/>
          <w:sz w:val="18"/>
          <w:szCs w:val="18"/>
        </w:rPr>
        <w:t>（</w:t>
      </w:r>
      <w:r>
        <w:rPr>
          <w:rFonts w:ascii="Times New Roman" w:eastAsia="宋体" w:hAnsi="Times New Roman" w:cs="Times New Roman"/>
          <w:b/>
          <w:bCs/>
          <w:sz w:val="18"/>
          <w:szCs w:val="18"/>
        </w:rPr>
        <w:t>1</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期末发行在外的优先股、永续债等其他金融工具基本情况</w:t>
      </w:r>
      <w:bookmarkEnd w:id="347"/>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348" w:name="_Toc989232"/>
      <w:r>
        <w:rPr>
          <w:rFonts w:ascii="Times New Roman" w:eastAsia="宋体" w:hAnsi="Times New Roman" w:cs="Times New Roman"/>
          <w:b/>
          <w:bCs/>
          <w:sz w:val="18"/>
          <w:szCs w:val="18"/>
        </w:rPr>
        <w:t>（</w:t>
      </w:r>
      <w:r>
        <w:rPr>
          <w:rFonts w:ascii="Times New Roman" w:eastAsia="宋体" w:hAnsi="Times New Roman" w:cs="Times New Roman"/>
          <w:b/>
          <w:bCs/>
          <w:sz w:val="18"/>
          <w:szCs w:val="18"/>
        </w:rPr>
        <w:t>2</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期末发行在外的优先股、永续债等金融工具变动情况表</w:t>
      </w:r>
      <w:bookmarkEnd w:id="34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CE3C32">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发行在外的金融工具</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本期减少</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w:t>
            </w:r>
          </w:p>
        </w:tc>
      </w:tr>
      <w:tr w:rsidR="00CE3C32">
        <w:trPr>
          <w:trHeight w:val="240"/>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数量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数量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数量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数量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其他权益工具本期增减变动情况、变动原因说明，以及相关会计处理的依据：</w:t>
      </w:r>
      <w:r>
        <w:rPr>
          <w:rFonts w:ascii="Times New Roman" w:hAnsi="Times New Roman" w:cs="Times New Roman"/>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349" w:name="_Toc989233"/>
      <w:r>
        <w:rPr>
          <w:rFonts w:ascii="Times New Roman" w:hAnsi="Times New Roman" w:cs="Times New Roman"/>
          <w:b/>
          <w:bCs/>
        </w:rPr>
        <w:t>55</w:t>
      </w:r>
      <w:r>
        <w:rPr>
          <w:rFonts w:ascii="Times New Roman" w:hAnsi="Times New Roman" w:cs="Times New Roman"/>
          <w:b/>
          <w:bCs/>
        </w:rPr>
        <w:t>、资本公积</w:t>
      </w:r>
      <w:bookmarkEnd w:id="349"/>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资本溢价（股本溢价）</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583,619,975.81</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583,619,975.81</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其他资本公积</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14,677,226.92</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20,361,145.37</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其中：以权益结算的股份支付</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14,677,471.75</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5,683,918.45</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20,361,390.20</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-244.83</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-244.83</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598,297,202.73</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5,683,918.45</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603,981,121.18</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其他说明，包括本期增减变动情况、变动原因说明：</w:t>
      </w:r>
    </w:p>
    <w:p w:rsidR="00CE3C32" w:rsidRDefault="006413B8">
      <w:pPr>
        <w:pStyle w:val="a6"/>
        <w:spacing w:beforeLines="50" w:before="156" w:beforeAutospacing="0" w:afterLines="50" w:after="156" w:afterAutospacing="0"/>
        <w:ind w:firstLineChars="200" w:firstLine="360"/>
        <w:jc w:val="both"/>
        <w:rPr>
          <w:rFonts w:ascii="Times New Roman" w:hAnsi="Times New Roman" w:cs="Times New Roman"/>
        </w:rPr>
      </w:pPr>
      <w:r>
        <w:rPr>
          <w:rFonts w:ascii="Times New Roman" w:hAnsi="Times New Roman" w:cs="Times New Roman"/>
          <w:sz w:val="18"/>
          <w:szCs w:val="18"/>
        </w:rPr>
        <w:t>注：根据本公司</w:t>
      </w:r>
      <w:r>
        <w:rPr>
          <w:rFonts w:ascii="Times New Roman" w:hAnsi="Times New Roman" w:cs="Times New Roman"/>
          <w:sz w:val="18"/>
          <w:szCs w:val="18"/>
        </w:rPr>
        <w:t>2023</w:t>
      </w:r>
      <w:r>
        <w:rPr>
          <w:rFonts w:ascii="Times New Roman" w:hAnsi="Times New Roman" w:cs="Times New Roman"/>
          <w:sz w:val="18"/>
          <w:szCs w:val="18"/>
        </w:rPr>
        <w:t>年第四次临时股东大会决议通过的《关于〈广东天亿马信息产业股份有限公司</w:t>
      </w:r>
      <w:r>
        <w:rPr>
          <w:rFonts w:ascii="Times New Roman" w:hAnsi="Times New Roman" w:cs="Times New Roman"/>
          <w:sz w:val="18"/>
          <w:szCs w:val="18"/>
        </w:rPr>
        <w:t>2023</w:t>
      </w:r>
      <w:r>
        <w:rPr>
          <w:rFonts w:ascii="Times New Roman" w:hAnsi="Times New Roman" w:cs="Times New Roman"/>
          <w:sz w:val="18"/>
          <w:szCs w:val="18"/>
        </w:rPr>
        <w:t>年限制性股票激励计划（草案修订稿）〉及其摘要的议案》以及本公司第三届董事会第十五次会议决议、第十七次会议决议，公司按照审议通过的限制性股票激励计划，本报告期内确认股份支付等待期费用</w:t>
      </w:r>
      <w:r>
        <w:rPr>
          <w:rFonts w:ascii="Times New Roman" w:hAnsi="Times New Roman" w:cs="Times New Roman"/>
          <w:sz w:val="18"/>
          <w:szCs w:val="18"/>
        </w:rPr>
        <w:t xml:space="preserve">5,683,918.45 </w:t>
      </w:r>
      <w:r>
        <w:rPr>
          <w:rFonts w:ascii="Times New Roman" w:hAnsi="Times New Roman" w:cs="Times New Roman"/>
          <w:sz w:val="18"/>
          <w:szCs w:val="18"/>
        </w:rPr>
        <w:t>元，计入资本公积（其他资本公积）</w:t>
      </w:r>
      <w:r>
        <w:rPr>
          <w:rFonts w:ascii="Times New Roman" w:hAnsi="Times New Roman" w:cs="Times New Roman"/>
          <w:sz w:val="18"/>
          <w:szCs w:val="18"/>
        </w:rPr>
        <w:t xml:space="preserve">5,683,918.45 </w:t>
      </w:r>
      <w:r>
        <w:rPr>
          <w:rFonts w:ascii="Times New Roman" w:hAnsi="Times New Roman" w:cs="Times New Roman"/>
          <w:sz w:val="18"/>
          <w:szCs w:val="18"/>
        </w:rPr>
        <w:t>元。</w:t>
      </w:r>
    </w:p>
    <w:p w:rsidR="00CE3C32" w:rsidRDefault="006413B8">
      <w:pPr>
        <w:pStyle w:val="3"/>
        <w:spacing w:line="280" w:lineRule="exact"/>
        <w:jc w:val="left"/>
        <w:rPr>
          <w:rFonts w:ascii="Times New Roman" w:hAnsi="Times New Roman" w:cs="Times New Roman"/>
          <w:b/>
          <w:bCs/>
        </w:rPr>
      </w:pPr>
      <w:bookmarkStart w:id="350" w:name="_Toc989234"/>
      <w:r>
        <w:rPr>
          <w:rFonts w:ascii="Times New Roman" w:hAnsi="Times New Roman" w:cs="Times New Roman"/>
          <w:b/>
          <w:bCs/>
        </w:rPr>
        <w:t>56</w:t>
      </w:r>
      <w:r>
        <w:rPr>
          <w:rFonts w:ascii="Times New Roman" w:hAnsi="Times New Roman" w:cs="Times New Roman"/>
          <w:b/>
          <w:bCs/>
        </w:rPr>
        <w:t>、库存股</w:t>
      </w:r>
      <w:bookmarkEnd w:id="350"/>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blHeader/>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股票回购</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27,011,568.07</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27,011,568.07</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股票回购义务</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25,729,004.00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25,600.00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25,754,604.00</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52,740,572.07</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25,600.00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52,766,172.07</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其他说明，包括本期增减变动情况、变动原因说明：</w:t>
      </w:r>
    </w:p>
    <w:p w:rsidR="00CE3C32" w:rsidRDefault="006413B8">
      <w:pPr>
        <w:pStyle w:val="a6"/>
        <w:spacing w:beforeLines="50" w:before="156" w:beforeAutospacing="0" w:afterLines="50" w:after="156" w:afterAutospacing="0"/>
        <w:ind w:firstLineChars="200" w:firstLine="360"/>
        <w:jc w:val="both"/>
        <w:rPr>
          <w:rFonts w:ascii="Times New Roman" w:hAnsi="Times New Roman" w:cs="Times New Roman"/>
          <w:sz w:val="18"/>
          <w:szCs w:val="18"/>
        </w:rPr>
      </w:pPr>
      <w:r>
        <w:rPr>
          <w:rFonts w:ascii="Times New Roman" w:hAnsi="Times New Roman" w:cs="Times New Roman"/>
          <w:sz w:val="18"/>
          <w:szCs w:val="18"/>
        </w:rPr>
        <w:t>根据公司《</w:t>
      </w:r>
      <w:r>
        <w:rPr>
          <w:rFonts w:ascii="Times New Roman" w:hAnsi="Times New Roman" w:cs="Times New Roman"/>
          <w:sz w:val="18"/>
          <w:szCs w:val="18"/>
        </w:rPr>
        <w:t>2023</w:t>
      </w:r>
      <w:r>
        <w:rPr>
          <w:rFonts w:ascii="Times New Roman" w:hAnsi="Times New Roman" w:cs="Times New Roman"/>
          <w:sz w:val="18"/>
          <w:szCs w:val="18"/>
        </w:rPr>
        <w:t>年限制性股票激励计划》相关规定，公司回购注销部分激励对象已获授但尚未解除限售的第一类限制性股票共计</w:t>
      </w:r>
      <w:r>
        <w:rPr>
          <w:rFonts w:ascii="Times New Roman" w:hAnsi="Times New Roman" w:cs="Times New Roman"/>
          <w:sz w:val="18"/>
          <w:szCs w:val="18"/>
        </w:rPr>
        <w:t xml:space="preserve"> 256,000 </w:t>
      </w:r>
      <w:r>
        <w:rPr>
          <w:rFonts w:ascii="Times New Roman" w:hAnsi="Times New Roman" w:cs="Times New Roman"/>
          <w:sz w:val="18"/>
          <w:szCs w:val="18"/>
        </w:rPr>
        <w:t>股，调整限制性股票可撤销现金股利义务增加库存股</w:t>
      </w:r>
      <w:r>
        <w:rPr>
          <w:rFonts w:ascii="Times New Roman" w:hAnsi="Times New Roman" w:cs="Times New Roman"/>
          <w:sz w:val="18"/>
          <w:szCs w:val="18"/>
        </w:rPr>
        <w:t xml:space="preserve"> 25,600.00</w:t>
      </w:r>
      <w:r>
        <w:rPr>
          <w:rFonts w:ascii="Times New Roman" w:hAnsi="Times New Roman" w:cs="Times New Roman"/>
          <w:sz w:val="18"/>
          <w:szCs w:val="18"/>
        </w:rPr>
        <w:t>元。</w:t>
      </w:r>
    </w:p>
    <w:p w:rsidR="00CE3C32" w:rsidRDefault="006413B8">
      <w:pPr>
        <w:pStyle w:val="3"/>
        <w:spacing w:line="280" w:lineRule="exact"/>
        <w:jc w:val="left"/>
        <w:rPr>
          <w:rFonts w:ascii="Times New Roman" w:hAnsi="Times New Roman" w:cs="Times New Roman"/>
          <w:b/>
          <w:bCs/>
        </w:rPr>
      </w:pPr>
      <w:bookmarkStart w:id="351" w:name="_Toc989235"/>
      <w:r>
        <w:rPr>
          <w:rFonts w:ascii="Times New Roman" w:hAnsi="Times New Roman" w:cs="Times New Roman"/>
          <w:b/>
          <w:bCs/>
        </w:rPr>
        <w:t>57</w:t>
      </w:r>
      <w:r>
        <w:rPr>
          <w:rFonts w:ascii="Times New Roman" w:hAnsi="Times New Roman" w:cs="Times New Roman"/>
          <w:b/>
          <w:bCs/>
        </w:rPr>
        <w:t>、其他综合收益</w:t>
      </w:r>
      <w:bookmarkEnd w:id="351"/>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CE3C32">
        <w:trPr>
          <w:trHeight w:val="240"/>
          <w:tblHeader/>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6426"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blHeader/>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本期所得税前发生额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减：前期计入其他综合收益当期转入损益</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减：前期计入其他综合收益当期转入留存收益</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减：所得税费用</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税后归属于母公司</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税后归属于少数股东</w:t>
            </w:r>
          </w:p>
        </w:tc>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一、不能重分类进损益的其他综合收益</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-269,110.00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-269,110.00</w:t>
            </w:r>
          </w:p>
        </w:tc>
      </w:tr>
      <w:tr w:rsidR="00CE3C32">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其他权益工具投资公允价值变动</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-269,110.00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-269,110.00</w:t>
            </w:r>
          </w:p>
        </w:tc>
      </w:tr>
      <w:tr w:rsidR="00CE3C32">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二、将重分类进损益的其他综合收益</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-333,931.44</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-51,907.38</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-51,907.38</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-385,838.82</w:t>
            </w:r>
          </w:p>
        </w:tc>
      </w:tr>
      <w:tr w:rsidR="00CE3C32">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外币财务报表折算差额</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-333,931.44</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-51,907.38</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-51,907.38</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-385,838.82</w:t>
            </w:r>
          </w:p>
        </w:tc>
      </w:tr>
      <w:tr w:rsidR="00CE3C32">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其他综合收益合计</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-603,041.44</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-51,907.38</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-51,907.38</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-654,948.82</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其他说明，包括对现金流量套期损益的有效部分转为被套期项目初始确认金额调整：</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352" w:name="_Toc989236"/>
      <w:r>
        <w:rPr>
          <w:rFonts w:ascii="Times New Roman" w:hAnsi="Times New Roman" w:cs="Times New Roman"/>
          <w:b/>
          <w:bCs/>
        </w:rPr>
        <w:t>58</w:t>
      </w:r>
      <w:r>
        <w:rPr>
          <w:rFonts w:ascii="Times New Roman" w:hAnsi="Times New Roman" w:cs="Times New Roman"/>
          <w:b/>
          <w:bCs/>
        </w:rPr>
        <w:t>、专项储备</w:t>
      </w:r>
      <w:bookmarkEnd w:id="35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其他说明，包括本期增减变动情况、变动原因说明：</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353" w:name="_Toc989237"/>
      <w:r>
        <w:rPr>
          <w:rFonts w:ascii="Times New Roman" w:hAnsi="Times New Roman" w:cs="Times New Roman"/>
          <w:b/>
          <w:bCs/>
        </w:rPr>
        <w:t>59</w:t>
      </w:r>
      <w:r>
        <w:rPr>
          <w:rFonts w:ascii="Times New Roman" w:hAnsi="Times New Roman" w:cs="Times New Roman"/>
          <w:b/>
          <w:bCs/>
        </w:rPr>
        <w:t>、盈余公积</w:t>
      </w:r>
      <w:bookmarkEnd w:id="353"/>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blHeader/>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法定盈余公积</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25,904,440.33</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25,904,440.33</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合计</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25,904,440.33</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25,904,440.33</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盈余公积说明，包括本期增减变动情况、变动原因说明：</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354" w:name="_Toc989238"/>
      <w:r>
        <w:rPr>
          <w:rFonts w:ascii="Times New Roman" w:hAnsi="Times New Roman" w:cs="Times New Roman"/>
          <w:b/>
          <w:bCs/>
        </w:rPr>
        <w:t>60</w:t>
      </w:r>
      <w:r>
        <w:rPr>
          <w:rFonts w:ascii="Times New Roman" w:hAnsi="Times New Roman" w:cs="Times New Roman"/>
          <w:b/>
          <w:bCs/>
        </w:rPr>
        <w:t>、未分配利润</w:t>
      </w:r>
      <w:bookmarkEnd w:id="354"/>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调整前上期末未分配利润</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120,283,337.88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176,446,442.34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调整后期初未分配利润</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120,283,337.88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176,446,442.34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加：本期归属于母公司所有者的净利润</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6,059,068.30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-11,729,023.47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应付普通股股利</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6,710,880.00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调整限制性股票可撤销现金股利</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-25,600.00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期末未分配利润</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126,368,006.18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158,006,538.87</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调整期初未分配利润明细：</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由于《企业会计准则》及其相关新规定进行追溯调整，影响期初未分配利润</w:t>
      </w:r>
      <w:r>
        <w:rPr>
          <w:rFonts w:ascii="Times New Roman" w:eastAsia="宋体" w:hAnsi="Times New Roman" w:cs="Times New Roman"/>
          <w:sz w:val="18"/>
          <w:szCs w:val="18"/>
        </w:rPr>
        <w:t>0.00</w:t>
      </w:r>
      <w:r>
        <w:rPr>
          <w:rFonts w:ascii="Times New Roman" w:eastAsia="宋体" w:hAnsi="Times New Roman" w:cs="Times New Roman"/>
          <w:sz w:val="18"/>
          <w:szCs w:val="18"/>
        </w:rPr>
        <w:t>元。</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由于会计政策变更，影响期初未分配利润</w:t>
      </w:r>
      <w:r>
        <w:rPr>
          <w:rFonts w:ascii="Times New Roman" w:eastAsia="宋体" w:hAnsi="Times New Roman" w:cs="Times New Roman"/>
          <w:sz w:val="18"/>
          <w:szCs w:val="18"/>
        </w:rPr>
        <w:t>0.00</w:t>
      </w:r>
      <w:r>
        <w:rPr>
          <w:rFonts w:ascii="Times New Roman" w:eastAsia="宋体" w:hAnsi="Times New Roman" w:cs="Times New Roman"/>
          <w:sz w:val="18"/>
          <w:szCs w:val="18"/>
        </w:rPr>
        <w:t>元。</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由于重大会计差错更正，影响期初未分配利润</w:t>
      </w:r>
      <w:r>
        <w:rPr>
          <w:rFonts w:ascii="Times New Roman" w:eastAsia="宋体" w:hAnsi="Times New Roman" w:cs="Times New Roman"/>
          <w:sz w:val="18"/>
          <w:szCs w:val="18"/>
        </w:rPr>
        <w:t>0.00</w:t>
      </w:r>
      <w:r>
        <w:rPr>
          <w:rFonts w:ascii="Times New Roman" w:eastAsia="宋体" w:hAnsi="Times New Roman" w:cs="Times New Roman"/>
          <w:sz w:val="18"/>
          <w:szCs w:val="18"/>
        </w:rPr>
        <w:t>元。</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由于同一控制导致的合并范围变更，影响期初未分配利润</w:t>
      </w:r>
      <w:r>
        <w:rPr>
          <w:rFonts w:ascii="Times New Roman" w:eastAsia="宋体" w:hAnsi="Times New Roman" w:cs="Times New Roman"/>
          <w:sz w:val="18"/>
          <w:szCs w:val="18"/>
        </w:rPr>
        <w:t>0.00</w:t>
      </w:r>
      <w:r>
        <w:rPr>
          <w:rFonts w:ascii="Times New Roman" w:eastAsia="宋体" w:hAnsi="Times New Roman" w:cs="Times New Roman"/>
          <w:sz w:val="18"/>
          <w:szCs w:val="18"/>
        </w:rPr>
        <w:t>元。</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其他调整合计影响期初未分配利润</w:t>
      </w:r>
      <w:r>
        <w:rPr>
          <w:rFonts w:ascii="Times New Roman" w:eastAsia="宋体" w:hAnsi="Times New Roman" w:cs="Times New Roman"/>
          <w:sz w:val="18"/>
          <w:szCs w:val="18"/>
        </w:rPr>
        <w:t>0.00</w:t>
      </w:r>
      <w:r>
        <w:rPr>
          <w:rFonts w:ascii="Times New Roman" w:eastAsia="宋体" w:hAnsi="Times New Roman" w:cs="Times New Roman"/>
          <w:sz w:val="18"/>
          <w:szCs w:val="18"/>
        </w:rPr>
        <w:t>元。</w:t>
      </w:r>
    </w:p>
    <w:p w:rsidR="00CE3C32" w:rsidRDefault="006413B8">
      <w:pPr>
        <w:pStyle w:val="3"/>
        <w:spacing w:line="280" w:lineRule="exact"/>
        <w:jc w:val="left"/>
        <w:rPr>
          <w:rFonts w:ascii="Times New Roman" w:hAnsi="Times New Roman" w:cs="Times New Roman"/>
          <w:b/>
          <w:bCs/>
        </w:rPr>
      </w:pPr>
      <w:bookmarkStart w:id="355" w:name="_Toc989239"/>
      <w:r>
        <w:rPr>
          <w:rFonts w:ascii="Times New Roman" w:hAnsi="Times New Roman" w:cs="Times New Roman"/>
          <w:b/>
          <w:bCs/>
        </w:rPr>
        <w:t>61</w:t>
      </w:r>
      <w:r>
        <w:rPr>
          <w:rFonts w:ascii="Times New Roman" w:hAnsi="Times New Roman" w:cs="Times New Roman"/>
          <w:b/>
          <w:bCs/>
        </w:rPr>
        <w:t>、营业收入和营业成本</w:t>
      </w:r>
      <w:bookmarkEnd w:id="355"/>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成本</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成本</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主营业务</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145,590,548.88</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101,465,019.80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88,581,845.98</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71,975,011.29</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其他业务</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38,977.69</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632,560.39</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145,629,526.57</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101,465,019.80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89,214,406.37</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71,975,011.29</w:t>
            </w:r>
          </w:p>
        </w:tc>
      </w:tr>
    </w:tbl>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营业收入、营业成本的分解信息：</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4875"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69"/>
        <w:gridCol w:w="1969"/>
        <w:gridCol w:w="1839"/>
        <w:gridCol w:w="1985"/>
        <w:gridCol w:w="1845"/>
      </w:tblGrid>
      <w:tr w:rsidR="00CE3C32">
        <w:trPr>
          <w:trHeight w:val="240"/>
          <w:tblHeader/>
        </w:trPr>
        <w:tc>
          <w:tcPr>
            <w:tcW w:w="1025"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合同分类</w:t>
            </w:r>
          </w:p>
        </w:tc>
        <w:tc>
          <w:tcPr>
            <w:tcW w:w="1982" w:type="pct"/>
            <w:gridSpan w:val="2"/>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本公司</w:t>
            </w:r>
          </w:p>
        </w:tc>
        <w:tc>
          <w:tcPr>
            <w:tcW w:w="1993"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合计</w:t>
            </w:r>
          </w:p>
        </w:tc>
      </w:tr>
      <w:tr w:rsidR="00CE3C32">
        <w:trPr>
          <w:trHeight w:val="240"/>
          <w:tblHeader/>
        </w:trPr>
        <w:tc>
          <w:tcPr>
            <w:tcW w:w="1025"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营业收入</w:t>
            </w:r>
          </w:p>
        </w:tc>
        <w:tc>
          <w:tcPr>
            <w:tcW w:w="95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营业成本</w:t>
            </w:r>
          </w:p>
        </w:tc>
        <w:tc>
          <w:tcPr>
            <w:tcW w:w="103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营业收入</w:t>
            </w:r>
          </w:p>
        </w:tc>
        <w:tc>
          <w:tcPr>
            <w:tcW w:w="960"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营业成本</w:t>
            </w: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业务类型</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w:t>
            </w:r>
          </w:p>
        </w:tc>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95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3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960"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信息系统集成服务</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12,496,137.41</w:t>
            </w: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9,642,498.36</w:t>
            </w: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12,496,137.41</w:t>
            </w: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9,642,498.36</w:t>
            </w: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软件开发及技术服务</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40,066,909.98</w:t>
            </w: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26,258,016.82</w:t>
            </w: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40,066,909.98</w:t>
            </w: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26,258,016.82</w:t>
            </w: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信息系统运维服务</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5,907,068.73</w:t>
            </w: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3,464,188.35</w:t>
            </w: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5,907,068.73</w:t>
            </w: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3,464,188.35</w:t>
            </w: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信息设备销售</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48,302,246.54</w:t>
            </w: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43,039,009.35</w:t>
            </w: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48,302,246.54</w:t>
            </w: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43,039,009.35</w:t>
            </w: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算力服务</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30,075,313.20</w:t>
            </w: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16,095,066.18</w:t>
            </w: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30,075,313.20</w:t>
            </w: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16,095,066.18</w:t>
            </w: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新能源电力</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8,742,873.02</w:t>
            </w: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2,966,240.74</w:t>
            </w: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8,742,873.02</w:t>
            </w: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2,966,240.74</w:t>
            </w: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其他业务收入</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38,977.69</w:t>
            </w: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38,977.69</w:t>
            </w: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按经营地区分类</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w:t>
            </w:r>
          </w:p>
        </w:tc>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95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3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960"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华南地区</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130,229,494.16</w:t>
            </w: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92,991,836.74</w:t>
            </w: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130,229,494.16</w:t>
            </w: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92,991,836.74</w:t>
            </w: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华中地区</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4,797,162.43</w:t>
            </w: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1,220,637.30</w:t>
            </w: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4,797,162.43</w:t>
            </w: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1,220,637.30</w:t>
            </w: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华东地区</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3,032,203.19</w:t>
            </w: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1,354,547.90</w:t>
            </w: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3,032,203.19</w:t>
            </w: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1,354,547.90</w:t>
            </w: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其他地区</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7,570,666.79</w:t>
            </w: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5,897,997.86</w:t>
            </w: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7,570,666.79</w:t>
            </w: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5,897,997.86</w:t>
            </w: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市场或客户类型</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w:t>
            </w:r>
          </w:p>
        </w:tc>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95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3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960"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智慧政务</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27,861,707.36</w:t>
            </w: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21,919,958.61</w:t>
            </w: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27,861,707.36</w:t>
            </w: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21,919,958.61</w:t>
            </w: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智慧教育</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20,789,955.24</w:t>
            </w: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19,258,700.81</w:t>
            </w: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20,789,955.24</w:t>
            </w: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19,258,700.81</w:t>
            </w: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智慧医疗</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6,934,768.20</w:t>
            </w: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6,351,057.65</w:t>
            </w: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6,934,768.20</w:t>
            </w: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6,351,057.65</w:t>
            </w: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智慧企业</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43,452,122.24</w:t>
            </w: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28,849,711.55</w:t>
            </w: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43,452,122.24</w:t>
            </w: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28,849,711.55</w:t>
            </w: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算力服务</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30,075,313.20</w:t>
            </w: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16,095,066.18</w:t>
            </w: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30,075,313.20</w:t>
            </w: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16,095,066.18</w:t>
            </w: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新能源电力</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8,742,873.02</w:t>
            </w: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2,966,240.74</w:t>
            </w: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8,742,873.02</w:t>
            </w: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2,966,240.74</w:t>
            </w: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轨道交通</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7,733,809.62</w:t>
            </w: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6,024,284.26</w:t>
            </w: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7,733,809.62</w:t>
            </w: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6,024,284.26</w:t>
            </w: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其他业务收入</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38,977.69</w:t>
            </w: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38,977.69</w:t>
            </w: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合同类型</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w:t>
            </w:r>
          </w:p>
        </w:tc>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95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3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960"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按商品转让的时间分类</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w:t>
            </w:r>
          </w:p>
        </w:tc>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95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3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960"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在某一时点</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110,063,956.19</w:t>
            </w: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82,072,995.59</w:t>
            </w: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110,063,956.19</w:t>
            </w: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82,072,995.59</w:t>
            </w: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在某一时间段</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35,565,570.38</w:t>
            </w: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19,392,024.21</w:t>
            </w: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35,565,570.38</w:t>
            </w: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19,392,024.21</w:t>
            </w: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按合同期限分类</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w:t>
            </w:r>
          </w:p>
        </w:tc>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95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3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960"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按销售渠道分类</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w:t>
            </w:r>
          </w:p>
        </w:tc>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95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3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960"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02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02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145,629,526.57</w:t>
            </w:r>
          </w:p>
        </w:tc>
        <w:tc>
          <w:tcPr>
            <w:tcW w:w="95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101,465,019.80</w:t>
            </w:r>
          </w:p>
        </w:tc>
        <w:tc>
          <w:tcPr>
            <w:tcW w:w="10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145,629,526.57</w:t>
            </w:r>
          </w:p>
        </w:tc>
        <w:tc>
          <w:tcPr>
            <w:tcW w:w="9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101,465,019.80</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与履约义务相关的信息：</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履行履约义务的时间</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重要的支付条款</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公司承诺转让商品的性质</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是否为主要责任人</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公司承担的预期将退还给客户的款项</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公司提供的质量保证类型及相关义务</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p>
    <w:p w:rsidR="00CE3C32" w:rsidRDefault="006413B8">
      <w:pPr>
        <w:spacing w:beforeLines="50" w:before="156" w:after="100"/>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与分摊至剩余履约义务的交易价格相关的信息：本报告期末已签订合同、但尚未履行或尚未履行完毕的履约义务所对应的收入金额为</w:t>
      </w:r>
      <w:r>
        <w:rPr>
          <w:rFonts w:ascii="Times New Roman" w:eastAsia="宋体" w:hAnsi="Times New Roman" w:cs="Times New Roman"/>
          <w:sz w:val="18"/>
          <w:szCs w:val="18"/>
        </w:rPr>
        <w:t>773,554,154.57</w:t>
      </w:r>
      <w:r>
        <w:rPr>
          <w:rFonts w:ascii="Times New Roman" w:eastAsia="宋体" w:hAnsi="Times New Roman" w:cs="Times New Roman"/>
          <w:sz w:val="18"/>
          <w:szCs w:val="18"/>
        </w:rPr>
        <w:t>元。</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合同中可变对价相关信息：</w:t>
      </w:r>
      <w:r>
        <w:rPr>
          <w:rFonts w:ascii="Times New Roman" w:eastAsia="宋体" w:hAnsi="Times New Roman" w:cs="Times New Roman" w:hint="eastAsia"/>
          <w:sz w:val="18"/>
          <w:szCs w:val="18"/>
        </w:rPr>
        <w:t>无。</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重大合同变更或重大交易价格调整</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会计处理方法</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对收入的影响金额</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356" w:name="_Toc989240"/>
      <w:r>
        <w:rPr>
          <w:rFonts w:ascii="Times New Roman" w:hAnsi="Times New Roman" w:cs="Times New Roman"/>
          <w:b/>
          <w:bCs/>
        </w:rPr>
        <w:t>62</w:t>
      </w:r>
      <w:r>
        <w:rPr>
          <w:rFonts w:ascii="Times New Roman" w:hAnsi="Times New Roman" w:cs="Times New Roman"/>
          <w:b/>
          <w:bCs/>
        </w:rPr>
        <w:t>、税金及附加</w:t>
      </w:r>
      <w:bookmarkEnd w:id="356"/>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城市维护建设税</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52,359.28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36,820.09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教育费附加</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22,149.95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15,780.04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房产税</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279,100.29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279,100.30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土地使用税</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538.82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538.89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车船使用税</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2,336.42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4,736.42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印花税</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102,917.13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42,310.88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地方教育附加</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14,766.61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10,520.02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水利建设基金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2,704.24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476,872.74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389,806.64</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357" w:name="_Toc989241"/>
      <w:r>
        <w:rPr>
          <w:rFonts w:ascii="Times New Roman" w:hAnsi="Times New Roman" w:cs="Times New Roman"/>
          <w:b/>
          <w:bCs/>
        </w:rPr>
        <w:t>63</w:t>
      </w:r>
      <w:r>
        <w:rPr>
          <w:rFonts w:ascii="Times New Roman" w:hAnsi="Times New Roman" w:cs="Times New Roman"/>
          <w:b/>
          <w:bCs/>
        </w:rPr>
        <w:t>、管理费用</w:t>
      </w:r>
      <w:bookmarkEnd w:id="357"/>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职工薪酬</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6,813,764.15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6,156,547.16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折旧摊销</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1,161,989.37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885,730.94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规范运营费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1,181,633.87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892,169.12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房租水电</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150,132.51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190,840.96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办公费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820,767.93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879,974.78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差旅费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554,442.03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420,693.38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业务招待费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1,486,711.69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1,192,612.18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股权激励</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3,872,117.95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6,859,898.02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16,041,559.50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17,478,466.54</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358" w:name="_Toc989242"/>
      <w:r>
        <w:rPr>
          <w:rFonts w:ascii="Times New Roman" w:hAnsi="Times New Roman" w:cs="Times New Roman"/>
          <w:b/>
          <w:bCs/>
        </w:rPr>
        <w:t>64</w:t>
      </w:r>
      <w:r>
        <w:rPr>
          <w:rFonts w:ascii="Times New Roman" w:hAnsi="Times New Roman" w:cs="Times New Roman"/>
          <w:b/>
          <w:bCs/>
        </w:rPr>
        <w:t>、销售费用</w:t>
      </w:r>
      <w:bookmarkEnd w:id="35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职工薪酬</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4,543,769.78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5,373,816.71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广告宣传费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263,503.57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65,985.68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业务招待费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1,375,906.40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981,198.41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办公费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192,331.53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424,171.46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差旅费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186,141.28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405,055.87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投标服务费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191,422.81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225,343.62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售后服务费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490,264.47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595,789.03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折旧摊销</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1,215,419.10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1,156,578.95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房租水电</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176,677.13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118,858.88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股权激励</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1,496,640.95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2,751,400.70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47,750.27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8,463.52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10,179,827.29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12,106,662.83</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359" w:name="_Toc989243"/>
      <w:r>
        <w:rPr>
          <w:rFonts w:ascii="Times New Roman" w:hAnsi="Times New Roman" w:cs="Times New Roman"/>
          <w:b/>
          <w:bCs/>
        </w:rPr>
        <w:t>65</w:t>
      </w:r>
      <w:r>
        <w:rPr>
          <w:rFonts w:ascii="Times New Roman" w:hAnsi="Times New Roman" w:cs="Times New Roman"/>
          <w:b/>
          <w:bCs/>
        </w:rPr>
        <w:t>、研发费用</w:t>
      </w:r>
      <w:bookmarkEnd w:id="359"/>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直接人工费用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5,582,515.92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5,441,422.42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直接投入费用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61,358.93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573,517.42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折旧摊销费用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1,061,037.29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1,378,201.69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其他相关费用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549,388.76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315,697.48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委托研发费用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1,169,811.33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新产品设计费用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845,308.04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8,424,112.23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8,554,147.05</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360" w:name="_Toc989244"/>
      <w:r>
        <w:rPr>
          <w:rFonts w:ascii="Times New Roman" w:hAnsi="Times New Roman" w:cs="Times New Roman"/>
          <w:b/>
          <w:bCs/>
        </w:rPr>
        <w:t>66</w:t>
      </w:r>
      <w:r>
        <w:rPr>
          <w:rFonts w:ascii="Times New Roman" w:hAnsi="Times New Roman" w:cs="Times New Roman"/>
          <w:b/>
          <w:bCs/>
        </w:rPr>
        <w:t>、财务费用</w:t>
      </w:r>
      <w:bookmarkEnd w:id="360"/>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利息费用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5,865,606.56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547,411.65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减：利息收入</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1,163,837.96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3,855,537.74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汇兑净损失</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-32,189.35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2,440.58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手续费及其他</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91,741.30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27,637.72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未确认融资费用和未实现融资收益的摊销</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142,836.69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7,615.30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4,904,157.24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-3,270,432.49</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361" w:name="_Toc989245"/>
      <w:r>
        <w:rPr>
          <w:rFonts w:ascii="Times New Roman" w:hAnsi="Times New Roman" w:cs="Times New Roman"/>
          <w:b/>
          <w:bCs/>
        </w:rPr>
        <w:t>67</w:t>
      </w:r>
      <w:r>
        <w:rPr>
          <w:rFonts w:ascii="Times New Roman" w:hAnsi="Times New Roman" w:cs="Times New Roman"/>
          <w:b/>
          <w:bCs/>
        </w:rPr>
        <w:t>、其他收益</w:t>
      </w:r>
      <w:bookmarkEnd w:id="361"/>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产生其他收益的来源</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与日常活动相关的政府补助</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7,093.45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11,939.11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代扣个人所得税手续费返回</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38,823.70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27,444.49</w:t>
            </w:r>
          </w:p>
        </w:tc>
      </w:tr>
    </w:tbl>
    <w:p w:rsidR="00CE3C32" w:rsidRDefault="006413B8">
      <w:pPr>
        <w:pStyle w:val="3"/>
        <w:spacing w:line="280" w:lineRule="exact"/>
        <w:jc w:val="left"/>
        <w:rPr>
          <w:rFonts w:ascii="Times New Roman" w:hAnsi="Times New Roman" w:cs="Times New Roman"/>
          <w:b/>
          <w:bCs/>
        </w:rPr>
      </w:pPr>
      <w:bookmarkStart w:id="362" w:name="_Toc989246"/>
      <w:r>
        <w:rPr>
          <w:rFonts w:ascii="Times New Roman" w:hAnsi="Times New Roman" w:cs="Times New Roman"/>
          <w:b/>
          <w:bCs/>
        </w:rPr>
        <w:t>68</w:t>
      </w:r>
      <w:r>
        <w:rPr>
          <w:rFonts w:ascii="Times New Roman" w:hAnsi="Times New Roman" w:cs="Times New Roman"/>
          <w:b/>
          <w:bCs/>
        </w:rPr>
        <w:t>、净敞口套期收益</w:t>
      </w:r>
      <w:bookmarkEnd w:id="36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363" w:name="_Toc989247"/>
      <w:r>
        <w:rPr>
          <w:rFonts w:ascii="Times New Roman" w:hAnsi="Times New Roman" w:cs="Times New Roman"/>
          <w:b/>
          <w:bCs/>
        </w:rPr>
        <w:t>69</w:t>
      </w:r>
      <w:r>
        <w:rPr>
          <w:rFonts w:ascii="Times New Roman" w:hAnsi="Times New Roman" w:cs="Times New Roman"/>
          <w:b/>
          <w:bCs/>
        </w:rPr>
        <w:t>、公允价值变动收益</w:t>
      </w:r>
      <w:bookmarkEnd w:id="363"/>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产生公允价值变动收益的来源</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-8,383.56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-8,383.56</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364" w:name="_Toc989248"/>
      <w:r>
        <w:rPr>
          <w:rFonts w:ascii="Times New Roman" w:hAnsi="Times New Roman" w:cs="Times New Roman"/>
          <w:b/>
          <w:bCs/>
        </w:rPr>
        <w:t>70</w:t>
      </w:r>
      <w:r>
        <w:rPr>
          <w:rFonts w:ascii="Times New Roman" w:hAnsi="Times New Roman" w:cs="Times New Roman"/>
          <w:b/>
          <w:bCs/>
        </w:rPr>
        <w:t>、投资收益</w:t>
      </w:r>
      <w:bookmarkEnd w:id="364"/>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处置长期股权投资产生的投资收益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-326,532.15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处置交易性金融资产取得的投资收益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260,712.33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-326,532.15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260,712.33</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365" w:name="_Toc989249"/>
      <w:r>
        <w:rPr>
          <w:rFonts w:ascii="Times New Roman" w:hAnsi="Times New Roman" w:cs="Times New Roman"/>
          <w:b/>
          <w:bCs/>
        </w:rPr>
        <w:t>71</w:t>
      </w:r>
      <w:r>
        <w:rPr>
          <w:rFonts w:ascii="Times New Roman" w:hAnsi="Times New Roman" w:cs="Times New Roman"/>
          <w:b/>
          <w:bCs/>
        </w:rPr>
        <w:t>、信用减值损失</w:t>
      </w:r>
      <w:bookmarkEnd w:id="365"/>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应收账款坏账损失</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3,076,375.29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1,896,354.09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其他应收款坏账损失</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-256,590.90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-89,272.18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长期应收款坏账损失</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-11,731.19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139,451.75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2,808,053.20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1,946,533.66</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366" w:name="_Toc989250"/>
      <w:r>
        <w:rPr>
          <w:rFonts w:ascii="Times New Roman" w:hAnsi="Times New Roman" w:cs="Times New Roman"/>
          <w:b/>
          <w:bCs/>
        </w:rPr>
        <w:t>72</w:t>
      </w:r>
      <w:r>
        <w:rPr>
          <w:rFonts w:ascii="Times New Roman" w:hAnsi="Times New Roman" w:cs="Times New Roman"/>
          <w:b/>
          <w:bCs/>
        </w:rPr>
        <w:t>、资产减值损失</w:t>
      </w:r>
      <w:bookmarkEnd w:id="366"/>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一、存货跌价损失及合同履约成本减值损失</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-458,664.67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-422,221.05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十一、合同资产减值损失</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24,394.07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100,064.45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-434,270.60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-322,156.60</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CE3C32">
      <w:pPr>
        <w:rPr>
          <w:rFonts w:ascii="Times New Roman" w:hAnsi="Times New Roman" w:cs="Times New Roman"/>
          <w:sz w:val="18"/>
          <w:szCs w:val="18"/>
        </w:rPr>
      </w:pPr>
    </w:p>
    <w:p w:rsidR="00CE3C32" w:rsidRDefault="006413B8">
      <w:pPr>
        <w:pStyle w:val="3"/>
        <w:spacing w:line="280" w:lineRule="exact"/>
        <w:jc w:val="left"/>
        <w:rPr>
          <w:rFonts w:ascii="Times New Roman" w:hAnsi="Times New Roman" w:cs="Times New Roman"/>
          <w:b/>
          <w:bCs/>
        </w:rPr>
      </w:pPr>
      <w:bookmarkStart w:id="367" w:name="_Toc989251"/>
      <w:r>
        <w:rPr>
          <w:rFonts w:ascii="Times New Roman" w:hAnsi="Times New Roman" w:cs="Times New Roman"/>
          <w:b/>
          <w:bCs/>
        </w:rPr>
        <w:t>73</w:t>
      </w:r>
      <w:r>
        <w:rPr>
          <w:rFonts w:ascii="Times New Roman" w:hAnsi="Times New Roman" w:cs="Times New Roman"/>
          <w:b/>
          <w:bCs/>
        </w:rPr>
        <w:t>、资产处置收益</w:t>
      </w:r>
      <w:bookmarkEnd w:id="367"/>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资产处置收益的来源</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固定资产处置利得或损失</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61,058.74</w:t>
            </w:r>
          </w:p>
        </w:tc>
      </w:tr>
    </w:tbl>
    <w:p w:rsidR="00CE3C32" w:rsidRDefault="006413B8">
      <w:pPr>
        <w:pStyle w:val="3"/>
        <w:spacing w:line="280" w:lineRule="exact"/>
        <w:jc w:val="left"/>
        <w:rPr>
          <w:rFonts w:ascii="Times New Roman" w:hAnsi="Times New Roman" w:cs="Times New Roman"/>
          <w:b/>
          <w:bCs/>
        </w:rPr>
      </w:pPr>
      <w:bookmarkStart w:id="368" w:name="_Toc989252"/>
      <w:r>
        <w:rPr>
          <w:rFonts w:ascii="Times New Roman" w:hAnsi="Times New Roman" w:cs="Times New Roman"/>
          <w:b/>
          <w:bCs/>
        </w:rPr>
        <w:t>74</w:t>
      </w:r>
      <w:r>
        <w:rPr>
          <w:rFonts w:ascii="Times New Roman" w:hAnsi="Times New Roman" w:cs="Times New Roman"/>
          <w:b/>
          <w:bCs/>
        </w:rPr>
        <w:t>、营业外收入</w:t>
      </w:r>
      <w:bookmarkEnd w:id="36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计入当期非经常性损益的金额</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政府补助</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2,152.00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2,152.00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1.31</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1.16</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1.31</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2,153.31</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1.16</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2,153.31</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369" w:name="_Toc989253"/>
      <w:r>
        <w:rPr>
          <w:rFonts w:ascii="Times New Roman" w:hAnsi="Times New Roman" w:cs="Times New Roman"/>
          <w:b/>
          <w:bCs/>
        </w:rPr>
        <w:t>75</w:t>
      </w:r>
      <w:r>
        <w:rPr>
          <w:rFonts w:ascii="Times New Roman" w:hAnsi="Times New Roman" w:cs="Times New Roman"/>
          <w:b/>
          <w:bCs/>
        </w:rPr>
        <w:t>、营业外支出</w:t>
      </w:r>
      <w:bookmarkEnd w:id="369"/>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blHeader/>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计入当期非经常性损益的金额</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对外捐赠</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920,000.00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2,125,000.00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920,000.00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非流动资产毁损报废损失</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882.89</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4,022.58</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882.89</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滞纳金、罚款</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1,083.42</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2,801.32</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1,083.42</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113,113.67</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0.02</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113,113.67</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1,035,079.98</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2,131,823.90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1,035,079.98</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370" w:name="_Toc989254"/>
      <w:r>
        <w:rPr>
          <w:rFonts w:ascii="Times New Roman" w:hAnsi="Times New Roman" w:cs="Times New Roman"/>
          <w:b/>
          <w:bCs/>
        </w:rPr>
        <w:t>76</w:t>
      </w:r>
      <w:r>
        <w:rPr>
          <w:rFonts w:ascii="Times New Roman" w:hAnsi="Times New Roman" w:cs="Times New Roman"/>
          <w:b/>
          <w:bCs/>
        </w:rPr>
        <w:t>、所得税费用</w:t>
      </w:r>
      <w:bookmarkEnd w:id="370"/>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71" w:name="_Toc989255"/>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所得税费用表</w:t>
      </w:r>
      <w:bookmarkEnd w:id="371"/>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786"/>
        <w:gridCol w:w="2410"/>
        <w:gridCol w:w="2443"/>
      </w:tblGrid>
      <w:tr w:rsidR="00CE3C32">
        <w:trPr>
          <w:trHeight w:val="240"/>
        </w:trPr>
        <w:tc>
          <w:tcPr>
            <w:tcW w:w="478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244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478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当期所得税费用</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47,294.55</w:t>
            </w:r>
          </w:p>
        </w:tc>
        <w:tc>
          <w:tcPr>
            <w:tcW w:w="244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147,970.45</w:t>
            </w:r>
          </w:p>
        </w:tc>
      </w:tr>
      <w:tr w:rsidR="00CE3C32">
        <w:trPr>
          <w:trHeight w:val="240"/>
        </w:trPr>
        <w:tc>
          <w:tcPr>
            <w:tcW w:w="478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递延所得税费用</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-858,854.94</w:t>
            </w:r>
          </w:p>
        </w:tc>
        <w:tc>
          <w:tcPr>
            <w:tcW w:w="244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-4,184,276.56</w:t>
            </w:r>
          </w:p>
        </w:tc>
      </w:tr>
      <w:tr w:rsidR="00CE3C32">
        <w:trPr>
          <w:trHeight w:val="240"/>
        </w:trPr>
        <w:tc>
          <w:tcPr>
            <w:tcW w:w="478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-811,560.39</w:t>
            </w:r>
          </w:p>
        </w:tc>
        <w:tc>
          <w:tcPr>
            <w:tcW w:w="244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-4,036,306.11</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72" w:name="_Toc989256"/>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会计利润与所得税费用调整过程</w:t>
      </w:r>
      <w:bookmarkEnd w:id="37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利润总额</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5,198,218.70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按法定</w:t>
            </w:r>
            <w:r>
              <w:rPr>
                <w:rFonts w:ascii="Times New Roman" w:eastAsia="宋体" w:hAnsi="Times New Roman" w:cs="Times New Roman"/>
                <w:sz w:val="18"/>
                <w:szCs w:val="18"/>
              </w:rPr>
              <w:t>/</w:t>
            </w:r>
            <w:r>
              <w:rPr>
                <w:rFonts w:ascii="Times New Roman" w:eastAsia="宋体" w:hAnsi="Times New Roman" w:cs="Times New Roman"/>
                <w:sz w:val="18"/>
                <w:szCs w:val="18"/>
              </w:rPr>
              <w:t>适用税率计算的所得税费用</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779,732.79</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子公司适用不同税率的影响</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-216,036.89</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调整以前期间所得税的影响</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-3,139.41</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非应税收入的影响</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不可抵扣的成本、费用和损失的影响</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478,615.44</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使用前期未确认递延所得税资产的可抵扣亏损的影响</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-32.38</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企业所得税优惠政策的影响</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-779,454.26</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税法规定的额外可扣除费用</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-1,071,245.68</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所得税费用</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-811,560.39</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373" w:name="_Toc989257"/>
      <w:r>
        <w:rPr>
          <w:rFonts w:ascii="Times New Roman" w:hAnsi="Times New Roman" w:cs="Times New Roman"/>
          <w:b/>
          <w:bCs/>
        </w:rPr>
        <w:t>77</w:t>
      </w:r>
      <w:r>
        <w:rPr>
          <w:rFonts w:ascii="Times New Roman" w:hAnsi="Times New Roman" w:cs="Times New Roman"/>
          <w:b/>
          <w:bCs/>
        </w:rPr>
        <w:t>、其他综合收益</w:t>
      </w:r>
      <w:bookmarkEnd w:id="373"/>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详见附注</w:t>
      </w:r>
      <w:r>
        <w:rPr>
          <w:rFonts w:ascii="Times New Roman" w:eastAsia="宋体" w:hAnsi="Times New Roman" w:cs="Times New Roman"/>
          <w:sz w:val="18"/>
          <w:szCs w:val="18"/>
        </w:rPr>
        <w:t>57</w:t>
      </w:r>
    </w:p>
    <w:p w:rsidR="00CE3C32" w:rsidRDefault="006413B8">
      <w:pPr>
        <w:pStyle w:val="3"/>
        <w:spacing w:line="280" w:lineRule="exact"/>
        <w:jc w:val="left"/>
        <w:rPr>
          <w:rFonts w:ascii="Times New Roman" w:hAnsi="Times New Roman" w:cs="Times New Roman"/>
          <w:b/>
          <w:bCs/>
        </w:rPr>
      </w:pPr>
      <w:bookmarkStart w:id="374" w:name="_Toc989258"/>
      <w:r>
        <w:rPr>
          <w:rFonts w:ascii="Times New Roman" w:hAnsi="Times New Roman" w:cs="Times New Roman"/>
          <w:b/>
          <w:bCs/>
        </w:rPr>
        <w:t>78</w:t>
      </w:r>
      <w:r>
        <w:rPr>
          <w:rFonts w:ascii="Times New Roman" w:hAnsi="Times New Roman" w:cs="Times New Roman"/>
          <w:b/>
          <w:bCs/>
        </w:rPr>
        <w:t>、现金流量表项目</w:t>
      </w:r>
      <w:bookmarkEnd w:id="374"/>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75" w:name="_Toc989259"/>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与经营活动有关的现金</w:t>
      </w:r>
      <w:bookmarkEnd w:id="375"/>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收到的其他与经营活动有关的现金</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利息收入</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332,040.15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1,945,975.92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政府补助（含财政贴息）</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48,069.15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39,934.15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押金保证金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11,154,994.33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964,290.20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日常往来及其他</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734,239.30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373,934.70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12,269,342.93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3,324,134.97</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收到的其他与经营活动有关的现金说明：</w:t>
      </w:r>
      <w:r>
        <w:rPr>
          <w:rFonts w:ascii="Times New Roman" w:eastAsia="宋体" w:hAnsi="Times New Roman" w:cs="Times New Roman" w:hint="eastAsia"/>
          <w:sz w:val="18"/>
          <w:szCs w:val="18"/>
        </w:rPr>
        <w:t>无。</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支付的其他与经营活动有关的现金</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付现费用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7,102,380.49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8,887,853.42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银行手续费</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91,742.68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28,121.67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押金保证金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247,065.00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216,939.10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日常往来及其他</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3,363,885.46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1,432,118.75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10,805,073.63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10,565,032.94</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支付的其他与经营活动有关的现金说明：</w:t>
      </w:r>
      <w:r>
        <w:rPr>
          <w:rFonts w:ascii="Times New Roman" w:eastAsia="宋体" w:hAnsi="Times New Roman" w:cs="Times New Roman" w:hint="eastAsia"/>
          <w:sz w:val="18"/>
          <w:szCs w:val="18"/>
        </w:rPr>
        <w:t>无。</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76" w:name="_Toc989260"/>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与投资活动有关的现金</w:t>
      </w:r>
      <w:bookmarkEnd w:id="376"/>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收到的其他与投资活动有关的现金</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定期存款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50,000,000.00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115,000,000.00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387,500.00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50,387,500.00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115,000,000.00</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收到的重要的与投资活动有关的现金</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理财产品</w:t>
            </w:r>
            <w:r>
              <w:rPr>
                <w:rFonts w:ascii="Times New Roman" w:eastAsia="宋体" w:hAnsi="Times New Roman" w:cs="Times New Roman"/>
                <w:sz w:val="18"/>
                <w:szCs w:val="18"/>
              </w:rPr>
              <w:t>-</w:t>
            </w:r>
            <w:r>
              <w:rPr>
                <w:rFonts w:ascii="Times New Roman" w:eastAsia="宋体" w:hAnsi="Times New Roman" w:cs="Times New Roman"/>
                <w:sz w:val="18"/>
                <w:szCs w:val="18"/>
              </w:rPr>
              <w:t>结构性存款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20,000,000.00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20,000,000.00</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收到的其他与投资活动有关的现金说明：</w:t>
      </w:r>
      <w:r>
        <w:rPr>
          <w:rFonts w:ascii="Times New Roman" w:eastAsia="宋体" w:hAnsi="Times New Roman" w:cs="Times New Roman" w:hint="eastAsia"/>
          <w:sz w:val="18"/>
          <w:szCs w:val="18"/>
        </w:rPr>
        <w:t>无。</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支付的其他与投资活动有关的现金</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定期存款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58,000,000.00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58,000,000.00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58,000,000.00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58,000,000.00</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支付的重要的与投资活动有关的现金</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理财产品</w:t>
            </w:r>
            <w:r>
              <w:rPr>
                <w:rFonts w:ascii="Times New Roman" w:eastAsia="宋体" w:hAnsi="Times New Roman" w:cs="Times New Roman"/>
                <w:sz w:val="18"/>
                <w:szCs w:val="18"/>
              </w:rPr>
              <w:t>-</w:t>
            </w:r>
            <w:r>
              <w:rPr>
                <w:rFonts w:ascii="Times New Roman" w:eastAsia="宋体" w:hAnsi="Times New Roman" w:cs="Times New Roman"/>
                <w:sz w:val="18"/>
                <w:szCs w:val="18"/>
              </w:rPr>
              <w:t>结构性存款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20,000,000.00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20,000,000.00</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支付的其他与投资活动有关的现金说明：</w:t>
      </w:r>
      <w:r>
        <w:rPr>
          <w:rFonts w:ascii="Times New Roman" w:eastAsia="宋体" w:hAnsi="Times New Roman" w:cs="Times New Roman" w:hint="eastAsia"/>
          <w:sz w:val="18"/>
          <w:szCs w:val="18"/>
        </w:rPr>
        <w:t>无。</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77" w:name="_Toc989261"/>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与筹资活动有关的现金</w:t>
      </w:r>
      <w:bookmarkEnd w:id="377"/>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收到的其他与筹资活动有关的现金</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lastRenderedPageBreak/>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收回租赁押金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162,104.00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保证金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13,400,000.00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197,503.13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融资租赁款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16,000,000.00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16,000,000.00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13,759,607.13</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收到的其他与筹资活动有关的现金说明：支付的其他与筹资活动有关的现金</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支付租金和租赁押金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2,670,107.10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1,965,621.56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回购股份</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4,047,360.00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20,889,248.45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保证金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2,200,000.00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融资租赁本金及利息</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1,915,187.50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8,632,654.60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25,054,870.01</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支付的其他与筹资活动有关的现金说明：</w:t>
      </w:r>
      <w:r>
        <w:rPr>
          <w:rFonts w:ascii="Times New Roman" w:eastAsia="宋体" w:hAnsi="Times New Roman" w:cs="Times New Roman" w:hint="eastAsia"/>
          <w:sz w:val="18"/>
          <w:szCs w:val="18"/>
        </w:rPr>
        <w:t>无。</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筹资活动产生的各项负债变动情况</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本期减少</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vAlign w:val="center"/>
          </w:tcPr>
          <w:p w:rsidR="00CE3C32" w:rsidRDefault="00CE3C32">
            <w:pPr>
              <w:rPr>
                <w:rFonts w:ascii="Times New Roman" w:hAnsi="Times New Roman" w:cs="Times New Roman"/>
              </w:rPr>
            </w:pPr>
          </w:p>
        </w:tc>
        <w:tc>
          <w:tcPr>
            <w:tcW w:w="1377" w:type="dxa"/>
            <w:vMerge/>
            <w:tcBorders>
              <w:top w:val="single" w:sz="2" w:space="0" w:color="auto"/>
              <w:left w:val="single" w:sz="2" w:space="0" w:color="auto"/>
              <w:bottom w:val="single" w:sz="2" w:space="0" w:color="auto"/>
              <w:right w:val="single" w:sz="2" w:space="0" w:color="auto"/>
            </w:tcBorders>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现金变动</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非现金变动</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现金变动</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非现金变动</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短期借款</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46,223,781.13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84,639,301.16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819,929.92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39,901,581.63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334,012.64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91,447,417.94</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长期借款（含一年内到期的非流动负债）</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34,693,685.52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241,023,950.19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5,058,017.04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17,103,607.02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263,672,045.73</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长期应付款（含一年内到期的非流动负债）</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21,032,083.33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16,000,000.00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5,758,731.25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1,915,187.50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4,984,204.86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35,891,422.22</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租赁负债（含一年内到期的租赁负债）</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8,517,744.37</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16,803,439.87</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2,610,107.10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6,180,769.74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16,530,307.40</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110,467,294.35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341,663,251.35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28,440,118.08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61,530,483.25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11,498,987.24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407,541,193.29</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78" w:name="_Toc989262"/>
      <w:r>
        <w:rPr>
          <w:rFonts w:ascii="Times New Roman" w:eastAsia="宋体" w:hAnsi="Times New Roman" w:cs="Times New Roman"/>
          <w:b/>
          <w:bCs/>
          <w:szCs w:val="21"/>
        </w:rPr>
        <w:t>（</w:t>
      </w:r>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以净额列报现金流量的说明</w:t>
      </w:r>
      <w:bookmarkEnd w:id="378"/>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相关事实情况</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采用净额列报的依据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财务影响</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79" w:name="_Toc989263"/>
      <w:r>
        <w:rPr>
          <w:rFonts w:ascii="Times New Roman" w:eastAsia="宋体" w:hAnsi="Times New Roman" w:cs="Times New Roman"/>
          <w:b/>
          <w:bCs/>
          <w:szCs w:val="21"/>
        </w:rPr>
        <w:t>（</w:t>
      </w:r>
      <w:r>
        <w:rPr>
          <w:rFonts w:ascii="Times New Roman" w:eastAsia="宋体" w:hAnsi="Times New Roman" w:cs="Times New Roman"/>
          <w:b/>
          <w:bCs/>
          <w:szCs w:val="21"/>
        </w:rPr>
        <w:t>5</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不涉及当期现金收支、但影响企业财务状况或在未来可能影响企业现金流量的重大活动及财务影响</w:t>
      </w:r>
      <w:bookmarkEnd w:id="379"/>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380" w:name="_Toc989264"/>
      <w:r>
        <w:rPr>
          <w:rFonts w:ascii="Times New Roman" w:hAnsi="Times New Roman" w:cs="Times New Roman"/>
          <w:b/>
          <w:bCs/>
        </w:rPr>
        <w:t>79</w:t>
      </w:r>
      <w:r>
        <w:rPr>
          <w:rFonts w:ascii="Times New Roman" w:hAnsi="Times New Roman" w:cs="Times New Roman"/>
          <w:b/>
          <w:bCs/>
        </w:rPr>
        <w:t>、现金流量表补充资料</w:t>
      </w:r>
      <w:bookmarkEnd w:id="380"/>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81" w:name="_Toc989265"/>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现金流量表补充资料</w:t>
      </w:r>
      <w:bookmarkEnd w:id="381"/>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补充资料</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上期金额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．将净利润调节为经营活动现金流量：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净利润</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6,009,779.09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-14,137,623.95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加：资产减值准备</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434,270.60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322,156.60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before="40" w:after="40" w:line="240" w:lineRule="exact"/>
              <w:ind w:firstLineChars="300" w:firstLine="540"/>
              <w:rPr>
                <w:rFonts w:ascii="Times New Roman" w:eastAsia="仿宋" w:hAnsi="Times New Roman" w:cs="Times New Roman"/>
                <w:szCs w:val="21"/>
              </w:rPr>
            </w:pPr>
            <w:r>
              <w:rPr>
                <w:rFonts w:ascii="Times New Roman" w:eastAsia="宋体" w:hAnsi="Times New Roman" w:cs="Times New Roman"/>
                <w:sz w:val="18"/>
                <w:szCs w:val="18"/>
              </w:rPr>
              <w:t>信用减值损失</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-2,808,053.20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-1,946,533.66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固定资产折旧、油气资产折耗、生产性生物资产折旧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19,640,135.77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1,341,718.41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使用权资产折旧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1,885,348.29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1,695,411.31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无形资产摊销</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9,141.78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568,506.88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长期待摊费用摊销</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347,117.68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150,919.26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处置固定资产、无形资产和其他长期资产的损失（收益以</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-61,058.74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固定资产报废损失（收益以</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882.89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4,022.58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公允价值变动损失（收益以</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8,383.56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财务费用（收益以</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5,445,917.21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555,026.95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投资损失（收益以</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326,532.15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-260,712.33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递延所得税资产减少（增加以</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-2,424,259.44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-3,385,144.94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递延所得税负债增加（减少以</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1,565,449.79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-799,211.24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存货的减少（增加以</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-60,338,469.74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-2,397,742.92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经营性应收项目的减少（增加以</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-29,230,073.47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-22,899,344.87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经营性应付项目的增加（减少以</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w:t>
            </w:r>
            <w:r>
              <w:rPr>
                <w:rFonts w:ascii="Times New Roman" w:eastAsia="宋体"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42,753,358.99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-20,580,293.33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-16,382,921.61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-61,821,520.43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．不涉及现金收支的重大投资和筹资活动：</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债务转为资本</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一年内到期的可转换公司债券</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融资租入固定资产</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．现金及现金等价物净变动情况：</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现金的期末余额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204,885,563.22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210,770,847.19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减：现金的期初余额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271,722,181.78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214,544,630.45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加：现金等价物的期末余额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减：现金等价物的期初余额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-66,836,618.56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-3,773,783.26</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82" w:name="_Toc989266"/>
      <w:r>
        <w:rPr>
          <w:rFonts w:ascii="Times New Roman" w:eastAsia="宋体" w:hAnsi="Times New Roman" w:cs="Times New Roman"/>
          <w:b/>
          <w:bCs/>
          <w:szCs w:val="21"/>
        </w:rPr>
        <w:lastRenderedPageBreak/>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本期支付的取得子公司的现金净额</w:t>
      </w:r>
      <w:bookmarkEnd w:id="38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加：以前期间发生的企业合并于本期支付的现金或现金等价物</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邯郸庚源新能源科技有限公司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取得子公司支付的现金净额</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83" w:name="_Toc989267"/>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本期收到的处置子公司的现金净额</w:t>
      </w:r>
      <w:bookmarkEnd w:id="383"/>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84" w:name="_Toc989268"/>
      <w:r>
        <w:rPr>
          <w:rFonts w:ascii="Times New Roman" w:eastAsia="宋体" w:hAnsi="Times New Roman" w:cs="Times New Roman"/>
          <w:b/>
          <w:bCs/>
          <w:szCs w:val="21"/>
        </w:rPr>
        <w:t>（</w:t>
      </w:r>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现金和现金等价物的构成</w:t>
      </w:r>
      <w:bookmarkEnd w:id="384"/>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204,885,563.22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271,722,181.78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其中：库存现金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21,725.40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118,274.31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可随时用于支付的银行存款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204,761,114.82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270,882,832.98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可随时用于支付的其他货币资金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102,723.00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721,074.49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三、期末现金及现金等价物余额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204,885,563.22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271,722,181.78</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85" w:name="_Toc989269"/>
      <w:r>
        <w:rPr>
          <w:rFonts w:ascii="Times New Roman" w:eastAsia="宋体" w:hAnsi="Times New Roman" w:cs="Times New Roman"/>
          <w:b/>
          <w:bCs/>
          <w:szCs w:val="21"/>
        </w:rPr>
        <w:t>（</w:t>
      </w:r>
      <w:r>
        <w:rPr>
          <w:rFonts w:ascii="Times New Roman" w:eastAsia="宋体" w:hAnsi="Times New Roman" w:cs="Times New Roman"/>
          <w:b/>
          <w:bCs/>
          <w:szCs w:val="21"/>
        </w:rPr>
        <w:t>5</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使用范围受限但仍属于现金及现金等价物列示的情况</w:t>
      </w:r>
      <w:bookmarkEnd w:id="385"/>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仍属于现金及现金等价物的理由</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86" w:name="_Toc989270"/>
      <w:r>
        <w:rPr>
          <w:rFonts w:ascii="Times New Roman" w:eastAsia="宋体" w:hAnsi="Times New Roman" w:cs="Times New Roman"/>
          <w:b/>
          <w:bCs/>
          <w:szCs w:val="21"/>
        </w:rPr>
        <w:t>（</w:t>
      </w:r>
      <w:r>
        <w:rPr>
          <w:rFonts w:ascii="Times New Roman" w:eastAsia="宋体" w:hAnsi="Times New Roman" w:cs="Times New Roman"/>
          <w:b/>
          <w:bCs/>
          <w:szCs w:val="21"/>
        </w:rPr>
        <w:t>6</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不属于现金及现金等价物的货币资金</w:t>
      </w:r>
      <w:bookmarkEnd w:id="386"/>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不属于现金及现金等价物的理由</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87" w:name="_Toc989271"/>
      <w:r>
        <w:rPr>
          <w:rFonts w:ascii="Times New Roman" w:eastAsia="宋体" w:hAnsi="Times New Roman" w:cs="Times New Roman"/>
          <w:b/>
          <w:bCs/>
          <w:szCs w:val="21"/>
        </w:rPr>
        <w:t>（</w:t>
      </w:r>
      <w:r>
        <w:rPr>
          <w:rFonts w:ascii="Times New Roman" w:eastAsia="宋体" w:hAnsi="Times New Roman" w:cs="Times New Roman"/>
          <w:b/>
          <w:bCs/>
          <w:szCs w:val="21"/>
        </w:rPr>
        <w:t>7</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其他重大活动说明</w:t>
      </w:r>
      <w:bookmarkEnd w:id="387"/>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388" w:name="_Toc989272"/>
      <w:r>
        <w:rPr>
          <w:rFonts w:ascii="Times New Roman" w:hAnsi="Times New Roman" w:cs="Times New Roman"/>
          <w:b/>
          <w:bCs/>
        </w:rPr>
        <w:lastRenderedPageBreak/>
        <w:t>80</w:t>
      </w:r>
      <w:r>
        <w:rPr>
          <w:rFonts w:ascii="Times New Roman" w:hAnsi="Times New Roman" w:cs="Times New Roman"/>
          <w:b/>
          <w:bCs/>
        </w:rPr>
        <w:t>、所有者权益变动表项目注释</w:t>
      </w:r>
      <w:bookmarkEnd w:id="388"/>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说明对上年年末余额进行调整的</w:t>
      </w:r>
      <w:r>
        <w:rPr>
          <w:rFonts w:ascii="Times New Roman" w:eastAsia="宋体" w:hAnsi="Times New Roman" w:cs="Times New Roman"/>
          <w:sz w:val="18"/>
          <w:szCs w:val="18"/>
        </w:rPr>
        <w:t>“</w:t>
      </w:r>
      <w:r>
        <w:rPr>
          <w:rFonts w:ascii="Times New Roman" w:eastAsia="宋体" w:hAnsi="Times New Roman" w:cs="Times New Roman"/>
          <w:sz w:val="18"/>
          <w:szCs w:val="18"/>
        </w:rPr>
        <w:t>其他</w:t>
      </w:r>
      <w:r>
        <w:rPr>
          <w:rFonts w:ascii="Times New Roman" w:eastAsia="宋体" w:hAnsi="Times New Roman" w:cs="Times New Roman"/>
          <w:sz w:val="18"/>
          <w:szCs w:val="18"/>
        </w:rPr>
        <w:t>”</w:t>
      </w:r>
      <w:r>
        <w:rPr>
          <w:rFonts w:ascii="Times New Roman" w:eastAsia="宋体" w:hAnsi="Times New Roman" w:cs="Times New Roman"/>
          <w:sz w:val="18"/>
          <w:szCs w:val="18"/>
        </w:rPr>
        <w:t>项目名称及调整金额等事项：</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389" w:name="_Toc989273"/>
      <w:r>
        <w:rPr>
          <w:rFonts w:ascii="Times New Roman" w:hAnsi="Times New Roman" w:cs="Times New Roman"/>
          <w:b/>
          <w:bCs/>
        </w:rPr>
        <w:t>81</w:t>
      </w:r>
      <w:r>
        <w:rPr>
          <w:rFonts w:ascii="Times New Roman" w:hAnsi="Times New Roman" w:cs="Times New Roman"/>
          <w:b/>
          <w:bCs/>
        </w:rPr>
        <w:t>、外币货币性项目</w:t>
      </w:r>
      <w:bookmarkEnd w:id="389"/>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90" w:name="_Toc989274"/>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外币货币性项目</w:t>
      </w:r>
      <w:bookmarkEnd w:id="390"/>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期末外币余额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折算汇率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期末折算人民币余额</w:t>
            </w: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货币资金</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其中：美元</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欧元</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港币</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3,377,143.74</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0.91195</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3,079,786.23</w:t>
            </w: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应收账款</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其中：美元</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欧元</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港币</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长期借款</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其中：美元</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欧元</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港币</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其他应收款</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其中：美元</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欧元</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港币</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137,574.20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0.91195</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125,460.79</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91" w:name="_Toc989275"/>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境外经营实体说明，包括对于重要的境外经营实体，应披露其境外主要经营地、记账本位币及选择依据，记账本位币发生变化的还应披露原因。</w:t>
      </w:r>
      <w:bookmarkEnd w:id="391"/>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tbl>
      <w:tblPr>
        <w:tblW w:w="5000" w:type="pct"/>
        <w:tblCellMar>
          <w:left w:w="0" w:type="dxa"/>
          <w:right w:w="0" w:type="dxa"/>
        </w:tblCellMar>
        <w:tblLook w:val="04A0" w:firstRow="1" w:lastRow="0" w:firstColumn="1" w:lastColumn="0" w:noHBand="0" w:noVBand="1"/>
        <w:tblCaption w:val="C:\Users\asd\Desktop|4-财务报表附注2023-0320.xlsx|W附注模板|_jds157|0|desc|||0|1"/>
      </w:tblPr>
      <w:tblGrid>
        <w:gridCol w:w="3639"/>
        <w:gridCol w:w="1819"/>
        <w:gridCol w:w="1614"/>
        <w:gridCol w:w="2781"/>
      </w:tblGrid>
      <w:tr w:rsidR="00CE3C32">
        <w:trPr>
          <w:trHeight w:val="284"/>
          <w:tblHeader/>
        </w:trPr>
        <w:tc>
          <w:tcPr>
            <w:tcW w:w="1847" w:type="pct"/>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CE3C32" w:rsidRDefault="006413B8">
            <w:pPr>
              <w:pStyle w:val="a6"/>
              <w:spacing w:before="0" w:beforeAutospacing="0" w:after="0" w:afterAutospacing="0"/>
              <w:jc w:val="center"/>
              <w:rPr>
                <w:rFonts w:ascii="Times New Roman" w:hAnsi="Times New Roman" w:cs="Times New Roman"/>
                <w:sz w:val="21"/>
                <w:szCs w:val="21"/>
              </w:rPr>
            </w:pPr>
            <w:r>
              <w:rPr>
                <w:rStyle w:val="a7"/>
                <w:rFonts w:ascii="Times New Roman" w:hAnsi="Times New Roman" w:cs="Times New Roman"/>
                <w:b w:val="0"/>
                <w:sz w:val="18"/>
                <w:szCs w:val="18"/>
              </w:rPr>
              <w:t>项目</w:t>
            </w:r>
          </w:p>
        </w:tc>
        <w:tc>
          <w:tcPr>
            <w:tcW w:w="923"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CE3C32" w:rsidRDefault="006413B8">
            <w:pPr>
              <w:pStyle w:val="a6"/>
              <w:spacing w:before="0" w:beforeAutospacing="0" w:after="0" w:afterAutospacing="0"/>
              <w:jc w:val="center"/>
              <w:rPr>
                <w:rFonts w:ascii="Times New Roman" w:hAnsi="Times New Roman" w:cs="Times New Roman"/>
                <w:sz w:val="21"/>
                <w:szCs w:val="21"/>
              </w:rPr>
            </w:pPr>
            <w:r>
              <w:rPr>
                <w:rStyle w:val="a7"/>
                <w:rFonts w:ascii="Times New Roman" w:hAnsi="Times New Roman" w:cs="Times New Roman"/>
                <w:b w:val="0"/>
                <w:sz w:val="18"/>
                <w:szCs w:val="18"/>
              </w:rPr>
              <w:t>境外主要经营地</w:t>
            </w:r>
          </w:p>
        </w:tc>
        <w:tc>
          <w:tcPr>
            <w:tcW w:w="819"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CE3C32" w:rsidRDefault="006413B8">
            <w:pPr>
              <w:pStyle w:val="a6"/>
              <w:spacing w:before="0" w:beforeAutospacing="0" w:after="0" w:afterAutospacing="0"/>
              <w:jc w:val="center"/>
              <w:rPr>
                <w:rFonts w:ascii="Times New Roman" w:hAnsi="Times New Roman" w:cs="Times New Roman"/>
                <w:sz w:val="21"/>
                <w:szCs w:val="21"/>
              </w:rPr>
            </w:pPr>
            <w:r>
              <w:rPr>
                <w:rStyle w:val="a7"/>
                <w:rFonts w:ascii="Times New Roman" w:hAnsi="Times New Roman" w:cs="Times New Roman"/>
                <w:b w:val="0"/>
                <w:sz w:val="18"/>
                <w:szCs w:val="18"/>
              </w:rPr>
              <w:t>记账本位币</w:t>
            </w:r>
          </w:p>
        </w:tc>
        <w:tc>
          <w:tcPr>
            <w:tcW w:w="1411"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CE3C32" w:rsidRDefault="006413B8">
            <w:pPr>
              <w:pStyle w:val="a6"/>
              <w:spacing w:before="0" w:beforeAutospacing="0" w:after="0" w:afterAutospacing="0"/>
              <w:jc w:val="center"/>
              <w:rPr>
                <w:rFonts w:ascii="Times New Roman" w:hAnsi="Times New Roman" w:cs="Times New Roman"/>
                <w:sz w:val="21"/>
                <w:szCs w:val="21"/>
              </w:rPr>
            </w:pPr>
            <w:r>
              <w:rPr>
                <w:rStyle w:val="a7"/>
                <w:rFonts w:ascii="Times New Roman" w:hAnsi="Times New Roman" w:cs="Times New Roman"/>
                <w:b w:val="0"/>
                <w:sz w:val="18"/>
                <w:szCs w:val="18"/>
              </w:rPr>
              <w:t>记账本位币的选择依据</w:t>
            </w:r>
          </w:p>
        </w:tc>
      </w:tr>
      <w:tr w:rsidR="00CE3C32">
        <w:trPr>
          <w:trHeight w:val="284"/>
        </w:trPr>
        <w:tc>
          <w:tcPr>
            <w:tcW w:w="184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jc w:val="both"/>
              <w:rPr>
                <w:rFonts w:ascii="Times New Roman" w:hAnsi="Times New Roman" w:cs="Times New Roman"/>
                <w:sz w:val="21"/>
                <w:szCs w:val="21"/>
              </w:rPr>
            </w:pPr>
            <w:r>
              <w:rPr>
                <w:rFonts w:ascii="Times New Roman" w:hAnsi="Times New Roman" w:cs="Times New Roman"/>
                <w:sz w:val="18"/>
                <w:szCs w:val="18"/>
              </w:rPr>
              <w:t>天亿马（香港）信息产业有限公司</w:t>
            </w:r>
          </w:p>
        </w:tc>
        <w:tc>
          <w:tcPr>
            <w:tcW w:w="923"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jc w:val="center"/>
              <w:rPr>
                <w:rFonts w:ascii="Times New Roman" w:hAnsi="Times New Roman" w:cs="Times New Roman"/>
                <w:sz w:val="21"/>
                <w:szCs w:val="21"/>
              </w:rPr>
            </w:pPr>
            <w:r>
              <w:rPr>
                <w:rFonts w:ascii="Times New Roman" w:hAnsi="Times New Roman" w:cs="Times New Roman"/>
                <w:sz w:val="18"/>
                <w:szCs w:val="18"/>
              </w:rPr>
              <w:t>香港</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jc w:val="center"/>
              <w:rPr>
                <w:rFonts w:ascii="Times New Roman" w:hAnsi="Times New Roman" w:cs="Times New Roman"/>
                <w:sz w:val="21"/>
                <w:szCs w:val="21"/>
              </w:rPr>
            </w:pPr>
            <w:r>
              <w:rPr>
                <w:rFonts w:ascii="Times New Roman" w:hAnsi="Times New Roman" w:cs="Times New Roman"/>
                <w:sz w:val="18"/>
                <w:szCs w:val="18"/>
              </w:rPr>
              <w:t>港币</w:t>
            </w:r>
          </w:p>
        </w:tc>
        <w:tc>
          <w:tcPr>
            <w:tcW w:w="1411"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jc w:val="center"/>
              <w:rPr>
                <w:rFonts w:ascii="Times New Roman" w:hAnsi="Times New Roman" w:cs="Times New Roman"/>
                <w:sz w:val="21"/>
                <w:szCs w:val="21"/>
              </w:rPr>
            </w:pPr>
            <w:r>
              <w:rPr>
                <w:rFonts w:ascii="Times New Roman" w:hAnsi="Times New Roman" w:cs="Times New Roman"/>
                <w:sz w:val="18"/>
                <w:szCs w:val="18"/>
              </w:rPr>
              <w:t>公司交易主要以港币结算</w:t>
            </w:r>
          </w:p>
        </w:tc>
      </w:tr>
    </w:tbl>
    <w:p w:rsidR="00CE3C32" w:rsidRDefault="006413B8">
      <w:pPr>
        <w:pStyle w:val="3"/>
        <w:spacing w:line="280" w:lineRule="exact"/>
        <w:jc w:val="left"/>
        <w:rPr>
          <w:rFonts w:ascii="Times New Roman" w:hAnsi="Times New Roman" w:cs="Times New Roman"/>
          <w:b/>
          <w:bCs/>
        </w:rPr>
      </w:pPr>
      <w:bookmarkStart w:id="392" w:name="_Toc989276"/>
      <w:r>
        <w:rPr>
          <w:rFonts w:ascii="Times New Roman" w:hAnsi="Times New Roman" w:cs="Times New Roman"/>
          <w:b/>
          <w:bCs/>
        </w:rPr>
        <w:t>82</w:t>
      </w:r>
      <w:r>
        <w:rPr>
          <w:rFonts w:ascii="Times New Roman" w:hAnsi="Times New Roman" w:cs="Times New Roman"/>
          <w:b/>
          <w:bCs/>
        </w:rPr>
        <w:t>、租赁</w:t>
      </w:r>
      <w:bookmarkEnd w:id="392"/>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93" w:name="_Toc989277"/>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本公司作为承租方</w:t>
      </w:r>
      <w:bookmarkEnd w:id="393"/>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未纳入租赁负债计量的可变租赁付款额</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简化处理的短期租赁或低价值资产的租赁费用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涉及售后租回交易的情况</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lastRenderedPageBreak/>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94" w:name="_Toc989278"/>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本公司作为出租方</w:t>
      </w:r>
      <w:bookmarkEnd w:id="394"/>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作为出租人的经营租赁</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作为出租人的融资租赁</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未来五年每年未折现租赁收款额</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未折现租赁收款额与租赁投资净额的调节表</w:t>
      </w:r>
    </w:p>
    <w:p w:rsidR="00CE3C32" w:rsidRDefault="00CE3C32">
      <w:pPr>
        <w:rPr>
          <w:rFonts w:ascii="Times New Roman" w:hAnsi="Times New Roman" w:cs="Times New Roman"/>
          <w:sz w:val="18"/>
          <w:szCs w:val="18"/>
        </w:rPr>
      </w:pP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395" w:name="_Toc989279"/>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作为生产商或经销商确认融资租赁销售损益</w:t>
      </w:r>
      <w:bookmarkEnd w:id="395"/>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396" w:name="_Toc989280"/>
      <w:r>
        <w:rPr>
          <w:rFonts w:ascii="Times New Roman" w:hAnsi="Times New Roman" w:cs="Times New Roman"/>
          <w:b/>
          <w:bCs/>
        </w:rPr>
        <w:t>83</w:t>
      </w:r>
      <w:r>
        <w:rPr>
          <w:rFonts w:ascii="Times New Roman" w:hAnsi="Times New Roman" w:cs="Times New Roman"/>
          <w:b/>
          <w:bCs/>
        </w:rPr>
        <w:t>、数据资源</w:t>
      </w:r>
      <w:bookmarkEnd w:id="396"/>
    </w:p>
    <w:p w:rsidR="00CE3C32" w:rsidRDefault="006413B8">
      <w:pPr>
        <w:pStyle w:val="a6"/>
        <w:spacing w:beforeLines="50" w:before="156" w:beforeAutospacing="0" w:afterLines="50" w:after="156" w:afterAutospacing="0"/>
        <w:ind w:firstLine="357"/>
        <w:jc w:val="both"/>
        <w:rPr>
          <w:rFonts w:ascii="Times New Roman" w:hAnsi="Times New Roman" w:cs="Times New Roman"/>
          <w:sz w:val="21"/>
          <w:szCs w:val="21"/>
        </w:rPr>
      </w:pPr>
      <w:r>
        <w:rPr>
          <w:rFonts w:asciiTheme="majorEastAsia" w:eastAsiaTheme="majorEastAsia" w:hAnsiTheme="majorEastAsia" w:cs="Times New Roman"/>
          <w:sz w:val="18"/>
          <w:szCs w:val="18"/>
        </w:rPr>
        <w:t>“翼启AI政策计算器”</w:t>
      </w:r>
      <w:r>
        <w:rPr>
          <w:rFonts w:ascii="Times New Roman" w:hAnsi="Times New Roman" w:cs="Times New Roman"/>
          <w:sz w:val="18"/>
          <w:szCs w:val="18"/>
        </w:rPr>
        <w:t>利用人工智能技术对汕头市各级政府部门发布的政策文件进行收集、分析和整理，实现政策的精准匹配、推荐和详细解读，为用户提供政策查询精准匹配、个性化的政策推荐、政策数据可视化展示等服务，减少用户查找政策的时间和精力，提升效率，助力企业和群众更好地享受政策红利。同时也作为政策宣传和推广的辅助工具，帮助政府部门更好地服务企业和群众，从而为企业带来经济效益。公司通过数据治理和挖掘，确保数据的准确性、有效性和合法性。</w:t>
      </w:r>
      <w:r>
        <w:rPr>
          <w:rFonts w:ascii="Times New Roman" w:hAnsi="Times New Roman" w:cs="Times New Roman"/>
          <w:sz w:val="18"/>
          <w:szCs w:val="18"/>
        </w:rPr>
        <w:t>“</w:t>
      </w:r>
      <w:r>
        <w:rPr>
          <w:rFonts w:ascii="Times New Roman" w:hAnsi="Times New Roman" w:cs="Times New Roman"/>
          <w:sz w:val="18"/>
          <w:szCs w:val="18"/>
        </w:rPr>
        <w:t>翼启</w:t>
      </w:r>
      <w:r>
        <w:rPr>
          <w:rFonts w:ascii="Times New Roman" w:hAnsi="Times New Roman" w:cs="Times New Roman"/>
          <w:sz w:val="18"/>
          <w:szCs w:val="18"/>
        </w:rPr>
        <w:t>AI</w:t>
      </w:r>
      <w:r>
        <w:rPr>
          <w:rFonts w:ascii="Times New Roman" w:hAnsi="Times New Roman" w:cs="Times New Roman"/>
          <w:sz w:val="18"/>
          <w:szCs w:val="18"/>
        </w:rPr>
        <w:t>政策计算器</w:t>
      </w:r>
      <w:r>
        <w:rPr>
          <w:rFonts w:ascii="Times New Roman" w:hAnsi="Times New Roman" w:cs="Times New Roman"/>
          <w:sz w:val="18"/>
          <w:szCs w:val="18"/>
        </w:rPr>
        <w:t>”</w:t>
      </w:r>
      <w:r>
        <w:rPr>
          <w:rFonts w:ascii="Times New Roman" w:hAnsi="Times New Roman" w:cs="Times New Roman"/>
          <w:sz w:val="18"/>
          <w:szCs w:val="18"/>
        </w:rPr>
        <w:t>已于</w:t>
      </w:r>
      <w:r>
        <w:rPr>
          <w:rFonts w:ascii="Times New Roman" w:hAnsi="Times New Roman" w:cs="Times New Roman"/>
          <w:sz w:val="18"/>
          <w:szCs w:val="18"/>
        </w:rPr>
        <w:t>2025</w:t>
      </w:r>
      <w:r>
        <w:rPr>
          <w:rFonts w:ascii="Times New Roman" w:hAnsi="Times New Roman" w:cs="Times New Roman"/>
          <w:sz w:val="18"/>
          <w:szCs w:val="18"/>
        </w:rPr>
        <w:t>年</w:t>
      </w:r>
      <w:r>
        <w:rPr>
          <w:rFonts w:ascii="Times New Roman" w:hAnsi="Times New Roman" w:cs="Times New Roman"/>
          <w:sz w:val="18"/>
          <w:szCs w:val="18"/>
        </w:rPr>
        <w:t>7</w:t>
      </w:r>
      <w:r>
        <w:rPr>
          <w:rFonts w:ascii="Times New Roman" w:hAnsi="Times New Roman" w:cs="Times New Roman"/>
          <w:sz w:val="18"/>
          <w:szCs w:val="18"/>
        </w:rPr>
        <w:t>月取得数据产权登记证书，并在深圳数据交易所完成上市登记工作，具备了流通交易的基础。根据市场调研，该数据产品预计经济效益至少可以达到</w:t>
      </w:r>
      <w:r>
        <w:rPr>
          <w:rFonts w:ascii="Times New Roman" w:hAnsi="Times New Roman" w:cs="Times New Roman"/>
          <w:sz w:val="18"/>
          <w:szCs w:val="18"/>
        </w:rPr>
        <w:t>160</w:t>
      </w:r>
      <w:r>
        <w:rPr>
          <w:rFonts w:ascii="Times New Roman" w:hAnsi="Times New Roman" w:cs="Times New Roman"/>
          <w:sz w:val="18"/>
          <w:szCs w:val="18"/>
        </w:rPr>
        <w:t>万元，未来产品也可复制到全国的其他城市，其服务计费方式可能与产品销售、使用许可等相关。</w:t>
      </w:r>
    </w:p>
    <w:p w:rsidR="00CE3C32" w:rsidRDefault="006413B8">
      <w:pPr>
        <w:pStyle w:val="a6"/>
        <w:spacing w:beforeLines="50" w:before="156" w:beforeAutospacing="0" w:afterLines="50" w:after="156" w:afterAutospacing="0"/>
        <w:ind w:firstLine="357"/>
        <w:jc w:val="both"/>
        <w:rPr>
          <w:rFonts w:ascii="Times New Roman" w:hAnsi="Times New Roman" w:cs="Times New Roman"/>
          <w:sz w:val="21"/>
          <w:szCs w:val="21"/>
        </w:rPr>
      </w:pPr>
      <w:r>
        <w:rPr>
          <w:rFonts w:ascii="Times New Roman" w:hAnsi="Times New Roman" w:cs="Times New Roman"/>
          <w:sz w:val="18"/>
          <w:szCs w:val="18"/>
        </w:rPr>
        <w:t>天亿马通过自研的数据智能操作系统对数据进行加工和治理，实现数据的归集、资产化管理、应用一体化管理，生成的数据产品会定期迭代优化。一是严格遵守《数据安全法》《个人信息保护法》等相关法律法规，对收集的原始数据进行去标识化或匿名化处理，以保护用户隐私，确保数据处理的合规性。二是建立专门的数据管理中心集群，使用防火墙、数据加密等技术保障数据存储和使用的安全性，以确保数据传输过程的安全。例如，数据存储采用</w:t>
      </w:r>
      <w:r>
        <w:rPr>
          <w:rFonts w:ascii="Times New Roman" w:hAnsi="Times New Roman" w:cs="Times New Roman"/>
          <w:sz w:val="18"/>
          <w:szCs w:val="18"/>
        </w:rPr>
        <w:t>AES-256</w:t>
      </w:r>
      <w:r>
        <w:rPr>
          <w:rFonts w:ascii="Times New Roman" w:hAnsi="Times New Roman" w:cs="Times New Roman"/>
          <w:sz w:val="18"/>
          <w:szCs w:val="18"/>
        </w:rPr>
        <w:t>加密，数据传输采用</w:t>
      </w:r>
      <w:r>
        <w:rPr>
          <w:rFonts w:ascii="Times New Roman" w:hAnsi="Times New Roman" w:cs="Times New Roman"/>
          <w:sz w:val="18"/>
          <w:szCs w:val="18"/>
        </w:rPr>
        <w:t>SSL/TLS</w:t>
      </w:r>
      <w:r>
        <w:rPr>
          <w:rFonts w:ascii="Times New Roman" w:hAnsi="Times New Roman" w:cs="Times New Roman"/>
          <w:sz w:val="18"/>
          <w:szCs w:val="18"/>
        </w:rPr>
        <w:t>加密。三是建立数据分类分级规范和数据全生命周期安全管理规范，对数据进行分类管理，用户依据实际需求进行精细化授权，同时记录详尽的使用日志。公司投入了大量数据类专业人才进行合规的数据积累、数据加工清洗挖掘、数据应用，打造了数据智能操作系统、大规模图神经网络和深度学习模型、向量化技术、以及高并发、高可用的系统架构等核心能力。</w:t>
      </w:r>
    </w:p>
    <w:p w:rsidR="00CE3C32" w:rsidRDefault="006413B8">
      <w:pPr>
        <w:pStyle w:val="3"/>
        <w:spacing w:line="280" w:lineRule="exact"/>
        <w:jc w:val="left"/>
        <w:rPr>
          <w:rFonts w:ascii="Times New Roman" w:hAnsi="Times New Roman" w:cs="Times New Roman"/>
          <w:b/>
          <w:bCs/>
        </w:rPr>
      </w:pPr>
      <w:bookmarkStart w:id="397" w:name="_Toc989281"/>
      <w:r>
        <w:rPr>
          <w:rFonts w:ascii="Times New Roman" w:hAnsi="Times New Roman" w:cs="Times New Roman"/>
          <w:b/>
          <w:bCs/>
        </w:rPr>
        <w:t>84</w:t>
      </w:r>
      <w:r>
        <w:rPr>
          <w:rFonts w:ascii="Times New Roman" w:hAnsi="Times New Roman" w:cs="Times New Roman"/>
          <w:b/>
          <w:bCs/>
        </w:rPr>
        <w:t>、其他</w:t>
      </w:r>
      <w:bookmarkEnd w:id="397"/>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pStyle w:val="2"/>
        <w:spacing w:before="300" w:after="300" w:line="320" w:lineRule="exact"/>
        <w:rPr>
          <w:rFonts w:ascii="Times New Roman" w:eastAsia="宋体" w:hAnsi="Times New Roman" w:cs="Times New Roman"/>
          <w:b/>
          <w:bCs/>
          <w:sz w:val="24"/>
          <w:szCs w:val="24"/>
        </w:rPr>
      </w:pPr>
      <w:bookmarkStart w:id="398" w:name="_Toc989282"/>
      <w:r>
        <w:rPr>
          <w:rFonts w:ascii="Times New Roman" w:eastAsia="宋体" w:hAnsi="Times New Roman" w:cs="Times New Roman"/>
          <w:b/>
          <w:bCs/>
          <w:sz w:val="24"/>
          <w:szCs w:val="24"/>
        </w:rPr>
        <w:t>八、研发支出</w:t>
      </w:r>
      <w:bookmarkEnd w:id="39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人员人工费用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5,679,898.75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5,441,422.42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直接投入费用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61,715.73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573,517.42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折旧摊销费用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1,062,387.28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1,378,201.69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新产品设计费用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845,308.04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其他相关费用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559,920.84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315,697.48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委托研发费用</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1,169,811.33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8,533,733.93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8,554,147.05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其中：费用化研发支出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8,424,112.23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8,554,147.05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before="40" w:after="40" w:line="240" w:lineRule="exact"/>
              <w:ind w:firstLineChars="300" w:firstLine="540"/>
              <w:rPr>
                <w:rFonts w:ascii="Times New Roman" w:eastAsia="宋体" w:hAnsi="Times New Roman" w:cs="Times New Roman"/>
                <w:sz w:val="18"/>
                <w:szCs w:val="18"/>
              </w:rPr>
            </w:pPr>
            <w:r>
              <w:rPr>
                <w:rFonts w:ascii="Times New Roman" w:eastAsia="宋体" w:hAnsi="Times New Roman" w:cs="Times New Roman"/>
                <w:sz w:val="18"/>
                <w:szCs w:val="18"/>
              </w:rPr>
              <w:t>资本化研发支出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109,621.70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bl>
    <w:p w:rsidR="00CE3C32" w:rsidRDefault="006413B8">
      <w:pPr>
        <w:pStyle w:val="3"/>
        <w:spacing w:line="280" w:lineRule="exact"/>
        <w:jc w:val="left"/>
        <w:rPr>
          <w:rFonts w:ascii="Times New Roman" w:hAnsi="Times New Roman" w:cs="Times New Roman"/>
          <w:b/>
          <w:bCs/>
        </w:rPr>
      </w:pPr>
      <w:bookmarkStart w:id="399" w:name="_Toc989283"/>
      <w:r>
        <w:rPr>
          <w:rFonts w:ascii="Times New Roman" w:hAnsi="Times New Roman" w:cs="Times New Roman"/>
          <w:b/>
          <w:bCs/>
        </w:rPr>
        <w:t>1</w:t>
      </w:r>
      <w:r>
        <w:rPr>
          <w:rFonts w:ascii="Times New Roman" w:hAnsi="Times New Roman" w:cs="Times New Roman"/>
          <w:b/>
          <w:bCs/>
        </w:rPr>
        <w:t>、符合资本化条件的研发项目</w:t>
      </w:r>
      <w:bookmarkEnd w:id="399"/>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061"/>
        <w:gridCol w:w="1104"/>
        <w:gridCol w:w="1529"/>
        <w:gridCol w:w="680"/>
        <w:gridCol w:w="1740"/>
        <w:gridCol w:w="1529"/>
        <w:gridCol w:w="1210"/>
      </w:tblGrid>
      <w:tr w:rsidR="00CE3C32">
        <w:trPr>
          <w:trHeight w:val="240"/>
        </w:trPr>
        <w:tc>
          <w:tcPr>
            <w:tcW w:w="1046"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560"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1120"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本期增加金额</w:t>
            </w:r>
          </w:p>
        </w:tc>
        <w:tc>
          <w:tcPr>
            <w:tcW w:w="1659"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本期减少金额</w:t>
            </w:r>
          </w:p>
        </w:tc>
        <w:tc>
          <w:tcPr>
            <w:tcW w:w="614"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046"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560"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77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内部开发支出</w:t>
            </w:r>
          </w:p>
        </w:tc>
        <w:tc>
          <w:tcPr>
            <w:tcW w:w="34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88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确认为无形资产</w:t>
            </w:r>
          </w:p>
        </w:tc>
        <w:tc>
          <w:tcPr>
            <w:tcW w:w="77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转入当期损益</w:t>
            </w:r>
          </w:p>
        </w:tc>
        <w:tc>
          <w:tcPr>
            <w:tcW w:w="614"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04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翼启</w:t>
            </w:r>
            <w:r>
              <w:rPr>
                <w:rFonts w:ascii="Times New Roman" w:eastAsia="宋体" w:hAnsi="Times New Roman" w:cs="Times New Roman"/>
                <w:sz w:val="18"/>
                <w:szCs w:val="18"/>
              </w:rPr>
              <w:t>AI</w:t>
            </w:r>
            <w:r>
              <w:rPr>
                <w:rFonts w:ascii="Times New Roman" w:eastAsia="宋体" w:hAnsi="Times New Roman" w:cs="Times New Roman"/>
                <w:sz w:val="18"/>
                <w:szCs w:val="18"/>
              </w:rPr>
              <w:t>政策计算器</w:t>
            </w:r>
          </w:p>
        </w:tc>
        <w:tc>
          <w:tcPr>
            <w:tcW w:w="5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hint="eastAsia"/>
                <w:sz w:val="18"/>
                <w:szCs w:val="18"/>
              </w:rPr>
              <w:t>0</w:t>
            </w:r>
          </w:p>
        </w:tc>
        <w:tc>
          <w:tcPr>
            <w:tcW w:w="77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109,621.70</w:t>
            </w:r>
          </w:p>
        </w:tc>
        <w:tc>
          <w:tcPr>
            <w:tcW w:w="34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1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109,621.70</w:t>
            </w:r>
          </w:p>
        </w:tc>
      </w:tr>
      <w:tr w:rsidR="00CE3C32">
        <w:trPr>
          <w:trHeight w:val="240"/>
        </w:trPr>
        <w:tc>
          <w:tcPr>
            <w:tcW w:w="104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560"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hint="eastAsia"/>
                <w:sz w:val="18"/>
                <w:szCs w:val="18"/>
              </w:rPr>
              <w:t>0</w:t>
            </w:r>
          </w:p>
        </w:tc>
        <w:tc>
          <w:tcPr>
            <w:tcW w:w="77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109,621.70</w:t>
            </w:r>
          </w:p>
        </w:tc>
        <w:tc>
          <w:tcPr>
            <w:tcW w:w="34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8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7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1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109,621.70</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重要的资本化研发项目</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55"/>
        <w:gridCol w:w="765"/>
        <w:gridCol w:w="1188"/>
        <w:gridCol w:w="1701"/>
        <w:gridCol w:w="1188"/>
        <w:gridCol w:w="3856"/>
      </w:tblGrid>
      <w:tr w:rsidR="00CE3C32">
        <w:trPr>
          <w:trHeight w:val="240"/>
        </w:trPr>
        <w:tc>
          <w:tcPr>
            <w:tcW w:w="58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88"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研发进度</w:t>
            </w:r>
          </w:p>
        </w:tc>
        <w:tc>
          <w:tcPr>
            <w:tcW w:w="60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预计完成时间</w:t>
            </w:r>
          </w:p>
        </w:tc>
        <w:tc>
          <w:tcPr>
            <w:tcW w:w="86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预计经济利益产生方式</w:t>
            </w:r>
          </w:p>
        </w:tc>
        <w:tc>
          <w:tcPr>
            <w:tcW w:w="60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开始资本化的时点</w:t>
            </w:r>
          </w:p>
        </w:tc>
        <w:tc>
          <w:tcPr>
            <w:tcW w:w="195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开始资本化的具体依据</w:t>
            </w:r>
          </w:p>
        </w:tc>
      </w:tr>
      <w:tr w:rsidR="00CE3C32">
        <w:trPr>
          <w:trHeight w:val="240"/>
        </w:trPr>
        <w:tc>
          <w:tcPr>
            <w:tcW w:w="5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翼启</w:t>
            </w:r>
            <w:r>
              <w:rPr>
                <w:rFonts w:ascii="Times New Roman" w:eastAsia="宋体" w:hAnsi="Times New Roman" w:cs="Times New Roman"/>
                <w:sz w:val="18"/>
                <w:szCs w:val="18"/>
              </w:rPr>
              <w:t>AI</w:t>
            </w:r>
            <w:r>
              <w:rPr>
                <w:rFonts w:ascii="Times New Roman" w:eastAsia="宋体" w:hAnsi="Times New Roman" w:cs="Times New Roman"/>
                <w:sz w:val="18"/>
                <w:szCs w:val="18"/>
              </w:rPr>
              <w:t>政策计算器</w:t>
            </w:r>
          </w:p>
        </w:tc>
        <w:tc>
          <w:tcPr>
            <w:tcW w:w="38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95%</w:t>
            </w:r>
          </w:p>
        </w:tc>
        <w:tc>
          <w:tcPr>
            <w:tcW w:w="60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07</w:t>
            </w:r>
            <w:r>
              <w:rPr>
                <w:rFonts w:ascii="Times New Roman" w:eastAsia="宋体" w:hAnsi="Times New Roman" w:cs="Times New Roman"/>
                <w:sz w:val="18"/>
                <w:szCs w:val="18"/>
              </w:rPr>
              <w:t>月</w:t>
            </w:r>
            <w:r>
              <w:rPr>
                <w:rFonts w:ascii="Times New Roman" w:eastAsia="宋体" w:hAnsi="Times New Roman" w:cs="Times New Roman"/>
                <w:sz w:val="18"/>
                <w:szCs w:val="18"/>
              </w:rPr>
              <w:t>25</w:t>
            </w:r>
            <w:r>
              <w:rPr>
                <w:rFonts w:ascii="Times New Roman" w:eastAsia="宋体" w:hAnsi="Times New Roman" w:cs="Times New Roman"/>
                <w:sz w:val="18"/>
                <w:szCs w:val="18"/>
              </w:rPr>
              <w:t>日</w:t>
            </w:r>
          </w:p>
        </w:tc>
        <w:tc>
          <w:tcPr>
            <w:tcW w:w="86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通过数据产品交易获取预期收益</w:t>
            </w:r>
          </w:p>
        </w:tc>
        <w:tc>
          <w:tcPr>
            <w:tcW w:w="60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04</w:t>
            </w:r>
            <w:r>
              <w:rPr>
                <w:rFonts w:ascii="Times New Roman" w:eastAsia="宋体" w:hAnsi="Times New Roman" w:cs="Times New Roman"/>
                <w:sz w:val="18"/>
                <w:szCs w:val="18"/>
              </w:rPr>
              <w:t>月</w:t>
            </w:r>
            <w:r>
              <w:rPr>
                <w:rFonts w:ascii="Times New Roman" w:eastAsia="宋体" w:hAnsi="Times New Roman" w:cs="Times New Roman"/>
                <w:sz w:val="18"/>
                <w:szCs w:val="18"/>
              </w:rPr>
              <w:t>01</w:t>
            </w:r>
            <w:r>
              <w:rPr>
                <w:rFonts w:ascii="Times New Roman" w:eastAsia="宋体" w:hAnsi="Times New Roman" w:cs="Times New Roman"/>
                <w:sz w:val="18"/>
                <w:szCs w:val="18"/>
              </w:rPr>
              <w:t>日</w:t>
            </w:r>
          </w:p>
        </w:tc>
        <w:tc>
          <w:tcPr>
            <w:tcW w:w="195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项目立项报告、项目可行性分析报告、数据产权登记证书、数据</w:t>
            </w:r>
            <w:r>
              <w:rPr>
                <w:rFonts w:ascii="Times New Roman" w:eastAsia="宋体" w:hAnsi="Times New Roman" w:cs="Times New Roman"/>
                <w:sz w:val="18"/>
                <w:szCs w:val="18"/>
              </w:rPr>
              <w:t>(</w:t>
            </w:r>
            <w:r>
              <w:rPr>
                <w:rFonts w:ascii="Times New Roman" w:eastAsia="宋体" w:hAnsi="Times New Roman" w:cs="Times New Roman"/>
                <w:sz w:val="18"/>
                <w:szCs w:val="18"/>
              </w:rPr>
              <w:t>商品</w:t>
            </w:r>
            <w:r>
              <w:rPr>
                <w:rFonts w:ascii="Times New Roman" w:eastAsia="宋体" w:hAnsi="Times New Roman" w:cs="Times New Roman"/>
                <w:sz w:val="18"/>
                <w:szCs w:val="18"/>
              </w:rPr>
              <w:t>)</w:t>
            </w:r>
            <w:r>
              <w:rPr>
                <w:rFonts w:ascii="Times New Roman" w:eastAsia="宋体" w:hAnsi="Times New Roman" w:cs="Times New Roman"/>
                <w:sz w:val="18"/>
                <w:szCs w:val="18"/>
              </w:rPr>
              <w:t>上市证书</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开发支出减值准备</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641"/>
        <w:gridCol w:w="1642"/>
        <w:gridCol w:w="1642"/>
        <w:gridCol w:w="1643"/>
        <w:gridCol w:w="1643"/>
        <w:gridCol w:w="1642"/>
      </w:tblGrid>
      <w:tr w:rsidR="00CE3C32">
        <w:trPr>
          <w:trHeight w:val="240"/>
        </w:trPr>
        <w:tc>
          <w:tcPr>
            <w:tcW w:w="83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83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83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本期增加</w:t>
            </w:r>
          </w:p>
        </w:tc>
        <w:tc>
          <w:tcPr>
            <w:tcW w:w="83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本期减少</w:t>
            </w:r>
          </w:p>
        </w:tc>
        <w:tc>
          <w:tcPr>
            <w:tcW w:w="83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834"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减值测试情况</w:t>
            </w:r>
          </w:p>
        </w:tc>
      </w:tr>
      <w:tr w:rsidR="00CE3C32">
        <w:trPr>
          <w:trHeight w:val="240"/>
        </w:trPr>
        <w:tc>
          <w:tcPr>
            <w:tcW w:w="83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c>
          <w:tcPr>
            <w:tcW w:w="83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33"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3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3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34"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bl>
    <w:p w:rsidR="00CE3C32" w:rsidRDefault="006413B8">
      <w:pPr>
        <w:pStyle w:val="3"/>
        <w:spacing w:line="280" w:lineRule="exact"/>
        <w:jc w:val="left"/>
        <w:rPr>
          <w:rFonts w:ascii="Times New Roman" w:hAnsi="Times New Roman" w:cs="Times New Roman"/>
          <w:b/>
          <w:bCs/>
        </w:rPr>
      </w:pPr>
      <w:bookmarkStart w:id="400" w:name="_Toc989284"/>
      <w:r>
        <w:rPr>
          <w:rFonts w:ascii="Times New Roman" w:hAnsi="Times New Roman" w:cs="Times New Roman"/>
          <w:b/>
          <w:bCs/>
        </w:rPr>
        <w:t>2</w:t>
      </w:r>
      <w:r>
        <w:rPr>
          <w:rFonts w:ascii="Times New Roman" w:hAnsi="Times New Roman" w:cs="Times New Roman"/>
          <w:b/>
          <w:bCs/>
        </w:rPr>
        <w:t>、重要外购在研项目</w:t>
      </w:r>
      <w:bookmarkEnd w:id="400"/>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3285"/>
        <w:gridCol w:w="3285"/>
        <w:gridCol w:w="3283"/>
      </w:tblGrid>
      <w:tr w:rsidR="00CE3C32">
        <w:trPr>
          <w:trHeight w:val="240"/>
        </w:trPr>
        <w:tc>
          <w:tcPr>
            <w:tcW w:w="166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项目名称</w:t>
            </w:r>
          </w:p>
        </w:tc>
        <w:tc>
          <w:tcPr>
            <w:tcW w:w="166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预期产生经济利益的方式</w:t>
            </w:r>
          </w:p>
        </w:tc>
        <w:tc>
          <w:tcPr>
            <w:tcW w:w="166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资本化或费用化的判断标准和具体依据</w:t>
            </w:r>
          </w:p>
        </w:tc>
      </w:tr>
      <w:tr w:rsidR="00CE3C32">
        <w:trPr>
          <w:trHeight w:val="240"/>
        </w:trPr>
        <w:tc>
          <w:tcPr>
            <w:tcW w:w="166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c>
          <w:tcPr>
            <w:tcW w:w="166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66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其他说明：无</w:t>
      </w:r>
      <w:r>
        <w:rPr>
          <w:rFonts w:ascii="Times New Roman" w:eastAsia="宋体" w:hAnsi="Times New Roman" w:cs="Times New Roman" w:hint="eastAsia"/>
          <w:sz w:val="18"/>
          <w:szCs w:val="18"/>
        </w:rPr>
        <w:t>。</w:t>
      </w:r>
    </w:p>
    <w:p w:rsidR="00CE3C32" w:rsidRDefault="006413B8">
      <w:pPr>
        <w:pStyle w:val="2"/>
        <w:spacing w:before="300" w:after="300" w:line="320" w:lineRule="exact"/>
        <w:rPr>
          <w:rFonts w:ascii="Times New Roman" w:eastAsia="宋体" w:hAnsi="Times New Roman" w:cs="Times New Roman"/>
          <w:b/>
          <w:bCs/>
          <w:sz w:val="24"/>
          <w:szCs w:val="24"/>
        </w:rPr>
      </w:pPr>
      <w:bookmarkStart w:id="401" w:name="_Toc989285"/>
      <w:r>
        <w:rPr>
          <w:rFonts w:ascii="Times New Roman" w:eastAsia="宋体" w:hAnsi="Times New Roman" w:cs="Times New Roman"/>
          <w:b/>
          <w:bCs/>
          <w:sz w:val="24"/>
          <w:szCs w:val="24"/>
        </w:rPr>
        <w:t>九、合并范围的变更</w:t>
      </w:r>
      <w:bookmarkEnd w:id="401"/>
    </w:p>
    <w:p w:rsidR="00CE3C32" w:rsidRDefault="006413B8">
      <w:pPr>
        <w:pStyle w:val="3"/>
        <w:spacing w:line="280" w:lineRule="exact"/>
        <w:jc w:val="left"/>
        <w:rPr>
          <w:rFonts w:ascii="Times New Roman" w:hAnsi="Times New Roman" w:cs="Times New Roman"/>
          <w:b/>
          <w:bCs/>
        </w:rPr>
      </w:pPr>
      <w:bookmarkStart w:id="402" w:name="_Toc989286"/>
      <w:r>
        <w:rPr>
          <w:rFonts w:ascii="Times New Roman" w:hAnsi="Times New Roman" w:cs="Times New Roman"/>
          <w:b/>
          <w:bCs/>
        </w:rPr>
        <w:t>1</w:t>
      </w:r>
      <w:r>
        <w:rPr>
          <w:rFonts w:ascii="Times New Roman" w:hAnsi="Times New Roman" w:cs="Times New Roman"/>
          <w:b/>
          <w:bCs/>
        </w:rPr>
        <w:t>、非同一控制下企业合并</w:t>
      </w:r>
      <w:bookmarkEnd w:id="402"/>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403" w:name="_Toc989287"/>
      <w:r>
        <w:rPr>
          <w:rFonts w:ascii="Times New Roman" w:eastAsia="宋体" w:hAnsi="Times New Roman" w:cs="Times New Roman"/>
          <w:b/>
          <w:bCs/>
          <w:sz w:val="18"/>
          <w:szCs w:val="18"/>
        </w:rPr>
        <w:t>（</w:t>
      </w:r>
      <w:r>
        <w:rPr>
          <w:rFonts w:ascii="Times New Roman" w:eastAsia="宋体" w:hAnsi="Times New Roman" w:cs="Times New Roman"/>
          <w:b/>
          <w:bCs/>
          <w:sz w:val="18"/>
          <w:szCs w:val="18"/>
        </w:rPr>
        <w:t>1</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本期发生的非同一控制下企业合并</w:t>
      </w:r>
      <w:bookmarkEnd w:id="403"/>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无</w:t>
      </w:r>
      <w:r>
        <w:rPr>
          <w:rFonts w:ascii="Times New Roman" w:hAnsi="Times New Roman" w:cs="Times New Roman" w:hint="eastAsia"/>
          <w:sz w:val="18"/>
          <w:szCs w:val="18"/>
        </w:rPr>
        <w:t>。</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404" w:name="_Toc989288"/>
      <w:r>
        <w:rPr>
          <w:rFonts w:ascii="Times New Roman" w:eastAsia="宋体" w:hAnsi="Times New Roman" w:cs="Times New Roman"/>
          <w:b/>
          <w:bCs/>
          <w:sz w:val="18"/>
          <w:szCs w:val="18"/>
        </w:rPr>
        <w:t>（</w:t>
      </w:r>
      <w:r>
        <w:rPr>
          <w:rFonts w:ascii="Times New Roman" w:eastAsia="宋体" w:hAnsi="Times New Roman" w:cs="Times New Roman"/>
          <w:b/>
          <w:bCs/>
          <w:sz w:val="18"/>
          <w:szCs w:val="18"/>
        </w:rPr>
        <w:t>2</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合并成本及商誉</w:t>
      </w:r>
      <w:bookmarkEnd w:id="404"/>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合并成本公允价值的确定方法：</w:t>
      </w:r>
      <w:r>
        <w:rPr>
          <w:rFonts w:ascii="Times New Roman" w:eastAsia="宋体" w:hAnsi="Times New Roman" w:cs="Times New Roman" w:hint="eastAsia"/>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或有对价及其变动的说明</w:t>
      </w:r>
      <w:r>
        <w:rPr>
          <w:rFonts w:ascii="Times New Roman" w:eastAsia="宋体" w:hAnsi="Times New Roman" w:cs="Times New Roman" w:hint="eastAsia"/>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大额商誉形成的主要原因：</w:t>
      </w:r>
      <w:r>
        <w:rPr>
          <w:rFonts w:ascii="Times New Roman" w:eastAsia="宋体" w:hAnsi="Times New Roman" w:cs="Times New Roman" w:hint="eastAsia"/>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405" w:name="_Toc989289"/>
      <w:r>
        <w:rPr>
          <w:rFonts w:ascii="Times New Roman" w:eastAsia="宋体" w:hAnsi="Times New Roman" w:cs="Times New Roman"/>
          <w:b/>
          <w:bCs/>
          <w:sz w:val="18"/>
          <w:szCs w:val="18"/>
        </w:rPr>
        <w:lastRenderedPageBreak/>
        <w:t>（</w:t>
      </w:r>
      <w:r>
        <w:rPr>
          <w:rFonts w:ascii="Times New Roman" w:eastAsia="宋体" w:hAnsi="Times New Roman" w:cs="Times New Roman"/>
          <w:b/>
          <w:bCs/>
          <w:sz w:val="18"/>
          <w:szCs w:val="18"/>
        </w:rPr>
        <w:t>3</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被购买方于购买日可辨认资产、负债</w:t>
      </w:r>
      <w:bookmarkEnd w:id="405"/>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可辨认资产、负债公允价值的确定方法：</w:t>
      </w:r>
      <w:r>
        <w:rPr>
          <w:rFonts w:ascii="Times New Roman" w:eastAsia="宋体" w:hAnsi="Times New Roman" w:cs="Times New Roman" w:hint="eastAsia"/>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企业合并中承担的被购买方的或有负债：</w:t>
      </w:r>
      <w:r>
        <w:rPr>
          <w:rFonts w:ascii="Times New Roman" w:eastAsia="宋体" w:hAnsi="Times New Roman" w:cs="Times New Roman" w:hint="eastAsia"/>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406" w:name="_Toc989290"/>
      <w:r>
        <w:rPr>
          <w:rFonts w:ascii="Times New Roman" w:eastAsia="宋体" w:hAnsi="Times New Roman" w:cs="Times New Roman"/>
          <w:b/>
          <w:bCs/>
          <w:sz w:val="18"/>
          <w:szCs w:val="18"/>
        </w:rPr>
        <w:t>（</w:t>
      </w:r>
      <w:r>
        <w:rPr>
          <w:rFonts w:ascii="Times New Roman" w:eastAsia="宋体" w:hAnsi="Times New Roman" w:cs="Times New Roman"/>
          <w:b/>
          <w:bCs/>
          <w:sz w:val="18"/>
          <w:szCs w:val="18"/>
        </w:rPr>
        <w:t>4</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购买日之前持有的股权按照公允价值重新计量产生的利得或损失</w:t>
      </w:r>
      <w:bookmarkEnd w:id="406"/>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是否存在通过多次交易分步实现企业合并且在报告期内取得控制权的交易</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是</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否</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407" w:name="_Toc989291"/>
      <w:r>
        <w:rPr>
          <w:rFonts w:ascii="Times New Roman" w:eastAsia="宋体" w:hAnsi="Times New Roman" w:cs="Times New Roman"/>
          <w:b/>
          <w:bCs/>
          <w:sz w:val="18"/>
          <w:szCs w:val="18"/>
        </w:rPr>
        <w:t>（</w:t>
      </w:r>
      <w:r>
        <w:rPr>
          <w:rFonts w:ascii="Times New Roman" w:eastAsia="宋体" w:hAnsi="Times New Roman" w:cs="Times New Roman"/>
          <w:b/>
          <w:bCs/>
          <w:sz w:val="18"/>
          <w:szCs w:val="18"/>
        </w:rPr>
        <w:t>5</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购买日或合并当期期末无法合理确定合并对价或被购买方可辨认资产、负债公允价值的相关说明</w:t>
      </w:r>
      <w:bookmarkEnd w:id="407"/>
    </w:p>
    <w:p w:rsidR="00CE3C32" w:rsidRDefault="006413B8">
      <w:pPr>
        <w:rPr>
          <w:rFonts w:ascii="Times New Roman" w:hAnsi="Times New Roman" w:cs="Times New Roman"/>
          <w:sz w:val="18"/>
          <w:szCs w:val="18"/>
        </w:rPr>
      </w:pPr>
      <w:r>
        <w:rPr>
          <w:rFonts w:ascii="Times New Roman" w:hAnsi="Times New Roman" w:cs="Times New Roman" w:hint="eastAsia"/>
          <w:sz w:val="18"/>
          <w:szCs w:val="18"/>
        </w:rPr>
        <w:t>无。</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408" w:name="_Toc989292"/>
      <w:r>
        <w:rPr>
          <w:rFonts w:ascii="Times New Roman" w:eastAsia="宋体" w:hAnsi="Times New Roman" w:cs="Times New Roman"/>
          <w:b/>
          <w:bCs/>
          <w:sz w:val="18"/>
          <w:szCs w:val="18"/>
        </w:rPr>
        <w:t>（</w:t>
      </w:r>
      <w:r>
        <w:rPr>
          <w:rFonts w:ascii="Times New Roman" w:eastAsia="宋体" w:hAnsi="Times New Roman" w:cs="Times New Roman"/>
          <w:b/>
          <w:bCs/>
          <w:sz w:val="18"/>
          <w:szCs w:val="18"/>
        </w:rPr>
        <w:t>6</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其他说明</w:t>
      </w:r>
      <w:bookmarkEnd w:id="408"/>
    </w:p>
    <w:p w:rsidR="00CE3C32" w:rsidRDefault="006413B8">
      <w:pPr>
        <w:rPr>
          <w:rFonts w:ascii="Times New Roman" w:hAnsi="Times New Roman" w:cs="Times New Roman"/>
          <w:sz w:val="18"/>
          <w:szCs w:val="18"/>
        </w:rPr>
      </w:pPr>
      <w:r>
        <w:rPr>
          <w:rFonts w:ascii="Times New Roman" w:hAnsi="Times New Roman" w:cs="Times New Roman" w:hint="eastAsia"/>
          <w:sz w:val="18"/>
          <w:szCs w:val="18"/>
        </w:rPr>
        <w:t>报告期内无此类事项发生。</w:t>
      </w:r>
    </w:p>
    <w:p w:rsidR="00CE3C32" w:rsidRDefault="006413B8">
      <w:pPr>
        <w:pStyle w:val="3"/>
        <w:spacing w:line="280" w:lineRule="exact"/>
        <w:jc w:val="left"/>
        <w:rPr>
          <w:rFonts w:ascii="Times New Roman" w:hAnsi="Times New Roman" w:cs="Times New Roman"/>
          <w:b/>
          <w:bCs/>
        </w:rPr>
      </w:pPr>
      <w:bookmarkStart w:id="409" w:name="_Toc989293"/>
      <w:r>
        <w:rPr>
          <w:rFonts w:ascii="Times New Roman" w:hAnsi="Times New Roman" w:cs="Times New Roman"/>
          <w:b/>
          <w:bCs/>
        </w:rPr>
        <w:t>2</w:t>
      </w:r>
      <w:r>
        <w:rPr>
          <w:rFonts w:ascii="Times New Roman" w:hAnsi="Times New Roman" w:cs="Times New Roman"/>
          <w:b/>
          <w:bCs/>
        </w:rPr>
        <w:t>、同一控制下企业合并</w:t>
      </w:r>
      <w:bookmarkEnd w:id="409"/>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410" w:name="_Toc989294"/>
      <w:r>
        <w:rPr>
          <w:rFonts w:ascii="Times New Roman" w:eastAsia="宋体" w:hAnsi="Times New Roman" w:cs="Times New Roman"/>
          <w:b/>
          <w:bCs/>
          <w:sz w:val="18"/>
          <w:szCs w:val="18"/>
        </w:rPr>
        <w:t>（</w:t>
      </w:r>
      <w:r>
        <w:rPr>
          <w:rFonts w:ascii="Times New Roman" w:eastAsia="宋体" w:hAnsi="Times New Roman" w:cs="Times New Roman"/>
          <w:b/>
          <w:bCs/>
          <w:sz w:val="18"/>
          <w:szCs w:val="18"/>
        </w:rPr>
        <w:t>1</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本期发生的同一控制下企业合并</w:t>
      </w:r>
      <w:bookmarkEnd w:id="410"/>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CE3C32">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被合并方名称</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企业合并中取得的权益比例</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构成同一控制下企业合并的依据</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合并日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合并日的确定依据</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合并当期期初至合并日被合并方的收入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合并当期期初至合并日被合并方的净利润</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比较期间被合并方的收入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比较期间被合并方的净利润</w:t>
            </w:r>
          </w:p>
        </w:tc>
      </w:tr>
      <w:tr w:rsidR="00CE3C32">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报告期内无该类事项发生。</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411" w:name="_Toc989295"/>
      <w:r>
        <w:rPr>
          <w:rFonts w:ascii="Times New Roman" w:eastAsia="宋体" w:hAnsi="Times New Roman" w:cs="Times New Roman"/>
          <w:b/>
          <w:bCs/>
          <w:sz w:val="18"/>
          <w:szCs w:val="18"/>
        </w:rPr>
        <w:t>（</w:t>
      </w:r>
      <w:r>
        <w:rPr>
          <w:rFonts w:ascii="Times New Roman" w:eastAsia="宋体" w:hAnsi="Times New Roman" w:cs="Times New Roman"/>
          <w:b/>
          <w:bCs/>
          <w:sz w:val="18"/>
          <w:szCs w:val="18"/>
        </w:rPr>
        <w:t>2</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合并成本</w:t>
      </w:r>
      <w:bookmarkEnd w:id="411"/>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或有对价及其变动的说明：</w:t>
      </w:r>
      <w:r>
        <w:rPr>
          <w:rFonts w:ascii="Times New Roman" w:hAnsi="Times New Roman" w:cs="Times New Roman"/>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企业合并中承担的被合并方的或有负债：</w:t>
      </w:r>
      <w:r>
        <w:rPr>
          <w:rFonts w:ascii="Times New Roman" w:hAnsi="Times New Roman" w:cs="Times New Roman"/>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412" w:name="_Toc989297"/>
      <w:r>
        <w:rPr>
          <w:rFonts w:ascii="Times New Roman" w:hAnsi="Times New Roman" w:cs="Times New Roman"/>
          <w:b/>
          <w:bCs/>
        </w:rPr>
        <w:t>3</w:t>
      </w:r>
      <w:r>
        <w:rPr>
          <w:rFonts w:ascii="Times New Roman" w:hAnsi="Times New Roman" w:cs="Times New Roman"/>
          <w:b/>
          <w:bCs/>
        </w:rPr>
        <w:t>、反向购买</w:t>
      </w:r>
      <w:bookmarkEnd w:id="412"/>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交易基本信息、交易构成反向购买的依据、上市公司保留的资产、负债是否构成业务及其依据、合并成本的确定、按照权益性交易处理时调整权益的金额及其计算：</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413" w:name="_Toc989298"/>
      <w:r>
        <w:rPr>
          <w:rFonts w:ascii="Times New Roman" w:hAnsi="Times New Roman" w:cs="Times New Roman"/>
          <w:b/>
          <w:bCs/>
        </w:rPr>
        <w:t>4</w:t>
      </w:r>
      <w:r>
        <w:rPr>
          <w:rFonts w:ascii="Times New Roman" w:hAnsi="Times New Roman" w:cs="Times New Roman"/>
          <w:b/>
          <w:bCs/>
        </w:rPr>
        <w:t>、处置子公司</w:t>
      </w:r>
      <w:bookmarkEnd w:id="413"/>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本期是否存在丧失子公司控制权的交易或事项</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是</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否</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lastRenderedPageBreak/>
        <w:t>单位：元</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35"/>
        <w:gridCol w:w="689"/>
        <w:gridCol w:w="909"/>
        <w:gridCol w:w="566"/>
        <w:gridCol w:w="670"/>
        <w:gridCol w:w="612"/>
        <w:gridCol w:w="1029"/>
        <w:gridCol w:w="857"/>
        <w:gridCol w:w="751"/>
        <w:gridCol w:w="751"/>
        <w:gridCol w:w="720"/>
        <w:gridCol w:w="890"/>
        <w:gridCol w:w="874"/>
      </w:tblGrid>
      <w:tr w:rsidR="00CE3C3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子公司名称</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丧失控制权时点的处置价款</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丧失控制权时点的处置比例</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丧失控制权时点的处置方式</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丧失控制权的时点</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丧失控制权时点的判断依据</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处置价款与处置投资对应的合并财务报表层面享有该子公司净资产份额的差额</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丧失控制权之日剩余股权的比例</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丧失控制权之日合并财务报表层面剩余股权的账面价值</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丧失控制权之日合并财务报表层面剩余股权的公允价值</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按照公允价值重新计量剩余股权产生的利得或损失</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丧失控制权之日合并财务报表层面剩余股权公允价值的确定方法及主要假设</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与原子公司股权投资相关的其他综合收益转入投资损益或留存收益的金额</w:t>
            </w:r>
          </w:p>
        </w:tc>
      </w:tr>
      <w:tr w:rsidR="00CE3C32">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湖南亿道电力有限公司</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33.15%</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股权转让</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04</w:t>
            </w:r>
            <w:r>
              <w:rPr>
                <w:rFonts w:ascii="Times New Roman" w:eastAsia="宋体" w:hAnsi="Times New Roman" w:cs="Times New Roman"/>
                <w:sz w:val="18"/>
                <w:szCs w:val="18"/>
              </w:rPr>
              <w:t>月</w:t>
            </w:r>
            <w:r>
              <w:rPr>
                <w:rFonts w:ascii="Times New Roman" w:eastAsia="宋体" w:hAnsi="Times New Roman" w:cs="Times New Roman"/>
                <w:sz w:val="18"/>
                <w:szCs w:val="18"/>
              </w:rPr>
              <w:t>16</w:t>
            </w:r>
            <w:r>
              <w:rPr>
                <w:rFonts w:ascii="Times New Roman" w:eastAsia="宋体" w:hAnsi="Times New Roman" w:cs="Times New Roman"/>
                <w:sz w:val="18"/>
                <w:szCs w:val="18"/>
              </w:rPr>
              <w:t>日</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完成工商变更手续且控制权已转移</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无</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是否存在通过多次交易分步处置对子公司投资且在本期丧失控制权的情形</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是</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否</w:t>
      </w:r>
    </w:p>
    <w:p w:rsidR="00CE3C32" w:rsidRDefault="006413B8">
      <w:pPr>
        <w:pStyle w:val="3"/>
        <w:spacing w:line="280" w:lineRule="exact"/>
        <w:jc w:val="left"/>
        <w:rPr>
          <w:rFonts w:ascii="Times New Roman" w:hAnsi="Times New Roman" w:cs="Times New Roman"/>
          <w:b/>
          <w:bCs/>
        </w:rPr>
      </w:pPr>
      <w:bookmarkStart w:id="414" w:name="_Toc989299"/>
      <w:r>
        <w:rPr>
          <w:rFonts w:ascii="Times New Roman" w:hAnsi="Times New Roman" w:cs="Times New Roman"/>
          <w:b/>
          <w:bCs/>
        </w:rPr>
        <w:t>5</w:t>
      </w:r>
      <w:r>
        <w:rPr>
          <w:rFonts w:ascii="Times New Roman" w:hAnsi="Times New Roman" w:cs="Times New Roman"/>
          <w:b/>
          <w:bCs/>
        </w:rPr>
        <w:t>、其他原因的合并范围变动</w:t>
      </w:r>
      <w:bookmarkEnd w:id="414"/>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说明其他原因导致的合并范围变动（如，新设子公司、清算子公司等）及其相关情况：</w:t>
      </w:r>
    </w:p>
    <w:tbl>
      <w:tblPr>
        <w:tblW w:w="5000" w:type="pct"/>
        <w:tblCellMar>
          <w:left w:w="0" w:type="dxa"/>
          <w:right w:w="0" w:type="dxa"/>
        </w:tblCellMar>
        <w:tblLook w:val="04A0" w:firstRow="1" w:lastRow="0" w:firstColumn="1" w:lastColumn="0" w:noHBand="0" w:noVBand="1"/>
      </w:tblPr>
      <w:tblGrid>
        <w:gridCol w:w="5460"/>
        <w:gridCol w:w="2567"/>
        <w:gridCol w:w="1733"/>
      </w:tblGrid>
      <w:tr w:rsidR="00CE3C32">
        <w:trPr>
          <w:trHeight w:val="284"/>
        </w:trPr>
        <w:tc>
          <w:tcPr>
            <w:tcW w:w="2796" w:type="pct"/>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CE3C32" w:rsidRDefault="006413B8">
            <w:pPr>
              <w:jc w:val="center"/>
              <w:rPr>
                <w:rFonts w:ascii="Times New Roman" w:eastAsia="宋体" w:hAnsi="Times New Roman" w:cs="Times New Roman"/>
                <w:sz w:val="24"/>
                <w:szCs w:val="24"/>
              </w:rPr>
            </w:pPr>
            <w:r>
              <w:rPr>
                <w:rStyle w:val="a7"/>
                <w:rFonts w:ascii="Times New Roman" w:hAnsi="Times New Roman" w:cs="Times New Roman"/>
                <w:sz w:val="18"/>
                <w:szCs w:val="18"/>
              </w:rPr>
              <w:t>变动主体</w:t>
            </w:r>
          </w:p>
        </w:tc>
        <w:tc>
          <w:tcPr>
            <w:tcW w:w="1315" w:type="pct"/>
            <w:tcBorders>
              <w:top w:val="single" w:sz="8" w:space="0" w:color="auto"/>
              <w:left w:val="nil"/>
              <w:bottom w:val="single" w:sz="8" w:space="0" w:color="auto"/>
              <w:right w:val="single" w:sz="8" w:space="0" w:color="auto"/>
            </w:tcBorders>
            <w:shd w:val="clear" w:color="auto" w:fill="D9D9D9" w:themeFill="background1" w:themeFillShade="D9"/>
            <w:noWrap/>
            <w:tcMar>
              <w:top w:w="15" w:type="dxa"/>
              <w:left w:w="15" w:type="dxa"/>
              <w:bottom w:w="0" w:type="dxa"/>
              <w:right w:w="15" w:type="dxa"/>
            </w:tcMar>
            <w:vAlign w:val="center"/>
          </w:tcPr>
          <w:p w:rsidR="00CE3C32" w:rsidRDefault="006413B8">
            <w:pPr>
              <w:jc w:val="center"/>
              <w:rPr>
                <w:rFonts w:ascii="Times New Roman" w:eastAsia="宋体" w:hAnsi="Times New Roman" w:cs="Times New Roman"/>
                <w:b/>
                <w:bCs/>
                <w:color w:val="000000"/>
                <w:sz w:val="18"/>
                <w:szCs w:val="18"/>
              </w:rPr>
            </w:pPr>
            <w:r>
              <w:rPr>
                <w:rFonts w:ascii="Times New Roman" w:hAnsi="Times New Roman" w:cs="Times New Roman"/>
                <w:b/>
                <w:bCs/>
                <w:color w:val="000000"/>
                <w:sz w:val="18"/>
                <w:szCs w:val="18"/>
              </w:rPr>
              <w:t>合并范围变动</w:t>
            </w:r>
          </w:p>
        </w:tc>
        <w:tc>
          <w:tcPr>
            <w:tcW w:w="888" w:type="pct"/>
            <w:tcBorders>
              <w:top w:val="single" w:sz="8" w:space="0" w:color="auto"/>
              <w:left w:val="nil"/>
              <w:bottom w:val="single" w:sz="8" w:space="0" w:color="auto"/>
              <w:right w:val="single" w:sz="8" w:space="0" w:color="auto"/>
            </w:tcBorders>
            <w:shd w:val="clear" w:color="auto" w:fill="D9D9D9" w:themeFill="background1" w:themeFillShade="D9"/>
            <w:noWrap/>
            <w:tcMar>
              <w:top w:w="15" w:type="dxa"/>
              <w:left w:w="15" w:type="dxa"/>
              <w:bottom w:w="0" w:type="dxa"/>
              <w:right w:w="15" w:type="dxa"/>
            </w:tcMar>
            <w:vAlign w:val="center"/>
          </w:tcPr>
          <w:p w:rsidR="00CE3C32" w:rsidRDefault="006413B8">
            <w:pPr>
              <w:jc w:val="center"/>
              <w:rPr>
                <w:rFonts w:ascii="Times New Roman" w:eastAsia="宋体" w:hAnsi="Times New Roman" w:cs="Times New Roman"/>
                <w:b/>
                <w:bCs/>
                <w:color w:val="000000"/>
                <w:sz w:val="18"/>
                <w:szCs w:val="18"/>
              </w:rPr>
            </w:pPr>
            <w:r>
              <w:rPr>
                <w:rFonts w:ascii="Times New Roman" w:hAnsi="Times New Roman" w:cs="Times New Roman"/>
                <w:b/>
                <w:bCs/>
                <w:color w:val="000000"/>
                <w:sz w:val="18"/>
                <w:szCs w:val="18"/>
              </w:rPr>
              <w:t>变动原因</w:t>
            </w:r>
          </w:p>
        </w:tc>
      </w:tr>
      <w:tr w:rsidR="00CE3C32">
        <w:trPr>
          <w:trHeight w:val="276"/>
        </w:trPr>
        <w:tc>
          <w:tcPr>
            <w:tcW w:w="2796" w:type="pct"/>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tcPr>
          <w:p w:rsidR="00CE3C32" w:rsidRDefault="006413B8">
            <w:pPr>
              <w:jc w:val="center"/>
              <w:rPr>
                <w:rFonts w:ascii="Times New Roman" w:eastAsia="宋体" w:hAnsi="Times New Roman" w:cs="Times New Roman"/>
                <w:color w:val="000000"/>
                <w:sz w:val="18"/>
                <w:szCs w:val="18"/>
              </w:rPr>
            </w:pPr>
            <w:r>
              <w:rPr>
                <w:rFonts w:ascii="Times New Roman" w:hAnsi="Times New Roman" w:cs="Times New Roman"/>
                <w:color w:val="000000"/>
                <w:sz w:val="18"/>
                <w:szCs w:val="18"/>
              </w:rPr>
              <w:t>重庆天亿马信息技术有限公司</w:t>
            </w:r>
          </w:p>
        </w:tc>
        <w:tc>
          <w:tcPr>
            <w:tcW w:w="1315" w:type="pct"/>
            <w:tcBorders>
              <w:top w:val="nil"/>
              <w:left w:val="nil"/>
              <w:bottom w:val="single" w:sz="8" w:space="0" w:color="auto"/>
              <w:right w:val="single" w:sz="8" w:space="0" w:color="auto"/>
            </w:tcBorders>
            <w:noWrap/>
            <w:tcMar>
              <w:top w:w="15" w:type="dxa"/>
              <w:left w:w="15" w:type="dxa"/>
              <w:bottom w:w="0" w:type="dxa"/>
              <w:right w:w="15" w:type="dxa"/>
            </w:tcMar>
            <w:vAlign w:val="center"/>
          </w:tcPr>
          <w:p w:rsidR="00CE3C32" w:rsidRDefault="006413B8">
            <w:pPr>
              <w:jc w:val="center"/>
              <w:rPr>
                <w:rFonts w:ascii="Times New Roman" w:eastAsia="宋体" w:hAnsi="Times New Roman" w:cs="Times New Roman"/>
                <w:color w:val="000000"/>
                <w:sz w:val="18"/>
                <w:szCs w:val="18"/>
              </w:rPr>
            </w:pPr>
            <w:r>
              <w:rPr>
                <w:rFonts w:ascii="Times New Roman" w:hAnsi="Times New Roman" w:cs="Times New Roman"/>
                <w:color w:val="000000"/>
                <w:sz w:val="18"/>
                <w:szCs w:val="18"/>
              </w:rPr>
              <w:t>减少</w:t>
            </w:r>
          </w:p>
        </w:tc>
        <w:tc>
          <w:tcPr>
            <w:tcW w:w="888" w:type="pct"/>
            <w:tcBorders>
              <w:top w:val="nil"/>
              <w:left w:val="nil"/>
              <w:bottom w:val="single" w:sz="8" w:space="0" w:color="auto"/>
              <w:right w:val="single" w:sz="8" w:space="0" w:color="auto"/>
            </w:tcBorders>
            <w:noWrap/>
            <w:tcMar>
              <w:top w:w="15" w:type="dxa"/>
              <w:left w:w="15" w:type="dxa"/>
              <w:bottom w:w="0" w:type="dxa"/>
              <w:right w:w="15" w:type="dxa"/>
            </w:tcMar>
            <w:vAlign w:val="center"/>
          </w:tcPr>
          <w:p w:rsidR="00CE3C32" w:rsidRDefault="006413B8">
            <w:pPr>
              <w:jc w:val="center"/>
              <w:rPr>
                <w:rFonts w:ascii="Times New Roman" w:eastAsia="宋体" w:hAnsi="Times New Roman" w:cs="Times New Roman"/>
                <w:color w:val="000000"/>
                <w:sz w:val="18"/>
                <w:szCs w:val="18"/>
              </w:rPr>
            </w:pPr>
            <w:r>
              <w:rPr>
                <w:rFonts w:ascii="Times New Roman" w:hAnsi="Times New Roman" w:cs="Times New Roman"/>
                <w:color w:val="000000"/>
                <w:sz w:val="18"/>
                <w:szCs w:val="18"/>
              </w:rPr>
              <w:t>注销</w:t>
            </w:r>
          </w:p>
        </w:tc>
      </w:tr>
    </w:tbl>
    <w:p w:rsidR="00CE3C32" w:rsidRDefault="006413B8">
      <w:pPr>
        <w:pStyle w:val="3"/>
        <w:spacing w:line="280" w:lineRule="exact"/>
        <w:jc w:val="left"/>
        <w:rPr>
          <w:rFonts w:ascii="Times New Roman" w:hAnsi="Times New Roman" w:cs="Times New Roman"/>
          <w:b/>
          <w:bCs/>
        </w:rPr>
      </w:pPr>
      <w:bookmarkStart w:id="415" w:name="_Toc989300"/>
      <w:r>
        <w:rPr>
          <w:rFonts w:ascii="Times New Roman" w:hAnsi="Times New Roman" w:cs="Times New Roman"/>
          <w:b/>
          <w:bCs/>
        </w:rPr>
        <w:t>6</w:t>
      </w:r>
      <w:r>
        <w:rPr>
          <w:rFonts w:ascii="Times New Roman" w:hAnsi="Times New Roman" w:cs="Times New Roman"/>
          <w:b/>
          <w:bCs/>
        </w:rPr>
        <w:t>、其他</w:t>
      </w:r>
      <w:bookmarkEnd w:id="415"/>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无</w:t>
      </w:r>
    </w:p>
    <w:p w:rsidR="00CE3C32" w:rsidRDefault="006413B8">
      <w:pPr>
        <w:pStyle w:val="2"/>
        <w:spacing w:before="300" w:after="300" w:line="320" w:lineRule="exact"/>
        <w:rPr>
          <w:rFonts w:ascii="Times New Roman" w:eastAsia="宋体" w:hAnsi="Times New Roman" w:cs="Times New Roman"/>
          <w:b/>
          <w:bCs/>
          <w:sz w:val="24"/>
          <w:szCs w:val="24"/>
        </w:rPr>
      </w:pPr>
      <w:bookmarkStart w:id="416" w:name="_Toc989301"/>
      <w:r>
        <w:rPr>
          <w:rFonts w:ascii="Times New Roman" w:eastAsia="宋体" w:hAnsi="Times New Roman" w:cs="Times New Roman"/>
          <w:b/>
          <w:bCs/>
          <w:sz w:val="24"/>
          <w:szCs w:val="24"/>
        </w:rPr>
        <w:t>十、在其他主体中的权益</w:t>
      </w:r>
      <w:bookmarkEnd w:id="416"/>
    </w:p>
    <w:p w:rsidR="00CE3C32" w:rsidRDefault="006413B8">
      <w:pPr>
        <w:pStyle w:val="3"/>
        <w:spacing w:line="280" w:lineRule="exact"/>
        <w:jc w:val="left"/>
        <w:rPr>
          <w:rFonts w:ascii="Times New Roman" w:hAnsi="Times New Roman" w:cs="Times New Roman"/>
          <w:b/>
          <w:bCs/>
        </w:rPr>
      </w:pPr>
      <w:bookmarkStart w:id="417" w:name="_Toc989302"/>
      <w:r>
        <w:rPr>
          <w:rFonts w:ascii="Times New Roman" w:hAnsi="Times New Roman" w:cs="Times New Roman"/>
          <w:b/>
          <w:bCs/>
        </w:rPr>
        <w:t>1</w:t>
      </w:r>
      <w:r>
        <w:rPr>
          <w:rFonts w:ascii="Times New Roman" w:hAnsi="Times New Roman" w:cs="Times New Roman"/>
          <w:b/>
          <w:bCs/>
        </w:rPr>
        <w:t>、在子公司中的权益</w:t>
      </w:r>
      <w:bookmarkEnd w:id="417"/>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418" w:name="_Toc989303"/>
      <w:r>
        <w:rPr>
          <w:rFonts w:ascii="Times New Roman" w:eastAsia="宋体" w:hAnsi="Times New Roman" w:cs="Times New Roman"/>
          <w:b/>
          <w:bCs/>
          <w:sz w:val="18"/>
          <w:szCs w:val="18"/>
        </w:rPr>
        <w:t>（</w:t>
      </w:r>
      <w:r>
        <w:rPr>
          <w:rFonts w:ascii="Times New Roman" w:eastAsia="宋体" w:hAnsi="Times New Roman" w:cs="Times New Roman"/>
          <w:b/>
          <w:bCs/>
          <w:sz w:val="18"/>
          <w:szCs w:val="18"/>
        </w:rPr>
        <w:t>1</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企业集团的构成</w:t>
      </w:r>
      <w:bookmarkEnd w:id="41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249"/>
        <w:gridCol w:w="1251"/>
        <w:gridCol w:w="875"/>
        <w:gridCol w:w="755"/>
        <w:gridCol w:w="1651"/>
        <w:gridCol w:w="861"/>
        <w:gridCol w:w="861"/>
        <w:gridCol w:w="1350"/>
      </w:tblGrid>
      <w:tr w:rsidR="00CE3C32">
        <w:trPr>
          <w:trHeight w:val="240"/>
          <w:tblHeader/>
        </w:trPr>
        <w:tc>
          <w:tcPr>
            <w:tcW w:w="1141"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子公司名称</w:t>
            </w:r>
          </w:p>
        </w:tc>
        <w:tc>
          <w:tcPr>
            <w:tcW w:w="635"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注册资本</w:t>
            </w:r>
          </w:p>
        </w:tc>
        <w:tc>
          <w:tcPr>
            <w:tcW w:w="444"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主要经营地</w:t>
            </w:r>
          </w:p>
        </w:tc>
        <w:tc>
          <w:tcPr>
            <w:tcW w:w="383"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注册地</w:t>
            </w:r>
          </w:p>
        </w:tc>
        <w:tc>
          <w:tcPr>
            <w:tcW w:w="838"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业务性质</w:t>
            </w:r>
          </w:p>
        </w:tc>
        <w:tc>
          <w:tcPr>
            <w:tcW w:w="874"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持股比例</w:t>
            </w:r>
          </w:p>
        </w:tc>
        <w:tc>
          <w:tcPr>
            <w:tcW w:w="686"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取得方式</w:t>
            </w:r>
          </w:p>
        </w:tc>
      </w:tr>
      <w:tr w:rsidR="00CE3C32">
        <w:trPr>
          <w:trHeight w:val="240"/>
          <w:tblHeader/>
        </w:trPr>
        <w:tc>
          <w:tcPr>
            <w:tcW w:w="1141"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635"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444"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83"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jc w:val="center"/>
              <w:rPr>
                <w:rFonts w:ascii="Times New Roman" w:hAnsi="Times New Roman" w:cs="Times New Roman"/>
              </w:rPr>
            </w:pPr>
          </w:p>
        </w:tc>
        <w:tc>
          <w:tcPr>
            <w:tcW w:w="838"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43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直接</w:t>
            </w:r>
          </w:p>
        </w:tc>
        <w:tc>
          <w:tcPr>
            <w:tcW w:w="43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间接</w:t>
            </w:r>
          </w:p>
        </w:tc>
        <w:tc>
          <w:tcPr>
            <w:tcW w:w="686"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深圳市互联精英信息技术有限公司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53,900,000.00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深圳市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软件和信息技术服务</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非同一控制企业合并</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广东翼启数据产业有限公司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12,500,000.00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汕头市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汕头市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软件和信息技术服务业</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51.00%</w:t>
            </w: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非同一控制企业合并</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天亿马信息技术有限公司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50,000,000.00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汕头市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汕头市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软件和信息技术服务</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设立</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广东天亿马信息科技有限公司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广州市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广州市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软件和信息技术服务</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设立</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广图粤科（广州）科技有限公司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广州市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广州市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研究和试验发展</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51.00%</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非同一控制企业合并</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粤科睿肯（上海）科技有限公司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2,000,000.00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上海市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上海市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软件和信息技术服务业</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非同一控制企业合并</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广东天亿马数字能源有限公司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深圳市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电力、热力生产和供应业</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51.00%</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设立</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桓台爱康新能源有限公司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8,208,000.00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淄博市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淄博市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电力、热力生产和供应业</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非同一控制企业合并</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桓台爱道光伏发电有限公司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9,120,000.00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淄博市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淄博市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电力、热力生产和供应业</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非同一控制企业合并</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邯郸庚源新能源科技有限公司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17,000,000.00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邯郸市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邯郸市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电力、热力生产和供应业</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非同一控制企业合并</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湖南天晨新能源有限公司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20,000,000.00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冷水江市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冷水江市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电力、热力生产和供应业</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48.00%</w:t>
            </w: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设立</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湖南亿道电力有限公司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20,000,000.00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怀化市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怀化市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电力、热力生产和供应业</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65.00%</w:t>
            </w: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设立</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海南天亿马数字能源有限公司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4,000,000.00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东方市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东方市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电力、热力生产和供应业</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设立</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广东天亿马新能源产业发展有限公司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汕头市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汕头市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电力、热力生产和供应业</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51.00%</w:t>
            </w: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设立</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天亿马新能源（衡阳）有限公司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5,760,000.00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衡阳市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衡阳市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电力、热力生产和供应业</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55.00%</w:t>
            </w: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设立</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深圳市亿泰新能源有限公司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深圳市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电力、热力生产和供应业</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67.00%</w:t>
            </w: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设立</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广西亿泰新能源有限公司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4,120,000.00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柳州市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柳州市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电力、热力生产和供应业</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设立</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衡阳凯晶新能源有限公司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6,300,000.00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衡阳市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衡阳市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电力、热力生产和供应业</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设立</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广东天亿马数字产业有限公司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汕头市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汕头市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软件和信息技术服务业</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设立</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广州市天亿马信息技术有限公司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广州市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广州市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软件和信息技术服务业</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设立</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深圳市天亿马信息技术有限公司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深圳市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软件和信息技术服务业</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设立</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广州路创轨道科技有限公司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广州市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广州市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研究和试验发展</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49.00%</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设立</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惠州市天亿马信息技术有限公司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惠州市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惠州市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互联网和相关服务</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51.00%</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设立</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天亿马（香港）信息产业有限公司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0.80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香港</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香港</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软件和信息技术服务</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同一控制企业合并</w:t>
            </w:r>
          </w:p>
        </w:tc>
      </w:tr>
      <w:tr w:rsidR="00CE3C32">
        <w:trPr>
          <w:trHeight w:val="240"/>
        </w:trPr>
        <w:tc>
          <w:tcPr>
            <w:tcW w:w="114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重庆天亿马信息技术有限公司</w:t>
            </w:r>
          </w:p>
        </w:tc>
        <w:tc>
          <w:tcPr>
            <w:tcW w:w="635"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1,000,000.00</w:t>
            </w:r>
          </w:p>
        </w:tc>
        <w:tc>
          <w:tcPr>
            <w:tcW w:w="444"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重庆市</w:t>
            </w:r>
          </w:p>
        </w:tc>
        <w:tc>
          <w:tcPr>
            <w:tcW w:w="38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重庆市</w:t>
            </w:r>
          </w:p>
        </w:tc>
        <w:tc>
          <w:tcPr>
            <w:tcW w:w="838"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软件和信息技术服务</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51.00%</w:t>
            </w:r>
          </w:p>
        </w:tc>
        <w:tc>
          <w:tcPr>
            <w:tcW w:w="43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68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设立</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在子公司的持股比例不同于表决权比例的说明：</w:t>
      </w:r>
      <w:r>
        <w:rPr>
          <w:rFonts w:ascii="Times New Roman"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持有半数或以下表决权但仍控制被投资单位、以及持有半数以上表决权但不控制被投资单位的依据：</w:t>
      </w:r>
    </w:p>
    <w:p w:rsidR="00CE3C32" w:rsidRDefault="006413B8">
      <w:pPr>
        <w:rPr>
          <w:rFonts w:ascii="宋体" w:eastAsia="宋体" w:hAnsi="宋体" w:cs="宋体"/>
          <w:sz w:val="18"/>
          <w:szCs w:val="18"/>
        </w:rPr>
      </w:pPr>
      <w:r>
        <w:rPr>
          <w:rFonts w:ascii="宋体" w:eastAsia="宋体" w:hAnsi="宋体" w:cs="宋体" w:hint="eastAsia"/>
          <w:sz w:val="18"/>
          <w:szCs w:val="18"/>
        </w:rPr>
        <w:t>①</w:t>
      </w:r>
      <w:r>
        <w:rPr>
          <w:rFonts w:ascii="宋体" w:eastAsia="宋体" w:hAnsi="宋体" w:cs="宋体"/>
          <w:sz w:val="18"/>
          <w:szCs w:val="18"/>
        </w:rPr>
        <w:t>湖南天晨新能源有限公司：公司持有数字能源51%股权；数字能源为湖南天晨第一大股东，持股48%；天亿马副总经理李华青先生担任湖南天晨执行董事、经理、法定代表人，对其经营管理、财务方面等具有控制权。</w:t>
      </w:r>
    </w:p>
    <w:p w:rsidR="00CE3C32" w:rsidRDefault="006413B8">
      <w:pPr>
        <w:rPr>
          <w:rFonts w:ascii="Times New Roman" w:hAnsi="Times New Roman" w:cs="Times New Roman"/>
          <w:sz w:val="18"/>
          <w:szCs w:val="18"/>
        </w:rPr>
      </w:pPr>
      <w:r>
        <w:rPr>
          <w:rFonts w:ascii="宋体" w:eastAsia="宋体" w:hAnsi="宋体" w:cs="宋体" w:hint="eastAsia"/>
          <w:sz w:val="18"/>
          <w:szCs w:val="18"/>
        </w:rPr>
        <w:t>②</w:t>
      </w:r>
      <w:r>
        <w:rPr>
          <w:rFonts w:ascii="Times New Roman" w:hAnsi="Times New Roman" w:cs="Times New Roman"/>
          <w:sz w:val="18"/>
          <w:szCs w:val="18"/>
        </w:rPr>
        <w:t>广州路创轨道科技有限公司：公司持有路创科技</w:t>
      </w:r>
      <w:r>
        <w:rPr>
          <w:rFonts w:ascii="Times New Roman" w:hAnsi="Times New Roman" w:cs="Times New Roman"/>
          <w:sz w:val="18"/>
          <w:szCs w:val="18"/>
        </w:rPr>
        <w:t>49%</w:t>
      </w:r>
      <w:r>
        <w:rPr>
          <w:rFonts w:ascii="Times New Roman" w:hAnsi="Times New Roman" w:cs="Times New Roman"/>
          <w:sz w:val="18"/>
          <w:szCs w:val="18"/>
        </w:rPr>
        <w:t>股权，为第一大股东。路创科技不设董事会，公司董事长林明玲女士任其董事，对其经营管理、财务方面等具有控制权。</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lastRenderedPageBreak/>
        <w:t>对于纳入合并范围的重要的结构化主体，控制的依据：</w:t>
      </w:r>
      <w:r>
        <w:rPr>
          <w:rFonts w:ascii="Times New Roman" w:hAnsi="Times New Roman" w:cs="Times New Roman"/>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确定公司是代理人还是委托人的依据：</w:t>
      </w:r>
      <w:r>
        <w:rPr>
          <w:rFonts w:ascii="Times New Roman" w:hAnsi="Times New Roman" w:cs="Times New Roman"/>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无。</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419" w:name="_Toc989304"/>
      <w:r>
        <w:rPr>
          <w:rFonts w:ascii="Times New Roman" w:eastAsia="宋体" w:hAnsi="Times New Roman" w:cs="Times New Roman"/>
          <w:b/>
          <w:bCs/>
          <w:sz w:val="18"/>
          <w:szCs w:val="18"/>
        </w:rPr>
        <w:t>（</w:t>
      </w:r>
      <w:r>
        <w:rPr>
          <w:rFonts w:ascii="Times New Roman" w:eastAsia="宋体" w:hAnsi="Times New Roman" w:cs="Times New Roman"/>
          <w:b/>
          <w:bCs/>
          <w:sz w:val="18"/>
          <w:szCs w:val="18"/>
        </w:rPr>
        <w:t>2</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重要的非全资子公司</w:t>
      </w:r>
      <w:bookmarkEnd w:id="419"/>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子公司名称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少数股东持股比例</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本期归属于少数股东的损益</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本期向少数股东宣告分派的股利</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期末少数股东权益余额</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广东天亿马数字能源有限公司</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282,763.15</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2,976,655.52</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广图粤科（广州）科技有限公司</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-1,618,001.71</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-5,941,623.32</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子公司少数股东的持股比例不同于表决权比例的说明：</w:t>
      </w:r>
      <w:r>
        <w:rPr>
          <w:rFonts w:ascii="Times New Roman" w:hAnsi="Times New Roman" w:cs="Times New Roman"/>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无。</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420" w:name="_Toc989305"/>
      <w:r>
        <w:rPr>
          <w:rFonts w:ascii="Times New Roman" w:eastAsia="宋体" w:hAnsi="Times New Roman" w:cs="Times New Roman"/>
          <w:b/>
          <w:bCs/>
          <w:sz w:val="18"/>
          <w:szCs w:val="18"/>
        </w:rPr>
        <w:t>（</w:t>
      </w:r>
      <w:r>
        <w:rPr>
          <w:rFonts w:ascii="Times New Roman" w:eastAsia="宋体" w:hAnsi="Times New Roman" w:cs="Times New Roman"/>
          <w:b/>
          <w:bCs/>
          <w:sz w:val="18"/>
          <w:szCs w:val="18"/>
        </w:rPr>
        <w:t>3</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重要非全资子公司的主要财务信息</w:t>
      </w:r>
      <w:bookmarkEnd w:id="420"/>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41"/>
        <w:gridCol w:w="741"/>
        <w:gridCol w:w="741"/>
        <w:gridCol w:w="741"/>
        <w:gridCol w:w="741"/>
        <w:gridCol w:w="741"/>
        <w:gridCol w:w="744"/>
        <w:gridCol w:w="741"/>
        <w:gridCol w:w="741"/>
        <w:gridCol w:w="741"/>
        <w:gridCol w:w="741"/>
        <w:gridCol w:w="741"/>
        <w:gridCol w:w="744"/>
      </w:tblGrid>
      <w:tr w:rsidR="00CE3C32">
        <w:trPr>
          <w:trHeight w:val="240"/>
          <w:tblHeader/>
        </w:trPr>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子公司名称</w:t>
            </w:r>
          </w:p>
        </w:tc>
        <w:tc>
          <w:tcPr>
            <w:tcW w:w="4449"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4449"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blHeader/>
        </w:trPr>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流动资产</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非流动资产</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资产合计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流动负债</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非流动负债</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负债合计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流动资产</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非流动资产</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资产合计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流动负债</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非流动负债</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负债合计</w:t>
            </w:r>
          </w:p>
        </w:tc>
      </w:tr>
      <w:tr w:rsidR="00CE3C32">
        <w:trPr>
          <w:trHeight w:val="240"/>
        </w:trPr>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广东天亿马数字能源有限公司</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18,160,136.77</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181,120,208.74</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199,280,345.51</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105,986,261.44</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76,055,476.34</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182,041,737.78</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18,793,392.40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98,981,615.02</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117,775,007.42</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52,024,087.36</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51,243,932.00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103,268,019.36</w:t>
            </w:r>
          </w:p>
        </w:tc>
      </w:tr>
      <w:tr w:rsidR="00CE3C32">
        <w:trPr>
          <w:trHeight w:val="240"/>
        </w:trPr>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广图粤科（广州）科技有限公司</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23,065,280.82</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5,850,826.53</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28,916,107.35</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36,156,234.94</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564,952.30</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36,721,187.24</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14,274,558.12</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4,961,738.49</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19,236,296.61</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23,026,300.04</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713,032.15</w:t>
            </w:r>
          </w:p>
        </w:tc>
        <w:tc>
          <w:tcPr>
            <w:tcW w:w="74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23,739,332.19</w:t>
            </w:r>
          </w:p>
        </w:tc>
      </w:tr>
    </w:tbl>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CE3C32">
        <w:trPr>
          <w:trHeight w:val="240"/>
          <w:tblHeader/>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子公司名称</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blHeader/>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营业收入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净利润</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综合收益总额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经营活动现金流量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营业收入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净利润</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综合收益总额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经营活动现金流量</w:t>
            </w:r>
          </w:p>
        </w:tc>
      </w:tr>
      <w:tr w:rsidR="00CE3C32">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广东天亿马数字能源有限公司</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8,742,873.02</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2,094,616.77</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2,094,616.77</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57,795,879.99</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-1,487,430.49</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-1,487,430.49</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-801,919.63</w:t>
            </w:r>
          </w:p>
        </w:tc>
      </w:tr>
      <w:tr w:rsidR="00CE3C32">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广图粤科（广州）科技有限公司</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2,369,189.07</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-3,302,044.31</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-3,302,044.31</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-369,581.50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707,964.60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-3,428,285.73</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-3,428,285.73</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98,378.11</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其他说明：</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lastRenderedPageBreak/>
        <w:t>无。</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421" w:name="_Toc989306"/>
      <w:r>
        <w:rPr>
          <w:rFonts w:ascii="Times New Roman" w:eastAsia="宋体" w:hAnsi="Times New Roman" w:cs="Times New Roman"/>
          <w:b/>
          <w:bCs/>
          <w:sz w:val="18"/>
          <w:szCs w:val="18"/>
        </w:rPr>
        <w:t>（</w:t>
      </w:r>
      <w:r>
        <w:rPr>
          <w:rFonts w:ascii="Times New Roman" w:eastAsia="宋体" w:hAnsi="Times New Roman" w:cs="Times New Roman"/>
          <w:b/>
          <w:bCs/>
          <w:sz w:val="18"/>
          <w:szCs w:val="18"/>
        </w:rPr>
        <w:t>4</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使用企业集团资产和清偿企业集团债务的重大限制</w:t>
      </w:r>
      <w:bookmarkEnd w:id="421"/>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无。</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422" w:name="_Toc989307"/>
      <w:r>
        <w:rPr>
          <w:rFonts w:ascii="Times New Roman" w:eastAsia="宋体" w:hAnsi="Times New Roman" w:cs="Times New Roman"/>
          <w:b/>
          <w:bCs/>
          <w:sz w:val="18"/>
          <w:szCs w:val="18"/>
        </w:rPr>
        <w:t>（</w:t>
      </w:r>
      <w:r>
        <w:rPr>
          <w:rFonts w:ascii="Times New Roman" w:eastAsia="宋体" w:hAnsi="Times New Roman" w:cs="Times New Roman"/>
          <w:b/>
          <w:bCs/>
          <w:sz w:val="18"/>
          <w:szCs w:val="18"/>
        </w:rPr>
        <w:t>5</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向纳入合并财务报表范围的结构化主体提供的财务支持或其他支持</w:t>
      </w:r>
      <w:bookmarkEnd w:id="422"/>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无。</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无。</w:t>
      </w:r>
    </w:p>
    <w:p w:rsidR="00CE3C32" w:rsidRDefault="006413B8">
      <w:pPr>
        <w:pStyle w:val="3"/>
        <w:spacing w:line="280" w:lineRule="exact"/>
        <w:jc w:val="left"/>
        <w:rPr>
          <w:rFonts w:ascii="Times New Roman" w:hAnsi="Times New Roman" w:cs="Times New Roman"/>
          <w:b/>
          <w:bCs/>
        </w:rPr>
      </w:pPr>
      <w:bookmarkStart w:id="423" w:name="_Toc989308"/>
      <w:r>
        <w:rPr>
          <w:rFonts w:ascii="Times New Roman" w:hAnsi="Times New Roman" w:cs="Times New Roman"/>
          <w:b/>
          <w:bCs/>
        </w:rPr>
        <w:t>2</w:t>
      </w:r>
      <w:r>
        <w:rPr>
          <w:rFonts w:ascii="Times New Roman" w:hAnsi="Times New Roman" w:cs="Times New Roman"/>
          <w:b/>
          <w:bCs/>
        </w:rPr>
        <w:t>、在子公司的所有者权益份额发生变化且仍控制子公司的交易</w:t>
      </w:r>
      <w:bookmarkEnd w:id="423"/>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424" w:name="_Toc989309"/>
      <w:r>
        <w:rPr>
          <w:rFonts w:ascii="Times New Roman" w:eastAsia="宋体" w:hAnsi="Times New Roman" w:cs="Times New Roman"/>
          <w:b/>
          <w:bCs/>
          <w:sz w:val="18"/>
          <w:szCs w:val="18"/>
        </w:rPr>
        <w:t>（</w:t>
      </w:r>
      <w:r>
        <w:rPr>
          <w:rFonts w:ascii="Times New Roman" w:eastAsia="宋体" w:hAnsi="Times New Roman" w:cs="Times New Roman"/>
          <w:b/>
          <w:bCs/>
          <w:sz w:val="18"/>
          <w:szCs w:val="18"/>
        </w:rPr>
        <w:t>1</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在子公司所有者权益份额发生变化的情况说明</w:t>
      </w:r>
      <w:bookmarkEnd w:id="424"/>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425" w:name="_Toc989310"/>
      <w:r>
        <w:rPr>
          <w:rFonts w:ascii="Times New Roman" w:eastAsia="宋体" w:hAnsi="Times New Roman" w:cs="Times New Roman"/>
          <w:b/>
          <w:bCs/>
          <w:sz w:val="18"/>
          <w:szCs w:val="18"/>
        </w:rPr>
        <w:t>（</w:t>
      </w:r>
      <w:r>
        <w:rPr>
          <w:rFonts w:ascii="Times New Roman" w:eastAsia="宋体" w:hAnsi="Times New Roman" w:cs="Times New Roman"/>
          <w:b/>
          <w:bCs/>
          <w:sz w:val="18"/>
          <w:szCs w:val="18"/>
        </w:rPr>
        <w:t>2</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交易对于少数股东权益及归属于母公司所有者权益的影响</w:t>
      </w:r>
      <w:bookmarkEnd w:id="425"/>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r>
        <w:rPr>
          <w:rFonts w:ascii="Times New Roman" w:hAnsi="Times New Roman" w:cs="Times New Roman"/>
          <w:sz w:val="18"/>
          <w:szCs w:val="18"/>
        </w:rPr>
        <w:t>无</w:t>
      </w:r>
    </w:p>
    <w:p w:rsidR="00CE3C32" w:rsidRDefault="006413B8">
      <w:pPr>
        <w:pStyle w:val="3"/>
        <w:spacing w:line="280" w:lineRule="exact"/>
        <w:jc w:val="left"/>
        <w:rPr>
          <w:rFonts w:ascii="Times New Roman" w:hAnsi="Times New Roman" w:cs="Times New Roman"/>
          <w:b/>
          <w:bCs/>
        </w:rPr>
      </w:pPr>
      <w:bookmarkStart w:id="426" w:name="_Toc989311"/>
      <w:r>
        <w:rPr>
          <w:rFonts w:ascii="Times New Roman" w:hAnsi="Times New Roman" w:cs="Times New Roman"/>
          <w:b/>
          <w:bCs/>
        </w:rPr>
        <w:t>3</w:t>
      </w:r>
      <w:r>
        <w:rPr>
          <w:rFonts w:ascii="Times New Roman" w:hAnsi="Times New Roman" w:cs="Times New Roman"/>
          <w:b/>
          <w:bCs/>
        </w:rPr>
        <w:t>、在合营企业或联营企业中的权益</w:t>
      </w:r>
      <w:bookmarkEnd w:id="426"/>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27" w:name="_Toc989312"/>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重要的合营企业或联营企业</w:t>
      </w:r>
      <w:bookmarkEnd w:id="427"/>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合营企业或联营企业名称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主要经营地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注册地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业务性质</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持股比例</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对合营企业或联营企业投资的会计处理方法</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直接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间接</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在合营企业或联营企业的持股比例不同于表决权比例的说明：</w:t>
      </w:r>
      <w:r>
        <w:rPr>
          <w:rFonts w:ascii="Times New Roman" w:hAnsi="Times New Roman" w:cs="Times New Roman"/>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持有</w:t>
      </w:r>
      <w:r>
        <w:rPr>
          <w:rFonts w:ascii="Times New Roman" w:eastAsia="宋体" w:hAnsi="Times New Roman" w:cs="Times New Roman"/>
          <w:sz w:val="18"/>
          <w:szCs w:val="18"/>
        </w:rPr>
        <w:t>20%</w:t>
      </w:r>
      <w:r>
        <w:rPr>
          <w:rFonts w:ascii="Times New Roman" w:eastAsia="宋体" w:hAnsi="Times New Roman" w:cs="Times New Roman"/>
          <w:sz w:val="18"/>
          <w:szCs w:val="18"/>
        </w:rPr>
        <w:t>以下表决权但具有重大影响，或者持有</w:t>
      </w:r>
      <w:r>
        <w:rPr>
          <w:rFonts w:ascii="Times New Roman" w:eastAsia="宋体" w:hAnsi="Times New Roman" w:cs="Times New Roman"/>
          <w:sz w:val="18"/>
          <w:szCs w:val="18"/>
        </w:rPr>
        <w:t>20%</w:t>
      </w:r>
      <w:r>
        <w:rPr>
          <w:rFonts w:ascii="Times New Roman" w:eastAsia="宋体" w:hAnsi="Times New Roman" w:cs="Times New Roman"/>
          <w:sz w:val="18"/>
          <w:szCs w:val="18"/>
        </w:rPr>
        <w:t>或以上表决权但不具有重大影响的依据：</w:t>
      </w:r>
      <w:r>
        <w:rPr>
          <w:rFonts w:ascii="Times New Roman" w:hAnsi="Times New Roman" w:cs="Times New Roman"/>
          <w:sz w:val="18"/>
          <w:szCs w:val="18"/>
        </w:rPr>
        <w:t>无。</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28" w:name="_Toc989313"/>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重要合营企业的主要财务信息</w:t>
      </w:r>
      <w:bookmarkEnd w:id="428"/>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：不适用</w:t>
      </w:r>
      <w:r>
        <w:rPr>
          <w:rFonts w:ascii="Times New Roman" w:hAnsi="Times New Roman" w:cs="Times New Roman"/>
          <w:sz w:val="18"/>
          <w:szCs w:val="18"/>
        </w:rPr>
        <w:t>。</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29" w:name="_Toc989314"/>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重要联营企业的主要财务信息</w:t>
      </w:r>
      <w:bookmarkEnd w:id="429"/>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30" w:name="_Toc989315"/>
      <w:r>
        <w:rPr>
          <w:rFonts w:ascii="Times New Roman" w:eastAsia="宋体" w:hAnsi="Times New Roman" w:cs="Times New Roman"/>
          <w:b/>
          <w:bCs/>
          <w:szCs w:val="21"/>
        </w:rPr>
        <w:t>（</w:t>
      </w:r>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不重要的合营企业和联营企业的汇总财务信息</w:t>
      </w:r>
      <w:bookmarkEnd w:id="430"/>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：不适用。</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无。</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31" w:name="_Toc989316"/>
      <w:r>
        <w:rPr>
          <w:rFonts w:ascii="Times New Roman" w:eastAsia="宋体" w:hAnsi="Times New Roman" w:cs="Times New Roman"/>
          <w:b/>
          <w:bCs/>
          <w:szCs w:val="21"/>
        </w:rPr>
        <w:lastRenderedPageBreak/>
        <w:t>（</w:t>
      </w:r>
      <w:r>
        <w:rPr>
          <w:rFonts w:ascii="Times New Roman" w:eastAsia="宋体" w:hAnsi="Times New Roman" w:cs="Times New Roman"/>
          <w:b/>
          <w:bCs/>
          <w:szCs w:val="21"/>
        </w:rPr>
        <w:t>5</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合营企业或联营企业向本公司转移资金的能力存在重大限制的说明</w:t>
      </w:r>
      <w:bookmarkEnd w:id="431"/>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32" w:name="_Toc989317"/>
      <w:r>
        <w:rPr>
          <w:rFonts w:ascii="Times New Roman" w:eastAsia="宋体" w:hAnsi="Times New Roman" w:cs="Times New Roman"/>
          <w:b/>
          <w:bCs/>
          <w:szCs w:val="21"/>
        </w:rPr>
        <w:t>（</w:t>
      </w:r>
      <w:r>
        <w:rPr>
          <w:rFonts w:ascii="Times New Roman" w:eastAsia="宋体" w:hAnsi="Times New Roman" w:cs="Times New Roman"/>
          <w:b/>
          <w:bCs/>
          <w:szCs w:val="21"/>
        </w:rPr>
        <w:t>6</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合营企业或联营企业发生的超额亏损</w:t>
      </w:r>
      <w:bookmarkEnd w:id="432"/>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r>
        <w:rPr>
          <w:rFonts w:ascii="Times New Roman" w:hAnsi="Times New Roman" w:cs="Times New Roman"/>
          <w:sz w:val="18"/>
          <w:szCs w:val="18"/>
        </w:rPr>
        <w:t>无。</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33" w:name="_Toc989318"/>
      <w:r>
        <w:rPr>
          <w:rFonts w:ascii="Times New Roman" w:eastAsia="宋体" w:hAnsi="Times New Roman" w:cs="Times New Roman"/>
          <w:b/>
          <w:bCs/>
          <w:szCs w:val="21"/>
        </w:rPr>
        <w:t>（</w:t>
      </w:r>
      <w:r>
        <w:rPr>
          <w:rFonts w:ascii="Times New Roman" w:eastAsia="宋体" w:hAnsi="Times New Roman" w:cs="Times New Roman"/>
          <w:b/>
          <w:bCs/>
          <w:szCs w:val="21"/>
        </w:rPr>
        <w:t>7</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与合营企业投资相关的未确认承诺</w:t>
      </w:r>
      <w:bookmarkEnd w:id="433"/>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34" w:name="_Toc989319"/>
      <w:r>
        <w:rPr>
          <w:rFonts w:ascii="Times New Roman" w:eastAsia="宋体" w:hAnsi="Times New Roman" w:cs="Times New Roman"/>
          <w:b/>
          <w:bCs/>
          <w:szCs w:val="21"/>
        </w:rPr>
        <w:t>（</w:t>
      </w:r>
      <w:r>
        <w:rPr>
          <w:rFonts w:ascii="Times New Roman" w:eastAsia="宋体" w:hAnsi="Times New Roman" w:cs="Times New Roman"/>
          <w:b/>
          <w:bCs/>
          <w:szCs w:val="21"/>
        </w:rPr>
        <w:t>8</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与合营企业或联营企业投资相关的或有负债</w:t>
      </w:r>
      <w:bookmarkEnd w:id="434"/>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435" w:name="_Toc989320"/>
      <w:r>
        <w:rPr>
          <w:rFonts w:ascii="Times New Roman" w:hAnsi="Times New Roman" w:cs="Times New Roman"/>
          <w:b/>
          <w:bCs/>
        </w:rPr>
        <w:t>4</w:t>
      </w:r>
      <w:r>
        <w:rPr>
          <w:rFonts w:ascii="Times New Roman" w:hAnsi="Times New Roman" w:cs="Times New Roman"/>
          <w:b/>
          <w:bCs/>
        </w:rPr>
        <w:t>、重要的共同经营</w:t>
      </w:r>
      <w:bookmarkEnd w:id="435"/>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7"/>
        <w:gridCol w:w="1607"/>
        <w:gridCol w:w="1606"/>
        <w:gridCol w:w="1606"/>
        <w:gridCol w:w="1606"/>
        <w:gridCol w:w="1607"/>
      </w:tblGrid>
      <w:tr w:rsidR="00CE3C32">
        <w:trPr>
          <w:trHeight w:val="240"/>
        </w:trPr>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共同经营名称</w:t>
            </w:r>
          </w:p>
        </w:tc>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主要经营地</w:t>
            </w:r>
          </w:p>
        </w:tc>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注册地</w:t>
            </w:r>
          </w:p>
        </w:tc>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业务性质</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持股比例</w:t>
            </w:r>
            <w:r>
              <w:rPr>
                <w:rFonts w:ascii="Times New Roman" w:eastAsia="宋体" w:hAnsi="Times New Roman" w:cs="Times New Roman"/>
                <w:sz w:val="18"/>
                <w:szCs w:val="18"/>
              </w:rPr>
              <w:t>/</w:t>
            </w:r>
            <w:r>
              <w:rPr>
                <w:rFonts w:ascii="Times New Roman" w:eastAsia="宋体" w:hAnsi="Times New Roman" w:cs="Times New Roman"/>
                <w:sz w:val="18"/>
                <w:szCs w:val="18"/>
              </w:rPr>
              <w:t>享有的份额</w:t>
            </w:r>
          </w:p>
        </w:tc>
      </w:tr>
      <w:tr w:rsidR="00CE3C32">
        <w:trPr>
          <w:trHeight w:val="240"/>
        </w:trPr>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直接</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间接</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在共同经营中的持股比例或享有的份额不同于表决权比例的说明：</w:t>
      </w:r>
      <w:r>
        <w:rPr>
          <w:rFonts w:ascii="Times New Roman" w:hAnsi="Times New Roman" w:cs="Times New Roman"/>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共同经营为单独主体的，分类为共同经营的依据：</w:t>
      </w:r>
      <w:r>
        <w:rPr>
          <w:rFonts w:ascii="Times New Roman" w:hAnsi="Times New Roman" w:cs="Times New Roman"/>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r>
        <w:rPr>
          <w:rFonts w:ascii="Times New Roman" w:hAnsi="Times New Roman" w:cs="Times New Roman"/>
          <w:sz w:val="18"/>
          <w:szCs w:val="18"/>
        </w:rPr>
        <w:t>无。</w:t>
      </w:r>
    </w:p>
    <w:p w:rsidR="00CE3C32" w:rsidRDefault="006413B8">
      <w:pPr>
        <w:pStyle w:val="3"/>
        <w:spacing w:line="280" w:lineRule="exact"/>
        <w:jc w:val="left"/>
        <w:rPr>
          <w:rFonts w:ascii="Times New Roman" w:hAnsi="Times New Roman" w:cs="Times New Roman"/>
          <w:b/>
          <w:bCs/>
        </w:rPr>
      </w:pPr>
      <w:bookmarkStart w:id="436" w:name="_Toc989321"/>
      <w:r>
        <w:rPr>
          <w:rFonts w:ascii="Times New Roman" w:hAnsi="Times New Roman" w:cs="Times New Roman"/>
          <w:b/>
          <w:bCs/>
        </w:rPr>
        <w:t>5</w:t>
      </w:r>
      <w:r>
        <w:rPr>
          <w:rFonts w:ascii="Times New Roman" w:hAnsi="Times New Roman" w:cs="Times New Roman"/>
          <w:b/>
          <w:bCs/>
        </w:rPr>
        <w:t>、在未纳入合并财务报表范围的结构化主体中的权益</w:t>
      </w:r>
      <w:bookmarkEnd w:id="436"/>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未纳入合并财务报表范围的结构化主体的相关说明：</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437" w:name="_Toc989322"/>
      <w:r>
        <w:rPr>
          <w:rFonts w:ascii="Times New Roman" w:hAnsi="Times New Roman" w:cs="Times New Roman"/>
          <w:b/>
          <w:bCs/>
        </w:rPr>
        <w:t>6</w:t>
      </w:r>
      <w:r>
        <w:rPr>
          <w:rFonts w:ascii="Times New Roman" w:hAnsi="Times New Roman" w:cs="Times New Roman"/>
          <w:b/>
          <w:bCs/>
        </w:rPr>
        <w:t>、其他</w:t>
      </w:r>
      <w:bookmarkEnd w:id="437"/>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无。</w:t>
      </w:r>
    </w:p>
    <w:p w:rsidR="00CE3C32" w:rsidRDefault="006413B8">
      <w:pPr>
        <w:pStyle w:val="2"/>
        <w:spacing w:before="300" w:after="300" w:line="320" w:lineRule="exact"/>
        <w:rPr>
          <w:rFonts w:ascii="Times New Roman" w:eastAsia="宋体" w:hAnsi="Times New Roman" w:cs="Times New Roman"/>
          <w:b/>
          <w:bCs/>
          <w:sz w:val="24"/>
          <w:szCs w:val="24"/>
        </w:rPr>
      </w:pPr>
      <w:bookmarkStart w:id="438" w:name="_Toc989323"/>
      <w:r>
        <w:rPr>
          <w:rFonts w:ascii="Times New Roman" w:eastAsia="宋体" w:hAnsi="Times New Roman" w:cs="Times New Roman"/>
          <w:b/>
          <w:bCs/>
          <w:sz w:val="24"/>
          <w:szCs w:val="24"/>
        </w:rPr>
        <w:t>十一、政府补助</w:t>
      </w:r>
      <w:bookmarkEnd w:id="438"/>
    </w:p>
    <w:p w:rsidR="00CE3C32" w:rsidRDefault="006413B8">
      <w:pPr>
        <w:pStyle w:val="3"/>
        <w:spacing w:line="280" w:lineRule="exact"/>
        <w:jc w:val="left"/>
        <w:rPr>
          <w:rFonts w:ascii="Times New Roman" w:hAnsi="Times New Roman" w:cs="Times New Roman"/>
          <w:b/>
          <w:bCs/>
        </w:rPr>
      </w:pPr>
      <w:bookmarkStart w:id="439" w:name="_Toc989324"/>
      <w:r>
        <w:rPr>
          <w:rFonts w:ascii="Times New Roman" w:hAnsi="Times New Roman" w:cs="Times New Roman"/>
          <w:b/>
          <w:bCs/>
        </w:rPr>
        <w:t>1</w:t>
      </w:r>
      <w:r>
        <w:rPr>
          <w:rFonts w:ascii="Times New Roman" w:hAnsi="Times New Roman" w:cs="Times New Roman"/>
          <w:b/>
          <w:bCs/>
        </w:rPr>
        <w:t>、报告期末按应收金额确认的政府补助</w:t>
      </w:r>
      <w:bookmarkEnd w:id="439"/>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未能在预计时点收到预计金额的政府补助的原因</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440" w:name="_Toc989325"/>
      <w:r>
        <w:rPr>
          <w:rFonts w:ascii="Times New Roman" w:hAnsi="Times New Roman" w:cs="Times New Roman"/>
          <w:b/>
          <w:bCs/>
        </w:rPr>
        <w:t>2</w:t>
      </w:r>
      <w:r>
        <w:rPr>
          <w:rFonts w:ascii="Times New Roman" w:hAnsi="Times New Roman" w:cs="Times New Roman"/>
          <w:b/>
          <w:bCs/>
        </w:rPr>
        <w:t>、涉及政府补助的负债项目</w:t>
      </w:r>
      <w:bookmarkEnd w:id="440"/>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441" w:name="_Toc989326"/>
      <w:r>
        <w:rPr>
          <w:rFonts w:ascii="Times New Roman" w:hAnsi="Times New Roman" w:cs="Times New Roman"/>
          <w:b/>
          <w:bCs/>
        </w:rPr>
        <w:t>3</w:t>
      </w:r>
      <w:r>
        <w:rPr>
          <w:rFonts w:ascii="Times New Roman" w:hAnsi="Times New Roman" w:cs="Times New Roman"/>
          <w:b/>
          <w:bCs/>
        </w:rPr>
        <w:t>、计入当期损益的政府补助</w:t>
      </w:r>
      <w:bookmarkEnd w:id="441"/>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lastRenderedPageBreak/>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会计科目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7,093.45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10,939.11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营业外收入</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2,152.00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r>
        <w:rPr>
          <w:rFonts w:ascii="Times New Roman" w:hAnsi="Times New Roman" w:cs="Times New Roman"/>
          <w:sz w:val="18"/>
          <w:szCs w:val="18"/>
        </w:rPr>
        <w:t>无。</w:t>
      </w:r>
    </w:p>
    <w:p w:rsidR="00CE3C32" w:rsidRDefault="006413B8">
      <w:pPr>
        <w:pStyle w:val="2"/>
        <w:spacing w:before="300" w:after="300" w:line="320" w:lineRule="exact"/>
        <w:rPr>
          <w:rFonts w:ascii="Times New Roman" w:eastAsia="宋体" w:hAnsi="Times New Roman" w:cs="Times New Roman"/>
          <w:b/>
          <w:bCs/>
          <w:sz w:val="24"/>
          <w:szCs w:val="24"/>
        </w:rPr>
      </w:pPr>
      <w:bookmarkStart w:id="442" w:name="_Toc989327"/>
      <w:r>
        <w:rPr>
          <w:rFonts w:ascii="Times New Roman" w:eastAsia="宋体" w:hAnsi="Times New Roman" w:cs="Times New Roman"/>
          <w:b/>
          <w:bCs/>
          <w:sz w:val="24"/>
          <w:szCs w:val="24"/>
        </w:rPr>
        <w:t>十二、与金融工具相关的风险</w:t>
      </w:r>
      <w:bookmarkEnd w:id="442"/>
    </w:p>
    <w:p w:rsidR="00CE3C32" w:rsidRDefault="006413B8">
      <w:pPr>
        <w:pStyle w:val="3"/>
        <w:spacing w:line="280" w:lineRule="exact"/>
        <w:jc w:val="left"/>
        <w:rPr>
          <w:rFonts w:ascii="Times New Roman" w:hAnsi="Times New Roman" w:cs="Times New Roman"/>
          <w:b/>
          <w:bCs/>
        </w:rPr>
      </w:pPr>
      <w:bookmarkStart w:id="443" w:name="_Toc989328"/>
      <w:r>
        <w:rPr>
          <w:rFonts w:ascii="Times New Roman" w:hAnsi="Times New Roman" w:cs="Times New Roman"/>
          <w:b/>
          <w:bCs/>
        </w:rPr>
        <w:t>1</w:t>
      </w:r>
      <w:r>
        <w:rPr>
          <w:rFonts w:ascii="Times New Roman" w:hAnsi="Times New Roman" w:cs="Times New Roman"/>
          <w:b/>
          <w:bCs/>
        </w:rPr>
        <w:t>、金融工具产生的各类风险</w:t>
      </w:r>
      <w:bookmarkEnd w:id="443"/>
    </w:p>
    <w:p w:rsidR="00CE3C32" w:rsidRDefault="006413B8">
      <w:pPr>
        <w:pStyle w:val="a6"/>
        <w:spacing w:beforeLines="50" w:before="156" w:beforeAutospacing="0" w:afterLines="50" w:after="156" w:afterAutospacing="0"/>
        <w:ind w:firstLineChars="200" w:firstLine="360"/>
        <w:rPr>
          <w:rFonts w:ascii="Times New Roman" w:hAnsi="Times New Roman" w:cs="Times New Roman"/>
          <w:sz w:val="18"/>
          <w:szCs w:val="18"/>
        </w:rPr>
      </w:pPr>
      <w:r>
        <w:rPr>
          <w:rFonts w:ascii="Times New Roman" w:hAnsi="Times New Roman" w:cs="Times New Roman"/>
          <w:sz w:val="18"/>
          <w:szCs w:val="18"/>
        </w:rPr>
        <w:t xml:space="preserve"> </w:t>
      </w:r>
      <w:r>
        <w:rPr>
          <w:rStyle w:val="a7"/>
          <w:rFonts w:ascii="Times New Roman" w:hAnsi="Times New Roman" w:cs="Times New Roman"/>
          <w:sz w:val="18"/>
          <w:szCs w:val="18"/>
        </w:rPr>
        <w:t>（</w:t>
      </w:r>
      <w:r>
        <w:rPr>
          <w:rStyle w:val="a7"/>
          <w:rFonts w:ascii="Times New Roman" w:hAnsi="Times New Roman" w:cs="Times New Roman"/>
          <w:sz w:val="18"/>
          <w:szCs w:val="18"/>
        </w:rPr>
        <w:t>1</w:t>
      </w:r>
      <w:r>
        <w:rPr>
          <w:rStyle w:val="a7"/>
          <w:rFonts w:ascii="Times New Roman" w:hAnsi="Times New Roman" w:cs="Times New Roman"/>
          <w:sz w:val="18"/>
          <w:szCs w:val="18"/>
        </w:rPr>
        <w:t>）风险管理目标和政策</w:t>
      </w:r>
    </w:p>
    <w:p w:rsidR="00CE3C32" w:rsidRDefault="006413B8">
      <w:pPr>
        <w:pStyle w:val="a6"/>
        <w:spacing w:beforeLines="50" w:before="156" w:beforeAutospacing="0" w:afterLines="50" w:after="156" w:afterAutospacing="0"/>
        <w:ind w:firstLineChars="200" w:firstLine="360"/>
        <w:jc w:val="both"/>
        <w:rPr>
          <w:rFonts w:ascii="Times New Roman" w:hAnsi="Times New Roman" w:cs="Times New Roman"/>
          <w:sz w:val="21"/>
          <w:szCs w:val="21"/>
        </w:rPr>
      </w:pPr>
      <w:r>
        <w:rPr>
          <w:rFonts w:ascii="Times New Roman" w:hAnsi="Times New Roman" w:cs="Times New Roman"/>
          <w:sz w:val="18"/>
          <w:szCs w:val="18"/>
        </w:rPr>
        <w:t>本集团的主要金融工具包括股权投资、债权投资、借款、应收款项、应付账款等，各项金融工具的详细情况说明见本附注五相关项目。本集团从事风险管理的目标是在风险和收益之间取得适当的平衡，将风险对本集团经营业绩的负面影响降低到最低水平，使股东及其他权益投资者的利益最大化。基于该风险管理目标，本集团风险管理的基本策略是确定和分析本集团所面临的各种风险，建立适当的风险承受底线和进行风险管理，并及时可靠地对各种风险进行监督，将风险控制在限定的范围之内。</w:t>
      </w:r>
    </w:p>
    <w:p w:rsidR="00CE3C32" w:rsidRDefault="006413B8" w:rsidP="000C21FB">
      <w:pPr>
        <w:pStyle w:val="a6"/>
        <w:spacing w:beforeLines="50" w:before="156" w:beforeAutospacing="0" w:afterLines="50" w:after="156" w:afterAutospacing="0"/>
        <w:ind w:firstLineChars="200" w:firstLine="361"/>
        <w:jc w:val="both"/>
        <w:rPr>
          <w:rFonts w:ascii="Times New Roman" w:hAnsi="Times New Roman" w:cs="Times New Roman"/>
          <w:sz w:val="21"/>
          <w:szCs w:val="21"/>
        </w:rPr>
      </w:pPr>
      <w:r>
        <w:rPr>
          <w:rStyle w:val="a7"/>
          <w:rFonts w:ascii="Times New Roman" w:hAnsi="Times New Roman" w:cs="Times New Roman"/>
          <w:sz w:val="18"/>
          <w:szCs w:val="18"/>
        </w:rPr>
        <w:t>（</w:t>
      </w:r>
      <w:r>
        <w:rPr>
          <w:rStyle w:val="a7"/>
          <w:rFonts w:ascii="Times New Roman" w:hAnsi="Times New Roman" w:cs="Times New Roman"/>
          <w:sz w:val="18"/>
          <w:szCs w:val="18"/>
        </w:rPr>
        <w:t>2</w:t>
      </w:r>
      <w:r>
        <w:rPr>
          <w:rStyle w:val="a7"/>
          <w:rFonts w:ascii="Times New Roman" w:hAnsi="Times New Roman" w:cs="Times New Roman"/>
          <w:sz w:val="18"/>
          <w:szCs w:val="18"/>
        </w:rPr>
        <w:t>）信用风险</w:t>
      </w:r>
    </w:p>
    <w:p w:rsidR="00CE3C32" w:rsidRDefault="006413B8">
      <w:pPr>
        <w:pStyle w:val="a6"/>
        <w:spacing w:beforeLines="50" w:before="156" w:beforeAutospacing="0" w:afterLines="50" w:after="156" w:afterAutospacing="0"/>
        <w:ind w:firstLineChars="200" w:firstLine="360"/>
        <w:jc w:val="both"/>
        <w:rPr>
          <w:rFonts w:ascii="Times New Roman" w:hAnsi="Times New Roman" w:cs="Times New Roman"/>
          <w:sz w:val="21"/>
          <w:szCs w:val="21"/>
        </w:rPr>
      </w:pPr>
      <w:r>
        <w:rPr>
          <w:rFonts w:ascii="Times New Roman" w:hAnsi="Times New Roman" w:cs="Times New Roman"/>
          <w:sz w:val="18"/>
          <w:szCs w:val="18"/>
        </w:rPr>
        <w:t>信用风险，是指金融工具的一方不能履行义务，造成另一方发生财务损失的风险。</w:t>
      </w:r>
    </w:p>
    <w:p w:rsidR="00CE3C32" w:rsidRDefault="006413B8">
      <w:pPr>
        <w:pStyle w:val="a6"/>
        <w:spacing w:beforeLines="50" w:before="156" w:beforeAutospacing="0" w:afterLines="50" w:after="156" w:afterAutospacing="0"/>
        <w:ind w:firstLineChars="200" w:firstLine="360"/>
        <w:jc w:val="both"/>
        <w:rPr>
          <w:rFonts w:ascii="Times New Roman" w:hAnsi="Times New Roman" w:cs="Times New Roman"/>
          <w:sz w:val="21"/>
          <w:szCs w:val="21"/>
        </w:rPr>
      </w:pPr>
      <w:r>
        <w:rPr>
          <w:rFonts w:ascii="Times New Roman" w:hAnsi="Times New Roman" w:cs="Times New Roman"/>
          <w:sz w:val="18"/>
          <w:szCs w:val="18"/>
        </w:rPr>
        <w:t>于</w:t>
      </w:r>
      <w:r>
        <w:rPr>
          <w:rFonts w:ascii="Times New Roman" w:hAnsi="Times New Roman" w:cs="Times New Roman"/>
          <w:sz w:val="18"/>
          <w:szCs w:val="18"/>
        </w:rPr>
        <w:t>2025</w:t>
      </w:r>
      <w:r>
        <w:rPr>
          <w:rFonts w:ascii="Times New Roman" w:hAnsi="Times New Roman" w:cs="Times New Roman"/>
          <w:sz w:val="18"/>
          <w:szCs w:val="18"/>
        </w:rPr>
        <w:t>年</w:t>
      </w:r>
      <w:r>
        <w:rPr>
          <w:rFonts w:ascii="Times New Roman" w:hAnsi="Times New Roman" w:cs="Times New Roman"/>
          <w:sz w:val="18"/>
          <w:szCs w:val="18"/>
        </w:rPr>
        <w:t>6</w:t>
      </w:r>
      <w:r>
        <w:rPr>
          <w:rFonts w:ascii="Times New Roman" w:hAnsi="Times New Roman" w:cs="Times New Roman"/>
          <w:sz w:val="18"/>
          <w:szCs w:val="18"/>
        </w:rPr>
        <w:t>月</w:t>
      </w:r>
      <w:r>
        <w:rPr>
          <w:rFonts w:ascii="Times New Roman" w:hAnsi="Times New Roman" w:cs="Times New Roman"/>
          <w:sz w:val="18"/>
          <w:szCs w:val="18"/>
        </w:rPr>
        <w:t>30</w:t>
      </w:r>
      <w:r>
        <w:rPr>
          <w:rFonts w:ascii="Times New Roman" w:hAnsi="Times New Roman" w:cs="Times New Roman"/>
          <w:sz w:val="18"/>
          <w:szCs w:val="18"/>
        </w:rPr>
        <w:t>日，本集团的信用风险主要来自于本集团确认的金融资产，具体包括：</w:t>
      </w:r>
    </w:p>
    <w:p w:rsidR="00CE3C32" w:rsidRDefault="006413B8">
      <w:pPr>
        <w:pStyle w:val="a6"/>
        <w:spacing w:beforeLines="50" w:before="156" w:beforeAutospacing="0" w:afterLines="50" w:after="156" w:afterAutospacing="0"/>
        <w:ind w:firstLineChars="200" w:firstLine="360"/>
        <w:jc w:val="both"/>
        <w:rPr>
          <w:rFonts w:ascii="Times New Roman" w:hAnsi="Times New Roman" w:cs="Times New Roman"/>
          <w:sz w:val="21"/>
          <w:szCs w:val="21"/>
        </w:rPr>
      </w:pPr>
      <w:r>
        <w:rPr>
          <w:rFonts w:ascii="Times New Roman" w:hAnsi="Times New Roman" w:cs="Times New Roman"/>
          <w:sz w:val="18"/>
          <w:szCs w:val="18"/>
        </w:rPr>
        <w:t>合并资产负债表中已确认的金融资产的账面金额，最大风险敞口等于这些金融资产的账面价值。</w:t>
      </w:r>
    </w:p>
    <w:p w:rsidR="00CE3C32" w:rsidRDefault="006413B8">
      <w:pPr>
        <w:pStyle w:val="a6"/>
        <w:spacing w:beforeLines="50" w:before="156" w:beforeAutospacing="0" w:afterLines="50" w:after="156" w:afterAutospacing="0"/>
        <w:ind w:firstLineChars="200" w:firstLine="360"/>
        <w:jc w:val="both"/>
        <w:rPr>
          <w:rFonts w:ascii="Times New Roman" w:hAnsi="Times New Roman" w:cs="Times New Roman"/>
          <w:sz w:val="21"/>
          <w:szCs w:val="21"/>
        </w:rPr>
      </w:pPr>
      <w:r>
        <w:rPr>
          <w:rFonts w:ascii="Times New Roman" w:hAnsi="Times New Roman" w:cs="Times New Roman"/>
          <w:sz w:val="18"/>
          <w:szCs w:val="18"/>
        </w:rPr>
        <w:t>本附注</w:t>
      </w:r>
      <w:r>
        <w:rPr>
          <w:rFonts w:ascii="Times New Roman" w:hAnsi="Times New Roman" w:cs="Times New Roman"/>
          <w:sz w:val="18"/>
          <w:szCs w:val="18"/>
        </w:rPr>
        <w:t>5.5“</w:t>
      </w:r>
      <w:r>
        <w:rPr>
          <w:rFonts w:ascii="Times New Roman" w:hAnsi="Times New Roman" w:cs="Times New Roman"/>
          <w:sz w:val="18"/>
          <w:szCs w:val="18"/>
        </w:rPr>
        <w:t>合同资产</w:t>
      </w:r>
      <w:r>
        <w:rPr>
          <w:rFonts w:ascii="Times New Roman" w:hAnsi="Times New Roman" w:cs="Times New Roman"/>
          <w:sz w:val="18"/>
          <w:szCs w:val="18"/>
        </w:rPr>
        <w:t>”</w:t>
      </w:r>
      <w:r>
        <w:rPr>
          <w:rFonts w:ascii="Times New Roman" w:hAnsi="Times New Roman" w:cs="Times New Roman"/>
          <w:sz w:val="18"/>
          <w:szCs w:val="18"/>
        </w:rPr>
        <w:t>中披露的合同资产金额。</w:t>
      </w:r>
    </w:p>
    <w:p w:rsidR="00CE3C32" w:rsidRDefault="006413B8">
      <w:pPr>
        <w:pStyle w:val="a6"/>
        <w:spacing w:beforeLines="50" w:before="156" w:beforeAutospacing="0" w:afterLines="50" w:after="156" w:afterAutospacing="0"/>
        <w:ind w:firstLineChars="200" w:firstLine="360"/>
        <w:jc w:val="both"/>
        <w:rPr>
          <w:rFonts w:ascii="Times New Roman" w:hAnsi="Times New Roman" w:cs="Times New Roman"/>
          <w:sz w:val="21"/>
          <w:szCs w:val="21"/>
        </w:rPr>
      </w:pPr>
      <w:r>
        <w:rPr>
          <w:rFonts w:ascii="Times New Roman" w:hAnsi="Times New Roman" w:cs="Times New Roman"/>
          <w:sz w:val="18"/>
          <w:szCs w:val="18"/>
        </w:rPr>
        <w:t>本集团的流动资金存放在信用评级较高的银行，故流动资金的信用风险较低。本集团与客户间的贸易条款以信用交易为主，且一般要求新客户预付款或采取货到付款方式进行。信用期通常为</w:t>
      </w:r>
      <w:r>
        <w:rPr>
          <w:rFonts w:ascii="Times New Roman" w:hAnsi="Times New Roman" w:cs="Times New Roman"/>
          <w:sz w:val="18"/>
          <w:szCs w:val="18"/>
        </w:rPr>
        <w:t>1</w:t>
      </w:r>
      <w:r>
        <w:rPr>
          <w:rFonts w:ascii="Times New Roman" w:hAnsi="Times New Roman" w:cs="Times New Roman"/>
          <w:sz w:val="18"/>
          <w:szCs w:val="18"/>
        </w:rPr>
        <w:t>个月，主要客户可以延长至</w:t>
      </w:r>
      <w:r>
        <w:rPr>
          <w:rFonts w:ascii="Times New Roman" w:hAnsi="Times New Roman" w:cs="Times New Roman"/>
          <w:sz w:val="18"/>
          <w:szCs w:val="18"/>
        </w:rPr>
        <w:t>6</w:t>
      </w:r>
      <w:r>
        <w:rPr>
          <w:rFonts w:ascii="Times New Roman" w:hAnsi="Times New Roman" w:cs="Times New Roman"/>
          <w:sz w:val="18"/>
          <w:szCs w:val="18"/>
        </w:rPr>
        <w:t>个月，交易记录良好的客户可获得比较长的信贷期。由于本集团仅与经认可的且信誉良好的第三方进行交易，所以无需担保物。</w:t>
      </w:r>
    </w:p>
    <w:p w:rsidR="00CE3C32" w:rsidRDefault="006413B8">
      <w:pPr>
        <w:pStyle w:val="a6"/>
        <w:spacing w:beforeLines="50" w:before="156" w:beforeAutospacing="0" w:afterLines="50" w:after="156" w:afterAutospacing="0"/>
        <w:ind w:firstLineChars="200" w:firstLine="360"/>
        <w:jc w:val="both"/>
        <w:rPr>
          <w:rFonts w:ascii="Times New Roman" w:hAnsi="Times New Roman" w:cs="Times New Roman"/>
          <w:sz w:val="21"/>
          <w:szCs w:val="21"/>
        </w:rPr>
      </w:pPr>
      <w:r>
        <w:rPr>
          <w:rFonts w:ascii="Times New Roman" w:hAnsi="Times New Roman" w:cs="Times New Roman"/>
          <w:sz w:val="18"/>
          <w:szCs w:val="18"/>
        </w:rPr>
        <w:t>本集团评估信用风险自初始确认后是否已增加的方法、确定金融资产已发生信用减值的依据、划分组合为基础评估预期信用风险的金融工具的组合方法、直接减记金融工具的政策等，参见本节五、</w:t>
      </w:r>
      <w:r>
        <w:rPr>
          <w:rFonts w:ascii="Times New Roman" w:hAnsi="Times New Roman" w:cs="Times New Roman"/>
          <w:sz w:val="18"/>
          <w:szCs w:val="18"/>
        </w:rPr>
        <w:t>11</w:t>
      </w:r>
      <w:r>
        <w:rPr>
          <w:rFonts w:ascii="Times New Roman" w:hAnsi="Times New Roman" w:cs="Times New Roman"/>
          <w:sz w:val="18"/>
          <w:szCs w:val="18"/>
        </w:rPr>
        <w:t>。</w:t>
      </w:r>
    </w:p>
    <w:p w:rsidR="00CE3C32" w:rsidRDefault="006413B8">
      <w:pPr>
        <w:pStyle w:val="a6"/>
        <w:spacing w:beforeLines="50" w:before="156" w:beforeAutospacing="0" w:afterLines="50" w:after="156" w:afterAutospacing="0"/>
        <w:ind w:firstLineChars="200" w:firstLine="360"/>
        <w:jc w:val="both"/>
        <w:rPr>
          <w:rFonts w:ascii="Times New Roman" w:hAnsi="Times New Roman" w:cs="Times New Roman"/>
          <w:sz w:val="21"/>
          <w:szCs w:val="21"/>
        </w:rPr>
      </w:pPr>
      <w:r>
        <w:rPr>
          <w:rFonts w:ascii="Times New Roman" w:hAnsi="Times New Roman" w:cs="Times New Roman"/>
          <w:sz w:val="18"/>
          <w:szCs w:val="18"/>
        </w:rPr>
        <w:t>本集团对不同的资产分别以</w:t>
      </w:r>
      <w:r>
        <w:rPr>
          <w:rFonts w:ascii="Times New Roman" w:hAnsi="Times New Roman" w:cs="Times New Roman"/>
          <w:sz w:val="18"/>
          <w:szCs w:val="18"/>
        </w:rPr>
        <w:t>12</w:t>
      </w:r>
      <w:r>
        <w:rPr>
          <w:rFonts w:ascii="Times New Roman" w:hAnsi="Times New Roman" w:cs="Times New Roman"/>
          <w:sz w:val="18"/>
          <w:szCs w:val="18"/>
        </w:rPr>
        <w:t>个月或整个存续期的预期信用损失计量减值准备。预期信用损失计量的关键参数包括违约概率、违约损失率和违约风险敞口。本集团考虑历史统计数据</w:t>
      </w:r>
      <w:r>
        <w:rPr>
          <w:rFonts w:ascii="Times New Roman" w:hAnsi="Times New Roman" w:cs="Times New Roman"/>
          <w:sz w:val="18"/>
          <w:szCs w:val="18"/>
        </w:rPr>
        <w:t>(</w:t>
      </w:r>
      <w:r>
        <w:rPr>
          <w:rFonts w:ascii="Times New Roman" w:hAnsi="Times New Roman" w:cs="Times New Roman"/>
          <w:sz w:val="18"/>
          <w:szCs w:val="18"/>
        </w:rPr>
        <w:t>如交易对手评级、担保方式及抵质押物类别、还款方式等</w:t>
      </w:r>
      <w:r>
        <w:rPr>
          <w:rFonts w:ascii="Times New Roman" w:hAnsi="Times New Roman" w:cs="Times New Roman"/>
          <w:sz w:val="18"/>
          <w:szCs w:val="18"/>
        </w:rPr>
        <w:t>)</w:t>
      </w:r>
      <w:r>
        <w:rPr>
          <w:rFonts w:ascii="Times New Roman" w:hAnsi="Times New Roman" w:cs="Times New Roman"/>
          <w:sz w:val="18"/>
          <w:szCs w:val="18"/>
        </w:rPr>
        <w:t>的定量分析及前瞻性信息，建立违约概率、违约损失率及违约风险敞口模型。</w:t>
      </w:r>
    </w:p>
    <w:p w:rsidR="00CE3C32" w:rsidRDefault="006413B8">
      <w:pPr>
        <w:pStyle w:val="a6"/>
        <w:spacing w:beforeLines="50" w:before="156" w:beforeAutospacing="0" w:afterLines="50" w:after="156" w:afterAutospacing="0"/>
        <w:ind w:firstLineChars="200" w:firstLine="360"/>
        <w:jc w:val="both"/>
        <w:rPr>
          <w:rFonts w:ascii="Times New Roman" w:hAnsi="Times New Roman" w:cs="Times New Roman"/>
          <w:sz w:val="21"/>
          <w:szCs w:val="21"/>
        </w:rPr>
      </w:pPr>
      <w:r>
        <w:rPr>
          <w:rFonts w:ascii="Times New Roman" w:hAnsi="Times New Roman" w:cs="Times New Roman"/>
          <w:sz w:val="18"/>
          <w:szCs w:val="18"/>
        </w:rPr>
        <w:t>信用风险显著增加的评估及预期信用损失的计算均涉及前瞻性信息。本集团通过进行历史数据分析，识别出影响各业务类型信用风险及预期信用损失的关键经济指标。</w:t>
      </w:r>
    </w:p>
    <w:p w:rsidR="00CE3C32" w:rsidRDefault="006413B8">
      <w:pPr>
        <w:pStyle w:val="a6"/>
        <w:spacing w:beforeLines="50" w:before="156" w:beforeAutospacing="0" w:afterLines="50" w:after="156" w:afterAutospacing="0"/>
        <w:ind w:firstLineChars="200" w:firstLine="360"/>
        <w:jc w:val="both"/>
        <w:rPr>
          <w:rFonts w:ascii="Times New Roman" w:hAnsi="Times New Roman" w:cs="Times New Roman"/>
          <w:sz w:val="21"/>
          <w:szCs w:val="21"/>
        </w:rPr>
      </w:pPr>
      <w:r>
        <w:rPr>
          <w:rFonts w:ascii="Times New Roman" w:hAnsi="Times New Roman" w:cs="Times New Roman"/>
          <w:sz w:val="18"/>
          <w:szCs w:val="18"/>
        </w:rPr>
        <w:t>本集团因应收账款、其他应收款和合同资产产生的信用风险敞口、损失准备的量化数据，参见本节七、</w:t>
      </w:r>
      <w:r>
        <w:rPr>
          <w:rFonts w:ascii="Times New Roman" w:hAnsi="Times New Roman" w:cs="Times New Roman"/>
          <w:sz w:val="18"/>
          <w:szCs w:val="18"/>
        </w:rPr>
        <w:t>5</w:t>
      </w:r>
      <w:r>
        <w:rPr>
          <w:rFonts w:ascii="Times New Roman" w:hAnsi="Times New Roman" w:cs="Times New Roman"/>
          <w:sz w:val="18"/>
          <w:szCs w:val="18"/>
        </w:rPr>
        <w:t>、</w:t>
      </w:r>
      <w:r>
        <w:rPr>
          <w:rFonts w:ascii="Times New Roman" w:hAnsi="Times New Roman" w:cs="Times New Roman"/>
          <w:sz w:val="18"/>
          <w:szCs w:val="18"/>
        </w:rPr>
        <w:t>8</w:t>
      </w:r>
      <w:r>
        <w:rPr>
          <w:rFonts w:ascii="Times New Roman" w:hAnsi="Times New Roman" w:cs="Times New Roman"/>
          <w:sz w:val="18"/>
          <w:szCs w:val="18"/>
        </w:rPr>
        <w:t>、</w:t>
      </w:r>
      <w:r>
        <w:rPr>
          <w:rFonts w:ascii="Times New Roman" w:hAnsi="Times New Roman" w:cs="Times New Roman"/>
          <w:sz w:val="18"/>
          <w:szCs w:val="18"/>
        </w:rPr>
        <w:t>6</w:t>
      </w:r>
      <w:r>
        <w:rPr>
          <w:rFonts w:ascii="Times New Roman" w:hAnsi="Times New Roman" w:cs="Times New Roman"/>
          <w:sz w:val="18"/>
          <w:szCs w:val="18"/>
        </w:rPr>
        <w:t>的披露。</w:t>
      </w:r>
      <w:r>
        <w:rPr>
          <w:rFonts w:ascii="Times New Roman" w:hAnsi="Times New Roman" w:cs="Times New Roman"/>
          <w:sz w:val="18"/>
          <w:szCs w:val="18"/>
        </w:rPr>
        <w:t xml:space="preserve"> </w:t>
      </w:r>
    </w:p>
    <w:p w:rsidR="00CE3C32" w:rsidRDefault="006413B8" w:rsidP="000C21FB">
      <w:pPr>
        <w:pStyle w:val="a6"/>
        <w:spacing w:beforeLines="50" w:before="156" w:beforeAutospacing="0" w:afterLines="50" w:after="156" w:afterAutospacing="0"/>
        <w:ind w:firstLineChars="200" w:firstLine="361"/>
        <w:jc w:val="both"/>
        <w:rPr>
          <w:rFonts w:ascii="Times New Roman" w:hAnsi="Times New Roman" w:cs="Times New Roman"/>
          <w:sz w:val="21"/>
          <w:szCs w:val="21"/>
        </w:rPr>
      </w:pPr>
      <w:r>
        <w:rPr>
          <w:rStyle w:val="a7"/>
          <w:rFonts w:ascii="Times New Roman" w:hAnsi="Times New Roman" w:cs="Times New Roman"/>
          <w:sz w:val="18"/>
          <w:szCs w:val="18"/>
        </w:rPr>
        <w:t>（</w:t>
      </w:r>
      <w:r>
        <w:rPr>
          <w:rStyle w:val="a7"/>
          <w:rFonts w:ascii="Times New Roman" w:hAnsi="Times New Roman" w:cs="Times New Roman"/>
          <w:sz w:val="18"/>
          <w:szCs w:val="18"/>
        </w:rPr>
        <w:t>3</w:t>
      </w:r>
      <w:r>
        <w:rPr>
          <w:rStyle w:val="a7"/>
          <w:rFonts w:ascii="Times New Roman" w:hAnsi="Times New Roman" w:cs="Times New Roman"/>
          <w:sz w:val="18"/>
          <w:szCs w:val="18"/>
        </w:rPr>
        <w:t>）流动风险</w:t>
      </w:r>
    </w:p>
    <w:p w:rsidR="00CE3C32" w:rsidRDefault="006413B8">
      <w:pPr>
        <w:pStyle w:val="a6"/>
        <w:spacing w:beforeLines="50" w:before="156" w:beforeAutospacing="0" w:afterLines="50" w:after="156" w:afterAutospacing="0"/>
        <w:ind w:firstLineChars="200" w:firstLine="360"/>
        <w:jc w:val="both"/>
        <w:rPr>
          <w:rFonts w:ascii="Times New Roman" w:hAnsi="Times New Roman" w:cs="Times New Roman"/>
          <w:sz w:val="21"/>
          <w:szCs w:val="21"/>
        </w:rPr>
      </w:pPr>
      <w:r>
        <w:rPr>
          <w:rFonts w:ascii="Times New Roman" w:hAnsi="Times New Roman" w:cs="Times New Roman"/>
          <w:sz w:val="18"/>
          <w:szCs w:val="18"/>
        </w:rPr>
        <w:t>流动性风险，是指企业在履行以交付现金或其他金融资产的方式结算的义务时发生资金短缺的风险。本公司通过利用银行贷款及债务维持资金延续性与灵活性之间的平衡，以管理其流动性风险。本公司的目标是运用银行借款、债券和其他计息借款等多种融资手段以保持融资的持续性与灵活性的平衡。</w:t>
      </w:r>
    </w:p>
    <w:p w:rsidR="00CE3C32" w:rsidRDefault="006413B8">
      <w:pPr>
        <w:pStyle w:val="a6"/>
        <w:spacing w:beforeLines="50" w:before="156" w:beforeAutospacing="0" w:afterLines="50" w:after="156" w:afterAutospacing="0"/>
        <w:ind w:firstLineChars="200" w:firstLine="360"/>
        <w:jc w:val="both"/>
        <w:rPr>
          <w:rFonts w:ascii="Times New Roman" w:hAnsi="Times New Roman" w:cs="Times New Roman"/>
          <w:sz w:val="21"/>
          <w:szCs w:val="21"/>
        </w:rPr>
      </w:pPr>
      <w:r>
        <w:rPr>
          <w:rFonts w:ascii="Times New Roman" w:hAnsi="Times New Roman" w:cs="Times New Roman"/>
          <w:sz w:val="18"/>
          <w:szCs w:val="18"/>
        </w:rPr>
        <w:t>截至报告期末，本公司无对外承担其他保证责任的事项。</w:t>
      </w:r>
    </w:p>
    <w:p w:rsidR="00CE3C32" w:rsidRDefault="006413B8" w:rsidP="000C21FB">
      <w:pPr>
        <w:pStyle w:val="a6"/>
        <w:spacing w:beforeLines="50" w:before="156" w:beforeAutospacing="0" w:afterLines="50" w:after="156" w:afterAutospacing="0"/>
        <w:ind w:firstLineChars="200" w:firstLine="361"/>
        <w:jc w:val="both"/>
        <w:rPr>
          <w:rFonts w:ascii="Times New Roman" w:hAnsi="Times New Roman" w:cs="Times New Roman"/>
          <w:sz w:val="21"/>
          <w:szCs w:val="21"/>
        </w:rPr>
      </w:pPr>
      <w:r>
        <w:rPr>
          <w:rStyle w:val="a7"/>
          <w:rFonts w:ascii="Times New Roman" w:hAnsi="Times New Roman" w:cs="Times New Roman"/>
          <w:sz w:val="18"/>
          <w:szCs w:val="18"/>
        </w:rPr>
        <w:lastRenderedPageBreak/>
        <w:t>（</w:t>
      </w:r>
      <w:r>
        <w:rPr>
          <w:rStyle w:val="a7"/>
          <w:rFonts w:ascii="Times New Roman" w:hAnsi="Times New Roman" w:cs="Times New Roman"/>
          <w:sz w:val="18"/>
          <w:szCs w:val="18"/>
        </w:rPr>
        <w:t>4</w:t>
      </w:r>
      <w:r>
        <w:rPr>
          <w:rStyle w:val="a7"/>
          <w:rFonts w:ascii="Times New Roman" w:hAnsi="Times New Roman" w:cs="Times New Roman"/>
          <w:sz w:val="18"/>
          <w:szCs w:val="18"/>
        </w:rPr>
        <w:t>）市场风险</w:t>
      </w:r>
    </w:p>
    <w:p w:rsidR="00CE3C32" w:rsidRDefault="006413B8">
      <w:pPr>
        <w:pStyle w:val="a6"/>
        <w:spacing w:beforeLines="50" w:before="156" w:beforeAutospacing="0" w:afterLines="50" w:after="156" w:afterAutospacing="0"/>
        <w:ind w:firstLineChars="200" w:firstLine="360"/>
        <w:jc w:val="both"/>
        <w:rPr>
          <w:rFonts w:ascii="Times New Roman" w:hAnsi="Times New Roman" w:cs="Times New Roman"/>
          <w:sz w:val="21"/>
          <w:szCs w:val="21"/>
        </w:rPr>
      </w:pPr>
      <w:r>
        <w:rPr>
          <w:rFonts w:ascii="Times New Roman" w:hAnsi="Times New Roman" w:cs="Times New Roman"/>
          <w:sz w:val="18"/>
          <w:szCs w:val="18"/>
        </w:rPr>
        <w:t>市场风险，是指金融工具的公允价值或未来现金流量因市场价格变动而发生波动的风险，包括汇率风险、利率风险和其他价格风险。</w:t>
      </w:r>
    </w:p>
    <w:p w:rsidR="00CE3C32" w:rsidRDefault="006413B8">
      <w:pPr>
        <w:pStyle w:val="a6"/>
        <w:spacing w:beforeLines="50" w:before="156" w:beforeAutospacing="0" w:afterLines="50" w:after="156" w:afterAutospacing="0"/>
        <w:ind w:firstLineChars="200" w:firstLine="360"/>
        <w:jc w:val="both"/>
        <w:rPr>
          <w:rFonts w:ascii="Times New Roman" w:hAnsi="Times New Roman" w:cs="Times New Roman"/>
          <w:sz w:val="21"/>
          <w:szCs w:val="21"/>
        </w:rPr>
      </w:pPr>
      <w:r>
        <w:rPr>
          <w:rFonts w:ascii="Times New Roman" w:hAnsi="Times New Roman" w:cs="Times New Roman"/>
          <w:sz w:val="18"/>
          <w:szCs w:val="18"/>
        </w:rPr>
        <w:t>A</w:t>
      </w:r>
      <w:r>
        <w:rPr>
          <w:rFonts w:ascii="Times New Roman" w:hAnsi="Times New Roman" w:cs="Times New Roman"/>
          <w:sz w:val="18"/>
          <w:szCs w:val="18"/>
        </w:rPr>
        <w:t>、汇率风险</w:t>
      </w:r>
    </w:p>
    <w:p w:rsidR="00CE3C32" w:rsidRDefault="006413B8">
      <w:pPr>
        <w:pStyle w:val="a6"/>
        <w:spacing w:beforeLines="50" w:before="156" w:beforeAutospacing="0" w:afterLines="50" w:after="156" w:afterAutospacing="0"/>
        <w:ind w:firstLineChars="200" w:firstLine="360"/>
        <w:jc w:val="both"/>
        <w:rPr>
          <w:rFonts w:ascii="Times New Roman" w:hAnsi="Times New Roman" w:cs="Times New Roman"/>
          <w:sz w:val="21"/>
          <w:szCs w:val="21"/>
        </w:rPr>
      </w:pPr>
      <w:r>
        <w:rPr>
          <w:rFonts w:ascii="Times New Roman" w:hAnsi="Times New Roman" w:cs="Times New Roman"/>
          <w:sz w:val="18"/>
          <w:szCs w:val="18"/>
        </w:rPr>
        <w:t>汇率风险，是指金融工具的公允价值或未来现金流量因外汇汇率变动而发生波动的风险。</w:t>
      </w:r>
    </w:p>
    <w:p w:rsidR="00CE3C32" w:rsidRDefault="006413B8">
      <w:pPr>
        <w:pStyle w:val="a6"/>
        <w:spacing w:beforeLines="50" w:before="156" w:beforeAutospacing="0" w:afterLines="50" w:after="156" w:afterAutospacing="0"/>
        <w:ind w:firstLineChars="200" w:firstLine="360"/>
        <w:jc w:val="both"/>
        <w:rPr>
          <w:rFonts w:ascii="Times New Roman" w:hAnsi="Times New Roman" w:cs="Times New Roman"/>
          <w:sz w:val="21"/>
          <w:szCs w:val="21"/>
        </w:rPr>
      </w:pPr>
      <w:r>
        <w:rPr>
          <w:rFonts w:ascii="Times New Roman" w:hAnsi="Times New Roman" w:cs="Times New Roman"/>
          <w:sz w:val="18"/>
          <w:szCs w:val="18"/>
        </w:rPr>
        <w:t>B</w:t>
      </w:r>
      <w:r>
        <w:rPr>
          <w:rFonts w:ascii="Times New Roman" w:hAnsi="Times New Roman" w:cs="Times New Roman"/>
          <w:sz w:val="18"/>
          <w:szCs w:val="18"/>
        </w:rPr>
        <w:t>、利率风险</w:t>
      </w:r>
    </w:p>
    <w:p w:rsidR="00CE3C32" w:rsidRDefault="006413B8">
      <w:pPr>
        <w:pStyle w:val="a6"/>
        <w:spacing w:beforeLines="50" w:before="156" w:beforeAutospacing="0" w:afterLines="50" w:after="156" w:afterAutospacing="0"/>
        <w:ind w:firstLineChars="200" w:firstLine="360"/>
        <w:jc w:val="both"/>
        <w:rPr>
          <w:rFonts w:ascii="Times New Roman" w:hAnsi="Times New Roman" w:cs="Times New Roman"/>
          <w:sz w:val="21"/>
          <w:szCs w:val="21"/>
        </w:rPr>
      </w:pPr>
      <w:r>
        <w:rPr>
          <w:rFonts w:ascii="Times New Roman" w:hAnsi="Times New Roman" w:cs="Times New Roman"/>
          <w:sz w:val="18"/>
          <w:szCs w:val="18"/>
        </w:rPr>
        <w:t>利率风险，是指金融工具的公允价值或未来现金流量因市场利率变动而发生波动的风险。</w:t>
      </w:r>
    </w:p>
    <w:p w:rsidR="00CE3C32" w:rsidRDefault="006413B8">
      <w:pPr>
        <w:pStyle w:val="a6"/>
        <w:spacing w:beforeLines="50" w:before="156" w:beforeAutospacing="0" w:afterLines="50" w:after="156" w:afterAutospacing="0"/>
        <w:ind w:firstLineChars="200" w:firstLine="360"/>
        <w:jc w:val="both"/>
        <w:rPr>
          <w:rFonts w:ascii="Times New Roman" w:hAnsi="Times New Roman" w:cs="Times New Roman"/>
          <w:sz w:val="21"/>
          <w:szCs w:val="21"/>
        </w:rPr>
      </w:pPr>
      <w:r>
        <w:rPr>
          <w:rFonts w:ascii="Times New Roman" w:hAnsi="Times New Roman" w:cs="Times New Roman"/>
          <w:sz w:val="18"/>
          <w:szCs w:val="18"/>
        </w:rPr>
        <w:t>本公司的利率风险产生于银行借款及应付债券等带息债务。浮动利率的金融负债使本公司面临现金流量利率风险，固定利率的金融负债使本公司面临公允价值利率风险。本公司根据当时的市场环境来决定固定利率及浮动利率合同的相对比例。</w:t>
      </w:r>
    </w:p>
    <w:p w:rsidR="00CE3C32" w:rsidRDefault="006413B8">
      <w:pPr>
        <w:pStyle w:val="a6"/>
        <w:spacing w:beforeLines="50" w:before="156" w:beforeAutospacing="0" w:afterLines="50" w:after="156" w:afterAutospacing="0"/>
        <w:ind w:firstLineChars="200" w:firstLine="360"/>
        <w:jc w:val="both"/>
        <w:rPr>
          <w:rFonts w:ascii="Times New Roman" w:hAnsi="Times New Roman" w:cs="Times New Roman"/>
          <w:sz w:val="21"/>
          <w:szCs w:val="21"/>
        </w:rPr>
      </w:pPr>
      <w:r>
        <w:rPr>
          <w:rFonts w:ascii="Times New Roman" w:hAnsi="Times New Roman" w:cs="Times New Roman"/>
          <w:sz w:val="18"/>
          <w:szCs w:val="18"/>
        </w:rPr>
        <w:t>C</w:t>
      </w:r>
      <w:r>
        <w:rPr>
          <w:rFonts w:ascii="Times New Roman" w:hAnsi="Times New Roman" w:cs="Times New Roman"/>
          <w:sz w:val="18"/>
          <w:szCs w:val="18"/>
        </w:rPr>
        <w:t>、其他价格风险</w:t>
      </w:r>
    </w:p>
    <w:p w:rsidR="00CE3C32" w:rsidRDefault="006413B8">
      <w:pPr>
        <w:pStyle w:val="a6"/>
        <w:spacing w:beforeLines="50" w:before="156" w:beforeAutospacing="0" w:afterLines="50" w:after="156" w:afterAutospacing="0"/>
        <w:ind w:firstLineChars="200" w:firstLine="360"/>
        <w:jc w:val="both"/>
        <w:rPr>
          <w:rFonts w:ascii="Times New Roman" w:hAnsi="Times New Roman" w:cs="Times New Roman"/>
          <w:sz w:val="21"/>
          <w:szCs w:val="21"/>
        </w:rPr>
      </w:pPr>
      <w:r>
        <w:rPr>
          <w:rFonts w:ascii="Times New Roman" w:hAnsi="Times New Roman" w:cs="Times New Roman"/>
          <w:sz w:val="18"/>
          <w:szCs w:val="18"/>
        </w:rPr>
        <w:t>其他价格风险，是指汇率风险和利率风险以外的市场价格变动而发生波动的风险，无论这些变动是由于与单项金融工具或其发行方有关的因素而引起的，还是由于与市场内交易的所有类似金融工具有关的因素而引起的。</w:t>
      </w:r>
      <w:r>
        <w:rPr>
          <w:rFonts w:ascii="Times New Roman" w:hAnsi="Times New Roman" w:cs="Times New Roman"/>
          <w:sz w:val="18"/>
          <w:szCs w:val="18"/>
        </w:rPr>
        <w:t xml:space="preserve"> </w:t>
      </w:r>
    </w:p>
    <w:p w:rsidR="00CE3C32" w:rsidRDefault="006413B8">
      <w:pPr>
        <w:pStyle w:val="3"/>
        <w:spacing w:line="280" w:lineRule="exact"/>
        <w:jc w:val="left"/>
        <w:rPr>
          <w:rFonts w:ascii="Times New Roman" w:hAnsi="Times New Roman" w:cs="Times New Roman"/>
          <w:b/>
          <w:bCs/>
        </w:rPr>
      </w:pPr>
      <w:bookmarkStart w:id="444" w:name="_Toc989329"/>
      <w:r>
        <w:rPr>
          <w:rFonts w:ascii="Times New Roman" w:hAnsi="Times New Roman" w:cs="Times New Roman"/>
          <w:b/>
          <w:bCs/>
        </w:rPr>
        <w:t>2</w:t>
      </w:r>
      <w:r>
        <w:rPr>
          <w:rFonts w:ascii="Times New Roman" w:hAnsi="Times New Roman" w:cs="Times New Roman"/>
          <w:b/>
          <w:bCs/>
        </w:rPr>
        <w:t>、套期</w:t>
      </w:r>
      <w:bookmarkEnd w:id="444"/>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445" w:name="_Toc989330"/>
      <w:r>
        <w:rPr>
          <w:rFonts w:ascii="Times New Roman" w:eastAsia="宋体" w:hAnsi="Times New Roman" w:cs="Times New Roman"/>
          <w:b/>
          <w:bCs/>
          <w:sz w:val="18"/>
          <w:szCs w:val="18"/>
        </w:rPr>
        <w:t>（</w:t>
      </w:r>
      <w:r>
        <w:rPr>
          <w:rFonts w:ascii="Times New Roman" w:eastAsia="宋体" w:hAnsi="Times New Roman" w:cs="Times New Roman"/>
          <w:b/>
          <w:bCs/>
          <w:sz w:val="18"/>
          <w:szCs w:val="18"/>
        </w:rPr>
        <w:t>1</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公司开展套期业务进行风险管理</w:t>
      </w:r>
      <w:bookmarkEnd w:id="445"/>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446" w:name="_Toc989331"/>
      <w:r>
        <w:rPr>
          <w:rFonts w:ascii="Times New Roman" w:eastAsia="宋体" w:hAnsi="Times New Roman" w:cs="Times New Roman"/>
          <w:b/>
          <w:bCs/>
          <w:sz w:val="18"/>
          <w:szCs w:val="18"/>
        </w:rPr>
        <w:t>（</w:t>
      </w:r>
      <w:r>
        <w:rPr>
          <w:rFonts w:ascii="Times New Roman" w:eastAsia="宋体" w:hAnsi="Times New Roman" w:cs="Times New Roman"/>
          <w:b/>
          <w:bCs/>
          <w:sz w:val="18"/>
          <w:szCs w:val="18"/>
        </w:rPr>
        <w:t>2</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公司开展符合条件套期业务并应用套期会计</w:t>
      </w:r>
      <w:bookmarkEnd w:id="446"/>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与被套期项目以及套期工具相关账面价值</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已确认的被套期项目账面价值中所包含的被套期项目累计公允价值套期调整</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套期有效性和套期无效部分来源</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套期会计对公司的财务报表相关影响</w:t>
            </w:r>
          </w:p>
        </w:tc>
      </w:tr>
      <w:tr w:rsidR="00CE3C32">
        <w:trPr>
          <w:trHeight w:val="240"/>
        </w:trPr>
        <w:tc>
          <w:tcPr>
            <w:tcW w:w="9639"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套期风险类型</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9639"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套期类别</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447" w:name="_Toc989332"/>
      <w:r>
        <w:rPr>
          <w:rFonts w:ascii="Times New Roman" w:eastAsia="宋体" w:hAnsi="Times New Roman" w:cs="Times New Roman"/>
          <w:b/>
          <w:bCs/>
          <w:sz w:val="18"/>
          <w:szCs w:val="18"/>
        </w:rPr>
        <w:t>（</w:t>
      </w:r>
      <w:r>
        <w:rPr>
          <w:rFonts w:ascii="Times New Roman" w:eastAsia="宋体" w:hAnsi="Times New Roman" w:cs="Times New Roman"/>
          <w:b/>
          <w:bCs/>
          <w:sz w:val="18"/>
          <w:szCs w:val="18"/>
        </w:rPr>
        <w:t>3</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公司开展套期业务进行风险管理、预期能实现风险管理目标但未应用套期会计</w:t>
      </w:r>
      <w:bookmarkEnd w:id="447"/>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448" w:name="_Toc989333"/>
      <w:r>
        <w:rPr>
          <w:rFonts w:ascii="Times New Roman" w:hAnsi="Times New Roman" w:cs="Times New Roman"/>
          <w:b/>
          <w:bCs/>
        </w:rPr>
        <w:t>3</w:t>
      </w:r>
      <w:r>
        <w:rPr>
          <w:rFonts w:ascii="Times New Roman" w:hAnsi="Times New Roman" w:cs="Times New Roman"/>
          <w:b/>
          <w:bCs/>
        </w:rPr>
        <w:t>、金融资产</w:t>
      </w:r>
      <w:bookmarkEnd w:id="448"/>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49" w:name="_Toc989334"/>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转移方式分类</w:t>
      </w:r>
      <w:bookmarkEnd w:id="449"/>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50" w:name="_Toc989335"/>
      <w:r>
        <w:rPr>
          <w:rFonts w:ascii="Times New Roman" w:eastAsia="宋体" w:hAnsi="Times New Roman" w:cs="Times New Roman"/>
          <w:b/>
          <w:bCs/>
          <w:szCs w:val="21"/>
        </w:rPr>
        <w:lastRenderedPageBreak/>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因转移而终止确认的金融资产</w:t>
      </w:r>
      <w:bookmarkEnd w:id="450"/>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51" w:name="_Toc989336"/>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继续涉入的资产转移金融资产</w:t>
      </w:r>
      <w:bookmarkEnd w:id="451"/>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r>
        <w:rPr>
          <w:rFonts w:ascii="Times New Roman" w:hAnsi="Times New Roman" w:cs="Times New Roman"/>
          <w:sz w:val="18"/>
          <w:szCs w:val="18"/>
        </w:rPr>
        <w:t>不适用。</w:t>
      </w:r>
    </w:p>
    <w:p w:rsidR="00CE3C32" w:rsidRDefault="006413B8">
      <w:pPr>
        <w:pStyle w:val="2"/>
        <w:spacing w:before="300" w:after="300" w:line="320" w:lineRule="exact"/>
        <w:rPr>
          <w:rFonts w:ascii="Times New Roman" w:eastAsia="宋体" w:hAnsi="Times New Roman" w:cs="Times New Roman"/>
          <w:b/>
          <w:bCs/>
          <w:sz w:val="24"/>
          <w:szCs w:val="24"/>
        </w:rPr>
      </w:pPr>
      <w:bookmarkStart w:id="452" w:name="_Toc989337"/>
      <w:r>
        <w:rPr>
          <w:rFonts w:ascii="Times New Roman" w:eastAsia="宋体" w:hAnsi="Times New Roman" w:cs="Times New Roman"/>
          <w:b/>
          <w:bCs/>
          <w:sz w:val="24"/>
          <w:szCs w:val="24"/>
        </w:rPr>
        <w:t>十三、公允价值的披露</w:t>
      </w:r>
      <w:bookmarkEnd w:id="452"/>
    </w:p>
    <w:p w:rsidR="00CE3C32" w:rsidRDefault="006413B8">
      <w:pPr>
        <w:pStyle w:val="3"/>
        <w:spacing w:line="280" w:lineRule="exact"/>
        <w:jc w:val="left"/>
        <w:rPr>
          <w:rFonts w:ascii="Times New Roman" w:hAnsi="Times New Roman" w:cs="Times New Roman"/>
          <w:b/>
          <w:bCs/>
        </w:rPr>
      </w:pPr>
      <w:bookmarkStart w:id="453" w:name="_Toc989338"/>
      <w:r>
        <w:rPr>
          <w:rFonts w:ascii="Times New Roman" w:hAnsi="Times New Roman" w:cs="Times New Roman"/>
          <w:b/>
          <w:bCs/>
        </w:rPr>
        <w:t>1</w:t>
      </w:r>
      <w:r>
        <w:rPr>
          <w:rFonts w:ascii="Times New Roman" w:hAnsi="Times New Roman" w:cs="Times New Roman"/>
          <w:b/>
          <w:bCs/>
        </w:rPr>
        <w:t>、以公允价值计量的资产和负债的期末公允价值</w:t>
      </w:r>
      <w:bookmarkEnd w:id="453"/>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7711"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期末公允价值</w:t>
            </w:r>
          </w:p>
        </w:tc>
      </w:tr>
      <w:tr w:rsidR="00CE3C32">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第一层次公允价值计量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第二层次公允价值计量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第三层次公允价值计量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合计</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一、持续的公允价值计量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二、非持续的公允价值计量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非持续以公允价值计量的资产总额</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4,083,400.00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4,083,400.00</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w:t>
            </w:r>
            <w:r>
              <w:rPr>
                <w:rFonts w:ascii="Times New Roman" w:eastAsia="宋体" w:hAnsi="Times New Roman" w:cs="Times New Roman"/>
                <w:sz w:val="18"/>
                <w:szCs w:val="18"/>
              </w:rPr>
              <w:t>1</w:t>
            </w:r>
            <w:r>
              <w:rPr>
                <w:rFonts w:ascii="Times New Roman" w:eastAsia="宋体" w:hAnsi="Times New Roman" w:cs="Times New Roman"/>
                <w:sz w:val="18"/>
                <w:szCs w:val="18"/>
              </w:rPr>
              <w:t>）其他权益工具投资</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4,083,400.00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4,083,400.00</w:t>
            </w:r>
          </w:p>
        </w:tc>
      </w:tr>
    </w:tbl>
    <w:p w:rsidR="00CE3C32" w:rsidRDefault="006413B8">
      <w:pPr>
        <w:pStyle w:val="3"/>
        <w:spacing w:line="280" w:lineRule="exact"/>
        <w:jc w:val="left"/>
        <w:rPr>
          <w:rFonts w:ascii="Times New Roman" w:hAnsi="Times New Roman" w:cs="Times New Roman"/>
          <w:b/>
          <w:bCs/>
        </w:rPr>
      </w:pPr>
      <w:bookmarkStart w:id="454" w:name="_Toc989339"/>
      <w:r>
        <w:rPr>
          <w:rFonts w:ascii="Times New Roman" w:hAnsi="Times New Roman" w:cs="Times New Roman"/>
          <w:b/>
          <w:bCs/>
        </w:rPr>
        <w:t>2</w:t>
      </w:r>
      <w:r>
        <w:rPr>
          <w:rFonts w:ascii="Times New Roman" w:hAnsi="Times New Roman" w:cs="Times New Roman"/>
          <w:b/>
          <w:bCs/>
        </w:rPr>
        <w:t>、持续和非持续第一层次公允价值计量项目市价的确定依据</w:t>
      </w:r>
      <w:bookmarkEnd w:id="454"/>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455" w:name="_Toc989340"/>
      <w:r>
        <w:rPr>
          <w:rFonts w:ascii="Times New Roman" w:hAnsi="Times New Roman" w:cs="Times New Roman"/>
          <w:b/>
          <w:bCs/>
        </w:rPr>
        <w:t>3</w:t>
      </w:r>
      <w:r>
        <w:rPr>
          <w:rFonts w:ascii="Times New Roman" w:hAnsi="Times New Roman" w:cs="Times New Roman"/>
          <w:b/>
          <w:bCs/>
        </w:rPr>
        <w:t>、持续和非持续第二层次公允价值计量项目，采用的估值技术和重要参数的定性及定量信息</w:t>
      </w:r>
      <w:bookmarkEnd w:id="455"/>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456" w:name="_Toc989341"/>
      <w:r>
        <w:rPr>
          <w:rFonts w:ascii="Times New Roman" w:hAnsi="Times New Roman" w:cs="Times New Roman"/>
          <w:b/>
          <w:bCs/>
        </w:rPr>
        <w:t>4</w:t>
      </w:r>
      <w:r>
        <w:rPr>
          <w:rFonts w:ascii="Times New Roman" w:hAnsi="Times New Roman" w:cs="Times New Roman"/>
          <w:b/>
          <w:bCs/>
        </w:rPr>
        <w:t>、持续和非持续第三层次公允价值计量项目，采用的估值技术和重要参数的定性及定量信息</w:t>
      </w:r>
      <w:bookmarkEnd w:id="456"/>
    </w:p>
    <w:p w:rsidR="00CE3C32" w:rsidRDefault="006413B8">
      <w:pPr>
        <w:pStyle w:val="a6"/>
        <w:rPr>
          <w:rFonts w:ascii="Times New Roman" w:hAnsi="Times New Roman" w:cs="Times New Roman"/>
          <w:b/>
          <w:sz w:val="18"/>
          <w:szCs w:val="18"/>
        </w:rPr>
      </w:pPr>
      <w:r>
        <w:rPr>
          <w:rFonts w:ascii="Times New Roman" w:hAnsi="Times New Roman" w:cs="Times New Roman"/>
          <w:b/>
          <w:sz w:val="18"/>
          <w:szCs w:val="18"/>
        </w:rPr>
        <w:t>4.1</w:t>
      </w:r>
      <w:r>
        <w:rPr>
          <w:rFonts w:ascii="Times New Roman" w:hAnsi="Times New Roman" w:cs="Times New Roman" w:hint="eastAsia"/>
          <w:b/>
          <w:sz w:val="18"/>
          <w:szCs w:val="18"/>
        </w:rPr>
        <w:t xml:space="preserve"> </w:t>
      </w:r>
      <w:r>
        <w:rPr>
          <w:rFonts w:ascii="Times New Roman" w:hAnsi="Times New Roman" w:cs="Times New Roman"/>
          <w:b/>
          <w:sz w:val="18"/>
          <w:szCs w:val="18"/>
        </w:rPr>
        <w:t>估值技术和输入值</w:t>
      </w:r>
    </w:p>
    <w:tbl>
      <w:tblPr>
        <w:tblW w:w="5000" w:type="pct"/>
        <w:tblCellMar>
          <w:left w:w="0" w:type="dxa"/>
          <w:right w:w="0" w:type="dxa"/>
        </w:tblCellMar>
        <w:tblLook w:val="04A0" w:firstRow="1" w:lastRow="0" w:firstColumn="1" w:lastColumn="0" w:noHBand="0" w:noVBand="1"/>
      </w:tblPr>
      <w:tblGrid>
        <w:gridCol w:w="4521"/>
        <w:gridCol w:w="1594"/>
        <w:gridCol w:w="743"/>
        <w:gridCol w:w="1312"/>
        <w:gridCol w:w="1683"/>
      </w:tblGrid>
      <w:tr w:rsidR="00CE3C32">
        <w:trPr>
          <w:cantSplit/>
          <w:trHeight w:val="283"/>
          <w:tblHeader/>
        </w:trPr>
        <w:tc>
          <w:tcPr>
            <w:tcW w:w="2294" w:type="pct"/>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CE3C32" w:rsidRDefault="006413B8">
            <w:pPr>
              <w:pStyle w:val="a6"/>
              <w:spacing w:before="72" w:beforeAutospacing="0" w:after="72" w:afterAutospacing="0" w:line="240" w:lineRule="atLeast"/>
              <w:ind w:firstLine="361"/>
              <w:jc w:val="center"/>
              <w:rPr>
                <w:rFonts w:ascii="Times New Roman" w:hAnsi="Times New Roman" w:cs="Times New Roman"/>
                <w:sz w:val="21"/>
                <w:szCs w:val="21"/>
              </w:rPr>
            </w:pPr>
            <w:r>
              <w:rPr>
                <w:rStyle w:val="a7"/>
                <w:rFonts w:ascii="Times New Roman" w:hAnsi="Times New Roman" w:cs="Times New Roman"/>
                <w:b w:val="0"/>
                <w:sz w:val="18"/>
                <w:szCs w:val="18"/>
              </w:rPr>
              <w:t>项目</w:t>
            </w:r>
          </w:p>
        </w:tc>
        <w:tc>
          <w:tcPr>
            <w:tcW w:w="809"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CE3C32" w:rsidRDefault="006413B8">
            <w:pPr>
              <w:pStyle w:val="a6"/>
              <w:spacing w:before="72" w:beforeAutospacing="0" w:after="72" w:afterAutospacing="0" w:line="240" w:lineRule="atLeast"/>
              <w:jc w:val="center"/>
              <w:rPr>
                <w:rFonts w:ascii="Times New Roman" w:hAnsi="Times New Roman" w:cs="Times New Roman"/>
                <w:sz w:val="21"/>
                <w:szCs w:val="21"/>
              </w:rPr>
            </w:pPr>
            <w:r>
              <w:rPr>
                <w:rStyle w:val="a7"/>
                <w:rFonts w:ascii="Times New Roman" w:hAnsi="Times New Roman" w:cs="Times New Roman"/>
                <w:b w:val="0"/>
                <w:sz w:val="18"/>
                <w:szCs w:val="18"/>
              </w:rPr>
              <w:t>期末公允价值（元）</w:t>
            </w:r>
          </w:p>
        </w:tc>
        <w:tc>
          <w:tcPr>
            <w:tcW w:w="377"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CE3C32" w:rsidRDefault="006413B8">
            <w:pPr>
              <w:pStyle w:val="a6"/>
              <w:spacing w:before="72" w:beforeAutospacing="0" w:after="72" w:afterAutospacing="0" w:line="240" w:lineRule="atLeast"/>
              <w:jc w:val="center"/>
              <w:rPr>
                <w:rFonts w:ascii="Times New Roman" w:hAnsi="Times New Roman" w:cs="Times New Roman"/>
                <w:sz w:val="21"/>
                <w:szCs w:val="21"/>
              </w:rPr>
            </w:pPr>
            <w:r>
              <w:rPr>
                <w:rStyle w:val="a7"/>
                <w:rFonts w:ascii="Times New Roman" w:hAnsi="Times New Roman" w:cs="Times New Roman"/>
                <w:b w:val="0"/>
                <w:sz w:val="18"/>
                <w:szCs w:val="18"/>
              </w:rPr>
              <w:t>估值技术</w:t>
            </w:r>
          </w:p>
        </w:tc>
        <w:tc>
          <w:tcPr>
            <w:tcW w:w="666"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CE3C32" w:rsidRDefault="006413B8">
            <w:pPr>
              <w:pStyle w:val="a6"/>
              <w:spacing w:before="72" w:beforeAutospacing="0" w:after="72" w:afterAutospacing="0" w:line="240" w:lineRule="atLeast"/>
              <w:jc w:val="both"/>
              <w:rPr>
                <w:rFonts w:ascii="Times New Roman" w:hAnsi="Times New Roman" w:cs="Times New Roman"/>
                <w:sz w:val="21"/>
                <w:szCs w:val="21"/>
              </w:rPr>
            </w:pPr>
            <w:r>
              <w:rPr>
                <w:rStyle w:val="a7"/>
                <w:rFonts w:ascii="Times New Roman" w:hAnsi="Times New Roman" w:cs="Times New Roman"/>
                <w:b w:val="0"/>
                <w:sz w:val="18"/>
                <w:szCs w:val="18"/>
              </w:rPr>
              <w:t>重要可观察输入值</w:t>
            </w:r>
          </w:p>
        </w:tc>
        <w:tc>
          <w:tcPr>
            <w:tcW w:w="854"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CE3C32" w:rsidRDefault="006413B8">
            <w:pPr>
              <w:pStyle w:val="a6"/>
              <w:spacing w:before="72" w:beforeAutospacing="0" w:after="72" w:afterAutospacing="0" w:line="240" w:lineRule="atLeast"/>
              <w:jc w:val="both"/>
              <w:rPr>
                <w:rFonts w:ascii="Times New Roman" w:hAnsi="Times New Roman" w:cs="Times New Roman"/>
                <w:sz w:val="21"/>
                <w:szCs w:val="21"/>
              </w:rPr>
            </w:pPr>
            <w:r>
              <w:rPr>
                <w:rStyle w:val="a7"/>
                <w:rFonts w:ascii="Times New Roman" w:hAnsi="Times New Roman" w:cs="Times New Roman"/>
                <w:b w:val="0"/>
                <w:sz w:val="18"/>
                <w:szCs w:val="18"/>
              </w:rPr>
              <w:t>范围区间（加权平均值）</w:t>
            </w:r>
          </w:p>
        </w:tc>
      </w:tr>
      <w:tr w:rsidR="00CE3C32">
        <w:trPr>
          <w:cantSplit/>
          <w:trHeight w:val="850"/>
        </w:trPr>
        <w:tc>
          <w:tcPr>
            <w:tcW w:w="229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line="240" w:lineRule="atLeast"/>
              <w:jc w:val="both"/>
              <w:rPr>
                <w:rFonts w:ascii="Times New Roman" w:hAnsi="Times New Roman" w:cs="Times New Roman"/>
                <w:sz w:val="21"/>
                <w:szCs w:val="21"/>
              </w:rPr>
            </w:pPr>
            <w:r>
              <w:rPr>
                <w:rFonts w:ascii="Times New Roman" w:hAnsi="Times New Roman" w:cs="Times New Roman"/>
                <w:sz w:val="18"/>
                <w:szCs w:val="18"/>
              </w:rPr>
              <w:t>指定为以公允价值计量且其变动计入其他综合收益的金融资产</w:t>
            </w:r>
            <w:r>
              <w:rPr>
                <w:rFonts w:ascii="Times New Roman" w:hAnsi="Times New Roman" w:cs="Times New Roman"/>
                <w:sz w:val="18"/>
                <w:szCs w:val="18"/>
              </w:rPr>
              <w:t>——</w:t>
            </w:r>
            <w:r>
              <w:rPr>
                <w:rFonts w:ascii="Times New Roman" w:hAnsi="Times New Roman" w:cs="Times New Roman"/>
                <w:sz w:val="18"/>
                <w:szCs w:val="18"/>
              </w:rPr>
              <w:t>其他权益工具投资</w:t>
            </w:r>
          </w:p>
        </w:tc>
        <w:tc>
          <w:tcPr>
            <w:tcW w:w="809"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line="240" w:lineRule="atLeast"/>
              <w:jc w:val="center"/>
              <w:rPr>
                <w:rFonts w:ascii="Times New Roman" w:hAnsi="Times New Roman" w:cs="Times New Roman"/>
                <w:sz w:val="21"/>
                <w:szCs w:val="21"/>
              </w:rPr>
            </w:pPr>
            <w:r>
              <w:rPr>
                <w:rFonts w:ascii="Times New Roman" w:hAnsi="Times New Roman" w:cs="Times New Roman"/>
                <w:sz w:val="18"/>
                <w:szCs w:val="18"/>
              </w:rPr>
              <w:t>4,083,400.00</w:t>
            </w:r>
          </w:p>
        </w:tc>
        <w:tc>
          <w:tcPr>
            <w:tcW w:w="377"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jc w:val="center"/>
              <w:textAlignment w:val="center"/>
              <w:rPr>
                <w:rFonts w:ascii="Times New Roman" w:hAnsi="Times New Roman" w:cs="Times New Roman"/>
                <w:sz w:val="21"/>
                <w:szCs w:val="21"/>
              </w:rPr>
            </w:pPr>
            <w:r>
              <w:rPr>
                <w:rFonts w:ascii="Times New Roman" w:hAnsi="Times New Roman" w:cs="Times New Roman"/>
                <w:sz w:val="18"/>
                <w:szCs w:val="18"/>
              </w:rPr>
              <w:t>收益法</w:t>
            </w:r>
          </w:p>
        </w:tc>
        <w:tc>
          <w:tcPr>
            <w:tcW w:w="666"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jc w:val="center"/>
              <w:textAlignment w:val="center"/>
              <w:rPr>
                <w:rFonts w:ascii="Times New Roman" w:hAnsi="Times New Roman" w:cs="Times New Roman"/>
                <w:sz w:val="21"/>
                <w:szCs w:val="21"/>
              </w:rPr>
            </w:pPr>
            <w:r>
              <w:rPr>
                <w:rFonts w:ascii="Times New Roman" w:hAnsi="Times New Roman" w:cs="Times New Roman"/>
                <w:sz w:val="18"/>
                <w:szCs w:val="18"/>
              </w:rPr>
              <w:t>预计未来年度现金流</w:t>
            </w:r>
          </w:p>
        </w:tc>
        <w:tc>
          <w:tcPr>
            <w:tcW w:w="854" w:type="pct"/>
            <w:tcBorders>
              <w:top w:val="nil"/>
              <w:left w:val="nil"/>
              <w:bottom w:val="single" w:sz="8" w:space="0" w:color="auto"/>
              <w:right w:val="single" w:sz="8" w:space="0" w:color="auto"/>
            </w:tcBorders>
            <w:tcMar>
              <w:top w:w="0" w:type="dxa"/>
              <w:left w:w="108" w:type="dxa"/>
              <w:bottom w:w="0" w:type="dxa"/>
              <w:right w:w="108" w:type="dxa"/>
            </w:tcMar>
            <w:vAlign w:val="center"/>
          </w:tcPr>
          <w:p w:rsidR="00CE3C32" w:rsidRDefault="006413B8">
            <w:pPr>
              <w:pStyle w:val="a6"/>
              <w:spacing w:before="0" w:beforeAutospacing="0" w:after="0" w:afterAutospacing="0"/>
              <w:jc w:val="center"/>
              <w:textAlignment w:val="center"/>
              <w:rPr>
                <w:rFonts w:ascii="Times New Roman" w:hAnsi="Times New Roman" w:cs="Times New Roman"/>
                <w:sz w:val="21"/>
                <w:szCs w:val="21"/>
              </w:rPr>
            </w:pPr>
            <w:r>
              <w:rPr>
                <w:rFonts w:ascii="Times New Roman" w:hAnsi="Times New Roman" w:cs="Times New Roman"/>
                <w:sz w:val="18"/>
                <w:szCs w:val="18"/>
              </w:rPr>
              <w:t>税前折现率</w:t>
            </w:r>
            <w:r>
              <w:rPr>
                <w:rFonts w:ascii="Times New Roman" w:hAnsi="Times New Roman" w:cs="Times New Roman"/>
                <w:sz w:val="18"/>
                <w:szCs w:val="18"/>
              </w:rPr>
              <w:t>13.37%</w:t>
            </w:r>
          </w:p>
        </w:tc>
      </w:tr>
    </w:tbl>
    <w:p w:rsidR="00CE3C32" w:rsidRDefault="00CE3C32">
      <w:pPr>
        <w:rPr>
          <w:rFonts w:ascii="Times New Roman" w:hAnsi="Times New Roman" w:cs="Times New Roman"/>
          <w:sz w:val="24"/>
          <w:szCs w:val="24"/>
        </w:rPr>
      </w:pPr>
    </w:p>
    <w:p w:rsidR="00CE3C32" w:rsidRDefault="006413B8">
      <w:pPr>
        <w:pStyle w:val="3"/>
        <w:spacing w:line="280" w:lineRule="exact"/>
        <w:jc w:val="left"/>
        <w:rPr>
          <w:rFonts w:ascii="Times New Roman" w:hAnsi="Times New Roman" w:cs="Times New Roman"/>
          <w:b/>
          <w:bCs/>
        </w:rPr>
      </w:pPr>
      <w:bookmarkStart w:id="457" w:name="_Toc989342"/>
      <w:r>
        <w:rPr>
          <w:rFonts w:ascii="Times New Roman" w:hAnsi="Times New Roman" w:cs="Times New Roman"/>
          <w:b/>
          <w:bCs/>
        </w:rPr>
        <w:lastRenderedPageBreak/>
        <w:t>5</w:t>
      </w:r>
      <w:r>
        <w:rPr>
          <w:rFonts w:ascii="Times New Roman" w:hAnsi="Times New Roman" w:cs="Times New Roman"/>
          <w:b/>
          <w:bCs/>
        </w:rPr>
        <w:t>、持续的第三层次公允价值计量项目，期初与期末账面价值间的调节信息及不可观察参数敏感性分析</w:t>
      </w:r>
      <w:bookmarkEnd w:id="457"/>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458" w:name="_Toc989343"/>
      <w:r>
        <w:rPr>
          <w:rFonts w:ascii="Times New Roman" w:hAnsi="Times New Roman" w:cs="Times New Roman"/>
          <w:b/>
          <w:bCs/>
        </w:rPr>
        <w:t>6</w:t>
      </w:r>
      <w:r>
        <w:rPr>
          <w:rFonts w:ascii="Times New Roman" w:hAnsi="Times New Roman" w:cs="Times New Roman"/>
          <w:b/>
          <w:bCs/>
        </w:rPr>
        <w:t>、持续的公允价值计量项目，本期内发生各层级之间转换的，转换的原因及确定转换时点的政策</w:t>
      </w:r>
      <w:bookmarkEnd w:id="458"/>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459" w:name="_Toc989344"/>
      <w:r>
        <w:rPr>
          <w:rFonts w:ascii="Times New Roman" w:hAnsi="Times New Roman" w:cs="Times New Roman"/>
          <w:b/>
          <w:bCs/>
        </w:rPr>
        <w:t>7</w:t>
      </w:r>
      <w:r>
        <w:rPr>
          <w:rFonts w:ascii="Times New Roman" w:hAnsi="Times New Roman" w:cs="Times New Roman"/>
          <w:b/>
          <w:bCs/>
        </w:rPr>
        <w:t>、本期内发生的估值技术变更及变更原因</w:t>
      </w:r>
      <w:bookmarkEnd w:id="459"/>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460" w:name="_Toc989345"/>
      <w:r>
        <w:rPr>
          <w:rFonts w:ascii="Times New Roman" w:hAnsi="Times New Roman" w:cs="Times New Roman"/>
          <w:b/>
          <w:bCs/>
        </w:rPr>
        <w:t>8</w:t>
      </w:r>
      <w:r>
        <w:rPr>
          <w:rFonts w:ascii="Times New Roman" w:hAnsi="Times New Roman" w:cs="Times New Roman"/>
          <w:b/>
          <w:bCs/>
        </w:rPr>
        <w:t>、不以公允价值计量的金融资产和金融负债的公允价值情况</w:t>
      </w:r>
      <w:bookmarkEnd w:id="460"/>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461" w:name="_Toc989346"/>
      <w:r>
        <w:rPr>
          <w:rFonts w:ascii="Times New Roman" w:hAnsi="Times New Roman" w:cs="Times New Roman"/>
          <w:b/>
          <w:bCs/>
        </w:rPr>
        <w:t>9</w:t>
      </w:r>
      <w:r>
        <w:rPr>
          <w:rFonts w:ascii="Times New Roman" w:hAnsi="Times New Roman" w:cs="Times New Roman"/>
          <w:b/>
          <w:bCs/>
        </w:rPr>
        <w:t>、其他</w:t>
      </w:r>
      <w:bookmarkEnd w:id="461"/>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pStyle w:val="2"/>
        <w:spacing w:before="300" w:after="300" w:line="320" w:lineRule="exact"/>
        <w:rPr>
          <w:rFonts w:ascii="Times New Roman" w:eastAsia="宋体" w:hAnsi="Times New Roman" w:cs="Times New Roman"/>
          <w:b/>
          <w:bCs/>
          <w:sz w:val="24"/>
          <w:szCs w:val="24"/>
        </w:rPr>
      </w:pPr>
      <w:bookmarkStart w:id="462" w:name="_Toc989347"/>
      <w:r>
        <w:rPr>
          <w:rFonts w:ascii="Times New Roman" w:eastAsia="宋体" w:hAnsi="Times New Roman" w:cs="Times New Roman"/>
          <w:b/>
          <w:bCs/>
          <w:sz w:val="24"/>
          <w:szCs w:val="24"/>
        </w:rPr>
        <w:t>十四、关联方及关联交易</w:t>
      </w:r>
      <w:bookmarkEnd w:id="462"/>
    </w:p>
    <w:p w:rsidR="00CE3C32" w:rsidRDefault="006413B8">
      <w:pPr>
        <w:pStyle w:val="3"/>
        <w:spacing w:line="280" w:lineRule="exact"/>
        <w:jc w:val="left"/>
        <w:rPr>
          <w:rFonts w:ascii="Times New Roman" w:hAnsi="Times New Roman" w:cs="Times New Roman"/>
          <w:b/>
          <w:bCs/>
        </w:rPr>
      </w:pPr>
      <w:bookmarkStart w:id="463" w:name="_Toc989348"/>
      <w:r>
        <w:rPr>
          <w:rFonts w:ascii="Times New Roman" w:hAnsi="Times New Roman" w:cs="Times New Roman"/>
          <w:b/>
          <w:bCs/>
        </w:rPr>
        <w:t>1</w:t>
      </w:r>
      <w:r>
        <w:rPr>
          <w:rFonts w:ascii="Times New Roman" w:hAnsi="Times New Roman" w:cs="Times New Roman"/>
          <w:b/>
          <w:bCs/>
        </w:rPr>
        <w:t>、本企业的母公司情况</w:t>
      </w:r>
      <w:bookmarkEnd w:id="463"/>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母公司名称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注册地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业务性质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注册资本</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母公司对本企业的持股比例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母公司对本企业的表决权比例</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本企业的母公司情况的说明</w:t>
      </w:r>
      <w:r>
        <w:rPr>
          <w:rFonts w:ascii="Times New Roman" w:eastAsia="宋体" w:hAnsi="Times New Roman" w:cs="Times New Roman" w:hint="eastAsia"/>
          <w:sz w:val="18"/>
          <w:szCs w:val="18"/>
        </w:rPr>
        <w:t>：</w:t>
      </w:r>
      <w:r>
        <w:rPr>
          <w:rFonts w:ascii="Times New Roman"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本企业最终控制方是林明玲、马学沛。</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464" w:name="_Toc989349"/>
      <w:r>
        <w:rPr>
          <w:rFonts w:ascii="Times New Roman" w:hAnsi="Times New Roman" w:cs="Times New Roman"/>
          <w:b/>
          <w:bCs/>
        </w:rPr>
        <w:t>2</w:t>
      </w:r>
      <w:r>
        <w:rPr>
          <w:rFonts w:ascii="Times New Roman" w:hAnsi="Times New Roman" w:cs="Times New Roman"/>
          <w:b/>
          <w:bCs/>
        </w:rPr>
        <w:t>、本企业的子公司情况</w:t>
      </w:r>
      <w:bookmarkEnd w:id="464"/>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本企业子公司的情况详见附注十、</w:t>
      </w:r>
      <w:r>
        <w:rPr>
          <w:rFonts w:ascii="Times New Roman" w:eastAsia="宋体" w:hAnsi="Times New Roman" w:cs="Times New Roman"/>
          <w:sz w:val="18"/>
          <w:szCs w:val="18"/>
        </w:rPr>
        <w:t>1</w:t>
      </w:r>
      <w:r>
        <w:rPr>
          <w:rFonts w:ascii="Times New Roman" w:eastAsia="宋体" w:hAnsi="Times New Roman" w:cs="Times New Roman"/>
          <w:sz w:val="18"/>
          <w:szCs w:val="18"/>
        </w:rPr>
        <w:t>、在子公司中的权益。</w:t>
      </w:r>
    </w:p>
    <w:p w:rsidR="00CE3C32" w:rsidRDefault="006413B8">
      <w:pPr>
        <w:pStyle w:val="3"/>
        <w:spacing w:line="280" w:lineRule="exact"/>
        <w:jc w:val="left"/>
        <w:rPr>
          <w:rFonts w:ascii="Times New Roman" w:hAnsi="Times New Roman" w:cs="Times New Roman"/>
          <w:b/>
          <w:bCs/>
        </w:rPr>
      </w:pPr>
      <w:bookmarkStart w:id="465" w:name="_Toc989350"/>
      <w:r>
        <w:rPr>
          <w:rFonts w:ascii="Times New Roman" w:hAnsi="Times New Roman" w:cs="Times New Roman"/>
          <w:b/>
          <w:bCs/>
        </w:rPr>
        <w:t>3</w:t>
      </w:r>
      <w:r>
        <w:rPr>
          <w:rFonts w:ascii="Times New Roman" w:hAnsi="Times New Roman" w:cs="Times New Roman"/>
          <w:b/>
          <w:bCs/>
        </w:rPr>
        <w:t>、本企业合营和联营企业情况</w:t>
      </w:r>
      <w:bookmarkEnd w:id="465"/>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本企业重要的合营或联营企业详见附注。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本期与本公司发生关联方交易，或前期与本公司发生关联方交易形成余额的其他合营或联营企业情况如下：</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合营或联营企业名称</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与本企业关系</w:t>
            </w:r>
          </w:p>
        </w:tc>
      </w:tr>
    </w:tbl>
    <w:p w:rsidR="00CE3C32" w:rsidRDefault="006413B8">
      <w:pPr>
        <w:spacing w:before="100" w:after="100" w:line="240" w:lineRule="exact"/>
        <w:rPr>
          <w:rFonts w:ascii="Times New Roman" w:hAnsi="Times New Roman" w:cs="Times New Roman"/>
          <w:szCs w:val="21"/>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r>
        <w:rPr>
          <w:rFonts w:ascii="Times New Roman" w:hAnsi="Times New Roman" w:cs="Times New Roman"/>
          <w:sz w:val="18"/>
          <w:szCs w:val="18"/>
        </w:rPr>
        <w:t>本公司无合营和联营企业。</w:t>
      </w:r>
    </w:p>
    <w:p w:rsidR="00CE3C32" w:rsidRDefault="006413B8">
      <w:pPr>
        <w:pStyle w:val="3"/>
        <w:spacing w:line="280" w:lineRule="exact"/>
        <w:jc w:val="left"/>
        <w:rPr>
          <w:rFonts w:ascii="Times New Roman" w:hAnsi="Times New Roman" w:cs="Times New Roman"/>
          <w:b/>
          <w:bCs/>
        </w:rPr>
      </w:pPr>
      <w:bookmarkStart w:id="466" w:name="_Toc989351"/>
      <w:r>
        <w:rPr>
          <w:rFonts w:ascii="Times New Roman" w:hAnsi="Times New Roman" w:cs="Times New Roman"/>
          <w:b/>
          <w:bCs/>
        </w:rPr>
        <w:t>4</w:t>
      </w:r>
      <w:r>
        <w:rPr>
          <w:rFonts w:ascii="Times New Roman" w:hAnsi="Times New Roman" w:cs="Times New Roman"/>
          <w:b/>
          <w:bCs/>
        </w:rPr>
        <w:t>、其他关联方情况</w:t>
      </w:r>
      <w:bookmarkEnd w:id="466"/>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其他关联方名称</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其他关联方与本企业关系</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汕头潮阳融和村镇银行股份有限公司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林明玲持有</w:t>
            </w:r>
            <w:r>
              <w:rPr>
                <w:rFonts w:ascii="Times New Roman" w:eastAsia="宋体" w:hAnsi="Times New Roman" w:cs="Times New Roman"/>
                <w:sz w:val="18"/>
                <w:szCs w:val="18"/>
              </w:rPr>
              <w:t>5%</w:t>
            </w:r>
            <w:r>
              <w:rPr>
                <w:rFonts w:ascii="Times New Roman" w:eastAsia="宋体" w:hAnsi="Times New Roman" w:cs="Times New Roman"/>
                <w:sz w:val="18"/>
                <w:szCs w:val="18"/>
              </w:rPr>
              <w:t>股权的企业</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广东润煌纺织新材料有限公司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林明玲持有</w:t>
            </w:r>
            <w:r>
              <w:rPr>
                <w:rFonts w:ascii="Times New Roman" w:eastAsia="宋体" w:hAnsi="Times New Roman" w:cs="Times New Roman"/>
                <w:sz w:val="18"/>
                <w:szCs w:val="18"/>
              </w:rPr>
              <w:t>45%</w:t>
            </w:r>
            <w:r>
              <w:rPr>
                <w:rFonts w:ascii="Times New Roman" w:eastAsia="宋体" w:hAnsi="Times New Roman" w:cs="Times New Roman"/>
                <w:sz w:val="18"/>
                <w:szCs w:val="18"/>
              </w:rPr>
              <w:t>股权的企业</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lastRenderedPageBreak/>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467" w:name="_Toc989352"/>
      <w:r>
        <w:rPr>
          <w:rFonts w:ascii="Times New Roman" w:hAnsi="Times New Roman" w:cs="Times New Roman"/>
          <w:b/>
          <w:bCs/>
        </w:rPr>
        <w:t>5</w:t>
      </w:r>
      <w:r>
        <w:rPr>
          <w:rFonts w:ascii="Times New Roman" w:hAnsi="Times New Roman" w:cs="Times New Roman"/>
          <w:b/>
          <w:bCs/>
        </w:rPr>
        <w:t>、关联交易情况</w:t>
      </w:r>
      <w:bookmarkEnd w:id="467"/>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68" w:name="_Toc989353"/>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购销商品、提供和接受劳务的关联交易</w:t>
      </w:r>
      <w:bookmarkEnd w:id="468"/>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采购商品</w:t>
      </w:r>
      <w:r>
        <w:rPr>
          <w:rFonts w:ascii="Times New Roman" w:eastAsia="宋体" w:hAnsi="Times New Roman" w:cs="Times New Roman"/>
          <w:sz w:val="18"/>
          <w:szCs w:val="18"/>
        </w:rPr>
        <w:t>/</w:t>
      </w:r>
      <w:r>
        <w:rPr>
          <w:rFonts w:ascii="Times New Roman" w:eastAsia="宋体" w:hAnsi="Times New Roman" w:cs="Times New Roman"/>
          <w:sz w:val="18"/>
          <w:szCs w:val="18"/>
        </w:rPr>
        <w:t>接受劳务情况表</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关联方</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关联交易内容</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获批的交易额度</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是否超过交易额度</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出售商品</w:t>
      </w:r>
      <w:r>
        <w:rPr>
          <w:rFonts w:ascii="Times New Roman" w:eastAsia="宋体" w:hAnsi="Times New Roman" w:cs="Times New Roman"/>
          <w:sz w:val="18"/>
          <w:szCs w:val="18"/>
        </w:rPr>
        <w:t>/</w:t>
      </w:r>
      <w:r>
        <w:rPr>
          <w:rFonts w:ascii="Times New Roman" w:eastAsia="宋体" w:hAnsi="Times New Roman" w:cs="Times New Roman"/>
          <w:sz w:val="18"/>
          <w:szCs w:val="18"/>
        </w:rPr>
        <w:t>提供劳务情况表</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关联方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关联交易内容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汕头潮阳融和村镇银行股份有限公司</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信息系统集成</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203,160.91</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购销商品、提供和接受劳务的关联交易说明</w:t>
      </w:r>
    </w:p>
    <w:p w:rsidR="00CE3C32" w:rsidRDefault="006413B8">
      <w:pPr>
        <w:pStyle w:val="a6"/>
        <w:ind w:firstLineChars="200" w:firstLine="360"/>
        <w:jc w:val="both"/>
        <w:rPr>
          <w:rFonts w:ascii="Times New Roman" w:hAnsi="Times New Roman" w:cs="Times New Roman"/>
          <w:sz w:val="18"/>
          <w:szCs w:val="18"/>
        </w:rPr>
      </w:pPr>
      <w:r>
        <w:rPr>
          <w:rFonts w:ascii="Times New Roman" w:hAnsi="Times New Roman" w:cs="Times New Roman"/>
          <w:sz w:val="18"/>
          <w:szCs w:val="18"/>
        </w:rPr>
        <w:t>公司于</w:t>
      </w:r>
      <w:r>
        <w:rPr>
          <w:rFonts w:ascii="Times New Roman" w:hAnsi="Times New Roman" w:cs="Times New Roman"/>
          <w:sz w:val="18"/>
          <w:szCs w:val="18"/>
        </w:rPr>
        <w:t>2025</w:t>
      </w:r>
      <w:r>
        <w:rPr>
          <w:rFonts w:ascii="Times New Roman" w:hAnsi="Times New Roman" w:cs="Times New Roman"/>
          <w:sz w:val="18"/>
          <w:szCs w:val="18"/>
        </w:rPr>
        <w:t>年</w:t>
      </w:r>
      <w:r>
        <w:rPr>
          <w:rFonts w:ascii="Times New Roman" w:hAnsi="Times New Roman" w:cs="Times New Roman"/>
          <w:sz w:val="18"/>
          <w:szCs w:val="18"/>
        </w:rPr>
        <w:t>4</w:t>
      </w:r>
      <w:r>
        <w:rPr>
          <w:rFonts w:ascii="Times New Roman" w:hAnsi="Times New Roman" w:cs="Times New Roman"/>
          <w:sz w:val="18"/>
          <w:szCs w:val="18"/>
        </w:rPr>
        <w:t>月</w:t>
      </w:r>
      <w:r>
        <w:rPr>
          <w:rFonts w:ascii="Times New Roman" w:hAnsi="Times New Roman" w:cs="Times New Roman"/>
          <w:sz w:val="18"/>
          <w:szCs w:val="18"/>
        </w:rPr>
        <w:t>18</w:t>
      </w:r>
      <w:r>
        <w:rPr>
          <w:rFonts w:ascii="Times New Roman" w:hAnsi="Times New Roman" w:cs="Times New Roman"/>
          <w:sz w:val="18"/>
          <w:szCs w:val="18"/>
        </w:rPr>
        <w:t>日召开第三届董事会第三十次会议、第三届监事会第二十六次会议，审议通过了《关于公司</w:t>
      </w:r>
      <w:r>
        <w:rPr>
          <w:rFonts w:ascii="Times New Roman" w:hAnsi="Times New Roman" w:cs="Times New Roman"/>
          <w:sz w:val="18"/>
          <w:szCs w:val="18"/>
        </w:rPr>
        <w:t>2025</w:t>
      </w:r>
      <w:r>
        <w:rPr>
          <w:rFonts w:ascii="Times New Roman" w:hAnsi="Times New Roman" w:cs="Times New Roman"/>
          <w:sz w:val="18"/>
          <w:szCs w:val="18"/>
        </w:rPr>
        <w:t>年度日常关联交易预计的议案》，公司</w:t>
      </w:r>
      <w:r>
        <w:rPr>
          <w:rFonts w:ascii="Times New Roman" w:hAnsi="Times New Roman" w:cs="Times New Roman"/>
          <w:sz w:val="18"/>
          <w:szCs w:val="18"/>
        </w:rPr>
        <w:t>2025</w:t>
      </w:r>
      <w:r>
        <w:rPr>
          <w:rFonts w:ascii="Times New Roman" w:hAnsi="Times New Roman" w:cs="Times New Roman"/>
          <w:sz w:val="18"/>
          <w:szCs w:val="18"/>
        </w:rPr>
        <w:t>年上半年实际发生的日常关联交易金额为</w:t>
      </w:r>
      <w:r>
        <w:rPr>
          <w:rFonts w:ascii="Times New Roman" w:hAnsi="Times New Roman" w:cs="Times New Roman"/>
          <w:sz w:val="18"/>
          <w:szCs w:val="18"/>
        </w:rPr>
        <w:t>0.00</w:t>
      </w:r>
      <w:r>
        <w:rPr>
          <w:rFonts w:ascii="Times New Roman" w:hAnsi="Times New Roman" w:cs="Times New Roman"/>
          <w:sz w:val="18"/>
          <w:szCs w:val="18"/>
        </w:rPr>
        <w:t>元，未超过获批的交易额度。</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69" w:name="_Toc989354"/>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关联受托管理</w:t>
      </w:r>
      <w:r>
        <w:rPr>
          <w:rFonts w:ascii="Times New Roman" w:eastAsia="宋体" w:hAnsi="Times New Roman" w:cs="Times New Roman"/>
          <w:b/>
          <w:bCs/>
          <w:szCs w:val="21"/>
        </w:rPr>
        <w:t>/</w:t>
      </w:r>
      <w:r>
        <w:rPr>
          <w:rFonts w:ascii="Times New Roman" w:eastAsia="宋体" w:hAnsi="Times New Roman" w:cs="Times New Roman"/>
          <w:b/>
          <w:bCs/>
          <w:szCs w:val="21"/>
        </w:rPr>
        <w:t>承包及委托管理</w:t>
      </w:r>
      <w:r>
        <w:rPr>
          <w:rFonts w:ascii="Times New Roman" w:eastAsia="宋体" w:hAnsi="Times New Roman" w:cs="Times New Roman"/>
          <w:b/>
          <w:bCs/>
          <w:szCs w:val="21"/>
        </w:rPr>
        <w:t>/</w:t>
      </w:r>
      <w:r>
        <w:rPr>
          <w:rFonts w:ascii="Times New Roman" w:eastAsia="宋体" w:hAnsi="Times New Roman" w:cs="Times New Roman"/>
          <w:b/>
          <w:bCs/>
          <w:szCs w:val="21"/>
        </w:rPr>
        <w:t>出包情况</w:t>
      </w:r>
      <w:bookmarkEnd w:id="469"/>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本公司受托管理</w:t>
      </w:r>
      <w:r>
        <w:rPr>
          <w:rFonts w:ascii="Times New Roman" w:eastAsia="宋体" w:hAnsi="Times New Roman" w:cs="Times New Roman"/>
          <w:sz w:val="18"/>
          <w:szCs w:val="18"/>
        </w:rPr>
        <w:t>/</w:t>
      </w:r>
      <w:r>
        <w:rPr>
          <w:rFonts w:ascii="Times New Roman" w:eastAsia="宋体" w:hAnsi="Times New Roman" w:cs="Times New Roman"/>
          <w:sz w:val="18"/>
          <w:szCs w:val="18"/>
        </w:rPr>
        <w:t>承包情况表：</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委托方</w:t>
            </w:r>
            <w:r>
              <w:rPr>
                <w:rFonts w:ascii="Times New Roman" w:eastAsia="宋体" w:hAnsi="Times New Roman" w:cs="Times New Roman"/>
                <w:sz w:val="18"/>
                <w:szCs w:val="18"/>
              </w:rPr>
              <w:t>/</w:t>
            </w:r>
            <w:r>
              <w:rPr>
                <w:rFonts w:ascii="Times New Roman" w:eastAsia="宋体" w:hAnsi="Times New Roman" w:cs="Times New Roman"/>
                <w:sz w:val="18"/>
                <w:szCs w:val="18"/>
              </w:rPr>
              <w:t>出包方名称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受托方</w:t>
            </w:r>
            <w:r>
              <w:rPr>
                <w:rFonts w:ascii="Times New Roman" w:eastAsia="宋体" w:hAnsi="Times New Roman" w:cs="Times New Roman"/>
                <w:sz w:val="18"/>
                <w:szCs w:val="18"/>
              </w:rPr>
              <w:t>/</w:t>
            </w:r>
            <w:r>
              <w:rPr>
                <w:rFonts w:ascii="Times New Roman" w:eastAsia="宋体" w:hAnsi="Times New Roman" w:cs="Times New Roman"/>
                <w:sz w:val="18"/>
                <w:szCs w:val="18"/>
              </w:rPr>
              <w:t>承包方名称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受托</w:t>
            </w:r>
            <w:r>
              <w:rPr>
                <w:rFonts w:ascii="Times New Roman" w:eastAsia="宋体" w:hAnsi="Times New Roman" w:cs="Times New Roman"/>
                <w:sz w:val="18"/>
                <w:szCs w:val="18"/>
              </w:rPr>
              <w:t>/</w:t>
            </w:r>
            <w:r>
              <w:rPr>
                <w:rFonts w:ascii="Times New Roman" w:eastAsia="宋体" w:hAnsi="Times New Roman" w:cs="Times New Roman"/>
                <w:sz w:val="18"/>
                <w:szCs w:val="18"/>
              </w:rPr>
              <w:t>承包资产类型</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受托</w:t>
            </w:r>
            <w:r>
              <w:rPr>
                <w:rFonts w:ascii="Times New Roman" w:eastAsia="宋体" w:hAnsi="Times New Roman" w:cs="Times New Roman"/>
                <w:sz w:val="18"/>
                <w:szCs w:val="18"/>
              </w:rPr>
              <w:t>/</w:t>
            </w:r>
            <w:r>
              <w:rPr>
                <w:rFonts w:ascii="Times New Roman" w:eastAsia="宋体" w:hAnsi="Times New Roman" w:cs="Times New Roman"/>
                <w:sz w:val="18"/>
                <w:szCs w:val="18"/>
              </w:rPr>
              <w:t>承包起始日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受托</w:t>
            </w:r>
            <w:r>
              <w:rPr>
                <w:rFonts w:ascii="Times New Roman" w:eastAsia="宋体" w:hAnsi="Times New Roman" w:cs="Times New Roman"/>
                <w:sz w:val="18"/>
                <w:szCs w:val="18"/>
              </w:rPr>
              <w:t>/</w:t>
            </w:r>
            <w:r>
              <w:rPr>
                <w:rFonts w:ascii="Times New Roman" w:eastAsia="宋体" w:hAnsi="Times New Roman" w:cs="Times New Roman"/>
                <w:sz w:val="18"/>
                <w:szCs w:val="18"/>
              </w:rPr>
              <w:t>承包终止日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托管收益</w:t>
            </w:r>
            <w:r>
              <w:rPr>
                <w:rFonts w:ascii="Times New Roman" w:eastAsia="宋体" w:hAnsi="Times New Roman" w:cs="Times New Roman"/>
                <w:sz w:val="18"/>
                <w:szCs w:val="18"/>
              </w:rPr>
              <w:t>/</w:t>
            </w:r>
            <w:r>
              <w:rPr>
                <w:rFonts w:ascii="Times New Roman" w:eastAsia="宋体" w:hAnsi="Times New Roman" w:cs="Times New Roman"/>
                <w:sz w:val="18"/>
                <w:szCs w:val="18"/>
              </w:rPr>
              <w:t>承包收益定价依据</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本期确认的托管收益</w:t>
            </w:r>
            <w:r>
              <w:rPr>
                <w:rFonts w:ascii="Times New Roman" w:eastAsia="宋体" w:hAnsi="Times New Roman" w:cs="Times New Roman"/>
                <w:sz w:val="18"/>
                <w:szCs w:val="18"/>
              </w:rPr>
              <w:t>/</w:t>
            </w:r>
            <w:r>
              <w:rPr>
                <w:rFonts w:ascii="Times New Roman" w:eastAsia="宋体" w:hAnsi="Times New Roman" w:cs="Times New Roman"/>
                <w:sz w:val="18"/>
                <w:szCs w:val="18"/>
              </w:rPr>
              <w:t>承包收益</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关联托管</w:t>
      </w:r>
      <w:r>
        <w:rPr>
          <w:rFonts w:ascii="Times New Roman" w:eastAsia="宋体" w:hAnsi="Times New Roman" w:cs="Times New Roman"/>
          <w:sz w:val="18"/>
          <w:szCs w:val="18"/>
        </w:rPr>
        <w:t>/</w:t>
      </w:r>
      <w:r>
        <w:rPr>
          <w:rFonts w:ascii="Times New Roman" w:eastAsia="宋体" w:hAnsi="Times New Roman" w:cs="Times New Roman"/>
          <w:sz w:val="18"/>
          <w:szCs w:val="18"/>
        </w:rPr>
        <w:t>承包情况说明</w:t>
      </w:r>
      <w:r>
        <w:rPr>
          <w:rFonts w:ascii="Times New Roman" w:eastAsia="宋体" w:hAnsi="Times New Roman" w:cs="Times New Roman" w:hint="eastAsia"/>
          <w:sz w:val="18"/>
          <w:szCs w:val="18"/>
        </w:rPr>
        <w:t>：</w:t>
      </w:r>
      <w:r>
        <w:rPr>
          <w:rFonts w:ascii="Times New Roman" w:hAnsi="Times New Roman" w:cs="Times New Roman"/>
          <w:sz w:val="18"/>
          <w:szCs w:val="18"/>
        </w:rPr>
        <w:t>不适用。</w:t>
      </w:r>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本公司委托管理</w:t>
      </w:r>
      <w:r>
        <w:rPr>
          <w:rFonts w:ascii="Times New Roman" w:eastAsia="宋体" w:hAnsi="Times New Roman" w:cs="Times New Roman"/>
          <w:sz w:val="18"/>
          <w:szCs w:val="18"/>
        </w:rPr>
        <w:t>/</w:t>
      </w:r>
      <w:r>
        <w:rPr>
          <w:rFonts w:ascii="Times New Roman" w:eastAsia="宋体" w:hAnsi="Times New Roman" w:cs="Times New Roman"/>
          <w:sz w:val="18"/>
          <w:szCs w:val="18"/>
        </w:rPr>
        <w:t>出包情况表：</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委托方</w:t>
            </w:r>
            <w:r>
              <w:rPr>
                <w:rFonts w:ascii="Times New Roman" w:eastAsia="宋体" w:hAnsi="Times New Roman" w:cs="Times New Roman"/>
                <w:sz w:val="18"/>
                <w:szCs w:val="18"/>
              </w:rPr>
              <w:t>/</w:t>
            </w:r>
            <w:r>
              <w:rPr>
                <w:rFonts w:ascii="Times New Roman" w:eastAsia="宋体" w:hAnsi="Times New Roman" w:cs="Times New Roman"/>
                <w:sz w:val="18"/>
                <w:szCs w:val="18"/>
              </w:rPr>
              <w:t>出包方名称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受托方</w:t>
            </w:r>
            <w:r>
              <w:rPr>
                <w:rFonts w:ascii="Times New Roman" w:eastAsia="宋体" w:hAnsi="Times New Roman" w:cs="Times New Roman"/>
                <w:sz w:val="18"/>
                <w:szCs w:val="18"/>
              </w:rPr>
              <w:t>/</w:t>
            </w:r>
            <w:r>
              <w:rPr>
                <w:rFonts w:ascii="Times New Roman" w:eastAsia="宋体" w:hAnsi="Times New Roman" w:cs="Times New Roman"/>
                <w:sz w:val="18"/>
                <w:szCs w:val="18"/>
              </w:rPr>
              <w:t>承包方名称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委托</w:t>
            </w:r>
            <w:r>
              <w:rPr>
                <w:rFonts w:ascii="Times New Roman" w:eastAsia="宋体" w:hAnsi="Times New Roman" w:cs="Times New Roman"/>
                <w:sz w:val="18"/>
                <w:szCs w:val="18"/>
              </w:rPr>
              <w:t>/</w:t>
            </w:r>
            <w:r>
              <w:rPr>
                <w:rFonts w:ascii="Times New Roman" w:eastAsia="宋体" w:hAnsi="Times New Roman" w:cs="Times New Roman"/>
                <w:sz w:val="18"/>
                <w:szCs w:val="18"/>
              </w:rPr>
              <w:t>出包资产类型</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委托</w:t>
            </w:r>
            <w:r>
              <w:rPr>
                <w:rFonts w:ascii="Times New Roman" w:eastAsia="宋体" w:hAnsi="Times New Roman" w:cs="Times New Roman"/>
                <w:sz w:val="18"/>
                <w:szCs w:val="18"/>
              </w:rPr>
              <w:t>/</w:t>
            </w:r>
            <w:r>
              <w:rPr>
                <w:rFonts w:ascii="Times New Roman" w:eastAsia="宋体" w:hAnsi="Times New Roman" w:cs="Times New Roman"/>
                <w:sz w:val="18"/>
                <w:szCs w:val="18"/>
              </w:rPr>
              <w:t>出包起始日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委托</w:t>
            </w:r>
            <w:r>
              <w:rPr>
                <w:rFonts w:ascii="Times New Roman" w:eastAsia="宋体" w:hAnsi="Times New Roman" w:cs="Times New Roman"/>
                <w:sz w:val="18"/>
                <w:szCs w:val="18"/>
              </w:rPr>
              <w:t>/</w:t>
            </w:r>
            <w:r>
              <w:rPr>
                <w:rFonts w:ascii="Times New Roman" w:eastAsia="宋体" w:hAnsi="Times New Roman" w:cs="Times New Roman"/>
                <w:sz w:val="18"/>
                <w:szCs w:val="18"/>
              </w:rPr>
              <w:t>出包终止日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托管费</w:t>
            </w:r>
            <w:r>
              <w:rPr>
                <w:rFonts w:ascii="Times New Roman" w:eastAsia="宋体" w:hAnsi="Times New Roman" w:cs="Times New Roman"/>
                <w:sz w:val="18"/>
                <w:szCs w:val="18"/>
              </w:rPr>
              <w:t>/</w:t>
            </w:r>
            <w:r>
              <w:rPr>
                <w:rFonts w:ascii="Times New Roman" w:eastAsia="宋体" w:hAnsi="Times New Roman" w:cs="Times New Roman"/>
                <w:sz w:val="18"/>
                <w:szCs w:val="18"/>
              </w:rPr>
              <w:t>出包费定价依据</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本期确认的托管费</w:t>
            </w:r>
            <w:r>
              <w:rPr>
                <w:rFonts w:ascii="Times New Roman" w:eastAsia="宋体" w:hAnsi="Times New Roman" w:cs="Times New Roman"/>
                <w:sz w:val="18"/>
                <w:szCs w:val="18"/>
              </w:rPr>
              <w:t>/</w:t>
            </w:r>
            <w:r>
              <w:rPr>
                <w:rFonts w:ascii="Times New Roman" w:eastAsia="宋体" w:hAnsi="Times New Roman" w:cs="Times New Roman"/>
                <w:sz w:val="18"/>
                <w:szCs w:val="18"/>
              </w:rPr>
              <w:t>出包费</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关联管理</w:t>
      </w:r>
      <w:r>
        <w:rPr>
          <w:rFonts w:ascii="Times New Roman" w:eastAsia="宋体" w:hAnsi="Times New Roman" w:cs="Times New Roman"/>
          <w:sz w:val="18"/>
          <w:szCs w:val="18"/>
        </w:rPr>
        <w:t>/</w:t>
      </w:r>
      <w:r>
        <w:rPr>
          <w:rFonts w:ascii="Times New Roman" w:eastAsia="宋体" w:hAnsi="Times New Roman" w:cs="Times New Roman"/>
          <w:sz w:val="18"/>
          <w:szCs w:val="18"/>
        </w:rPr>
        <w:t>出包情况说明</w:t>
      </w:r>
      <w:r>
        <w:rPr>
          <w:rFonts w:ascii="Times New Roman" w:eastAsia="宋体" w:hAnsi="Times New Roman" w:cs="Times New Roman" w:hint="eastAsia"/>
          <w:sz w:val="18"/>
          <w:szCs w:val="18"/>
        </w:rPr>
        <w:t>：</w:t>
      </w: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70" w:name="_Toc989355"/>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关联租赁情况</w:t>
      </w:r>
      <w:bookmarkEnd w:id="470"/>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本公司作为出租方：</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承租方名称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租赁资产种类</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本期确认的租赁收入</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上期确认的租赁收入</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本公司作为承租方：</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lastRenderedPageBreak/>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04"/>
        <w:gridCol w:w="804"/>
        <w:gridCol w:w="804"/>
        <w:gridCol w:w="803"/>
        <w:gridCol w:w="803"/>
        <w:gridCol w:w="803"/>
        <w:gridCol w:w="803"/>
        <w:gridCol w:w="803"/>
        <w:gridCol w:w="803"/>
        <w:gridCol w:w="803"/>
        <w:gridCol w:w="803"/>
        <w:gridCol w:w="803"/>
      </w:tblGrid>
      <w:tr w:rsidR="00CE3C32">
        <w:trPr>
          <w:trHeight w:val="240"/>
        </w:trPr>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出租方名称</w:t>
            </w:r>
          </w:p>
        </w:tc>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租赁资产种类</w:t>
            </w:r>
          </w:p>
        </w:tc>
        <w:tc>
          <w:tcPr>
            <w:tcW w:w="160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简化处理的短期租赁和低价值资产租赁的租金费用（如适用）</w:t>
            </w:r>
          </w:p>
        </w:tc>
        <w:tc>
          <w:tcPr>
            <w:tcW w:w="160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未纳入租赁负债计量的可变租赁付款额（如适用）</w:t>
            </w:r>
          </w:p>
        </w:tc>
        <w:tc>
          <w:tcPr>
            <w:tcW w:w="160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支付的租金</w:t>
            </w:r>
          </w:p>
        </w:tc>
        <w:tc>
          <w:tcPr>
            <w:tcW w:w="160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承担的租赁负债利息支出</w:t>
            </w:r>
          </w:p>
        </w:tc>
        <w:tc>
          <w:tcPr>
            <w:tcW w:w="160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增加的使用权资产</w:t>
            </w:r>
          </w:p>
        </w:tc>
      </w:tr>
      <w:tr w:rsidR="00CE3C32">
        <w:trPr>
          <w:trHeight w:val="240"/>
        </w:trPr>
        <w:tc>
          <w:tcPr>
            <w:tcW w:w="803" w:type="dxa"/>
            <w:vMerge/>
            <w:tcBorders>
              <w:top w:val="single" w:sz="2" w:space="0" w:color="auto"/>
              <w:left w:val="single" w:sz="2" w:space="0" w:color="auto"/>
              <w:bottom w:val="single" w:sz="2" w:space="0" w:color="auto"/>
              <w:right w:val="single" w:sz="2" w:space="0" w:color="auto"/>
            </w:tcBorders>
            <w:vAlign w:val="center"/>
          </w:tcPr>
          <w:p w:rsidR="00CE3C32" w:rsidRDefault="00CE3C32">
            <w:pPr>
              <w:rPr>
                <w:rFonts w:ascii="Times New Roman" w:hAnsi="Times New Roman" w:cs="Times New Roman"/>
              </w:rPr>
            </w:pPr>
          </w:p>
        </w:tc>
        <w:tc>
          <w:tcPr>
            <w:tcW w:w="803" w:type="dxa"/>
            <w:vMerge/>
            <w:tcBorders>
              <w:top w:val="single" w:sz="2" w:space="0" w:color="auto"/>
              <w:left w:val="single" w:sz="2" w:space="0" w:color="auto"/>
              <w:bottom w:val="single" w:sz="2" w:space="0" w:color="auto"/>
              <w:right w:val="single" w:sz="2" w:space="0" w:color="auto"/>
            </w:tcBorders>
            <w:vAlign w:val="center"/>
          </w:tcPr>
          <w:p w:rsidR="00CE3C32" w:rsidRDefault="00CE3C32">
            <w:pPr>
              <w:rPr>
                <w:rFonts w:ascii="Times New Roman" w:hAnsi="Times New Roman" w:cs="Times New Roman"/>
              </w:rPr>
            </w:pP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80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c>
          <w:tcPr>
            <w:tcW w:w="80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关联租赁情况说明</w:t>
      </w:r>
      <w:r>
        <w:rPr>
          <w:rFonts w:ascii="Times New Roman" w:eastAsia="宋体" w:hAnsi="Times New Roman" w:cs="Times New Roman" w:hint="eastAsia"/>
          <w:sz w:val="18"/>
          <w:szCs w:val="18"/>
        </w:rPr>
        <w:t>：</w:t>
      </w: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71" w:name="_Toc989356"/>
      <w:r>
        <w:rPr>
          <w:rFonts w:ascii="Times New Roman" w:eastAsia="宋体" w:hAnsi="Times New Roman" w:cs="Times New Roman"/>
          <w:b/>
          <w:bCs/>
          <w:szCs w:val="21"/>
        </w:rPr>
        <w:t>（</w:t>
      </w:r>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关联担保情况</w:t>
      </w:r>
      <w:bookmarkEnd w:id="471"/>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本公司作为担保方</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被担保方</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担保起始日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担保到期日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担保是否已经履行完毕</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本公司作为被担保方</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担保方</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担保起始日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担保到期日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担保是否已经履行完毕</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马学沛、林明玲</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50,000,000.00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2021</w:t>
            </w:r>
            <w:r>
              <w:rPr>
                <w:rFonts w:ascii="Times New Roman" w:eastAsia="宋体" w:hAnsi="Times New Roman" w:cs="Times New Roman"/>
                <w:sz w:val="18"/>
                <w:szCs w:val="18"/>
              </w:rPr>
              <w:t>年</w:t>
            </w:r>
            <w:r>
              <w:rPr>
                <w:rFonts w:ascii="Times New Roman" w:eastAsia="宋体" w:hAnsi="Times New Roman" w:cs="Times New Roman"/>
                <w:sz w:val="18"/>
                <w:szCs w:val="18"/>
              </w:rPr>
              <w:t>09</w:t>
            </w:r>
            <w:r>
              <w:rPr>
                <w:rFonts w:ascii="Times New Roman" w:eastAsia="宋体" w:hAnsi="Times New Roman" w:cs="Times New Roman"/>
                <w:sz w:val="18"/>
                <w:szCs w:val="18"/>
              </w:rPr>
              <w:t>月</w:t>
            </w:r>
            <w:r>
              <w:rPr>
                <w:rFonts w:ascii="Times New Roman" w:eastAsia="宋体" w:hAnsi="Times New Roman" w:cs="Times New Roman"/>
                <w:sz w:val="18"/>
                <w:szCs w:val="18"/>
              </w:rPr>
              <w:t>01</w:t>
            </w:r>
            <w:r>
              <w:rPr>
                <w:rFonts w:ascii="Times New Roman" w:eastAsia="宋体" w:hAnsi="Times New Roman" w:cs="Times New Roman"/>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31</w:t>
            </w:r>
            <w:r>
              <w:rPr>
                <w:rFonts w:ascii="Times New Roman" w:eastAsia="宋体" w:hAnsi="Times New Roman" w:cs="Times New Roman"/>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马学沛、林明玲</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50,000,000.00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2022</w:t>
            </w:r>
            <w:r>
              <w:rPr>
                <w:rFonts w:ascii="Times New Roman" w:eastAsia="宋体" w:hAnsi="Times New Roman" w:cs="Times New Roman"/>
                <w:sz w:val="18"/>
                <w:szCs w:val="18"/>
              </w:rPr>
              <w:t>年</w:t>
            </w:r>
            <w:r>
              <w:rPr>
                <w:rFonts w:ascii="Times New Roman" w:eastAsia="宋体" w:hAnsi="Times New Roman" w:cs="Times New Roman"/>
                <w:sz w:val="18"/>
                <w:szCs w:val="18"/>
              </w:rPr>
              <w:t>07</w:t>
            </w:r>
            <w:r>
              <w:rPr>
                <w:rFonts w:ascii="Times New Roman" w:eastAsia="宋体" w:hAnsi="Times New Roman" w:cs="Times New Roman"/>
                <w:sz w:val="18"/>
                <w:szCs w:val="18"/>
              </w:rPr>
              <w:t>月</w:t>
            </w:r>
            <w:r>
              <w:rPr>
                <w:rFonts w:ascii="Times New Roman" w:eastAsia="宋体" w:hAnsi="Times New Roman" w:cs="Times New Roman"/>
                <w:sz w:val="18"/>
                <w:szCs w:val="18"/>
              </w:rPr>
              <w:t>20</w:t>
            </w:r>
            <w:r>
              <w:rPr>
                <w:rFonts w:ascii="Times New Roman" w:eastAsia="宋体" w:hAnsi="Times New Roman" w:cs="Times New Roman"/>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07</w:t>
            </w:r>
            <w:r>
              <w:rPr>
                <w:rFonts w:ascii="Times New Roman" w:eastAsia="宋体" w:hAnsi="Times New Roman" w:cs="Times New Roman"/>
                <w:sz w:val="18"/>
                <w:szCs w:val="18"/>
              </w:rPr>
              <w:t>月</w:t>
            </w:r>
            <w:r>
              <w:rPr>
                <w:rFonts w:ascii="Times New Roman" w:eastAsia="宋体" w:hAnsi="Times New Roman" w:cs="Times New Roman"/>
                <w:sz w:val="18"/>
                <w:szCs w:val="18"/>
              </w:rPr>
              <w:t>20</w:t>
            </w:r>
            <w:r>
              <w:rPr>
                <w:rFonts w:ascii="Times New Roman" w:eastAsia="宋体" w:hAnsi="Times New Roman" w:cs="Times New Roman"/>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林明玲</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50,000,000.00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2022</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16</w:t>
            </w:r>
            <w:r>
              <w:rPr>
                <w:rFonts w:ascii="Times New Roman" w:eastAsia="宋体" w:hAnsi="Times New Roman" w:cs="Times New Roman"/>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11</w:t>
            </w:r>
            <w:r>
              <w:rPr>
                <w:rFonts w:ascii="Times New Roman" w:eastAsia="宋体" w:hAnsi="Times New Roman" w:cs="Times New Roman"/>
                <w:sz w:val="18"/>
                <w:szCs w:val="18"/>
              </w:rPr>
              <w:t>月</w:t>
            </w:r>
            <w:r>
              <w:rPr>
                <w:rFonts w:ascii="Times New Roman" w:eastAsia="宋体" w:hAnsi="Times New Roman" w:cs="Times New Roman"/>
                <w:sz w:val="18"/>
                <w:szCs w:val="18"/>
              </w:rPr>
              <w:t>22</w:t>
            </w:r>
            <w:r>
              <w:rPr>
                <w:rFonts w:ascii="Times New Roman" w:eastAsia="宋体" w:hAnsi="Times New Roman" w:cs="Times New Roman"/>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马学沛</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50,000,000.00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2022</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16</w:t>
            </w:r>
            <w:r>
              <w:rPr>
                <w:rFonts w:ascii="Times New Roman" w:eastAsia="宋体" w:hAnsi="Times New Roman" w:cs="Times New Roman"/>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11</w:t>
            </w:r>
            <w:r>
              <w:rPr>
                <w:rFonts w:ascii="Times New Roman" w:eastAsia="宋体" w:hAnsi="Times New Roman" w:cs="Times New Roman"/>
                <w:sz w:val="18"/>
                <w:szCs w:val="18"/>
              </w:rPr>
              <w:t>月</w:t>
            </w:r>
            <w:r>
              <w:rPr>
                <w:rFonts w:ascii="Times New Roman" w:eastAsia="宋体" w:hAnsi="Times New Roman" w:cs="Times New Roman"/>
                <w:sz w:val="18"/>
                <w:szCs w:val="18"/>
              </w:rPr>
              <w:t>22</w:t>
            </w:r>
            <w:r>
              <w:rPr>
                <w:rFonts w:ascii="Times New Roman" w:eastAsia="宋体" w:hAnsi="Times New Roman" w:cs="Times New Roman"/>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马学沛、林明玲</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35,000,000.00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2024</w:t>
            </w:r>
            <w:r>
              <w:rPr>
                <w:rFonts w:ascii="Times New Roman" w:eastAsia="宋体" w:hAnsi="Times New Roman" w:cs="Times New Roman"/>
                <w:sz w:val="18"/>
                <w:szCs w:val="18"/>
              </w:rPr>
              <w:t>年</w:t>
            </w:r>
            <w:r>
              <w:rPr>
                <w:rFonts w:ascii="Times New Roman" w:eastAsia="宋体" w:hAnsi="Times New Roman" w:cs="Times New Roman"/>
                <w:sz w:val="18"/>
                <w:szCs w:val="18"/>
              </w:rPr>
              <w:t>08</w:t>
            </w:r>
            <w:r>
              <w:rPr>
                <w:rFonts w:ascii="Times New Roman" w:eastAsia="宋体" w:hAnsi="Times New Roman" w:cs="Times New Roman"/>
                <w:sz w:val="18"/>
                <w:szCs w:val="18"/>
              </w:rPr>
              <w:t>月</w:t>
            </w:r>
            <w:r>
              <w:rPr>
                <w:rFonts w:ascii="Times New Roman" w:eastAsia="宋体" w:hAnsi="Times New Roman" w:cs="Times New Roman"/>
                <w:sz w:val="18"/>
                <w:szCs w:val="18"/>
              </w:rPr>
              <w:t>07</w:t>
            </w:r>
            <w:r>
              <w:rPr>
                <w:rFonts w:ascii="Times New Roman" w:eastAsia="宋体" w:hAnsi="Times New Roman" w:cs="Times New Roman"/>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07</w:t>
            </w:r>
            <w:r>
              <w:rPr>
                <w:rFonts w:ascii="Times New Roman" w:eastAsia="宋体" w:hAnsi="Times New Roman" w:cs="Times New Roman"/>
                <w:sz w:val="18"/>
                <w:szCs w:val="18"/>
              </w:rPr>
              <w:t>月</w:t>
            </w:r>
            <w:r>
              <w:rPr>
                <w:rFonts w:ascii="Times New Roman" w:eastAsia="宋体" w:hAnsi="Times New Roman" w:cs="Times New Roman"/>
                <w:sz w:val="18"/>
                <w:szCs w:val="18"/>
              </w:rPr>
              <w:t>09</w:t>
            </w:r>
            <w:r>
              <w:rPr>
                <w:rFonts w:ascii="Times New Roman" w:eastAsia="宋体" w:hAnsi="Times New Roman" w:cs="Times New Roman"/>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马学沛、林明玲</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2,000,000.00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03</w:t>
            </w:r>
            <w:r>
              <w:rPr>
                <w:rFonts w:ascii="Times New Roman" w:eastAsia="宋体" w:hAnsi="Times New Roman" w:cs="Times New Roman"/>
                <w:sz w:val="18"/>
                <w:szCs w:val="18"/>
              </w:rPr>
              <w:t>月</w:t>
            </w:r>
            <w:r>
              <w:rPr>
                <w:rFonts w:ascii="Times New Roman" w:eastAsia="宋体" w:hAnsi="Times New Roman" w:cs="Times New Roman"/>
                <w:sz w:val="18"/>
                <w:szCs w:val="18"/>
              </w:rPr>
              <w:t>25</w:t>
            </w:r>
            <w:r>
              <w:rPr>
                <w:rFonts w:ascii="Times New Roman" w:eastAsia="宋体" w:hAnsi="Times New Roman" w:cs="Times New Roman"/>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2026</w:t>
            </w:r>
            <w:r>
              <w:rPr>
                <w:rFonts w:ascii="Times New Roman" w:eastAsia="宋体" w:hAnsi="Times New Roman" w:cs="Times New Roman"/>
                <w:sz w:val="18"/>
                <w:szCs w:val="18"/>
              </w:rPr>
              <w:t>年</w:t>
            </w:r>
            <w:r>
              <w:rPr>
                <w:rFonts w:ascii="Times New Roman" w:eastAsia="宋体" w:hAnsi="Times New Roman" w:cs="Times New Roman"/>
                <w:sz w:val="18"/>
                <w:szCs w:val="18"/>
              </w:rPr>
              <w:t>03</w:t>
            </w:r>
            <w:r>
              <w:rPr>
                <w:rFonts w:ascii="Times New Roman" w:eastAsia="宋体" w:hAnsi="Times New Roman" w:cs="Times New Roman"/>
                <w:sz w:val="18"/>
                <w:szCs w:val="18"/>
              </w:rPr>
              <w:t>月</w:t>
            </w:r>
            <w:r>
              <w:rPr>
                <w:rFonts w:ascii="Times New Roman" w:eastAsia="宋体" w:hAnsi="Times New Roman" w:cs="Times New Roman"/>
                <w:sz w:val="18"/>
                <w:szCs w:val="18"/>
              </w:rPr>
              <w:t>24</w:t>
            </w:r>
            <w:r>
              <w:rPr>
                <w:rFonts w:ascii="Times New Roman" w:eastAsia="宋体" w:hAnsi="Times New Roman" w:cs="Times New Roman"/>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否</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马学沛、林明玲</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10,000,000.00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03</w:t>
            </w:r>
            <w:r>
              <w:rPr>
                <w:rFonts w:ascii="Times New Roman" w:eastAsia="宋体" w:hAnsi="Times New Roman" w:cs="Times New Roman"/>
                <w:sz w:val="18"/>
                <w:szCs w:val="18"/>
              </w:rPr>
              <w:t>月</w:t>
            </w:r>
            <w:r>
              <w:rPr>
                <w:rFonts w:ascii="Times New Roman" w:eastAsia="宋体" w:hAnsi="Times New Roman" w:cs="Times New Roman"/>
                <w:sz w:val="18"/>
                <w:szCs w:val="18"/>
              </w:rPr>
              <w:t>27</w:t>
            </w:r>
            <w:r>
              <w:rPr>
                <w:rFonts w:ascii="Times New Roman" w:eastAsia="宋体" w:hAnsi="Times New Roman" w:cs="Times New Roman"/>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10</w:t>
            </w:r>
            <w:r>
              <w:rPr>
                <w:rFonts w:ascii="Times New Roman" w:eastAsia="宋体" w:hAnsi="Times New Roman" w:cs="Times New Roman"/>
                <w:sz w:val="18"/>
                <w:szCs w:val="18"/>
              </w:rPr>
              <w:t>月</w:t>
            </w:r>
            <w:r>
              <w:rPr>
                <w:rFonts w:ascii="Times New Roman" w:eastAsia="宋体" w:hAnsi="Times New Roman" w:cs="Times New Roman"/>
                <w:sz w:val="18"/>
                <w:szCs w:val="18"/>
              </w:rPr>
              <w:t>01</w:t>
            </w:r>
            <w:r>
              <w:rPr>
                <w:rFonts w:ascii="Times New Roman" w:eastAsia="宋体" w:hAnsi="Times New Roman" w:cs="Times New Roman"/>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否</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关联担保情况说明</w:t>
      </w:r>
    </w:p>
    <w:p w:rsidR="00CE3C32" w:rsidRDefault="006413B8">
      <w:pPr>
        <w:pStyle w:val="a6"/>
        <w:spacing w:before="0" w:beforeAutospacing="0" w:after="0" w:afterAutospacing="0"/>
        <w:ind w:firstLine="357"/>
        <w:jc w:val="both"/>
        <w:rPr>
          <w:rFonts w:ascii="Times New Roman" w:hAnsi="Times New Roman" w:cs="Times New Roman"/>
          <w:sz w:val="21"/>
          <w:szCs w:val="21"/>
        </w:rPr>
      </w:pPr>
      <w:r>
        <w:rPr>
          <w:rFonts w:ascii="Times New Roman" w:hAnsi="Times New Roman" w:cs="Times New Roman"/>
          <w:color w:val="000000"/>
          <w:sz w:val="18"/>
          <w:szCs w:val="18"/>
        </w:rPr>
        <w:t>公司于</w:t>
      </w:r>
      <w:r>
        <w:rPr>
          <w:rFonts w:ascii="Times New Roman" w:hAnsi="Times New Roman" w:cs="Times New Roman"/>
          <w:color w:val="000000"/>
          <w:sz w:val="18"/>
          <w:szCs w:val="18"/>
        </w:rPr>
        <w:t>2025</w:t>
      </w:r>
      <w:r>
        <w:rPr>
          <w:rFonts w:ascii="Times New Roman" w:hAnsi="Times New Roman" w:cs="Times New Roman"/>
          <w:color w:val="000000"/>
          <w:sz w:val="18"/>
          <w:szCs w:val="18"/>
        </w:rPr>
        <w:t>年</w:t>
      </w:r>
      <w:r>
        <w:rPr>
          <w:rFonts w:ascii="Times New Roman" w:hAnsi="Times New Roman" w:cs="Times New Roman"/>
          <w:color w:val="000000"/>
          <w:sz w:val="18"/>
          <w:szCs w:val="18"/>
        </w:rPr>
        <w:t>4</w:t>
      </w:r>
      <w:r>
        <w:rPr>
          <w:rFonts w:ascii="Times New Roman" w:hAnsi="Times New Roman" w:cs="Times New Roman"/>
          <w:color w:val="000000"/>
          <w:sz w:val="18"/>
          <w:szCs w:val="18"/>
        </w:rPr>
        <w:t>月</w:t>
      </w:r>
      <w:r>
        <w:rPr>
          <w:rFonts w:ascii="Times New Roman" w:hAnsi="Times New Roman" w:cs="Times New Roman"/>
          <w:color w:val="000000"/>
          <w:sz w:val="18"/>
          <w:szCs w:val="18"/>
        </w:rPr>
        <w:t>18</w:t>
      </w:r>
      <w:r>
        <w:rPr>
          <w:rFonts w:ascii="Times New Roman" w:hAnsi="Times New Roman" w:cs="Times New Roman"/>
          <w:color w:val="000000"/>
          <w:sz w:val="18"/>
          <w:szCs w:val="18"/>
        </w:rPr>
        <w:t>日召开第三届董事会第三十次会议、第三届监事会第二十六次会议，审议通过了《关于公司及子公司拟申请金融机构综合授信额度暨关联方提供担保的议案》，根据公司</w:t>
      </w:r>
      <w:r>
        <w:rPr>
          <w:rFonts w:ascii="Times New Roman" w:hAnsi="Times New Roman" w:cs="Times New Roman"/>
          <w:color w:val="000000"/>
          <w:sz w:val="18"/>
          <w:szCs w:val="18"/>
        </w:rPr>
        <w:t>2025</w:t>
      </w:r>
      <w:r>
        <w:rPr>
          <w:rFonts w:ascii="Times New Roman" w:hAnsi="Times New Roman" w:cs="Times New Roman"/>
          <w:color w:val="000000"/>
          <w:sz w:val="18"/>
          <w:szCs w:val="18"/>
        </w:rPr>
        <w:t>年度经营计划对资金的需求，公司及子公司深圳市互联精英信息技术有限公司、广东天亿马信息科技有限公司、天亿马信息技术有限公司、广东天亿马数字产业有限公司、天亿马</w:t>
      </w:r>
      <w:r>
        <w:rPr>
          <w:rFonts w:ascii="Times New Roman" w:hAnsi="Times New Roman" w:cs="Times New Roman"/>
          <w:color w:val="000000"/>
          <w:sz w:val="18"/>
          <w:szCs w:val="18"/>
        </w:rPr>
        <w:t>(</w:t>
      </w:r>
      <w:r>
        <w:rPr>
          <w:rFonts w:ascii="Times New Roman" w:hAnsi="Times New Roman" w:cs="Times New Roman"/>
          <w:color w:val="000000"/>
          <w:sz w:val="18"/>
          <w:szCs w:val="18"/>
        </w:rPr>
        <w:t>香港</w:t>
      </w:r>
      <w:r>
        <w:rPr>
          <w:rFonts w:ascii="Times New Roman" w:hAnsi="Times New Roman" w:cs="Times New Roman"/>
          <w:color w:val="000000"/>
          <w:sz w:val="18"/>
          <w:szCs w:val="18"/>
        </w:rPr>
        <w:t>)</w:t>
      </w:r>
      <w:r>
        <w:rPr>
          <w:rFonts w:ascii="Times New Roman" w:hAnsi="Times New Roman" w:cs="Times New Roman"/>
          <w:color w:val="000000"/>
          <w:sz w:val="18"/>
          <w:szCs w:val="18"/>
        </w:rPr>
        <w:t>信息产业有限公司拟向包括但不限于中国建设银行、中国银行、中国工商银行、中国交通银行、南洋商业银行、中国光大银行等金融机构申请总额度不超过人民币</w:t>
      </w:r>
      <w:r>
        <w:rPr>
          <w:rFonts w:ascii="Times New Roman" w:hAnsi="Times New Roman" w:cs="Times New Roman"/>
          <w:color w:val="000000"/>
          <w:sz w:val="18"/>
          <w:szCs w:val="18"/>
        </w:rPr>
        <w:t xml:space="preserve"> 50,000 </w:t>
      </w:r>
      <w:r>
        <w:rPr>
          <w:rFonts w:ascii="Times New Roman" w:hAnsi="Times New Roman" w:cs="Times New Roman"/>
          <w:color w:val="000000"/>
          <w:sz w:val="18"/>
          <w:szCs w:val="18"/>
        </w:rPr>
        <w:t>万元</w:t>
      </w:r>
      <w:r>
        <w:rPr>
          <w:rFonts w:ascii="Times New Roman" w:hAnsi="Times New Roman" w:cs="Times New Roman"/>
          <w:color w:val="000000"/>
          <w:sz w:val="18"/>
          <w:szCs w:val="18"/>
        </w:rPr>
        <w:t>(</w:t>
      </w:r>
      <w:r>
        <w:rPr>
          <w:rFonts w:ascii="Times New Roman" w:hAnsi="Times New Roman" w:cs="Times New Roman"/>
          <w:color w:val="000000"/>
          <w:sz w:val="18"/>
          <w:szCs w:val="18"/>
        </w:rPr>
        <w:t>含本数</w:t>
      </w:r>
      <w:r>
        <w:rPr>
          <w:rFonts w:ascii="Times New Roman" w:hAnsi="Times New Roman" w:cs="Times New Roman"/>
          <w:color w:val="000000"/>
          <w:sz w:val="18"/>
          <w:szCs w:val="18"/>
        </w:rPr>
        <w:t>)(</w:t>
      </w:r>
      <w:r>
        <w:rPr>
          <w:rFonts w:ascii="Times New Roman" w:hAnsi="Times New Roman" w:cs="Times New Roman"/>
          <w:color w:val="000000"/>
          <w:sz w:val="18"/>
          <w:szCs w:val="18"/>
        </w:rPr>
        <w:t>人民币万元，下同</w:t>
      </w:r>
      <w:r>
        <w:rPr>
          <w:rFonts w:ascii="Times New Roman" w:hAnsi="Times New Roman" w:cs="Times New Roman"/>
          <w:color w:val="000000"/>
          <w:sz w:val="18"/>
          <w:szCs w:val="18"/>
        </w:rPr>
        <w:t>)</w:t>
      </w:r>
      <w:r>
        <w:rPr>
          <w:rFonts w:ascii="Times New Roman" w:hAnsi="Times New Roman" w:cs="Times New Roman"/>
          <w:color w:val="000000"/>
          <w:sz w:val="18"/>
          <w:szCs w:val="18"/>
        </w:rPr>
        <w:t>的综合授信额度，并接受实际控制人马学沛、林明玲夫妇为实际贷款提供担保。马学沛、林明玲夫妇为相关授信提供担保不收取公司及子公司任何费用，不需要公司及子公司提供反担保。本次申请综合授信额度有效期为自股东会审议通过该议案之日起至</w:t>
      </w:r>
      <w:r>
        <w:rPr>
          <w:rFonts w:ascii="Times New Roman" w:hAnsi="Times New Roman" w:cs="Times New Roman"/>
          <w:color w:val="000000"/>
          <w:sz w:val="18"/>
          <w:szCs w:val="18"/>
        </w:rPr>
        <w:t xml:space="preserve"> 2025 </w:t>
      </w:r>
      <w:r>
        <w:rPr>
          <w:rFonts w:ascii="Times New Roman" w:hAnsi="Times New Roman" w:cs="Times New Roman"/>
          <w:color w:val="000000"/>
          <w:sz w:val="18"/>
          <w:szCs w:val="18"/>
        </w:rPr>
        <w:t>年年度股东会有效，授信期限内授信额度可循环使用。</w:t>
      </w:r>
    </w:p>
    <w:p w:rsidR="00CE3C32" w:rsidRDefault="006413B8">
      <w:pPr>
        <w:pStyle w:val="a6"/>
        <w:spacing w:before="0" w:beforeAutospacing="0" w:after="0" w:afterAutospacing="0"/>
        <w:ind w:firstLine="357"/>
        <w:jc w:val="both"/>
        <w:rPr>
          <w:rFonts w:ascii="Times New Roman" w:hAnsi="Times New Roman" w:cs="Times New Roman"/>
          <w:sz w:val="21"/>
          <w:szCs w:val="21"/>
        </w:rPr>
      </w:pPr>
      <w:r>
        <w:rPr>
          <w:rFonts w:ascii="Times New Roman" w:hAnsi="Times New Roman" w:cs="Times New Roman"/>
          <w:color w:val="000000"/>
          <w:sz w:val="18"/>
          <w:szCs w:val="18"/>
        </w:rPr>
        <w:t>该事项豁免提交股东会审议。</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72" w:name="_Toc989357"/>
      <w:r>
        <w:rPr>
          <w:rFonts w:ascii="Times New Roman" w:eastAsia="宋体" w:hAnsi="Times New Roman" w:cs="Times New Roman"/>
          <w:b/>
          <w:bCs/>
          <w:szCs w:val="21"/>
        </w:rPr>
        <w:t>（</w:t>
      </w:r>
      <w:r>
        <w:rPr>
          <w:rFonts w:ascii="Times New Roman" w:eastAsia="宋体" w:hAnsi="Times New Roman" w:cs="Times New Roman"/>
          <w:b/>
          <w:bCs/>
          <w:szCs w:val="21"/>
        </w:rPr>
        <w:t>5</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关联方资金拆借</w:t>
      </w:r>
      <w:bookmarkEnd w:id="47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关联方</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拆借金额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起始日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到期日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说明</w:t>
            </w:r>
          </w:p>
        </w:tc>
      </w:tr>
      <w:tr w:rsidR="00CE3C32">
        <w:trPr>
          <w:trHeight w:val="240"/>
        </w:trPr>
        <w:tc>
          <w:tcPr>
            <w:tcW w:w="9639"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拆入</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9639"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拆出</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73" w:name="_Toc989358"/>
      <w:r>
        <w:rPr>
          <w:rFonts w:ascii="Times New Roman" w:eastAsia="宋体" w:hAnsi="Times New Roman" w:cs="Times New Roman"/>
          <w:b/>
          <w:bCs/>
          <w:szCs w:val="21"/>
        </w:rPr>
        <w:lastRenderedPageBreak/>
        <w:t>（</w:t>
      </w:r>
      <w:r>
        <w:rPr>
          <w:rFonts w:ascii="Times New Roman" w:eastAsia="宋体" w:hAnsi="Times New Roman" w:cs="Times New Roman"/>
          <w:b/>
          <w:bCs/>
          <w:szCs w:val="21"/>
        </w:rPr>
        <w:t>6</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关联方资产转让、债务重组情况</w:t>
      </w:r>
      <w:bookmarkEnd w:id="473"/>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关联方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关联交易内容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74" w:name="_Toc989359"/>
      <w:r>
        <w:rPr>
          <w:rFonts w:ascii="Times New Roman" w:eastAsia="宋体" w:hAnsi="Times New Roman" w:cs="Times New Roman"/>
          <w:b/>
          <w:bCs/>
          <w:szCs w:val="21"/>
        </w:rPr>
        <w:t>（</w:t>
      </w:r>
      <w:r>
        <w:rPr>
          <w:rFonts w:ascii="Times New Roman" w:eastAsia="宋体" w:hAnsi="Times New Roman" w:cs="Times New Roman"/>
          <w:b/>
          <w:bCs/>
          <w:szCs w:val="21"/>
        </w:rPr>
        <w:t>7</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关键管理人员报酬</w:t>
      </w:r>
      <w:bookmarkEnd w:id="474"/>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关键管理人员报酬</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2,678,155.74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2,251,042.13</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75" w:name="_Toc989360"/>
      <w:r>
        <w:rPr>
          <w:rFonts w:ascii="Times New Roman" w:eastAsia="宋体" w:hAnsi="Times New Roman" w:cs="Times New Roman"/>
          <w:b/>
          <w:bCs/>
          <w:szCs w:val="21"/>
        </w:rPr>
        <w:t>（</w:t>
      </w:r>
      <w:r>
        <w:rPr>
          <w:rFonts w:ascii="Times New Roman" w:eastAsia="宋体" w:hAnsi="Times New Roman" w:cs="Times New Roman"/>
          <w:b/>
          <w:bCs/>
          <w:szCs w:val="21"/>
        </w:rPr>
        <w:t>8</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其他关联交易</w:t>
      </w:r>
      <w:bookmarkEnd w:id="475"/>
    </w:p>
    <w:p w:rsidR="00CE3C32" w:rsidRDefault="006413B8">
      <w:pPr>
        <w:pStyle w:val="a6"/>
        <w:spacing w:before="120" w:beforeAutospacing="0" w:after="0" w:afterAutospacing="0" w:line="360" w:lineRule="auto"/>
        <w:ind w:firstLine="420"/>
        <w:jc w:val="both"/>
        <w:rPr>
          <w:rFonts w:ascii="Times New Roman" w:hAnsi="Times New Roman" w:cs="Times New Roman"/>
          <w:sz w:val="21"/>
          <w:szCs w:val="21"/>
        </w:rPr>
      </w:pPr>
      <w:r>
        <w:rPr>
          <w:rFonts w:ascii="Times New Roman" w:hAnsi="Times New Roman" w:cs="Times New Roman"/>
          <w:sz w:val="18"/>
          <w:szCs w:val="18"/>
        </w:rPr>
        <w:t>汕头潮阳融和村镇银行股份有限公司（以下简称</w:t>
      </w:r>
      <w:r>
        <w:rPr>
          <w:rFonts w:ascii="Times New Roman" w:hAnsi="Times New Roman" w:cs="Times New Roman"/>
          <w:sz w:val="18"/>
          <w:szCs w:val="18"/>
        </w:rPr>
        <w:t>“</w:t>
      </w:r>
      <w:r>
        <w:rPr>
          <w:rFonts w:ascii="Times New Roman" w:hAnsi="Times New Roman" w:cs="Times New Roman"/>
          <w:sz w:val="18"/>
          <w:szCs w:val="18"/>
        </w:rPr>
        <w:t>融和银行</w:t>
      </w:r>
      <w:r>
        <w:rPr>
          <w:rFonts w:ascii="Times New Roman" w:hAnsi="Times New Roman" w:cs="Times New Roman"/>
          <w:sz w:val="18"/>
          <w:szCs w:val="18"/>
        </w:rPr>
        <w:t>”</w:t>
      </w:r>
      <w:r>
        <w:rPr>
          <w:rFonts w:ascii="Times New Roman" w:hAnsi="Times New Roman" w:cs="Times New Roman"/>
          <w:sz w:val="18"/>
          <w:szCs w:val="18"/>
        </w:rPr>
        <w:t>）系经中国银行业监督管理委员会批准成立的金融机构。报告期内，融和银行为本公司提供存款服务，按市场费率标准计算存款利息，属于正常的商业行为。</w:t>
      </w:r>
    </w:p>
    <w:p w:rsidR="00CE3C32" w:rsidRDefault="006413B8">
      <w:pPr>
        <w:pStyle w:val="a6"/>
        <w:spacing w:before="0" w:beforeAutospacing="0" w:after="0" w:afterAutospacing="0" w:line="460" w:lineRule="atLeast"/>
        <w:ind w:firstLine="420"/>
        <w:jc w:val="both"/>
        <w:rPr>
          <w:rFonts w:ascii="Times New Roman" w:hAnsi="Times New Roman" w:cs="Times New Roman"/>
          <w:sz w:val="21"/>
          <w:szCs w:val="21"/>
        </w:rPr>
      </w:pPr>
      <w:r>
        <w:rPr>
          <w:rFonts w:ascii="Times New Roman" w:hAnsi="Times New Roman" w:cs="Times New Roman"/>
          <w:sz w:val="18"/>
          <w:szCs w:val="18"/>
        </w:rPr>
        <w:t>公司在融和银行的利息收入情况如下：</w:t>
      </w:r>
    </w:p>
    <w:tbl>
      <w:tblPr>
        <w:tblW w:w="5000" w:type="pct"/>
        <w:tblCellMar>
          <w:left w:w="0" w:type="dxa"/>
          <w:right w:w="0" w:type="dxa"/>
        </w:tblCellMar>
        <w:tblLook w:val="04A0" w:firstRow="1" w:lastRow="0" w:firstColumn="1" w:lastColumn="0" w:noHBand="0" w:noVBand="1"/>
        <w:tblCaption w:val="C:\Users\asd\Desktop|4-财务报表附注2023-0320.xlsx|W附注模板|_jds179|0|desc|||0|1"/>
      </w:tblPr>
      <w:tblGrid>
        <w:gridCol w:w="3870"/>
        <w:gridCol w:w="3204"/>
        <w:gridCol w:w="2789"/>
      </w:tblGrid>
      <w:tr w:rsidR="00CE3C32">
        <w:trPr>
          <w:trHeight w:val="283"/>
          <w:tblHeader/>
        </w:trPr>
        <w:tc>
          <w:tcPr>
            <w:tcW w:w="1962" w:type="pct"/>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13" w:type="dxa"/>
              <w:bottom w:w="0" w:type="dxa"/>
              <w:right w:w="113" w:type="dxa"/>
            </w:tcMar>
            <w:vAlign w:val="center"/>
          </w:tcPr>
          <w:p w:rsidR="00CE3C32" w:rsidRDefault="006413B8">
            <w:pPr>
              <w:pStyle w:val="a6"/>
              <w:spacing w:before="0" w:beforeAutospacing="0" w:after="0" w:afterAutospacing="0"/>
              <w:ind w:firstLine="281"/>
              <w:jc w:val="center"/>
              <w:rPr>
                <w:rFonts w:ascii="Times New Roman" w:hAnsi="Times New Roman" w:cs="Times New Roman"/>
                <w:sz w:val="21"/>
                <w:szCs w:val="21"/>
              </w:rPr>
            </w:pPr>
            <w:r>
              <w:rPr>
                <w:rStyle w:val="a7"/>
                <w:rFonts w:ascii="Times New Roman" w:hAnsi="Times New Roman" w:cs="Times New Roman"/>
                <w:b w:val="0"/>
                <w:sz w:val="18"/>
                <w:szCs w:val="18"/>
              </w:rPr>
              <w:t>项目</w:t>
            </w:r>
          </w:p>
        </w:tc>
        <w:tc>
          <w:tcPr>
            <w:tcW w:w="1624"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13" w:type="dxa"/>
              <w:bottom w:w="0" w:type="dxa"/>
              <w:right w:w="113" w:type="dxa"/>
            </w:tcMar>
            <w:vAlign w:val="center"/>
          </w:tcPr>
          <w:p w:rsidR="00CE3C32" w:rsidRDefault="006413B8">
            <w:pPr>
              <w:pStyle w:val="a6"/>
              <w:spacing w:before="0" w:beforeAutospacing="0" w:after="0" w:afterAutospacing="0"/>
              <w:ind w:firstLine="281"/>
              <w:jc w:val="center"/>
              <w:rPr>
                <w:rFonts w:ascii="Times New Roman" w:hAnsi="Times New Roman" w:cs="Times New Roman"/>
                <w:sz w:val="21"/>
                <w:szCs w:val="21"/>
              </w:rPr>
            </w:pPr>
            <w:r>
              <w:rPr>
                <w:rStyle w:val="a7"/>
                <w:rFonts w:ascii="Times New Roman" w:hAnsi="Times New Roman" w:cs="Times New Roman"/>
                <w:b w:val="0"/>
                <w:sz w:val="18"/>
                <w:szCs w:val="18"/>
              </w:rPr>
              <w:t>本期发生额（元）</w:t>
            </w:r>
          </w:p>
        </w:tc>
        <w:tc>
          <w:tcPr>
            <w:tcW w:w="1414"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13" w:type="dxa"/>
              <w:bottom w:w="0" w:type="dxa"/>
              <w:right w:w="113" w:type="dxa"/>
            </w:tcMar>
            <w:vAlign w:val="center"/>
          </w:tcPr>
          <w:p w:rsidR="00CE3C32" w:rsidRDefault="006413B8">
            <w:pPr>
              <w:pStyle w:val="a6"/>
              <w:spacing w:before="0" w:beforeAutospacing="0" w:after="0" w:afterAutospacing="0"/>
              <w:ind w:firstLine="281"/>
              <w:jc w:val="center"/>
              <w:rPr>
                <w:rFonts w:ascii="Times New Roman" w:hAnsi="Times New Roman" w:cs="Times New Roman"/>
                <w:sz w:val="21"/>
                <w:szCs w:val="21"/>
              </w:rPr>
            </w:pPr>
            <w:r>
              <w:rPr>
                <w:rStyle w:val="a7"/>
                <w:rFonts w:ascii="Times New Roman" w:hAnsi="Times New Roman" w:cs="Times New Roman"/>
                <w:b w:val="0"/>
                <w:sz w:val="18"/>
                <w:szCs w:val="18"/>
              </w:rPr>
              <w:t>上期发生额（元）</w:t>
            </w:r>
          </w:p>
        </w:tc>
      </w:tr>
      <w:tr w:rsidR="00CE3C32">
        <w:trPr>
          <w:trHeight w:val="283"/>
        </w:trPr>
        <w:tc>
          <w:tcPr>
            <w:tcW w:w="1962" w:type="pct"/>
            <w:tcBorders>
              <w:top w:val="nil"/>
              <w:left w:val="single" w:sz="8" w:space="0" w:color="auto"/>
              <w:bottom w:val="single" w:sz="8" w:space="0" w:color="auto"/>
              <w:right w:val="single" w:sz="8" w:space="0" w:color="auto"/>
            </w:tcBorders>
            <w:tcMar>
              <w:top w:w="0" w:type="dxa"/>
              <w:left w:w="113" w:type="dxa"/>
              <w:bottom w:w="0" w:type="dxa"/>
              <w:right w:w="113" w:type="dxa"/>
            </w:tcMar>
            <w:vAlign w:val="center"/>
          </w:tcPr>
          <w:p w:rsidR="00CE3C32" w:rsidRDefault="006413B8">
            <w:pPr>
              <w:pStyle w:val="a6"/>
              <w:spacing w:before="0" w:beforeAutospacing="0" w:after="0" w:afterAutospacing="0"/>
              <w:jc w:val="both"/>
              <w:textAlignment w:val="center"/>
              <w:rPr>
                <w:rFonts w:ascii="Times New Roman" w:hAnsi="Times New Roman" w:cs="Times New Roman"/>
                <w:sz w:val="21"/>
                <w:szCs w:val="21"/>
              </w:rPr>
            </w:pPr>
            <w:r>
              <w:rPr>
                <w:rFonts w:ascii="Times New Roman" w:hAnsi="Times New Roman" w:cs="Times New Roman"/>
                <w:color w:val="000000"/>
                <w:sz w:val="18"/>
                <w:szCs w:val="18"/>
              </w:rPr>
              <w:t>利息收入</w:t>
            </w:r>
          </w:p>
        </w:tc>
        <w:tc>
          <w:tcPr>
            <w:tcW w:w="1624" w:type="pct"/>
            <w:tcBorders>
              <w:top w:val="nil"/>
              <w:left w:val="nil"/>
              <w:bottom w:val="single" w:sz="8" w:space="0" w:color="auto"/>
              <w:right w:val="single" w:sz="8" w:space="0" w:color="auto"/>
            </w:tcBorders>
            <w:tcMar>
              <w:top w:w="0" w:type="dxa"/>
              <w:left w:w="113" w:type="dxa"/>
              <w:bottom w:w="0" w:type="dxa"/>
              <w:right w:w="113" w:type="dxa"/>
            </w:tcMar>
            <w:vAlign w:val="center"/>
          </w:tcPr>
          <w:p w:rsidR="00CE3C32" w:rsidRDefault="006413B8">
            <w:pPr>
              <w:pStyle w:val="a6"/>
              <w:spacing w:before="0" w:beforeAutospacing="0" w:after="0" w:afterAutospacing="0"/>
              <w:ind w:firstLine="280"/>
              <w:jc w:val="right"/>
              <w:textAlignment w:val="center"/>
              <w:rPr>
                <w:rFonts w:ascii="Times New Roman" w:hAnsi="Times New Roman" w:cs="Times New Roman"/>
                <w:sz w:val="21"/>
                <w:szCs w:val="21"/>
              </w:rPr>
            </w:pPr>
            <w:r>
              <w:rPr>
                <w:rFonts w:ascii="Times New Roman" w:hAnsi="Times New Roman" w:cs="Times New Roman"/>
                <w:color w:val="000000"/>
                <w:sz w:val="18"/>
                <w:szCs w:val="18"/>
              </w:rPr>
              <w:t>98,474.84 </w:t>
            </w:r>
          </w:p>
        </w:tc>
        <w:tc>
          <w:tcPr>
            <w:tcW w:w="1414" w:type="pct"/>
            <w:tcBorders>
              <w:top w:val="nil"/>
              <w:left w:val="nil"/>
              <w:bottom w:val="single" w:sz="8" w:space="0" w:color="auto"/>
              <w:right w:val="single" w:sz="8" w:space="0" w:color="auto"/>
            </w:tcBorders>
            <w:tcMar>
              <w:top w:w="0" w:type="dxa"/>
              <w:left w:w="113" w:type="dxa"/>
              <w:bottom w:w="0" w:type="dxa"/>
              <w:right w:w="113" w:type="dxa"/>
            </w:tcMar>
            <w:vAlign w:val="center"/>
          </w:tcPr>
          <w:p w:rsidR="00CE3C32" w:rsidRDefault="006413B8">
            <w:pPr>
              <w:pStyle w:val="a6"/>
              <w:spacing w:before="0" w:beforeAutospacing="0" w:after="0" w:afterAutospacing="0"/>
              <w:ind w:firstLine="280"/>
              <w:jc w:val="right"/>
              <w:textAlignment w:val="center"/>
              <w:rPr>
                <w:rFonts w:ascii="Times New Roman" w:hAnsi="Times New Roman" w:cs="Times New Roman"/>
                <w:sz w:val="21"/>
                <w:szCs w:val="21"/>
              </w:rPr>
            </w:pPr>
            <w:r>
              <w:rPr>
                <w:rFonts w:ascii="Times New Roman" w:hAnsi="Times New Roman" w:cs="Times New Roman"/>
                <w:color w:val="000000"/>
                <w:sz w:val="18"/>
                <w:szCs w:val="18"/>
              </w:rPr>
              <w:t>98,601.49</w:t>
            </w:r>
          </w:p>
        </w:tc>
      </w:tr>
    </w:tbl>
    <w:p w:rsidR="00CE3C32" w:rsidRDefault="006413B8">
      <w:pPr>
        <w:pStyle w:val="a6"/>
        <w:spacing w:before="0" w:beforeAutospacing="0" w:after="0" w:afterAutospacing="0" w:line="460" w:lineRule="atLeast"/>
        <w:ind w:firstLine="420"/>
        <w:jc w:val="both"/>
        <w:rPr>
          <w:rFonts w:ascii="Times New Roman" w:hAnsi="Times New Roman" w:cs="Times New Roman"/>
          <w:sz w:val="21"/>
          <w:szCs w:val="21"/>
        </w:rPr>
      </w:pPr>
      <w:r>
        <w:rPr>
          <w:rFonts w:ascii="Times New Roman" w:hAnsi="Times New Roman" w:cs="Times New Roman"/>
          <w:sz w:val="18"/>
          <w:szCs w:val="18"/>
        </w:rPr>
        <w:t>公司在融和银行的存款余额情况如下：</w:t>
      </w:r>
    </w:p>
    <w:tbl>
      <w:tblPr>
        <w:tblW w:w="5000" w:type="pct"/>
        <w:tblCellMar>
          <w:left w:w="0" w:type="dxa"/>
          <w:right w:w="0" w:type="dxa"/>
        </w:tblCellMar>
        <w:tblLook w:val="04A0" w:firstRow="1" w:lastRow="0" w:firstColumn="1" w:lastColumn="0" w:noHBand="0" w:noVBand="1"/>
        <w:tblCaption w:val="C:\Users\asd\Desktop|4-财务报表附注2023-0320.xlsx|W附注模板|_jds179|0|desc|||0|1"/>
      </w:tblPr>
      <w:tblGrid>
        <w:gridCol w:w="3870"/>
        <w:gridCol w:w="3204"/>
        <w:gridCol w:w="2789"/>
      </w:tblGrid>
      <w:tr w:rsidR="00CE3C32">
        <w:trPr>
          <w:trHeight w:val="283"/>
          <w:tblHeader/>
        </w:trPr>
        <w:tc>
          <w:tcPr>
            <w:tcW w:w="1962" w:type="pct"/>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13" w:type="dxa"/>
              <w:bottom w:w="0" w:type="dxa"/>
              <w:right w:w="113" w:type="dxa"/>
            </w:tcMar>
            <w:vAlign w:val="center"/>
          </w:tcPr>
          <w:p w:rsidR="00CE3C32" w:rsidRDefault="006413B8">
            <w:pPr>
              <w:pStyle w:val="a6"/>
              <w:spacing w:before="0" w:beforeAutospacing="0" w:after="0" w:afterAutospacing="0"/>
              <w:ind w:firstLine="281"/>
              <w:jc w:val="center"/>
              <w:rPr>
                <w:rFonts w:ascii="Times New Roman" w:hAnsi="Times New Roman" w:cs="Times New Roman"/>
                <w:sz w:val="21"/>
                <w:szCs w:val="21"/>
              </w:rPr>
            </w:pPr>
            <w:r>
              <w:rPr>
                <w:rStyle w:val="a7"/>
                <w:rFonts w:ascii="Times New Roman" w:hAnsi="Times New Roman" w:cs="Times New Roman"/>
                <w:b w:val="0"/>
                <w:sz w:val="18"/>
                <w:szCs w:val="18"/>
              </w:rPr>
              <w:t>项目</w:t>
            </w:r>
          </w:p>
        </w:tc>
        <w:tc>
          <w:tcPr>
            <w:tcW w:w="1624"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13" w:type="dxa"/>
              <w:bottom w:w="0" w:type="dxa"/>
              <w:right w:w="113" w:type="dxa"/>
            </w:tcMar>
            <w:vAlign w:val="center"/>
          </w:tcPr>
          <w:p w:rsidR="00CE3C32" w:rsidRDefault="006413B8">
            <w:pPr>
              <w:pStyle w:val="a6"/>
              <w:spacing w:before="0" w:beforeAutospacing="0" w:after="0" w:afterAutospacing="0"/>
              <w:ind w:firstLine="281"/>
              <w:jc w:val="center"/>
              <w:rPr>
                <w:rFonts w:ascii="Times New Roman" w:hAnsi="Times New Roman" w:cs="Times New Roman"/>
                <w:sz w:val="21"/>
                <w:szCs w:val="21"/>
              </w:rPr>
            </w:pPr>
            <w:r>
              <w:rPr>
                <w:rStyle w:val="a7"/>
                <w:rFonts w:ascii="Times New Roman" w:hAnsi="Times New Roman" w:cs="Times New Roman"/>
                <w:b w:val="0"/>
                <w:sz w:val="18"/>
                <w:szCs w:val="18"/>
              </w:rPr>
              <w:t>期末余额（元）</w:t>
            </w:r>
          </w:p>
        </w:tc>
        <w:tc>
          <w:tcPr>
            <w:tcW w:w="1414"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13" w:type="dxa"/>
              <w:bottom w:w="0" w:type="dxa"/>
              <w:right w:w="113" w:type="dxa"/>
            </w:tcMar>
            <w:vAlign w:val="center"/>
          </w:tcPr>
          <w:p w:rsidR="00CE3C32" w:rsidRDefault="006413B8">
            <w:pPr>
              <w:pStyle w:val="a6"/>
              <w:spacing w:before="0" w:beforeAutospacing="0" w:after="0" w:afterAutospacing="0"/>
              <w:ind w:firstLine="281"/>
              <w:jc w:val="center"/>
              <w:rPr>
                <w:rFonts w:ascii="Times New Roman" w:hAnsi="Times New Roman" w:cs="Times New Roman"/>
                <w:sz w:val="21"/>
                <w:szCs w:val="21"/>
              </w:rPr>
            </w:pPr>
            <w:r>
              <w:rPr>
                <w:rStyle w:val="a7"/>
                <w:rFonts w:ascii="Times New Roman" w:hAnsi="Times New Roman" w:cs="Times New Roman"/>
                <w:b w:val="0"/>
                <w:sz w:val="18"/>
                <w:szCs w:val="18"/>
              </w:rPr>
              <w:t>期初余额（元）</w:t>
            </w:r>
          </w:p>
        </w:tc>
      </w:tr>
      <w:tr w:rsidR="00CE3C32">
        <w:trPr>
          <w:trHeight w:val="283"/>
        </w:trPr>
        <w:tc>
          <w:tcPr>
            <w:tcW w:w="1962" w:type="pct"/>
            <w:tcBorders>
              <w:top w:val="nil"/>
              <w:left w:val="single" w:sz="8" w:space="0" w:color="auto"/>
              <w:bottom w:val="single" w:sz="8" w:space="0" w:color="auto"/>
              <w:right w:val="single" w:sz="8" w:space="0" w:color="auto"/>
            </w:tcBorders>
            <w:tcMar>
              <w:top w:w="0" w:type="dxa"/>
              <w:left w:w="113" w:type="dxa"/>
              <w:bottom w:w="0" w:type="dxa"/>
              <w:right w:w="113" w:type="dxa"/>
            </w:tcMar>
            <w:vAlign w:val="center"/>
          </w:tcPr>
          <w:p w:rsidR="00CE3C32" w:rsidRDefault="006413B8">
            <w:pPr>
              <w:pStyle w:val="a6"/>
              <w:spacing w:before="0" w:beforeAutospacing="0" w:after="0" w:afterAutospacing="0"/>
              <w:jc w:val="both"/>
              <w:textAlignment w:val="center"/>
              <w:rPr>
                <w:rFonts w:ascii="Times New Roman" w:hAnsi="Times New Roman" w:cs="Times New Roman"/>
                <w:sz w:val="21"/>
                <w:szCs w:val="21"/>
              </w:rPr>
            </w:pPr>
            <w:r>
              <w:rPr>
                <w:rFonts w:ascii="Times New Roman" w:hAnsi="Times New Roman" w:cs="Times New Roman"/>
                <w:color w:val="000000"/>
                <w:sz w:val="18"/>
                <w:szCs w:val="18"/>
              </w:rPr>
              <w:t>银行存款</w:t>
            </w:r>
          </w:p>
        </w:tc>
        <w:tc>
          <w:tcPr>
            <w:tcW w:w="1624" w:type="pct"/>
            <w:tcBorders>
              <w:top w:val="nil"/>
              <w:left w:val="nil"/>
              <w:bottom w:val="single" w:sz="8" w:space="0" w:color="auto"/>
              <w:right w:val="single" w:sz="8" w:space="0" w:color="auto"/>
            </w:tcBorders>
            <w:tcMar>
              <w:top w:w="0" w:type="dxa"/>
              <w:left w:w="113" w:type="dxa"/>
              <w:bottom w:w="0" w:type="dxa"/>
              <w:right w:w="113" w:type="dxa"/>
            </w:tcMar>
            <w:vAlign w:val="center"/>
          </w:tcPr>
          <w:p w:rsidR="00CE3C32" w:rsidRDefault="006413B8">
            <w:pPr>
              <w:pStyle w:val="a6"/>
              <w:spacing w:before="0" w:beforeAutospacing="0" w:after="0" w:afterAutospacing="0"/>
              <w:ind w:firstLine="280"/>
              <w:jc w:val="right"/>
              <w:textAlignment w:val="center"/>
              <w:rPr>
                <w:rFonts w:ascii="Times New Roman" w:hAnsi="Times New Roman" w:cs="Times New Roman"/>
                <w:sz w:val="21"/>
                <w:szCs w:val="21"/>
              </w:rPr>
            </w:pPr>
            <w:r>
              <w:rPr>
                <w:rFonts w:ascii="Times New Roman" w:hAnsi="Times New Roman" w:cs="Times New Roman"/>
                <w:color w:val="000000"/>
                <w:sz w:val="18"/>
                <w:szCs w:val="18"/>
              </w:rPr>
              <w:t> 20,578,680.29 </w:t>
            </w:r>
          </w:p>
        </w:tc>
        <w:tc>
          <w:tcPr>
            <w:tcW w:w="1414" w:type="pct"/>
            <w:tcBorders>
              <w:top w:val="nil"/>
              <w:left w:val="nil"/>
              <w:bottom w:val="single" w:sz="8" w:space="0" w:color="auto"/>
              <w:right w:val="single" w:sz="8" w:space="0" w:color="auto"/>
            </w:tcBorders>
            <w:tcMar>
              <w:top w:w="0" w:type="dxa"/>
              <w:left w:w="113" w:type="dxa"/>
              <w:bottom w:w="0" w:type="dxa"/>
              <w:right w:w="113" w:type="dxa"/>
            </w:tcMar>
            <w:vAlign w:val="center"/>
          </w:tcPr>
          <w:p w:rsidR="00CE3C32" w:rsidRDefault="006413B8">
            <w:pPr>
              <w:pStyle w:val="a6"/>
              <w:spacing w:before="0" w:beforeAutospacing="0" w:after="0" w:afterAutospacing="0"/>
              <w:ind w:firstLine="280"/>
              <w:jc w:val="right"/>
              <w:textAlignment w:val="center"/>
              <w:rPr>
                <w:rFonts w:ascii="Times New Roman" w:hAnsi="Times New Roman" w:cs="Times New Roman"/>
                <w:sz w:val="21"/>
                <w:szCs w:val="21"/>
              </w:rPr>
            </w:pPr>
            <w:r>
              <w:rPr>
                <w:rFonts w:ascii="Times New Roman" w:hAnsi="Times New Roman" w:cs="Times New Roman"/>
                <w:color w:val="000000"/>
                <w:sz w:val="18"/>
                <w:szCs w:val="18"/>
              </w:rPr>
              <w:t> 25,330,205.45 </w:t>
            </w:r>
          </w:p>
        </w:tc>
      </w:tr>
    </w:tbl>
    <w:p w:rsidR="00CE3C32" w:rsidRDefault="00CE3C32">
      <w:pPr>
        <w:rPr>
          <w:rFonts w:ascii="Times New Roman" w:hAnsi="Times New Roman" w:cs="Times New Roman"/>
          <w:sz w:val="24"/>
          <w:szCs w:val="24"/>
        </w:rPr>
      </w:pPr>
    </w:p>
    <w:p w:rsidR="00CE3C32" w:rsidRDefault="006413B8">
      <w:pPr>
        <w:pStyle w:val="3"/>
        <w:spacing w:line="280" w:lineRule="exact"/>
        <w:jc w:val="left"/>
        <w:rPr>
          <w:rFonts w:ascii="Times New Roman" w:hAnsi="Times New Roman" w:cs="Times New Roman"/>
          <w:b/>
          <w:bCs/>
        </w:rPr>
      </w:pPr>
      <w:bookmarkStart w:id="476" w:name="_Toc989361"/>
      <w:r>
        <w:rPr>
          <w:rFonts w:ascii="Times New Roman" w:hAnsi="Times New Roman" w:cs="Times New Roman"/>
          <w:b/>
          <w:bCs/>
        </w:rPr>
        <w:t>6</w:t>
      </w:r>
      <w:r>
        <w:rPr>
          <w:rFonts w:ascii="Times New Roman" w:hAnsi="Times New Roman" w:cs="Times New Roman"/>
          <w:b/>
          <w:bCs/>
        </w:rPr>
        <w:t>、关联方应收应付款项</w:t>
      </w:r>
      <w:bookmarkEnd w:id="476"/>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77" w:name="_Toc989362"/>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应收项目</w:t>
      </w:r>
      <w:bookmarkEnd w:id="477"/>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88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7"/>
        <w:gridCol w:w="1606"/>
        <w:gridCol w:w="1606"/>
        <w:gridCol w:w="1607"/>
        <w:gridCol w:w="1606"/>
        <w:gridCol w:w="1857"/>
      </w:tblGrid>
      <w:tr w:rsidR="00CE3C32">
        <w:trPr>
          <w:trHeight w:val="240"/>
        </w:trPr>
        <w:tc>
          <w:tcPr>
            <w:tcW w:w="160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项目名称</w:t>
            </w:r>
          </w:p>
        </w:tc>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关联方</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46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160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60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85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r>
      <w:tr w:rsidR="00CE3C32">
        <w:trPr>
          <w:trHeight w:val="240"/>
        </w:trPr>
        <w:tc>
          <w:tcPr>
            <w:tcW w:w="160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其他应收款</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林明玲</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125,460.79</w:t>
            </w:r>
          </w:p>
        </w:tc>
        <w:tc>
          <w:tcPr>
            <w:tcW w:w="160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6,273.04</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85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78" w:name="_Toc989363"/>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应付项目</w:t>
      </w:r>
      <w:bookmarkEnd w:id="47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88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660"/>
      </w:tblGrid>
      <w:tr w:rsidR="00CE3C3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关联方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期末账面余额</w:t>
            </w:r>
          </w:p>
        </w:tc>
        <w:tc>
          <w:tcPr>
            <w:tcW w:w="266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期初账面余额</w:t>
            </w: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其他应付款</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林明玲</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7,134,917.94</w:t>
            </w:r>
          </w:p>
        </w:tc>
        <w:tc>
          <w:tcPr>
            <w:tcW w:w="266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9,106,560.00</w:t>
            </w:r>
          </w:p>
        </w:tc>
      </w:tr>
      <w:tr w:rsidR="00CE3C32">
        <w:trPr>
          <w:trHeight w:val="240"/>
        </w:trPr>
        <w:tc>
          <w:tcPr>
            <w:tcW w:w="2409"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其他应付款</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马学沛</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7,117,468.44</w:t>
            </w:r>
          </w:p>
        </w:tc>
        <w:tc>
          <w:tcPr>
            <w:tcW w:w="266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9,106,560.00</w:t>
            </w:r>
          </w:p>
        </w:tc>
      </w:tr>
    </w:tbl>
    <w:p w:rsidR="00CE3C32" w:rsidRDefault="006413B8">
      <w:pPr>
        <w:pStyle w:val="3"/>
        <w:spacing w:line="280" w:lineRule="exact"/>
        <w:jc w:val="left"/>
        <w:rPr>
          <w:rFonts w:ascii="Times New Roman" w:hAnsi="Times New Roman" w:cs="Times New Roman"/>
          <w:b/>
          <w:bCs/>
        </w:rPr>
      </w:pPr>
      <w:bookmarkStart w:id="479" w:name="_Toc989364"/>
      <w:r>
        <w:rPr>
          <w:rFonts w:ascii="Times New Roman" w:hAnsi="Times New Roman" w:cs="Times New Roman"/>
          <w:b/>
          <w:bCs/>
        </w:rPr>
        <w:t>7</w:t>
      </w:r>
      <w:r>
        <w:rPr>
          <w:rFonts w:ascii="Times New Roman" w:hAnsi="Times New Roman" w:cs="Times New Roman"/>
          <w:b/>
          <w:bCs/>
        </w:rPr>
        <w:t>、关联方承诺</w:t>
      </w:r>
      <w:bookmarkEnd w:id="479"/>
    </w:p>
    <w:p w:rsidR="00CE3C32" w:rsidRDefault="006413B8">
      <w:pPr>
        <w:rPr>
          <w:rFonts w:ascii="Times New Roman" w:hAnsi="Times New Roman" w:cs="Times New Roman"/>
          <w:sz w:val="18"/>
          <w:szCs w:val="18"/>
        </w:rPr>
      </w:pPr>
      <w:r>
        <w:rPr>
          <w:rFonts w:ascii="Times New Roman" w:hAnsi="Times New Roman" w:cs="Times New Roman"/>
          <w:sz w:val="18"/>
          <w:szCs w:val="18"/>
        </w:rPr>
        <w:t>详见本报告第五节</w:t>
      </w:r>
      <w:r>
        <w:rPr>
          <w:rFonts w:ascii="Times New Roman" w:hAnsi="Times New Roman" w:cs="Times New Roman"/>
          <w:sz w:val="18"/>
          <w:szCs w:val="18"/>
        </w:rPr>
        <w:t xml:space="preserve"> </w:t>
      </w:r>
      <w:r>
        <w:rPr>
          <w:rFonts w:ascii="Times New Roman" w:hAnsi="Times New Roman" w:cs="Times New Roman"/>
          <w:sz w:val="18"/>
          <w:szCs w:val="18"/>
        </w:rPr>
        <w:t>重要事项</w:t>
      </w:r>
      <w:r>
        <w:rPr>
          <w:rFonts w:ascii="Times New Roman" w:hAnsi="Times New Roman" w:cs="Times New Roman"/>
          <w:sz w:val="18"/>
          <w:szCs w:val="18"/>
        </w:rPr>
        <w:t xml:space="preserve"> </w:t>
      </w:r>
      <w:r>
        <w:rPr>
          <w:rFonts w:ascii="Times New Roman" w:hAnsi="Times New Roman" w:cs="Times New Roman"/>
          <w:sz w:val="18"/>
          <w:szCs w:val="18"/>
        </w:rPr>
        <w:t>一。</w:t>
      </w:r>
    </w:p>
    <w:p w:rsidR="00CE3C32" w:rsidRDefault="006413B8">
      <w:pPr>
        <w:pStyle w:val="3"/>
        <w:spacing w:line="280" w:lineRule="exact"/>
        <w:jc w:val="left"/>
        <w:rPr>
          <w:rFonts w:ascii="Times New Roman" w:hAnsi="Times New Roman" w:cs="Times New Roman"/>
          <w:b/>
          <w:bCs/>
        </w:rPr>
      </w:pPr>
      <w:bookmarkStart w:id="480" w:name="_Toc989365"/>
      <w:r>
        <w:rPr>
          <w:rFonts w:ascii="Times New Roman" w:hAnsi="Times New Roman" w:cs="Times New Roman"/>
          <w:b/>
          <w:bCs/>
        </w:rPr>
        <w:lastRenderedPageBreak/>
        <w:t>8</w:t>
      </w:r>
      <w:r>
        <w:rPr>
          <w:rFonts w:ascii="Times New Roman" w:hAnsi="Times New Roman" w:cs="Times New Roman"/>
          <w:b/>
          <w:bCs/>
        </w:rPr>
        <w:t>、其他</w:t>
      </w:r>
      <w:bookmarkEnd w:id="480"/>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无。</w:t>
      </w:r>
    </w:p>
    <w:p w:rsidR="00CE3C32" w:rsidRDefault="006413B8">
      <w:pPr>
        <w:pStyle w:val="2"/>
        <w:spacing w:before="300" w:after="300" w:line="320" w:lineRule="exact"/>
        <w:rPr>
          <w:rFonts w:ascii="Times New Roman" w:eastAsia="宋体" w:hAnsi="Times New Roman" w:cs="Times New Roman"/>
          <w:b/>
          <w:bCs/>
          <w:sz w:val="24"/>
          <w:szCs w:val="24"/>
        </w:rPr>
      </w:pPr>
      <w:bookmarkStart w:id="481" w:name="_Toc989366"/>
      <w:r>
        <w:rPr>
          <w:rFonts w:ascii="Times New Roman" w:eastAsia="宋体" w:hAnsi="Times New Roman" w:cs="Times New Roman"/>
          <w:b/>
          <w:bCs/>
          <w:sz w:val="24"/>
          <w:szCs w:val="24"/>
        </w:rPr>
        <w:t>十五、股份支付</w:t>
      </w:r>
      <w:bookmarkEnd w:id="481"/>
    </w:p>
    <w:p w:rsidR="00CE3C32" w:rsidRDefault="006413B8">
      <w:pPr>
        <w:pStyle w:val="3"/>
        <w:spacing w:line="280" w:lineRule="exact"/>
        <w:jc w:val="left"/>
        <w:rPr>
          <w:rFonts w:ascii="Times New Roman" w:hAnsi="Times New Roman" w:cs="Times New Roman"/>
          <w:b/>
          <w:bCs/>
        </w:rPr>
      </w:pPr>
      <w:bookmarkStart w:id="482" w:name="_Toc989367"/>
      <w:r>
        <w:rPr>
          <w:rFonts w:ascii="Times New Roman" w:hAnsi="Times New Roman" w:cs="Times New Roman"/>
          <w:b/>
          <w:bCs/>
        </w:rPr>
        <w:t>1</w:t>
      </w:r>
      <w:r>
        <w:rPr>
          <w:rFonts w:ascii="Times New Roman" w:hAnsi="Times New Roman" w:cs="Times New Roman"/>
          <w:b/>
          <w:bCs/>
        </w:rPr>
        <w:t>、股份支付总体情况</w:t>
      </w:r>
      <w:bookmarkEnd w:id="482"/>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521"/>
        <w:gridCol w:w="720"/>
        <w:gridCol w:w="721"/>
        <w:gridCol w:w="719"/>
        <w:gridCol w:w="721"/>
        <w:gridCol w:w="719"/>
        <w:gridCol w:w="721"/>
        <w:gridCol w:w="1450"/>
        <w:gridCol w:w="1561"/>
      </w:tblGrid>
      <w:tr w:rsidR="00CE3C32">
        <w:trPr>
          <w:trHeight w:val="240"/>
        </w:trPr>
        <w:tc>
          <w:tcPr>
            <w:tcW w:w="1279"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授予对象类别</w:t>
            </w:r>
          </w:p>
        </w:tc>
        <w:tc>
          <w:tcPr>
            <w:tcW w:w="731"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本期授予</w:t>
            </w:r>
          </w:p>
        </w:tc>
        <w:tc>
          <w:tcPr>
            <w:tcW w:w="731"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本期行权</w:t>
            </w:r>
          </w:p>
        </w:tc>
        <w:tc>
          <w:tcPr>
            <w:tcW w:w="731"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本期解锁</w:t>
            </w:r>
          </w:p>
        </w:tc>
        <w:tc>
          <w:tcPr>
            <w:tcW w:w="1530"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本期失效</w:t>
            </w:r>
          </w:p>
        </w:tc>
      </w:tr>
      <w:tr w:rsidR="00CE3C32">
        <w:trPr>
          <w:trHeight w:val="240"/>
        </w:trPr>
        <w:tc>
          <w:tcPr>
            <w:tcW w:w="1279"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36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数量</w:t>
            </w:r>
          </w:p>
        </w:tc>
        <w:tc>
          <w:tcPr>
            <w:tcW w:w="36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36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数量</w:t>
            </w:r>
          </w:p>
        </w:tc>
        <w:tc>
          <w:tcPr>
            <w:tcW w:w="36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36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数量</w:t>
            </w:r>
          </w:p>
        </w:tc>
        <w:tc>
          <w:tcPr>
            <w:tcW w:w="365"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73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数量</w:t>
            </w:r>
          </w:p>
        </w:tc>
        <w:tc>
          <w:tcPr>
            <w:tcW w:w="793"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r>
      <w:tr w:rsidR="00CE3C32">
        <w:trPr>
          <w:trHeight w:val="240"/>
        </w:trPr>
        <w:tc>
          <w:tcPr>
            <w:tcW w:w="127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董事长、副董事长</w:t>
            </w:r>
          </w:p>
        </w:tc>
        <w:tc>
          <w:tcPr>
            <w:tcW w:w="3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3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256,000.00</w:t>
            </w:r>
          </w:p>
        </w:tc>
        <w:tc>
          <w:tcPr>
            <w:tcW w:w="79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4,072,960.00</w:t>
            </w:r>
          </w:p>
        </w:tc>
      </w:tr>
      <w:tr w:rsidR="00CE3C32">
        <w:trPr>
          <w:trHeight w:val="240"/>
        </w:trPr>
        <w:tc>
          <w:tcPr>
            <w:tcW w:w="1279"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董事、高管及核心员工</w:t>
            </w:r>
          </w:p>
        </w:tc>
        <w:tc>
          <w:tcPr>
            <w:tcW w:w="3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3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884,445.00</w:t>
            </w:r>
          </w:p>
        </w:tc>
        <w:tc>
          <w:tcPr>
            <w:tcW w:w="79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14,071,519.95</w:t>
            </w:r>
          </w:p>
        </w:tc>
      </w:tr>
      <w:tr w:rsidR="00CE3C32">
        <w:trPr>
          <w:trHeight w:val="240"/>
        </w:trPr>
        <w:tc>
          <w:tcPr>
            <w:tcW w:w="1279"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73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1,140,445.00</w:t>
            </w:r>
          </w:p>
        </w:tc>
        <w:tc>
          <w:tcPr>
            <w:tcW w:w="793"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18,144,479.95</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期末发行在外的股票期权或其他权益工具</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CE3C32">
      <w:pPr>
        <w:spacing w:line="0" w:lineRule="atLeast"/>
        <w:rPr>
          <w:rFonts w:ascii="Times New Roman" w:hAnsi="Times New Roman" w:cs="Times New Roman"/>
        </w:rPr>
      </w:pPr>
    </w:p>
    <w:tbl>
      <w:tblPr>
        <w:tblW w:w="988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2178"/>
      </w:tblGrid>
      <w:tr w:rsidR="00CE3C32">
        <w:trPr>
          <w:trHeight w:val="240"/>
        </w:trPr>
        <w:tc>
          <w:tcPr>
            <w:tcW w:w="192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授予对象类别</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期末发行在外的股票期权</w:t>
            </w:r>
          </w:p>
        </w:tc>
        <w:tc>
          <w:tcPr>
            <w:tcW w:w="410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期末发行在外的其他权益工具</w:t>
            </w:r>
          </w:p>
        </w:tc>
      </w:tr>
      <w:tr w:rsidR="00CE3C32">
        <w:trPr>
          <w:trHeight w:val="240"/>
        </w:trPr>
        <w:tc>
          <w:tcPr>
            <w:tcW w:w="192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行权价格的范围</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合同剩余期限</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行权价格的范围</w:t>
            </w:r>
          </w:p>
        </w:tc>
        <w:tc>
          <w:tcPr>
            <w:tcW w:w="217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合同剩余期限</w:t>
            </w:r>
          </w:p>
        </w:tc>
      </w:tr>
      <w:tr w:rsidR="00CE3C32">
        <w:trPr>
          <w:trHeight w:val="240"/>
        </w:trPr>
        <w:tc>
          <w:tcPr>
            <w:tcW w:w="192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股票期权</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15.81</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12</w:t>
            </w:r>
            <w:r>
              <w:rPr>
                <w:rFonts w:ascii="Times New Roman" w:eastAsia="宋体" w:hAnsi="Times New Roman" w:cs="Times New Roman"/>
                <w:sz w:val="18"/>
                <w:szCs w:val="18"/>
              </w:rPr>
              <w:t>个月、</w:t>
            </w:r>
            <w:r>
              <w:rPr>
                <w:rFonts w:ascii="Times New Roman" w:eastAsia="宋体" w:hAnsi="Times New Roman" w:cs="Times New Roman"/>
                <w:sz w:val="18"/>
                <w:szCs w:val="18"/>
              </w:rPr>
              <w:t xml:space="preserve">24 </w:t>
            </w:r>
            <w:r>
              <w:rPr>
                <w:rFonts w:ascii="Times New Roman" w:eastAsia="宋体" w:hAnsi="Times New Roman" w:cs="Times New Roman"/>
                <w:sz w:val="18"/>
                <w:szCs w:val="18"/>
              </w:rPr>
              <w:t>个月、</w:t>
            </w:r>
            <w:r>
              <w:rPr>
                <w:rFonts w:ascii="Times New Roman" w:eastAsia="宋体" w:hAnsi="Times New Roman" w:cs="Times New Roman"/>
                <w:sz w:val="18"/>
                <w:szCs w:val="18"/>
              </w:rPr>
              <w:t>27</w:t>
            </w:r>
            <w:r>
              <w:rPr>
                <w:rFonts w:ascii="Times New Roman" w:eastAsia="宋体" w:hAnsi="Times New Roman" w:cs="Times New Roman"/>
                <w:sz w:val="18"/>
                <w:szCs w:val="18"/>
              </w:rPr>
              <w:t>个月</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217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r>
        <w:rPr>
          <w:rFonts w:ascii="Times New Roman" w:hAnsi="Times New Roman" w:cs="Times New Roman"/>
          <w:sz w:val="18"/>
          <w:szCs w:val="18"/>
        </w:rPr>
        <w:t>无</w:t>
      </w:r>
    </w:p>
    <w:p w:rsidR="00CE3C32" w:rsidRDefault="006413B8">
      <w:pPr>
        <w:pStyle w:val="3"/>
        <w:spacing w:line="280" w:lineRule="exact"/>
        <w:jc w:val="left"/>
        <w:rPr>
          <w:rFonts w:ascii="Times New Roman" w:hAnsi="Times New Roman" w:cs="Times New Roman"/>
          <w:b/>
          <w:bCs/>
        </w:rPr>
      </w:pPr>
      <w:bookmarkStart w:id="483" w:name="_Toc989368"/>
      <w:r>
        <w:rPr>
          <w:rFonts w:ascii="Times New Roman" w:hAnsi="Times New Roman" w:cs="Times New Roman"/>
          <w:b/>
          <w:bCs/>
        </w:rPr>
        <w:t>2</w:t>
      </w:r>
      <w:r>
        <w:rPr>
          <w:rFonts w:ascii="Times New Roman" w:hAnsi="Times New Roman" w:cs="Times New Roman"/>
          <w:b/>
          <w:bCs/>
        </w:rPr>
        <w:t>、以权益结算的股份支付情况</w:t>
      </w:r>
      <w:bookmarkEnd w:id="483"/>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授予日权益工具公允价值的确定方法</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股票期权为</w:t>
            </w:r>
            <w:r>
              <w:rPr>
                <w:rFonts w:ascii="Times New Roman" w:eastAsia="宋体" w:hAnsi="Times New Roman" w:cs="Times New Roman"/>
                <w:sz w:val="18"/>
                <w:szCs w:val="18"/>
              </w:rPr>
              <w:t xml:space="preserve">BS </w:t>
            </w:r>
            <w:r>
              <w:rPr>
                <w:rFonts w:ascii="Times New Roman" w:eastAsia="宋体" w:hAnsi="Times New Roman" w:cs="Times New Roman"/>
                <w:sz w:val="18"/>
                <w:szCs w:val="18"/>
              </w:rPr>
              <w:t>模型、授予日收盘价与授予价格之间的差额作为限制性股票的公允价值</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授予日权益工具公允价值的重要参数</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历史波动率、无风险收益率、股息率</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可行权权益工具数量的确定依据</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管理层预计未来可行权人员及数量</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本期估计与上期估计有重大差异的原因</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以权益结算的股份支付计入资本公积的累计金额</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20,361,390.20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本期以权益结算的股份支付确认的费用总额</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5,683,918.45</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r>
        <w:rPr>
          <w:rFonts w:ascii="Times New Roman" w:hAnsi="Times New Roman" w:cs="Times New Roman"/>
          <w:sz w:val="18"/>
          <w:szCs w:val="18"/>
        </w:rPr>
        <w:t>无。</w:t>
      </w:r>
    </w:p>
    <w:p w:rsidR="00CE3C32" w:rsidRDefault="006413B8">
      <w:pPr>
        <w:pStyle w:val="3"/>
        <w:spacing w:line="280" w:lineRule="exact"/>
        <w:jc w:val="left"/>
        <w:rPr>
          <w:rFonts w:ascii="Times New Roman" w:hAnsi="Times New Roman" w:cs="Times New Roman"/>
          <w:b/>
          <w:bCs/>
        </w:rPr>
      </w:pPr>
      <w:bookmarkStart w:id="484" w:name="_Toc989369"/>
      <w:r>
        <w:rPr>
          <w:rFonts w:ascii="Times New Roman" w:hAnsi="Times New Roman" w:cs="Times New Roman"/>
          <w:b/>
          <w:bCs/>
        </w:rPr>
        <w:t>3</w:t>
      </w:r>
      <w:r>
        <w:rPr>
          <w:rFonts w:ascii="Times New Roman" w:hAnsi="Times New Roman" w:cs="Times New Roman"/>
          <w:b/>
          <w:bCs/>
        </w:rPr>
        <w:t>、以现金结算的股份支付情况</w:t>
      </w:r>
      <w:bookmarkEnd w:id="484"/>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485" w:name="_Toc989370"/>
      <w:r>
        <w:rPr>
          <w:rFonts w:ascii="Times New Roman" w:hAnsi="Times New Roman" w:cs="Times New Roman"/>
          <w:b/>
          <w:bCs/>
        </w:rPr>
        <w:t>4</w:t>
      </w:r>
      <w:r>
        <w:rPr>
          <w:rFonts w:ascii="Times New Roman" w:hAnsi="Times New Roman" w:cs="Times New Roman"/>
          <w:b/>
          <w:bCs/>
        </w:rPr>
        <w:t>、本期股份支付费用</w:t>
      </w:r>
      <w:bookmarkEnd w:id="485"/>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授予对象类别</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以权益结算的股份支付费用</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以现金结算的股份支付费用</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高管及核心员工</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5,683,918.45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5,683,918.45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0.00</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r>
        <w:rPr>
          <w:rFonts w:ascii="Times New Roman" w:hAnsi="Times New Roman" w:cs="Times New Roman"/>
          <w:sz w:val="18"/>
          <w:szCs w:val="18"/>
        </w:rPr>
        <w:t>无。</w:t>
      </w:r>
    </w:p>
    <w:p w:rsidR="00CE3C32" w:rsidRDefault="006413B8">
      <w:pPr>
        <w:pStyle w:val="3"/>
        <w:spacing w:line="280" w:lineRule="exact"/>
        <w:jc w:val="left"/>
        <w:rPr>
          <w:rFonts w:ascii="Times New Roman" w:hAnsi="Times New Roman" w:cs="Times New Roman"/>
          <w:b/>
          <w:bCs/>
        </w:rPr>
      </w:pPr>
      <w:bookmarkStart w:id="486" w:name="_Toc989371"/>
      <w:r>
        <w:rPr>
          <w:rFonts w:ascii="Times New Roman" w:hAnsi="Times New Roman" w:cs="Times New Roman"/>
          <w:b/>
          <w:bCs/>
        </w:rPr>
        <w:t>5</w:t>
      </w:r>
      <w:r>
        <w:rPr>
          <w:rFonts w:ascii="Times New Roman" w:hAnsi="Times New Roman" w:cs="Times New Roman"/>
          <w:b/>
          <w:bCs/>
        </w:rPr>
        <w:t>、股份支付的修改、终止情况</w:t>
      </w:r>
      <w:bookmarkEnd w:id="486"/>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无。</w:t>
      </w:r>
    </w:p>
    <w:p w:rsidR="00CE3C32" w:rsidRDefault="006413B8">
      <w:pPr>
        <w:pStyle w:val="3"/>
        <w:spacing w:line="280" w:lineRule="exact"/>
        <w:jc w:val="left"/>
        <w:rPr>
          <w:rFonts w:ascii="Times New Roman" w:hAnsi="Times New Roman" w:cs="Times New Roman"/>
          <w:b/>
          <w:bCs/>
        </w:rPr>
      </w:pPr>
      <w:bookmarkStart w:id="487" w:name="_Toc989372"/>
      <w:r>
        <w:rPr>
          <w:rFonts w:ascii="Times New Roman" w:hAnsi="Times New Roman" w:cs="Times New Roman"/>
          <w:b/>
          <w:bCs/>
        </w:rPr>
        <w:t>6</w:t>
      </w:r>
      <w:r>
        <w:rPr>
          <w:rFonts w:ascii="Times New Roman" w:hAnsi="Times New Roman" w:cs="Times New Roman"/>
          <w:b/>
          <w:bCs/>
        </w:rPr>
        <w:t>、其他</w:t>
      </w:r>
      <w:r>
        <w:rPr>
          <w:rFonts w:ascii="Times New Roman" w:hAnsi="Times New Roman" w:cs="Times New Roman"/>
          <w:b/>
          <w:bCs/>
        </w:rPr>
        <w:t xml:space="preserve"> </w:t>
      </w:r>
      <w:bookmarkEnd w:id="487"/>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无。</w:t>
      </w:r>
    </w:p>
    <w:p w:rsidR="00CE3C32" w:rsidRDefault="006413B8">
      <w:pPr>
        <w:pStyle w:val="2"/>
        <w:spacing w:before="300" w:after="300" w:line="320" w:lineRule="exact"/>
        <w:rPr>
          <w:rFonts w:ascii="Times New Roman" w:eastAsia="宋体" w:hAnsi="Times New Roman" w:cs="Times New Roman"/>
          <w:b/>
          <w:bCs/>
          <w:sz w:val="24"/>
          <w:szCs w:val="24"/>
        </w:rPr>
      </w:pPr>
      <w:bookmarkStart w:id="488" w:name="_Toc989373"/>
      <w:r>
        <w:rPr>
          <w:rFonts w:ascii="Times New Roman" w:eastAsia="宋体" w:hAnsi="Times New Roman" w:cs="Times New Roman"/>
          <w:b/>
          <w:bCs/>
          <w:sz w:val="24"/>
          <w:szCs w:val="24"/>
        </w:rPr>
        <w:t>十六、承诺及或有事项</w:t>
      </w:r>
      <w:bookmarkEnd w:id="488"/>
    </w:p>
    <w:p w:rsidR="00CE3C32" w:rsidRDefault="006413B8">
      <w:pPr>
        <w:pStyle w:val="3"/>
        <w:spacing w:line="280" w:lineRule="exact"/>
        <w:jc w:val="left"/>
        <w:rPr>
          <w:rFonts w:ascii="Times New Roman" w:hAnsi="Times New Roman" w:cs="Times New Roman"/>
          <w:b/>
          <w:bCs/>
        </w:rPr>
      </w:pPr>
      <w:bookmarkStart w:id="489" w:name="_Toc989374"/>
      <w:r>
        <w:rPr>
          <w:rFonts w:ascii="Times New Roman" w:hAnsi="Times New Roman" w:cs="Times New Roman"/>
          <w:b/>
          <w:bCs/>
        </w:rPr>
        <w:t>1</w:t>
      </w:r>
      <w:r>
        <w:rPr>
          <w:rFonts w:ascii="Times New Roman" w:hAnsi="Times New Roman" w:cs="Times New Roman"/>
          <w:b/>
          <w:bCs/>
        </w:rPr>
        <w:t>、重要承诺事项</w:t>
      </w:r>
      <w:bookmarkEnd w:id="489"/>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资产负债表日存在的重要承诺</w:t>
      </w:r>
    </w:p>
    <w:p w:rsidR="00CE3C32" w:rsidRDefault="006413B8">
      <w:pPr>
        <w:rPr>
          <w:rFonts w:ascii="Times New Roman" w:hAnsi="Times New Roman" w:cs="Times New Roman"/>
          <w:sz w:val="18"/>
          <w:szCs w:val="18"/>
        </w:rPr>
      </w:pPr>
      <w:r>
        <w:rPr>
          <w:rFonts w:ascii="Times New Roman" w:hAnsi="Times New Roman" w:cs="Times New Roman"/>
          <w:sz w:val="18"/>
          <w:szCs w:val="18"/>
        </w:rPr>
        <w:t>截至</w:t>
      </w:r>
      <w:r>
        <w:rPr>
          <w:rFonts w:ascii="Times New Roman" w:hAnsi="Times New Roman" w:cs="Times New Roman"/>
          <w:sz w:val="18"/>
          <w:szCs w:val="18"/>
        </w:rPr>
        <w:t>2025</w:t>
      </w:r>
      <w:r>
        <w:rPr>
          <w:rFonts w:ascii="Times New Roman" w:hAnsi="Times New Roman" w:cs="Times New Roman"/>
          <w:sz w:val="18"/>
          <w:szCs w:val="18"/>
        </w:rPr>
        <w:t>年</w:t>
      </w:r>
      <w:r>
        <w:rPr>
          <w:rFonts w:ascii="Times New Roman" w:hAnsi="Times New Roman" w:cs="Times New Roman"/>
          <w:sz w:val="18"/>
          <w:szCs w:val="18"/>
        </w:rPr>
        <w:t>6</w:t>
      </w:r>
      <w:r>
        <w:rPr>
          <w:rFonts w:ascii="Times New Roman" w:hAnsi="Times New Roman" w:cs="Times New Roman"/>
          <w:sz w:val="18"/>
          <w:szCs w:val="18"/>
        </w:rPr>
        <w:t>月</w:t>
      </w:r>
      <w:r>
        <w:rPr>
          <w:rFonts w:ascii="Times New Roman" w:hAnsi="Times New Roman" w:cs="Times New Roman"/>
          <w:sz w:val="18"/>
          <w:szCs w:val="18"/>
        </w:rPr>
        <w:t>30</w:t>
      </w:r>
      <w:r>
        <w:rPr>
          <w:rFonts w:ascii="Times New Roman" w:hAnsi="Times New Roman" w:cs="Times New Roman"/>
          <w:sz w:val="18"/>
          <w:szCs w:val="18"/>
        </w:rPr>
        <w:t>日，本公司不存在需要披露的重要承诺事项。</w:t>
      </w:r>
    </w:p>
    <w:p w:rsidR="00CE3C32" w:rsidRDefault="006413B8">
      <w:pPr>
        <w:pStyle w:val="3"/>
        <w:spacing w:line="280" w:lineRule="exact"/>
        <w:jc w:val="left"/>
        <w:rPr>
          <w:rFonts w:ascii="Times New Roman" w:hAnsi="Times New Roman" w:cs="Times New Roman"/>
          <w:b/>
          <w:bCs/>
        </w:rPr>
      </w:pPr>
      <w:bookmarkStart w:id="490" w:name="_Toc989375"/>
      <w:r>
        <w:rPr>
          <w:rFonts w:ascii="Times New Roman" w:hAnsi="Times New Roman" w:cs="Times New Roman"/>
          <w:b/>
          <w:bCs/>
        </w:rPr>
        <w:t>2</w:t>
      </w:r>
      <w:r>
        <w:rPr>
          <w:rFonts w:ascii="Times New Roman" w:hAnsi="Times New Roman" w:cs="Times New Roman"/>
          <w:b/>
          <w:bCs/>
        </w:rPr>
        <w:t>、或有事项</w:t>
      </w:r>
      <w:bookmarkEnd w:id="490"/>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91" w:name="_Toc989376"/>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资产负债表日存在的重要或有事项</w:t>
      </w:r>
      <w:bookmarkEnd w:id="491"/>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截至</w:t>
      </w:r>
      <w:r>
        <w:rPr>
          <w:rFonts w:ascii="Times New Roman" w:hAnsi="Times New Roman" w:cs="Times New Roman"/>
          <w:sz w:val="18"/>
          <w:szCs w:val="18"/>
        </w:rPr>
        <w:t>2025</w:t>
      </w:r>
      <w:r>
        <w:rPr>
          <w:rFonts w:ascii="Times New Roman" w:hAnsi="Times New Roman" w:cs="Times New Roman"/>
          <w:sz w:val="18"/>
          <w:szCs w:val="18"/>
        </w:rPr>
        <w:t>年</w:t>
      </w:r>
      <w:r>
        <w:rPr>
          <w:rFonts w:ascii="Times New Roman" w:hAnsi="Times New Roman" w:cs="Times New Roman"/>
          <w:sz w:val="18"/>
          <w:szCs w:val="18"/>
        </w:rPr>
        <w:t>6</w:t>
      </w:r>
      <w:r>
        <w:rPr>
          <w:rFonts w:ascii="Times New Roman" w:hAnsi="Times New Roman" w:cs="Times New Roman"/>
          <w:sz w:val="18"/>
          <w:szCs w:val="18"/>
        </w:rPr>
        <w:t>月</w:t>
      </w:r>
      <w:r>
        <w:rPr>
          <w:rFonts w:ascii="Times New Roman" w:hAnsi="Times New Roman" w:cs="Times New Roman"/>
          <w:sz w:val="18"/>
          <w:szCs w:val="18"/>
        </w:rPr>
        <w:t>30</w:t>
      </w:r>
      <w:r>
        <w:rPr>
          <w:rFonts w:ascii="Times New Roman" w:hAnsi="Times New Roman" w:cs="Times New Roman"/>
          <w:sz w:val="18"/>
          <w:szCs w:val="18"/>
        </w:rPr>
        <w:t>日，本公司无需要披露的重大或有事项。</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492" w:name="_Toc989377"/>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公司没有需要披露的重要或有事项，也应予以说明</w:t>
      </w:r>
      <w:bookmarkEnd w:id="492"/>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公司不存在需要披露的重要或有事项。</w:t>
      </w:r>
    </w:p>
    <w:p w:rsidR="00CE3C32" w:rsidRDefault="006413B8">
      <w:pPr>
        <w:pStyle w:val="3"/>
        <w:spacing w:line="280" w:lineRule="exact"/>
        <w:jc w:val="left"/>
        <w:rPr>
          <w:rFonts w:ascii="Times New Roman" w:hAnsi="Times New Roman" w:cs="Times New Roman"/>
          <w:b/>
          <w:bCs/>
        </w:rPr>
      </w:pPr>
      <w:bookmarkStart w:id="493" w:name="_Toc989378"/>
      <w:r>
        <w:rPr>
          <w:rFonts w:ascii="Times New Roman" w:hAnsi="Times New Roman" w:cs="Times New Roman"/>
          <w:b/>
          <w:bCs/>
        </w:rPr>
        <w:t>3</w:t>
      </w:r>
      <w:r>
        <w:rPr>
          <w:rFonts w:ascii="Times New Roman" w:hAnsi="Times New Roman" w:cs="Times New Roman"/>
          <w:b/>
          <w:bCs/>
        </w:rPr>
        <w:t>、其他</w:t>
      </w:r>
      <w:bookmarkEnd w:id="493"/>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无。</w:t>
      </w:r>
    </w:p>
    <w:p w:rsidR="00CE3C32" w:rsidRDefault="006413B8">
      <w:pPr>
        <w:pStyle w:val="2"/>
        <w:spacing w:before="300" w:after="300" w:line="320" w:lineRule="exact"/>
        <w:rPr>
          <w:rFonts w:ascii="Times New Roman" w:eastAsia="宋体" w:hAnsi="Times New Roman" w:cs="Times New Roman"/>
          <w:b/>
          <w:bCs/>
          <w:sz w:val="24"/>
          <w:szCs w:val="24"/>
        </w:rPr>
      </w:pPr>
      <w:bookmarkStart w:id="494" w:name="_Toc989379"/>
      <w:r>
        <w:rPr>
          <w:rFonts w:ascii="Times New Roman" w:eastAsia="宋体" w:hAnsi="Times New Roman" w:cs="Times New Roman"/>
          <w:b/>
          <w:bCs/>
          <w:sz w:val="24"/>
          <w:szCs w:val="24"/>
        </w:rPr>
        <w:t>十七、资产负债表日后事项</w:t>
      </w:r>
      <w:bookmarkEnd w:id="494"/>
    </w:p>
    <w:p w:rsidR="00CE3C32" w:rsidRDefault="006413B8">
      <w:pPr>
        <w:pStyle w:val="3"/>
        <w:spacing w:line="280" w:lineRule="exact"/>
        <w:jc w:val="left"/>
        <w:rPr>
          <w:rFonts w:ascii="Times New Roman" w:hAnsi="Times New Roman" w:cs="Times New Roman"/>
          <w:b/>
          <w:bCs/>
        </w:rPr>
      </w:pPr>
      <w:bookmarkStart w:id="495" w:name="_Toc989380"/>
      <w:r>
        <w:rPr>
          <w:rFonts w:ascii="Times New Roman" w:hAnsi="Times New Roman" w:cs="Times New Roman"/>
          <w:b/>
          <w:bCs/>
        </w:rPr>
        <w:t>1</w:t>
      </w:r>
      <w:r>
        <w:rPr>
          <w:rFonts w:ascii="Times New Roman" w:hAnsi="Times New Roman" w:cs="Times New Roman"/>
          <w:b/>
          <w:bCs/>
        </w:rPr>
        <w:t>、重要的非调整事项</w:t>
      </w:r>
      <w:bookmarkEnd w:id="495"/>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内容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对财务状况和经营成果的影响数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无法估计影响数的原因</w:t>
            </w:r>
          </w:p>
        </w:tc>
      </w:tr>
    </w:tbl>
    <w:p w:rsidR="00CE3C32" w:rsidRDefault="006413B8">
      <w:pPr>
        <w:pStyle w:val="3"/>
        <w:spacing w:line="280" w:lineRule="exact"/>
        <w:jc w:val="left"/>
        <w:rPr>
          <w:rFonts w:ascii="Times New Roman" w:hAnsi="Times New Roman" w:cs="Times New Roman"/>
          <w:b/>
          <w:bCs/>
        </w:rPr>
      </w:pPr>
      <w:bookmarkStart w:id="496" w:name="_Toc989381"/>
      <w:r>
        <w:rPr>
          <w:rFonts w:ascii="Times New Roman" w:hAnsi="Times New Roman" w:cs="Times New Roman"/>
          <w:b/>
          <w:bCs/>
        </w:rPr>
        <w:t>2</w:t>
      </w:r>
      <w:r>
        <w:rPr>
          <w:rFonts w:ascii="Times New Roman" w:hAnsi="Times New Roman" w:cs="Times New Roman"/>
          <w:b/>
          <w:bCs/>
        </w:rPr>
        <w:t>、利润分配情况</w:t>
      </w:r>
      <w:bookmarkEnd w:id="496"/>
    </w:p>
    <w:p w:rsidR="00CE3C32" w:rsidRDefault="00CE3C32">
      <w:pPr>
        <w:spacing w:before="40" w:after="40" w:line="0" w:lineRule="atLeast"/>
        <w:rPr>
          <w:rFonts w:ascii="Times New Roman" w:hAnsi="Times New Roman" w:cs="Times New Roman"/>
        </w:rPr>
      </w:pP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拟分配每</w:t>
            </w:r>
            <w:r>
              <w:rPr>
                <w:rFonts w:ascii="Times New Roman" w:eastAsia="宋体" w:hAnsi="Times New Roman" w:cs="Times New Roman"/>
                <w:sz w:val="18"/>
                <w:szCs w:val="18"/>
              </w:rPr>
              <w:t>10</w:t>
            </w:r>
            <w:r>
              <w:rPr>
                <w:rFonts w:ascii="Times New Roman" w:eastAsia="宋体" w:hAnsi="Times New Roman" w:cs="Times New Roman"/>
                <w:sz w:val="18"/>
                <w:szCs w:val="18"/>
              </w:rPr>
              <w:t>股派息数（元）</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拟分配每</w:t>
            </w:r>
            <w:r>
              <w:rPr>
                <w:rFonts w:ascii="Times New Roman" w:eastAsia="宋体" w:hAnsi="Times New Roman" w:cs="Times New Roman"/>
                <w:sz w:val="18"/>
                <w:szCs w:val="18"/>
              </w:rPr>
              <w:t>10</w:t>
            </w:r>
            <w:r>
              <w:rPr>
                <w:rFonts w:ascii="Times New Roman" w:eastAsia="宋体" w:hAnsi="Times New Roman" w:cs="Times New Roman"/>
                <w:sz w:val="18"/>
                <w:szCs w:val="18"/>
              </w:rPr>
              <w:t>股分红股（股）</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拟分配每</w:t>
            </w:r>
            <w:r>
              <w:rPr>
                <w:rFonts w:ascii="Times New Roman" w:eastAsia="宋体" w:hAnsi="Times New Roman" w:cs="Times New Roman"/>
                <w:sz w:val="18"/>
                <w:szCs w:val="18"/>
              </w:rPr>
              <w:t>10</w:t>
            </w:r>
            <w:r>
              <w:rPr>
                <w:rFonts w:ascii="Times New Roman" w:eastAsia="宋体" w:hAnsi="Times New Roman" w:cs="Times New Roman"/>
                <w:sz w:val="18"/>
                <w:szCs w:val="18"/>
              </w:rPr>
              <w:t>股转增数（股）</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经审议批准宣告发放的每</w:t>
            </w:r>
            <w:r>
              <w:rPr>
                <w:rFonts w:ascii="Times New Roman" w:eastAsia="宋体" w:hAnsi="Times New Roman" w:cs="Times New Roman"/>
                <w:sz w:val="18"/>
                <w:szCs w:val="18"/>
              </w:rPr>
              <w:t>10</w:t>
            </w:r>
            <w:r>
              <w:rPr>
                <w:rFonts w:ascii="Times New Roman" w:eastAsia="宋体" w:hAnsi="Times New Roman" w:cs="Times New Roman"/>
                <w:sz w:val="18"/>
                <w:szCs w:val="18"/>
              </w:rPr>
              <w:t>股派息数（元）</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经审议批准宣告发放的每</w:t>
            </w:r>
            <w:r>
              <w:rPr>
                <w:rFonts w:ascii="Times New Roman" w:eastAsia="宋体" w:hAnsi="Times New Roman" w:cs="Times New Roman"/>
                <w:sz w:val="18"/>
                <w:szCs w:val="18"/>
              </w:rPr>
              <w:t>10</w:t>
            </w:r>
            <w:r>
              <w:rPr>
                <w:rFonts w:ascii="Times New Roman" w:eastAsia="宋体" w:hAnsi="Times New Roman" w:cs="Times New Roman"/>
                <w:sz w:val="18"/>
                <w:szCs w:val="18"/>
              </w:rPr>
              <w:t>股分红股（股）</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经审议批准宣告发放的每</w:t>
            </w:r>
            <w:r>
              <w:rPr>
                <w:rFonts w:ascii="Times New Roman" w:eastAsia="宋体" w:hAnsi="Times New Roman" w:cs="Times New Roman"/>
                <w:sz w:val="18"/>
                <w:szCs w:val="18"/>
              </w:rPr>
              <w:t>10</w:t>
            </w:r>
            <w:r>
              <w:rPr>
                <w:rFonts w:ascii="Times New Roman" w:eastAsia="宋体" w:hAnsi="Times New Roman" w:cs="Times New Roman"/>
                <w:sz w:val="18"/>
                <w:szCs w:val="18"/>
              </w:rPr>
              <w:t>股转增数（股）</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利润分配方案</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r>
    </w:tbl>
    <w:p w:rsidR="00CE3C32" w:rsidRDefault="006413B8">
      <w:pPr>
        <w:pStyle w:val="3"/>
        <w:spacing w:line="280" w:lineRule="exact"/>
        <w:jc w:val="left"/>
        <w:rPr>
          <w:rFonts w:ascii="Times New Roman" w:hAnsi="Times New Roman" w:cs="Times New Roman"/>
          <w:b/>
          <w:bCs/>
        </w:rPr>
      </w:pPr>
      <w:bookmarkStart w:id="497" w:name="_Toc989382"/>
      <w:r>
        <w:rPr>
          <w:rFonts w:ascii="Times New Roman" w:hAnsi="Times New Roman" w:cs="Times New Roman"/>
          <w:b/>
          <w:bCs/>
        </w:rPr>
        <w:t>3</w:t>
      </w:r>
      <w:r>
        <w:rPr>
          <w:rFonts w:ascii="Times New Roman" w:hAnsi="Times New Roman" w:cs="Times New Roman"/>
          <w:b/>
          <w:bCs/>
        </w:rPr>
        <w:t>、销售退回</w:t>
      </w:r>
      <w:bookmarkEnd w:id="497"/>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498" w:name="_Toc989383"/>
      <w:r>
        <w:rPr>
          <w:rFonts w:ascii="Times New Roman" w:hAnsi="Times New Roman" w:cs="Times New Roman"/>
          <w:b/>
          <w:bCs/>
        </w:rPr>
        <w:t>4</w:t>
      </w:r>
      <w:r>
        <w:rPr>
          <w:rFonts w:ascii="Times New Roman" w:hAnsi="Times New Roman" w:cs="Times New Roman"/>
          <w:b/>
          <w:bCs/>
        </w:rPr>
        <w:t>、其他资产负债表日后事项说明</w:t>
      </w:r>
      <w:bookmarkEnd w:id="498"/>
    </w:p>
    <w:p w:rsidR="00CE3C32" w:rsidRDefault="006413B8">
      <w:pPr>
        <w:pStyle w:val="a6"/>
        <w:spacing w:before="0" w:beforeAutospacing="0" w:after="0" w:afterAutospacing="0"/>
        <w:ind w:left="420"/>
        <w:jc w:val="both"/>
        <w:rPr>
          <w:rFonts w:ascii="Times New Roman" w:hAnsi="Times New Roman" w:cs="Times New Roman"/>
          <w:sz w:val="21"/>
          <w:szCs w:val="21"/>
        </w:rPr>
      </w:pPr>
      <w:r>
        <w:rPr>
          <w:rFonts w:ascii="Times New Roman" w:hAnsi="Times New Roman" w:cs="Times New Roman"/>
          <w:sz w:val="18"/>
          <w:szCs w:val="18"/>
        </w:rPr>
        <w:t>（一）回购注销限制性股票</w:t>
      </w:r>
    </w:p>
    <w:p w:rsidR="00CE3C32" w:rsidRDefault="006413B8">
      <w:pPr>
        <w:pStyle w:val="a6"/>
        <w:spacing w:before="0" w:beforeAutospacing="0" w:after="0" w:afterAutospacing="0" w:line="360" w:lineRule="auto"/>
        <w:ind w:firstLine="420"/>
        <w:jc w:val="both"/>
        <w:rPr>
          <w:rFonts w:ascii="Times New Roman" w:hAnsi="Times New Roman" w:cs="Times New Roman"/>
          <w:sz w:val="21"/>
          <w:szCs w:val="21"/>
        </w:rPr>
      </w:pPr>
      <w:r>
        <w:rPr>
          <w:rFonts w:ascii="Times New Roman" w:hAnsi="Times New Roman" w:cs="Times New Roman"/>
          <w:sz w:val="18"/>
          <w:szCs w:val="18"/>
        </w:rPr>
        <w:t>根据经审计的</w:t>
      </w:r>
      <w:r>
        <w:rPr>
          <w:rFonts w:ascii="Times New Roman" w:hAnsi="Times New Roman" w:cs="Times New Roman"/>
          <w:sz w:val="18"/>
          <w:szCs w:val="18"/>
        </w:rPr>
        <w:t>2024</w:t>
      </w:r>
      <w:r>
        <w:rPr>
          <w:rFonts w:ascii="Times New Roman" w:hAnsi="Times New Roman" w:cs="Times New Roman"/>
          <w:sz w:val="18"/>
          <w:szCs w:val="18"/>
        </w:rPr>
        <w:t>年度财务报告，公司层面</w:t>
      </w:r>
      <w:r>
        <w:rPr>
          <w:rFonts w:ascii="Times New Roman" w:hAnsi="Times New Roman" w:cs="Times New Roman"/>
          <w:sz w:val="18"/>
          <w:szCs w:val="18"/>
        </w:rPr>
        <w:t>2024</w:t>
      </w:r>
      <w:r>
        <w:rPr>
          <w:rFonts w:ascii="Times New Roman" w:hAnsi="Times New Roman" w:cs="Times New Roman"/>
          <w:sz w:val="18"/>
          <w:szCs w:val="18"/>
        </w:rPr>
        <w:t>年业绩考核未达标，按《</w:t>
      </w:r>
      <w:r>
        <w:rPr>
          <w:rFonts w:ascii="Times New Roman" w:hAnsi="Times New Roman" w:cs="Times New Roman"/>
          <w:sz w:val="18"/>
          <w:szCs w:val="18"/>
        </w:rPr>
        <w:t>2023</w:t>
      </w:r>
      <w:r>
        <w:rPr>
          <w:rFonts w:ascii="Times New Roman" w:hAnsi="Times New Roman" w:cs="Times New Roman"/>
          <w:sz w:val="18"/>
          <w:szCs w:val="18"/>
        </w:rPr>
        <w:t>年限制性股票激励计划》及《</w:t>
      </w:r>
      <w:r>
        <w:rPr>
          <w:rFonts w:ascii="Times New Roman" w:hAnsi="Times New Roman" w:cs="Times New Roman"/>
          <w:sz w:val="18"/>
          <w:szCs w:val="18"/>
        </w:rPr>
        <w:t>2023</w:t>
      </w:r>
      <w:r>
        <w:rPr>
          <w:rFonts w:ascii="Times New Roman" w:hAnsi="Times New Roman" w:cs="Times New Roman"/>
          <w:sz w:val="18"/>
          <w:szCs w:val="18"/>
        </w:rPr>
        <w:t>年限制性股票激励计划实施考核管理办法（修订稿）》相关规定，公司回购并注销首次授予</w:t>
      </w:r>
      <w:r>
        <w:rPr>
          <w:rFonts w:ascii="Times New Roman" w:hAnsi="Times New Roman" w:cs="Times New Roman"/>
          <w:sz w:val="18"/>
          <w:szCs w:val="18"/>
        </w:rPr>
        <w:t>2</w:t>
      </w:r>
      <w:r>
        <w:rPr>
          <w:rFonts w:ascii="Times New Roman" w:hAnsi="Times New Roman" w:cs="Times New Roman"/>
          <w:sz w:val="18"/>
          <w:szCs w:val="18"/>
        </w:rPr>
        <w:t>名激励对象对应当年已获授但尚未解除限售的第一类限制性股票合计</w:t>
      </w:r>
      <w:r>
        <w:rPr>
          <w:rFonts w:ascii="Times New Roman" w:hAnsi="Times New Roman" w:cs="Times New Roman"/>
          <w:sz w:val="18"/>
          <w:szCs w:val="18"/>
        </w:rPr>
        <w:t>256,000</w:t>
      </w:r>
      <w:r>
        <w:rPr>
          <w:rFonts w:ascii="Times New Roman" w:hAnsi="Times New Roman" w:cs="Times New Roman"/>
          <w:sz w:val="18"/>
          <w:szCs w:val="18"/>
        </w:rPr>
        <w:t>股，占注销前总股本比例为</w:t>
      </w:r>
      <w:r>
        <w:rPr>
          <w:rFonts w:ascii="Times New Roman" w:hAnsi="Times New Roman" w:cs="Times New Roman"/>
          <w:sz w:val="18"/>
          <w:szCs w:val="18"/>
        </w:rPr>
        <w:t>0.38%</w:t>
      </w:r>
      <w:r>
        <w:rPr>
          <w:rFonts w:ascii="Times New Roman" w:hAnsi="Times New Roman" w:cs="Times New Roman"/>
          <w:sz w:val="18"/>
          <w:szCs w:val="18"/>
        </w:rPr>
        <w:t>。该事项经公司第三届董事会第三十次会议、第三届监事会第二十六次会议、</w:t>
      </w:r>
      <w:r>
        <w:rPr>
          <w:rFonts w:ascii="Times New Roman" w:hAnsi="Times New Roman" w:cs="Times New Roman"/>
          <w:sz w:val="18"/>
          <w:szCs w:val="18"/>
        </w:rPr>
        <w:t>2024</w:t>
      </w:r>
      <w:r>
        <w:rPr>
          <w:rFonts w:ascii="Times New Roman" w:hAnsi="Times New Roman" w:cs="Times New Roman"/>
          <w:sz w:val="18"/>
          <w:szCs w:val="18"/>
        </w:rPr>
        <w:t>年年度股东会审议通过。经中国证券登记结算有限责任公司深圳分公司审核确认，公司本次部分限制性股票注销事宜已于</w:t>
      </w:r>
      <w:r>
        <w:rPr>
          <w:rFonts w:ascii="Times New Roman" w:hAnsi="Times New Roman" w:cs="Times New Roman"/>
          <w:sz w:val="18"/>
          <w:szCs w:val="18"/>
        </w:rPr>
        <w:t>2025</w:t>
      </w:r>
      <w:r>
        <w:rPr>
          <w:rFonts w:ascii="Times New Roman" w:hAnsi="Times New Roman" w:cs="Times New Roman"/>
          <w:sz w:val="18"/>
          <w:szCs w:val="18"/>
        </w:rPr>
        <w:t>年</w:t>
      </w:r>
      <w:r>
        <w:rPr>
          <w:rFonts w:ascii="Times New Roman" w:hAnsi="Times New Roman" w:cs="Times New Roman"/>
          <w:sz w:val="18"/>
          <w:szCs w:val="18"/>
        </w:rPr>
        <w:t>7</w:t>
      </w:r>
      <w:r>
        <w:rPr>
          <w:rFonts w:ascii="Times New Roman" w:hAnsi="Times New Roman" w:cs="Times New Roman"/>
          <w:sz w:val="18"/>
          <w:szCs w:val="18"/>
        </w:rPr>
        <w:t>月</w:t>
      </w:r>
      <w:r>
        <w:rPr>
          <w:rFonts w:ascii="Times New Roman" w:hAnsi="Times New Roman" w:cs="Times New Roman"/>
          <w:sz w:val="18"/>
          <w:szCs w:val="18"/>
        </w:rPr>
        <w:t>28</w:t>
      </w:r>
      <w:r>
        <w:rPr>
          <w:rFonts w:ascii="Times New Roman" w:hAnsi="Times New Roman" w:cs="Times New Roman"/>
          <w:sz w:val="18"/>
          <w:szCs w:val="18"/>
        </w:rPr>
        <w:t>日办理完成。本次注销完成后，公司股份总数由</w:t>
      </w:r>
      <w:r>
        <w:rPr>
          <w:rFonts w:ascii="Times New Roman" w:hAnsi="Times New Roman" w:cs="Times New Roman"/>
          <w:sz w:val="18"/>
          <w:szCs w:val="18"/>
        </w:rPr>
        <w:t>67,108,800</w:t>
      </w:r>
      <w:r>
        <w:rPr>
          <w:rFonts w:ascii="Times New Roman" w:hAnsi="Times New Roman" w:cs="Times New Roman"/>
          <w:sz w:val="18"/>
          <w:szCs w:val="18"/>
        </w:rPr>
        <w:t>股减少至</w:t>
      </w:r>
      <w:r>
        <w:rPr>
          <w:rFonts w:ascii="Times New Roman" w:hAnsi="Times New Roman" w:cs="Times New Roman"/>
          <w:sz w:val="18"/>
          <w:szCs w:val="18"/>
        </w:rPr>
        <w:t>66,852,800</w:t>
      </w:r>
      <w:r>
        <w:rPr>
          <w:rFonts w:ascii="Times New Roman" w:hAnsi="Times New Roman" w:cs="Times New Roman"/>
          <w:sz w:val="18"/>
          <w:szCs w:val="18"/>
        </w:rPr>
        <w:t>股。</w:t>
      </w:r>
    </w:p>
    <w:p w:rsidR="00CE3C32" w:rsidRDefault="006413B8">
      <w:pPr>
        <w:pStyle w:val="a6"/>
        <w:spacing w:before="0" w:beforeAutospacing="0" w:after="0" w:afterAutospacing="0"/>
        <w:ind w:left="420"/>
        <w:jc w:val="both"/>
        <w:rPr>
          <w:rFonts w:ascii="Times New Roman" w:hAnsi="Times New Roman" w:cs="Times New Roman"/>
          <w:sz w:val="21"/>
          <w:szCs w:val="21"/>
        </w:rPr>
      </w:pPr>
      <w:r>
        <w:rPr>
          <w:rFonts w:ascii="Times New Roman" w:hAnsi="Times New Roman" w:cs="Times New Roman"/>
          <w:sz w:val="18"/>
          <w:szCs w:val="18"/>
        </w:rPr>
        <w:t>（二）董事会换届</w:t>
      </w:r>
    </w:p>
    <w:p w:rsidR="00CE3C32" w:rsidRDefault="006413B8">
      <w:pPr>
        <w:pStyle w:val="a6"/>
        <w:spacing w:before="0" w:beforeAutospacing="0" w:after="0" w:afterAutospacing="0" w:line="360" w:lineRule="auto"/>
        <w:ind w:firstLine="420"/>
        <w:jc w:val="both"/>
        <w:rPr>
          <w:rFonts w:ascii="Times New Roman" w:hAnsi="Times New Roman" w:cs="Times New Roman"/>
          <w:sz w:val="21"/>
          <w:szCs w:val="21"/>
        </w:rPr>
      </w:pPr>
      <w:r>
        <w:rPr>
          <w:rFonts w:ascii="Times New Roman" w:hAnsi="Times New Roman" w:cs="Times New Roman"/>
          <w:sz w:val="18"/>
          <w:szCs w:val="18"/>
        </w:rPr>
        <w:t>根据《公司章程》规定，公司第三届董事会已届满。经第三届董事会第三十三次会议审议通过，公司拟提名并选举林明玲女士、马学沛先生、</w:t>
      </w:r>
      <w:r>
        <w:rPr>
          <w:rFonts w:ascii="Times New Roman" w:hAnsi="Times New Roman" w:cs="Times New Roman" w:hint="eastAsia"/>
          <w:sz w:val="18"/>
          <w:szCs w:val="18"/>
        </w:rPr>
        <w:t>马翊珽</w:t>
      </w:r>
      <w:r>
        <w:rPr>
          <w:rFonts w:ascii="Times New Roman" w:hAnsi="Times New Roman" w:cs="Times New Roman"/>
          <w:sz w:val="18"/>
          <w:szCs w:val="18"/>
        </w:rPr>
        <w:t>先生、</w:t>
      </w:r>
      <w:r>
        <w:rPr>
          <w:rFonts w:ascii="Times New Roman" w:hAnsi="Times New Roman" w:cs="Times New Roman" w:hint="eastAsia"/>
          <w:sz w:val="18"/>
          <w:szCs w:val="18"/>
        </w:rPr>
        <w:t>刘楚境</w:t>
      </w:r>
      <w:r>
        <w:rPr>
          <w:rFonts w:ascii="Times New Roman" w:hAnsi="Times New Roman" w:cs="Times New Roman"/>
          <w:sz w:val="18"/>
          <w:szCs w:val="18"/>
        </w:rPr>
        <w:t>先生、</w:t>
      </w:r>
      <w:r>
        <w:rPr>
          <w:rFonts w:ascii="Times New Roman" w:hAnsi="Times New Roman" w:cs="Times New Roman" w:hint="eastAsia"/>
          <w:sz w:val="18"/>
          <w:szCs w:val="18"/>
        </w:rPr>
        <w:t>郭树荣</w:t>
      </w:r>
      <w:r>
        <w:rPr>
          <w:rFonts w:ascii="Times New Roman" w:hAnsi="Times New Roman" w:cs="Times New Roman"/>
          <w:sz w:val="18"/>
          <w:szCs w:val="18"/>
        </w:rPr>
        <w:t>等五人为公司第四届董事会非独立董事候选人，曹丽梅女士、石洁芝女士、</w:t>
      </w:r>
      <w:r>
        <w:rPr>
          <w:rFonts w:ascii="Times New Roman" w:hAnsi="Times New Roman" w:cs="Times New Roman" w:hint="eastAsia"/>
          <w:sz w:val="18"/>
          <w:szCs w:val="18"/>
        </w:rPr>
        <w:t>滕丽秋</w:t>
      </w:r>
      <w:r>
        <w:rPr>
          <w:rFonts w:ascii="Times New Roman" w:hAnsi="Times New Roman" w:cs="Times New Roman"/>
          <w:sz w:val="18"/>
          <w:szCs w:val="18"/>
        </w:rPr>
        <w:t>等三人为公司第四届董事会独立董事候选人。该事项尚需提交股东会审议。</w:t>
      </w:r>
    </w:p>
    <w:p w:rsidR="00CE3C32" w:rsidRDefault="006413B8">
      <w:pPr>
        <w:pStyle w:val="2"/>
        <w:spacing w:before="300" w:after="300" w:line="320" w:lineRule="exact"/>
        <w:rPr>
          <w:rFonts w:ascii="Times New Roman" w:eastAsia="宋体" w:hAnsi="Times New Roman" w:cs="Times New Roman"/>
          <w:b/>
          <w:bCs/>
          <w:sz w:val="24"/>
          <w:szCs w:val="24"/>
        </w:rPr>
      </w:pPr>
      <w:bookmarkStart w:id="499" w:name="_Toc989384"/>
      <w:r>
        <w:rPr>
          <w:rFonts w:ascii="Times New Roman" w:eastAsia="宋体" w:hAnsi="Times New Roman" w:cs="Times New Roman"/>
          <w:b/>
          <w:bCs/>
          <w:sz w:val="24"/>
          <w:szCs w:val="24"/>
        </w:rPr>
        <w:t>十八、其他重要事项</w:t>
      </w:r>
      <w:bookmarkEnd w:id="499"/>
    </w:p>
    <w:p w:rsidR="00CE3C32" w:rsidRDefault="006413B8">
      <w:pPr>
        <w:pStyle w:val="3"/>
        <w:spacing w:line="280" w:lineRule="exact"/>
        <w:jc w:val="left"/>
        <w:rPr>
          <w:rFonts w:ascii="Times New Roman" w:hAnsi="Times New Roman" w:cs="Times New Roman"/>
          <w:b/>
          <w:bCs/>
        </w:rPr>
      </w:pPr>
      <w:bookmarkStart w:id="500" w:name="_Toc989385"/>
      <w:r>
        <w:rPr>
          <w:rFonts w:ascii="Times New Roman" w:hAnsi="Times New Roman" w:cs="Times New Roman"/>
          <w:b/>
          <w:bCs/>
        </w:rPr>
        <w:t>1</w:t>
      </w:r>
      <w:r>
        <w:rPr>
          <w:rFonts w:ascii="Times New Roman" w:hAnsi="Times New Roman" w:cs="Times New Roman"/>
          <w:b/>
          <w:bCs/>
        </w:rPr>
        <w:t>、前期会计差错更正</w:t>
      </w:r>
      <w:bookmarkEnd w:id="500"/>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501" w:name="_Toc989386"/>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追溯重述法</w:t>
      </w:r>
      <w:bookmarkEnd w:id="501"/>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会计差错更正的内容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处理程序</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受影响的各个比较期间报表项目名称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累积影响数</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502" w:name="_Toc989387"/>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未来适用法</w:t>
      </w:r>
      <w:bookmarkEnd w:id="502"/>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会计差错更正的内容</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批准程序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采用未来适用法的原因</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bl>
    <w:p w:rsidR="00CE3C32" w:rsidRDefault="006413B8">
      <w:pPr>
        <w:pStyle w:val="3"/>
        <w:spacing w:line="280" w:lineRule="exact"/>
        <w:jc w:val="left"/>
        <w:rPr>
          <w:rFonts w:ascii="Times New Roman" w:hAnsi="Times New Roman" w:cs="Times New Roman"/>
          <w:b/>
          <w:bCs/>
        </w:rPr>
      </w:pPr>
      <w:bookmarkStart w:id="503" w:name="_Toc989388"/>
      <w:r>
        <w:rPr>
          <w:rFonts w:ascii="Times New Roman" w:hAnsi="Times New Roman" w:cs="Times New Roman"/>
          <w:b/>
          <w:bCs/>
        </w:rPr>
        <w:lastRenderedPageBreak/>
        <w:t>2</w:t>
      </w:r>
      <w:r>
        <w:rPr>
          <w:rFonts w:ascii="Times New Roman" w:hAnsi="Times New Roman" w:cs="Times New Roman"/>
          <w:b/>
          <w:bCs/>
        </w:rPr>
        <w:t>、债务重组</w:t>
      </w:r>
      <w:bookmarkEnd w:id="503"/>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504" w:name="_Toc989389"/>
      <w:r>
        <w:rPr>
          <w:rFonts w:ascii="Times New Roman" w:hAnsi="Times New Roman" w:cs="Times New Roman"/>
          <w:b/>
          <w:bCs/>
        </w:rPr>
        <w:t>3</w:t>
      </w:r>
      <w:r>
        <w:rPr>
          <w:rFonts w:ascii="Times New Roman" w:hAnsi="Times New Roman" w:cs="Times New Roman"/>
          <w:b/>
          <w:bCs/>
        </w:rPr>
        <w:t>、资产置换</w:t>
      </w:r>
      <w:bookmarkEnd w:id="504"/>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505" w:name="_Toc989390"/>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非货币性资产交换</w:t>
      </w:r>
      <w:bookmarkEnd w:id="505"/>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506" w:name="_Toc989391"/>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其他资产置换</w:t>
      </w:r>
      <w:bookmarkEnd w:id="506"/>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507" w:name="_Toc989392"/>
      <w:r>
        <w:rPr>
          <w:rFonts w:ascii="Times New Roman" w:hAnsi="Times New Roman" w:cs="Times New Roman"/>
          <w:b/>
          <w:bCs/>
        </w:rPr>
        <w:t>4</w:t>
      </w:r>
      <w:r>
        <w:rPr>
          <w:rFonts w:ascii="Times New Roman" w:hAnsi="Times New Roman" w:cs="Times New Roman"/>
          <w:b/>
          <w:bCs/>
        </w:rPr>
        <w:t>、年金计划</w:t>
      </w:r>
      <w:bookmarkEnd w:id="507"/>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508" w:name="_Toc989393"/>
      <w:r>
        <w:rPr>
          <w:rFonts w:ascii="Times New Roman" w:hAnsi="Times New Roman" w:cs="Times New Roman"/>
          <w:b/>
          <w:bCs/>
        </w:rPr>
        <w:t>5</w:t>
      </w:r>
      <w:r>
        <w:rPr>
          <w:rFonts w:ascii="Times New Roman" w:hAnsi="Times New Roman" w:cs="Times New Roman"/>
          <w:b/>
          <w:bCs/>
        </w:rPr>
        <w:t>、终止经营</w:t>
      </w:r>
      <w:bookmarkEnd w:id="50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费用</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利润总额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所得税费用</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净利润</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归属于母公司所有者的终止经营利润</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509" w:name="_Toc989394"/>
      <w:r>
        <w:rPr>
          <w:rFonts w:ascii="Times New Roman" w:hAnsi="Times New Roman" w:cs="Times New Roman"/>
          <w:b/>
          <w:bCs/>
        </w:rPr>
        <w:t>6</w:t>
      </w:r>
      <w:r>
        <w:rPr>
          <w:rFonts w:ascii="Times New Roman" w:hAnsi="Times New Roman" w:cs="Times New Roman"/>
          <w:b/>
          <w:bCs/>
        </w:rPr>
        <w:t>、分部信息</w:t>
      </w:r>
      <w:bookmarkEnd w:id="509"/>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510" w:name="_Toc989395"/>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报告分部的确定依据与会计政策</w:t>
      </w:r>
      <w:bookmarkEnd w:id="510"/>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511" w:name="_Toc989396"/>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报告分部的财务信息</w:t>
      </w:r>
      <w:bookmarkEnd w:id="511"/>
    </w:p>
    <w:p w:rsidR="00CE3C32" w:rsidRDefault="006413B8">
      <w:pPr>
        <w:pStyle w:val="a6"/>
        <w:rPr>
          <w:rFonts w:ascii="Times New Roman" w:hAnsi="Times New Roman" w:cs="Times New Roman"/>
          <w:sz w:val="18"/>
          <w:szCs w:val="18"/>
        </w:rPr>
      </w:pPr>
      <w:bookmarkStart w:id="512" w:name="_Toc989397"/>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公司无报告分部的，或者不能披露各报告分部的资产总额和负债总额的，应说明原因。</w:t>
      </w:r>
      <w:bookmarkEnd w:id="512"/>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513" w:name="_Toc989398"/>
      <w:r>
        <w:rPr>
          <w:rFonts w:ascii="Times New Roman" w:eastAsia="宋体" w:hAnsi="Times New Roman" w:cs="Times New Roman"/>
          <w:b/>
          <w:bCs/>
          <w:szCs w:val="21"/>
        </w:rPr>
        <w:t>（</w:t>
      </w:r>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其他说明</w:t>
      </w:r>
      <w:bookmarkEnd w:id="513"/>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514" w:name="_Toc989399"/>
      <w:r>
        <w:rPr>
          <w:rFonts w:ascii="Times New Roman" w:hAnsi="Times New Roman" w:cs="Times New Roman"/>
          <w:b/>
          <w:bCs/>
        </w:rPr>
        <w:lastRenderedPageBreak/>
        <w:t>7</w:t>
      </w:r>
      <w:r>
        <w:rPr>
          <w:rFonts w:ascii="Times New Roman" w:hAnsi="Times New Roman" w:cs="Times New Roman"/>
          <w:b/>
          <w:bCs/>
        </w:rPr>
        <w:t>、其他对投资者决策有影响的重要交易和事项</w:t>
      </w:r>
      <w:bookmarkEnd w:id="514"/>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515" w:name="_Toc989400"/>
      <w:r>
        <w:rPr>
          <w:rFonts w:ascii="Times New Roman" w:hAnsi="Times New Roman" w:cs="Times New Roman"/>
          <w:b/>
          <w:bCs/>
        </w:rPr>
        <w:t>8</w:t>
      </w:r>
      <w:r>
        <w:rPr>
          <w:rFonts w:ascii="Times New Roman" w:hAnsi="Times New Roman" w:cs="Times New Roman"/>
          <w:b/>
          <w:bCs/>
        </w:rPr>
        <w:t>、其他</w:t>
      </w:r>
      <w:bookmarkEnd w:id="515"/>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无。</w:t>
      </w:r>
    </w:p>
    <w:p w:rsidR="00CE3C32" w:rsidRDefault="006413B8">
      <w:pPr>
        <w:pStyle w:val="2"/>
        <w:spacing w:before="300" w:after="300" w:line="320" w:lineRule="exact"/>
        <w:rPr>
          <w:rFonts w:ascii="Times New Roman" w:eastAsia="宋体" w:hAnsi="Times New Roman" w:cs="Times New Roman"/>
          <w:b/>
          <w:bCs/>
          <w:sz w:val="24"/>
          <w:szCs w:val="24"/>
        </w:rPr>
      </w:pPr>
      <w:bookmarkStart w:id="516" w:name="_Toc989401"/>
      <w:r>
        <w:rPr>
          <w:rFonts w:ascii="Times New Roman" w:eastAsia="宋体" w:hAnsi="Times New Roman" w:cs="Times New Roman"/>
          <w:b/>
          <w:bCs/>
          <w:sz w:val="24"/>
          <w:szCs w:val="24"/>
        </w:rPr>
        <w:t>十九、母公司财务报表主要项目注释</w:t>
      </w:r>
      <w:bookmarkEnd w:id="516"/>
    </w:p>
    <w:p w:rsidR="00CE3C32" w:rsidRDefault="006413B8">
      <w:pPr>
        <w:pStyle w:val="3"/>
        <w:spacing w:line="280" w:lineRule="exact"/>
        <w:jc w:val="left"/>
        <w:rPr>
          <w:rFonts w:ascii="Times New Roman" w:hAnsi="Times New Roman" w:cs="Times New Roman"/>
          <w:b/>
          <w:bCs/>
        </w:rPr>
      </w:pPr>
      <w:bookmarkStart w:id="517" w:name="_Toc989402"/>
      <w:r>
        <w:rPr>
          <w:rFonts w:ascii="Times New Roman" w:hAnsi="Times New Roman" w:cs="Times New Roman"/>
          <w:b/>
          <w:bCs/>
        </w:rPr>
        <w:t>1</w:t>
      </w:r>
      <w:r>
        <w:rPr>
          <w:rFonts w:ascii="Times New Roman" w:hAnsi="Times New Roman" w:cs="Times New Roman"/>
          <w:b/>
          <w:bCs/>
        </w:rPr>
        <w:t>、应收账款</w:t>
      </w:r>
      <w:bookmarkEnd w:id="517"/>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518" w:name="_Toc989403"/>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按账龄披露</w:t>
      </w:r>
      <w:bookmarkEnd w:id="51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账龄</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期末账面余额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期初账面余额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年以内（含</w:t>
            </w:r>
            <w:r>
              <w:rPr>
                <w:rFonts w:ascii="Times New Roman" w:eastAsia="宋体" w:hAnsi="Times New Roman" w:cs="Times New Roman"/>
                <w:sz w:val="18"/>
                <w:szCs w:val="18"/>
              </w:rPr>
              <w:t>1</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96,280,246.49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59,253,785.19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至</w:t>
            </w:r>
            <w:r>
              <w:rPr>
                <w:rFonts w:ascii="Times New Roman" w:eastAsia="宋体" w:hAnsi="Times New Roman" w:cs="Times New Roman"/>
                <w:sz w:val="18"/>
                <w:szCs w:val="18"/>
              </w:rPr>
              <w:t>2</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65,415,109.51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69,777,749.52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至</w:t>
            </w:r>
            <w:r>
              <w:rPr>
                <w:rFonts w:ascii="Times New Roman" w:eastAsia="宋体" w:hAnsi="Times New Roman" w:cs="Times New Roman"/>
                <w:sz w:val="18"/>
                <w:szCs w:val="18"/>
              </w:rPr>
              <w:t>3</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59,135,962.21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69,001,133.84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年以上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67,203,860.40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78,236,137.58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至</w:t>
            </w:r>
            <w:r>
              <w:rPr>
                <w:rFonts w:ascii="Times New Roman" w:eastAsia="宋体" w:hAnsi="Times New Roman" w:cs="Times New Roman"/>
                <w:sz w:val="18"/>
                <w:szCs w:val="18"/>
              </w:rPr>
              <w:t>4</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38,103,196.38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49,092,078.09</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至</w:t>
            </w:r>
            <w:r>
              <w:rPr>
                <w:rFonts w:ascii="Times New Roman" w:eastAsia="宋体" w:hAnsi="Times New Roman" w:cs="Times New Roman"/>
                <w:sz w:val="18"/>
                <w:szCs w:val="18"/>
              </w:rPr>
              <w:t>5</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13,428,034.14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14,059,954.48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年以上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15,672,629.88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15,084,105.01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288,035,178.61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276,268,806.13</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519" w:name="_Toc989404"/>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按坏账计提方法分类披露</w:t>
      </w:r>
      <w:bookmarkEnd w:id="519"/>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877"/>
        <w:gridCol w:w="876"/>
        <w:gridCol w:w="877"/>
        <w:gridCol w:w="876"/>
        <w:gridCol w:w="876"/>
        <w:gridCol w:w="877"/>
        <w:gridCol w:w="876"/>
        <w:gridCol w:w="877"/>
        <w:gridCol w:w="876"/>
      </w:tblGrid>
      <w:tr w:rsidR="00CE3C32">
        <w:trPr>
          <w:trHeight w:val="240"/>
          <w:tblHeader/>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类别</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blHeader/>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r>
      <w:tr w:rsidR="00CE3C32">
        <w:trPr>
          <w:trHeight w:val="240"/>
          <w:tblHeader/>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按单项计提坏账准备的应收账款</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17,817,444.05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6.19%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17,817,444.05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26,110,571.26</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9.45%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26,110,571.26</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按组合计提坏账准备的应收账款</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270,217,734.56</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93.81%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68,616,230.27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25.39%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201,601,504.29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250,158,234.87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90.55%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71,089,166.30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28.42%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179,069,068.57</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100" w:firstLine="180"/>
              <w:rPr>
                <w:rFonts w:ascii="Times New Roman" w:eastAsia="宋体" w:hAnsi="Times New Roman" w:cs="Times New Roman"/>
                <w:sz w:val="18"/>
                <w:szCs w:val="18"/>
              </w:rPr>
            </w:pPr>
            <w:r>
              <w:rPr>
                <w:rFonts w:ascii="Times New Roman" w:eastAsia="宋体" w:hAnsi="Times New Roman" w:cs="Times New Roman"/>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组合</w:t>
            </w:r>
            <w:r>
              <w:rPr>
                <w:rFonts w:ascii="Times New Roman" w:eastAsia="宋体" w:hAnsi="Times New Roman" w:cs="Times New Roman"/>
                <w:sz w:val="18"/>
                <w:szCs w:val="18"/>
              </w:rPr>
              <w:t>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78,802,343.48</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27.36%</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21,795,012.15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27.66%</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57,007,331.33</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57,673,208.52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20.88%</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20,633,442.36</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35.78%</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37,039,766.16</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组合</w:t>
            </w:r>
            <w:r>
              <w:rPr>
                <w:rFonts w:ascii="Times New Roman" w:eastAsia="宋体" w:hAnsi="Times New Roman" w:cs="Times New Roman"/>
                <w:sz w:val="18"/>
                <w:szCs w:val="18"/>
              </w:rPr>
              <w:t>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191,415,391.08</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66.46%</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46,821,218.12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24.46%</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144,594,172.96</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192,485,026.35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69.67%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50,455,723.94</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26.21%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142,029,302.41</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288,035,178.61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68,616,230.27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23.82%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219,418,948.34</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276,268,806.13</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71,089,166.30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25.73%</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205,179,639.83</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按单项计提坏账准备类别名称：</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名称</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计提理由</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深圳市互联精英信息技术有限公司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843,309.24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843,309.24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合并范围内子公司</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天亿马信息技术有限公司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19,267,262.02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14,455,590.01</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合并范围内子公司</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广东天亿马信息科技有限公司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6,000,000.00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2,445,044.80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合并范围内子公司</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广东翼启数据产业有限公司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73,500.00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合并范围内子公司</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26,110,571.26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17,817,444.05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按组合计提坏账准备类别名称：组合</w:t>
      </w:r>
      <w:r>
        <w:rPr>
          <w:rFonts w:ascii="Times New Roman" w:eastAsia="宋体" w:hAnsi="Times New Roman" w:cs="Times New Roman"/>
          <w:sz w:val="18"/>
          <w:szCs w:val="18"/>
        </w:rPr>
        <w:t>1</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年以内</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34,389,850.07</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1,719,492.50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至</w:t>
            </w:r>
            <w:r>
              <w:rPr>
                <w:rFonts w:ascii="Times New Roman" w:eastAsia="宋体" w:hAnsi="Times New Roman" w:cs="Times New Roman"/>
                <w:sz w:val="18"/>
                <w:szCs w:val="18"/>
              </w:rPr>
              <w:t>2</w:t>
            </w:r>
            <w:r>
              <w:rPr>
                <w:rFonts w:ascii="Times New Roman" w:eastAsia="宋体" w:hAnsi="Times New Roman" w:cs="Times New Roman"/>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9,789,611.28</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978,961.13</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至</w:t>
            </w:r>
            <w:r>
              <w:rPr>
                <w:rFonts w:ascii="Times New Roman" w:eastAsia="宋体" w:hAnsi="Times New Roman" w:cs="Times New Roman"/>
                <w:sz w:val="18"/>
                <w:szCs w:val="18"/>
              </w:rPr>
              <w:t>3</w:t>
            </w:r>
            <w:r>
              <w:rPr>
                <w:rFonts w:ascii="Times New Roman" w:eastAsia="宋体" w:hAnsi="Times New Roman" w:cs="Times New Roman"/>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12,998,480.53</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3,899,544.16</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至</w:t>
            </w:r>
            <w:r>
              <w:rPr>
                <w:rFonts w:ascii="Times New Roman" w:eastAsia="宋体" w:hAnsi="Times New Roman" w:cs="Times New Roman"/>
                <w:sz w:val="18"/>
                <w:szCs w:val="18"/>
              </w:rPr>
              <w:t>4</w:t>
            </w:r>
            <w:r>
              <w:rPr>
                <w:rFonts w:ascii="Times New Roman" w:eastAsia="宋体" w:hAnsi="Times New Roman" w:cs="Times New Roman"/>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12,415,050.89</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6,207,525.44</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至</w:t>
            </w:r>
            <w:r>
              <w:rPr>
                <w:rFonts w:ascii="Times New Roman" w:eastAsia="宋体" w:hAnsi="Times New Roman" w:cs="Times New Roman"/>
                <w:sz w:val="18"/>
                <w:szCs w:val="18"/>
              </w:rPr>
              <w:t>5</w:t>
            </w:r>
            <w:r>
              <w:rPr>
                <w:rFonts w:ascii="Times New Roman" w:eastAsia="宋体" w:hAnsi="Times New Roman" w:cs="Times New Roman"/>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1,099,308.96</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879,447.17</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年以上</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8,110,041.75</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8,110,041.75</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78,802,343.48</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21,795,012.15</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确定该组合依据的说明：</w:t>
      </w:r>
      <w:r>
        <w:rPr>
          <w:rFonts w:ascii="Times New Roman" w:hAnsi="Times New Roman" w:cs="Times New Roman"/>
          <w:sz w:val="18"/>
          <w:szCs w:val="18"/>
        </w:rPr>
        <w:t>确定应收账款组合的依据详见本节五、</w:t>
      </w:r>
      <w:r>
        <w:rPr>
          <w:rFonts w:ascii="Times New Roman" w:hAnsi="Times New Roman" w:cs="Times New Roman"/>
          <w:sz w:val="18"/>
          <w:szCs w:val="18"/>
        </w:rPr>
        <w:t>13</w:t>
      </w:r>
      <w:r>
        <w:rPr>
          <w:rFonts w:ascii="Times New Roman" w:hAnsi="Times New Roman" w:cs="Times New Roman"/>
          <w:sz w:val="18"/>
          <w:szCs w:val="18"/>
        </w:rPr>
        <w:t>。</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按组合计提坏账准备类别名称：组合</w:t>
      </w:r>
      <w:r>
        <w:rPr>
          <w:rFonts w:ascii="Times New Roman" w:eastAsia="宋体" w:hAnsi="Times New Roman" w:cs="Times New Roman"/>
          <w:sz w:val="18"/>
          <w:szCs w:val="18"/>
        </w:rPr>
        <w:t>2</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年以内</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61,602,569.71</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3,080,128.50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至</w:t>
            </w:r>
            <w:r>
              <w:rPr>
                <w:rFonts w:ascii="Times New Roman" w:eastAsia="宋体" w:hAnsi="Times New Roman" w:cs="Times New Roman"/>
                <w:sz w:val="18"/>
                <w:szCs w:val="18"/>
              </w:rPr>
              <w:t>2</w:t>
            </w:r>
            <w:r>
              <w:rPr>
                <w:rFonts w:ascii="Times New Roman" w:eastAsia="宋体" w:hAnsi="Times New Roman" w:cs="Times New Roman"/>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50,033,567.03</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5,003,356.70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至</w:t>
            </w:r>
            <w:r>
              <w:rPr>
                <w:rFonts w:ascii="Times New Roman" w:eastAsia="宋体" w:hAnsi="Times New Roman" w:cs="Times New Roman"/>
                <w:sz w:val="18"/>
                <w:szCs w:val="18"/>
              </w:rPr>
              <w:t>3</w:t>
            </w:r>
            <w:r>
              <w:rPr>
                <w:rFonts w:ascii="Times New Roman" w:eastAsia="宋体" w:hAnsi="Times New Roman" w:cs="Times New Roman"/>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40,282,069.54</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12,084,620.86</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至</w:t>
            </w:r>
            <w:r>
              <w:rPr>
                <w:rFonts w:ascii="Times New Roman" w:eastAsia="宋体" w:hAnsi="Times New Roman" w:cs="Times New Roman"/>
                <w:sz w:val="18"/>
                <w:szCs w:val="18"/>
              </w:rPr>
              <w:t>4</w:t>
            </w:r>
            <w:r>
              <w:rPr>
                <w:rFonts w:ascii="Times New Roman" w:eastAsia="宋体" w:hAnsi="Times New Roman" w:cs="Times New Roman"/>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25,688,145.49</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12,844,072.75</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至</w:t>
            </w:r>
            <w:r>
              <w:rPr>
                <w:rFonts w:ascii="Times New Roman" w:eastAsia="宋体" w:hAnsi="Times New Roman" w:cs="Times New Roman"/>
                <w:sz w:val="18"/>
                <w:szCs w:val="18"/>
              </w:rPr>
              <w:t>5</w:t>
            </w:r>
            <w:r>
              <w:rPr>
                <w:rFonts w:ascii="Times New Roman" w:eastAsia="宋体" w:hAnsi="Times New Roman" w:cs="Times New Roman"/>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6,246,451.18</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6,246,451.18</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年以上</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7,562,588.13</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7,562,588.13</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191,415,391.08</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46,821,218.12</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确定该组合依据的说明：</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确定应收账款组合的依据详见本节五、</w:t>
      </w:r>
      <w:r>
        <w:rPr>
          <w:rFonts w:ascii="Times New Roman" w:hAnsi="Times New Roman" w:cs="Times New Roman"/>
          <w:sz w:val="18"/>
          <w:szCs w:val="18"/>
        </w:rPr>
        <w:t>13</w:t>
      </w:r>
      <w:r>
        <w:rPr>
          <w:rFonts w:ascii="Times New Roman" w:hAnsi="Times New Roman" w:cs="Times New Roman"/>
          <w:sz w:val="18"/>
          <w:szCs w:val="18"/>
        </w:rPr>
        <w:t>。</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如是按照预期信用损失一般模型计提应收账款坏账准备：</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520" w:name="_Toc989405"/>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本期计提、收回或转回的坏账准备情况</w:t>
      </w:r>
      <w:bookmarkEnd w:id="520"/>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本期计提坏账准备情况：</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账龄组合</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71,089,166.30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-2,472,936.03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68,616,230.27</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71,089,166.30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-2,472,936.03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68,616,230.27</w:t>
            </w:r>
          </w:p>
        </w:tc>
      </w:tr>
    </w:tbl>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其中本期坏账准备收回或转回金额重要的：无。</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521" w:name="_Toc989406"/>
      <w:r>
        <w:rPr>
          <w:rFonts w:ascii="Times New Roman" w:eastAsia="宋体" w:hAnsi="Times New Roman" w:cs="Times New Roman"/>
          <w:b/>
          <w:bCs/>
          <w:szCs w:val="21"/>
        </w:rPr>
        <w:t>（</w:t>
      </w:r>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本期实际核销的应收账款情况</w:t>
      </w:r>
      <w:bookmarkEnd w:id="521"/>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其中重要的应收账款核销情况：</w:t>
      </w:r>
      <w:r>
        <w:rPr>
          <w:rFonts w:ascii="Times New Roman" w:hAnsi="Times New Roman" w:cs="Times New Roman"/>
          <w:sz w:val="18"/>
          <w:szCs w:val="18"/>
        </w:rPr>
        <w:t>不适用。</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应收账款性质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款项是否由关联交易产生</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应收账款核销说明：</w:t>
      </w: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522" w:name="_Toc989407"/>
      <w:r>
        <w:rPr>
          <w:rFonts w:ascii="Times New Roman" w:eastAsia="宋体" w:hAnsi="Times New Roman" w:cs="Times New Roman"/>
          <w:b/>
          <w:bCs/>
          <w:szCs w:val="21"/>
        </w:rPr>
        <w:t>（</w:t>
      </w:r>
      <w:r>
        <w:rPr>
          <w:rFonts w:ascii="Times New Roman" w:eastAsia="宋体" w:hAnsi="Times New Roman" w:cs="Times New Roman"/>
          <w:b/>
          <w:bCs/>
          <w:szCs w:val="21"/>
        </w:rPr>
        <w:t>5</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按欠款方归集的期末余额前五名的应收账款和合同资产情况</w:t>
      </w:r>
      <w:bookmarkEnd w:id="52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应收账款期末余额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合同资产期末余额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应收账款和合同资产期末余额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占应收账款和合同资产期末余额合计数的比例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应收账款坏账准备和合同资产减值准备期末余额</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客户</w:t>
            </w:r>
            <w:r>
              <w:rPr>
                <w:rFonts w:ascii="Times New Roman" w:eastAsia="宋体" w:hAnsi="Times New Roman" w:cs="Times New Roman"/>
                <w:sz w:val="18"/>
                <w:szCs w:val="18"/>
              </w:rPr>
              <w:t>1</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30,627,425.94</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2,489,343.85</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33,116,769.79</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11.29%</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10,981,845.62</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客户</w:t>
            </w:r>
            <w:r>
              <w:rPr>
                <w:rFonts w:ascii="Times New Roman" w:eastAsia="宋体" w:hAnsi="Times New Roman" w:cs="Times New Roman"/>
                <w:sz w:val="18"/>
                <w:szCs w:val="18"/>
              </w:rPr>
              <w:t>2</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30,423,820.57</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30,423,820.57</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10.37%</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10,563,321.72</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客户</w:t>
            </w:r>
            <w:r>
              <w:rPr>
                <w:rFonts w:ascii="Times New Roman" w:eastAsia="宋体" w:hAnsi="Times New Roman" w:cs="Times New Roman"/>
                <w:sz w:val="18"/>
                <w:szCs w:val="18"/>
              </w:rPr>
              <w:t>3</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20,800,854.72</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20,800,854.72</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7.09%</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2,080,085.47</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客户</w:t>
            </w:r>
            <w:r>
              <w:rPr>
                <w:rFonts w:ascii="Times New Roman" w:eastAsia="宋体" w:hAnsi="Times New Roman" w:cs="Times New Roman"/>
                <w:sz w:val="18"/>
                <w:szCs w:val="18"/>
              </w:rPr>
              <w:t>4</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20,388,438.72</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20,388,438.72</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6.95%</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1,581,986.68</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客户</w:t>
            </w:r>
            <w:r>
              <w:rPr>
                <w:rFonts w:ascii="Times New Roman" w:eastAsia="宋体" w:hAnsi="Times New Roman" w:cs="Times New Roman"/>
                <w:sz w:val="18"/>
                <w:szCs w:val="18"/>
              </w:rPr>
              <w:t>5</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17,713,271.00</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1,005,685.00</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18,718,956.00</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6.38%</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935,947.80</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119,953,810.95</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3,495,028.85</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123,448,839.80</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42.08%</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26,143,187.29</w:t>
            </w:r>
          </w:p>
        </w:tc>
      </w:tr>
    </w:tbl>
    <w:p w:rsidR="00CE3C32" w:rsidRDefault="006413B8">
      <w:pPr>
        <w:pStyle w:val="3"/>
        <w:spacing w:line="280" w:lineRule="exact"/>
        <w:jc w:val="left"/>
        <w:rPr>
          <w:rFonts w:ascii="Times New Roman" w:hAnsi="Times New Roman" w:cs="Times New Roman"/>
          <w:b/>
          <w:bCs/>
        </w:rPr>
      </w:pPr>
      <w:bookmarkStart w:id="523" w:name="_Toc989408"/>
      <w:r>
        <w:rPr>
          <w:rFonts w:ascii="Times New Roman" w:hAnsi="Times New Roman" w:cs="Times New Roman"/>
          <w:b/>
          <w:bCs/>
        </w:rPr>
        <w:t>2</w:t>
      </w:r>
      <w:r>
        <w:rPr>
          <w:rFonts w:ascii="Times New Roman" w:hAnsi="Times New Roman" w:cs="Times New Roman"/>
          <w:b/>
          <w:bCs/>
        </w:rPr>
        <w:t>、其他应收款</w:t>
      </w:r>
      <w:bookmarkEnd w:id="523"/>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133,119,133.78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88,855,492.30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133,119,133.78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88,855,492.30</w:t>
            </w:r>
          </w:p>
        </w:tc>
      </w:tr>
    </w:tbl>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524" w:name="_Toc989409"/>
      <w:r>
        <w:rPr>
          <w:rFonts w:ascii="Times New Roman" w:eastAsia="宋体" w:hAnsi="Times New Roman" w:cs="Times New Roman"/>
          <w:b/>
          <w:bCs/>
          <w:sz w:val="18"/>
          <w:szCs w:val="18"/>
        </w:rPr>
        <w:lastRenderedPageBreak/>
        <w:t>（</w:t>
      </w:r>
      <w:r>
        <w:rPr>
          <w:rFonts w:ascii="Times New Roman" w:eastAsia="宋体" w:hAnsi="Times New Roman" w:cs="Times New Roman"/>
          <w:b/>
          <w:bCs/>
          <w:sz w:val="18"/>
          <w:szCs w:val="18"/>
        </w:rPr>
        <w:t>1</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应收利息</w:t>
      </w:r>
      <w:bookmarkEnd w:id="524"/>
    </w:p>
    <w:p w:rsidR="00CE3C32" w:rsidRDefault="006413B8">
      <w:pPr>
        <w:keepNext/>
        <w:keepLines/>
        <w:spacing w:before="300" w:after="300" w:line="280" w:lineRule="exact"/>
        <w:outlineLvl w:val="4"/>
        <w:rPr>
          <w:rFonts w:ascii="Times New Roman" w:eastAsia="宋体" w:hAnsi="Times New Roman" w:cs="Times New Roman"/>
          <w:b/>
          <w:bCs/>
          <w:sz w:val="18"/>
          <w:szCs w:val="18"/>
        </w:rPr>
      </w:pPr>
      <w:bookmarkStart w:id="525" w:name="_Toc989410"/>
      <w:r>
        <w:rPr>
          <w:rFonts w:ascii="Times New Roman" w:eastAsia="宋体" w:hAnsi="Times New Roman" w:cs="Times New Roman"/>
          <w:b/>
          <w:bCs/>
          <w:sz w:val="18"/>
          <w:szCs w:val="18"/>
        </w:rPr>
        <w:t>1</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应收利息分类</w:t>
      </w:r>
      <w:bookmarkEnd w:id="525"/>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bl>
    <w:p w:rsidR="00CE3C32" w:rsidRDefault="006413B8">
      <w:pPr>
        <w:keepNext/>
        <w:keepLines/>
        <w:spacing w:before="300" w:after="300" w:line="280" w:lineRule="exact"/>
        <w:outlineLvl w:val="4"/>
        <w:rPr>
          <w:rFonts w:ascii="Times New Roman" w:eastAsia="宋体" w:hAnsi="Times New Roman" w:cs="Times New Roman"/>
          <w:b/>
          <w:bCs/>
          <w:sz w:val="18"/>
          <w:szCs w:val="18"/>
        </w:rPr>
      </w:pPr>
      <w:bookmarkStart w:id="526" w:name="_Toc989411"/>
      <w:r>
        <w:rPr>
          <w:rFonts w:ascii="Times New Roman" w:eastAsia="宋体" w:hAnsi="Times New Roman" w:cs="Times New Roman"/>
          <w:b/>
          <w:bCs/>
          <w:sz w:val="18"/>
          <w:szCs w:val="18"/>
        </w:rPr>
        <w:t>2</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重要逾期利息</w:t>
      </w:r>
      <w:bookmarkEnd w:id="526"/>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借款单位</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逾期时间</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逾期原因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是否发生减值及其判断依据</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keepNext/>
        <w:keepLines/>
        <w:spacing w:before="300" w:after="300" w:line="280" w:lineRule="exact"/>
        <w:outlineLvl w:val="4"/>
        <w:rPr>
          <w:rFonts w:ascii="Times New Roman" w:eastAsia="宋体" w:hAnsi="Times New Roman" w:cs="Times New Roman"/>
          <w:b/>
          <w:bCs/>
          <w:sz w:val="18"/>
          <w:szCs w:val="18"/>
        </w:rPr>
      </w:pPr>
      <w:bookmarkStart w:id="527" w:name="_Toc989412"/>
      <w:r>
        <w:rPr>
          <w:rFonts w:ascii="Times New Roman" w:eastAsia="宋体" w:hAnsi="Times New Roman" w:cs="Times New Roman"/>
          <w:b/>
          <w:bCs/>
          <w:sz w:val="18"/>
          <w:szCs w:val="18"/>
        </w:rPr>
        <w:t>3</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按坏账计提方法分类披露</w:t>
      </w:r>
      <w:bookmarkEnd w:id="527"/>
    </w:p>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4"/>
        <w:rPr>
          <w:rFonts w:ascii="Times New Roman" w:eastAsia="宋体" w:hAnsi="Times New Roman" w:cs="Times New Roman"/>
          <w:b/>
          <w:bCs/>
          <w:sz w:val="18"/>
          <w:szCs w:val="18"/>
        </w:rPr>
      </w:pPr>
      <w:bookmarkStart w:id="528" w:name="_Toc989413"/>
      <w:r>
        <w:rPr>
          <w:rFonts w:ascii="Times New Roman" w:eastAsia="宋体" w:hAnsi="Times New Roman" w:cs="Times New Roman"/>
          <w:b/>
          <w:bCs/>
          <w:sz w:val="18"/>
          <w:szCs w:val="18"/>
        </w:rPr>
        <w:t>4</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本期计提、收回或转回的坏账准备的情况</w:t>
      </w:r>
      <w:bookmarkEnd w:id="52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转销或核销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其他变动</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其中本期坏账准备收回或转回金额重要的：</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收回或转回金额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转回原因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收回方式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确定原坏账准备计提比例的依据及其合理性</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keepNext/>
        <w:keepLines/>
        <w:spacing w:before="300" w:after="300" w:line="280" w:lineRule="exact"/>
        <w:outlineLvl w:val="4"/>
        <w:rPr>
          <w:rFonts w:ascii="Times New Roman" w:eastAsia="宋体" w:hAnsi="Times New Roman" w:cs="Times New Roman"/>
          <w:b/>
          <w:bCs/>
          <w:sz w:val="18"/>
          <w:szCs w:val="18"/>
        </w:rPr>
      </w:pPr>
      <w:bookmarkStart w:id="529" w:name="_Toc989414"/>
      <w:r>
        <w:rPr>
          <w:rFonts w:ascii="Times New Roman" w:eastAsia="宋体" w:hAnsi="Times New Roman" w:cs="Times New Roman"/>
          <w:b/>
          <w:bCs/>
          <w:sz w:val="18"/>
          <w:szCs w:val="18"/>
        </w:rPr>
        <w:t>5</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本期实际核销的应收利息情况</w:t>
      </w:r>
      <w:bookmarkEnd w:id="529"/>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其中重要的应收利息核销情况</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款项是否由关联交易产生</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核销说明：</w:t>
      </w:r>
      <w:r>
        <w:rPr>
          <w:rFonts w:ascii="Times New Roman" w:hAnsi="Times New Roman" w:cs="Times New Roman"/>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无。</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530" w:name="_Toc989415"/>
      <w:r>
        <w:rPr>
          <w:rFonts w:ascii="Times New Roman" w:eastAsia="宋体" w:hAnsi="Times New Roman" w:cs="Times New Roman"/>
          <w:b/>
          <w:bCs/>
          <w:sz w:val="18"/>
          <w:szCs w:val="18"/>
        </w:rPr>
        <w:t>（</w:t>
      </w:r>
      <w:r>
        <w:rPr>
          <w:rFonts w:ascii="Times New Roman" w:eastAsia="宋体" w:hAnsi="Times New Roman" w:cs="Times New Roman"/>
          <w:b/>
          <w:bCs/>
          <w:sz w:val="18"/>
          <w:szCs w:val="18"/>
        </w:rPr>
        <w:t>2</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应收股利</w:t>
      </w:r>
      <w:bookmarkEnd w:id="530"/>
    </w:p>
    <w:p w:rsidR="00CE3C32" w:rsidRDefault="006413B8">
      <w:pPr>
        <w:keepNext/>
        <w:keepLines/>
        <w:spacing w:before="300" w:after="300" w:line="280" w:lineRule="exact"/>
        <w:outlineLvl w:val="4"/>
        <w:rPr>
          <w:rFonts w:ascii="Times New Roman" w:eastAsia="宋体" w:hAnsi="Times New Roman" w:cs="Times New Roman"/>
          <w:b/>
          <w:bCs/>
          <w:sz w:val="18"/>
          <w:szCs w:val="18"/>
        </w:rPr>
      </w:pPr>
      <w:bookmarkStart w:id="531" w:name="_Toc989416"/>
      <w:r>
        <w:rPr>
          <w:rFonts w:ascii="Times New Roman" w:eastAsia="宋体" w:hAnsi="Times New Roman" w:cs="Times New Roman"/>
          <w:b/>
          <w:bCs/>
          <w:sz w:val="18"/>
          <w:szCs w:val="18"/>
        </w:rPr>
        <w:t>1</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应收股利分类</w:t>
      </w:r>
      <w:bookmarkEnd w:id="531"/>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项目</w:t>
            </w:r>
            <w:r>
              <w:rPr>
                <w:rFonts w:ascii="Times New Roman" w:eastAsia="宋体" w:hAnsi="Times New Roman" w:cs="Times New Roman"/>
                <w:sz w:val="18"/>
                <w:szCs w:val="18"/>
              </w:rPr>
              <w:t>(</w:t>
            </w:r>
            <w:r>
              <w:rPr>
                <w:rFonts w:ascii="Times New Roman" w:eastAsia="宋体" w:hAnsi="Times New Roman" w:cs="Times New Roman"/>
                <w:sz w:val="18"/>
                <w:szCs w:val="18"/>
              </w:rPr>
              <w:t>或被投资单位</w:t>
            </w:r>
            <w:r>
              <w:rPr>
                <w:rFonts w:ascii="Times New Roman" w:eastAsia="宋体" w:hAnsi="Times New Roman" w:cs="Times New Roman"/>
                <w:sz w:val="18"/>
                <w:szCs w:val="18"/>
              </w:rPr>
              <w:t>)</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bl>
    <w:p w:rsidR="00CE3C32" w:rsidRDefault="006413B8">
      <w:pPr>
        <w:keepNext/>
        <w:keepLines/>
        <w:spacing w:before="300" w:after="300" w:line="280" w:lineRule="exact"/>
        <w:outlineLvl w:val="4"/>
        <w:rPr>
          <w:rFonts w:ascii="Times New Roman" w:eastAsia="宋体" w:hAnsi="Times New Roman" w:cs="Times New Roman"/>
          <w:b/>
          <w:bCs/>
          <w:sz w:val="18"/>
          <w:szCs w:val="18"/>
        </w:rPr>
      </w:pPr>
      <w:bookmarkStart w:id="532" w:name="_Toc989417"/>
      <w:r>
        <w:rPr>
          <w:rFonts w:ascii="Times New Roman" w:eastAsia="宋体" w:hAnsi="Times New Roman" w:cs="Times New Roman"/>
          <w:b/>
          <w:bCs/>
          <w:sz w:val="18"/>
          <w:szCs w:val="18"/>
        </w:rPr>
        <w:t>2</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重要的账龄超过</w:t>
      </w:r>
      <w:r>
        <w:rPr>
          <w:rFonts w:ascii="Times New Roman" w:eastAsia="宋体" w:hAnsi="Times New Roman" w:cs="Times New Roman"/>
          <w:b/>
          <w:bCs/>
          <w:sz w:val="18"/>
          <w:szCs w:val="18"/>
        </w:rPr>
        <w:t>1</w:t>
      </w:r>
      <w:r>
        <w:rPr>
          <w:rFonts w:ascii="Times New Roman" w:eastAsia="宋体" w:hAnsi="Times New Roman" w:cs="Times New Roman"/>
          <w:b/>
          <w:bCs/>
          <w:sz w:val="18"/>
          <w:szCs w:val="18"/>
        </w:rPr>
        <w:t>年的应收股利</w:t>
      </w:r>
      <w:bookmarkEnd w:id="53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r>
              <w:rPr>
                <w:rFonts w:ascii="Times New Roman" w:eastAsia="宋体" w:hAnsi="Times New Roman" w:cs="Times New Roman"/>
                <w:sz w:val="18"/>
                <w:szCs w:val="18"/>
              </w:rPr>
              <w:t>(</w:t>
            </w:r>
            <w:r>
              <w:rPr>
                <w:rFonts w:ascii="Times New Roman" w:eastAsia="宋体" w:hAnsi="Times New Roman" w:cs="Times New Roman"/>
                <w:sz w:val="18"/>
                <w:szCs w:val="18"/>
              </w:rPr>
              <w:t>或被投资单位</w:t>
            </w:r>
            <w:r>
              <w:rPr>
                <w:rFonts w:ascii="Times New Roman" w:eastAsia="宋体" w:hAnsi="Times New Roman" w:cs="Times New Roman"/>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账龄</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未收回的原因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是否发生减值及其判断依据</w:t>
            </w:r>
          </w:p>
        </w:tc>
      </w:tr>
    </w:tbl>
    <w:p w:rsidR="00CE3C32" w:rsidRDefault="006413B8">
      <w:pPr>
        <w:keepNext/>
        <w:keepLines/>
        <w:spacing w:before="300" w:after="300" w:line="280" w:lineRule="exact"/>
        <w:outlineLvl w:val="4"/>
        <w:rPr>
          <w:rFonts w:ascii="Times New Roman" w:eastAsia="宋体" w:hAnsi="Times New Roman" w:cs="Times New Roman"/>
          <w:b/>
          <w:bCs/>
          <w:sz w:val="18"/>
          <w:szCs w:val="18"/>
        </w:rPr>
      </w:pPr>
      <w:bookmarkStart w:id="533" w:name="_Toc989418"/>
      <w:r>
        <w:rPr>
          <w:rFonts w:ascii="Times New Roman" w:eastAsia="宋体" w:hAnsi="Times New Roman" w:cs="Times New Roman"/>
          <w:b/>
          <w:bCs/>
          <w:sz w:val="18"/>
          <w:szCs w:val="18"/>
        </w:rPr>
        <w:t>3</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按坏账计提方法分类披露</w:t>
      </w:r>
      <w:bookmarkEnd w:id="533"/>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4"/>
        <w:rPr>
          <w:rFonts w:ascii="Times New Roman" w:eastAsia="宋体" w:hAnsi="Times New Roman" w:cs="Times New Roman"/>
          <w:b/>
          <w:bCs/>
          <w:szCs w:val="21"/>
        </w:rPr>
      </w:pPr>
      <w:bookmarkStart w:id="534" w:name="_Toc989419"/>
      <w:r>
        <w:rPr>
          <w:rFonts w:ascii="Times New Roman" w:eastAsia="宋体" w:hAnsi="Times New Roman" w:cs="Times New Roman"/>
          <w:b/>
          <w:bCs/>
          <w:szCs w:val="21"/>
        </w:rPr>
        <w:t>4</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本期计提、收回或转回的坏账准备的情况</w:t>
      </w:r>
      <w:bookmarkEnd w:id="534"/>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转销或核销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其他变动</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其中本期坏账准备收回或转回金额重要的：</w:t>
      </w:r>
      <w:r>
        <w:rPr>
          <w:rFonts w:ascii="Times New Roman" w:eastAsia="宋体" w:hAnsi="Times New Roman" w:cs="Times New Roman" w:hint="eastAsia"/>
          <w:sz w:val="18"/>
          <w:szCs w:val="18"/>
        </w:rPr>
        <w:t>不适用。</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收回或转回金额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转回原因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收回方式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确定原坏账准备计提比例的依据及其合理性</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keepNext/>
        <w:keepLines/>
        <w:spacing w:before="300" w:after="300" w:line="280" w:lineRule="exact"/>
        <w:outlineLvl w:val="4"/>
        <w:rPr>
          <w:rFonts w:ascii="Times New Roman" w:eastAsia="宋体" w:hAnsi="Times New Roman" w:cs="Times New Roman"/>
          <w:b/>
          <w:bCs/>
          <w:szCs w:val="21"/>
        </w:rPr>
      </w:pPr>
      <w:bookmarkStart w:id="535" w:name="_Toc989420"/>
      <w:r>
        <w:rPr>
          <w:rFonts w:ascii="Times New Roman" w:eastAsia="宋体" w:hAnsi="Times New Roman" w:cs="Times New Roman"/>
          <w:b/>
          <w:bCs/>
          <w:szCs w:val="21"/>
        </w:rPr>
        <w:t>5</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本期实际核销的应收股利情况</w:t>
      </w:r>
      <w:bookmarkEnd w:id="535"/>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其中重要的应收股利核销情况</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款项是否由关联交易产生</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核销说明：</w:t>
      </w:r>
      <w:r>
        <w:rPr>
          <w:rFonts w:ascii="Times New Roman" w:hAnsi="Times New Roman" w:cs="Times New Roman"/>
          <w:sz w:val="18"/>
          <w:szCs w:val="18"/>
        </w:rPr>
        <w:t>不适用。</w:t>
      </w:r>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 w:val="18"/>
          <w:szCs w:val="18"/>
        </w:rPr>
      </w:pPr>
      <w:bookmarkStart w:id="536" w:name="_Toc989421"/>
      <w:r>
        <w:rPr>
          <w:rFonts w:ascii="Times New Roman" w:eastAsia="宋体" w:hAnsi="Times New Roman" w:cs="Times New Roman"/>
          <w:b/>
          <w:bCs/>
          <w:sz w:val="18"/>
          <w:szCs w:val="18"/>
        </w:rPr>
        <w:t>（</w:t>
      </w:r>
      <w:r>
        <w:rPr>
          <w:rFonts w:ascii="Times New Roman" w:eastAsia="宋体" w:hAnsi="Times New Roman" w:cs="Times New Roman"/>
          <w:b/>
          <w:bCs/>
          <w:sz w:val="18"/>
          <w:szCs w:val="18"/>
        </w:rPr>
        <w:t>3</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其他应收款</w:t>
      </w:r>
      <w:bookmarkEnd w:id="536"/>
    </w:p>
    <w:p w:rsidR="00CE3C32" w:rsidRDefault="006413B8">
      <w:pPr>
        <w:keepNext/>
        <w:keepLines/>
        <w:spacing w:before="300" w:after="300" w:line="280" w:lineRule="exact"/>
        <w:outlineLvl w:val="4"/>
        <w:rPr>
          <w:rFonts w:ascii="Times New Roman" w:eastAsia="宋体" w:hAnsi="Times New Roman" w:cs="Times New Roman"/>
          <w:b/>
          <w:bCs/>
          <w:sz w:val="18"/>
          <w:szCs w:val="18"/>
        </w:rPr>
      </w:pPr>
      <w:bookmarkStart w:id="537" w:name="_Toc989422"/>
      <w:r>
        <w:rPr>
          <w:rFonts w:ascii="Times New Roman" w:eastAsia="宋体" w:hAnsi="Times New Roman" w:cs="Times New Roman"/>
          <w:b/>
          <w:bCs/>
          <w:sz w:val="18"/>
          <w:szCs w:val="18"/>
        </w:rPr>
        <w:t>1</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其他应收款按款项性质分类情况</w:t>
      </w:r>
      <w:bookmarkEnd w:id="537"/>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款项性质</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期末账面余额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期初账面余额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内部往来</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130,857,065.67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87,144,705.81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押金保证金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1,595,070.66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1,369,865.66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备用金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978,000.42</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449,763.31</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往来款</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628,178.30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641,124.25</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代扣代缴社保公积金</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148,481.11</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148,730.87</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134,206,796.16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89,754,189.90</w:t>
            </w:r>
          </w:p>
        </w:tc>
      </w:tr>
    </w:tbl>
    <w:p w:rsidR="00CE3C32" w:rsidRDefault="006413B8">
      <w:pPr>
        <w:keepNext/>
        <w:keepLines/>
        <w:spacing w:before="300" w:after="300" w:line="280" w:lineRule="exact"/>
        <w:outlineLvl w:val="4"/>
        <w:rPr>
          <w:rFonts w:ascii="Times New Roman" w:eastAsia="宋体" w:hAnsi="Times New Roman" w:cs="Times New Roman"/>
          <w:b/>
          <w:bCs/>
          <w:sz w:val="18"/>
          <w:szCs w:val="18"/>
        </w:rPr>
      </w:pPr>
      <w:bookmarkStart w:id="538" w:name="_Toc989423"/>
      <w:r>
        <w:rPr>
          <w:rFonts w:ascii="Times New Roman" w:eastAsia="宋体" w:hAnsi="Times New Roman" w:cs="Times New Roman"/>
          <w:b/>
          <w:bCs/>
          <w:sz w:val="18"/>
          <w:szCs w:val="18"/>
        </w:rPr>
        <w:lastRenderedPageBreak/>
        <w:t>2</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按账龄披露</w:t>
      </w:r>
      <w:bookmarkEnd w:id="53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账龄</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期末账面余额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期初账面余额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年以内（含</w:t>
            </w:r>
            <w:r>
              <w:rPr>
                <w:rFonts w:ascii="Times New Roman" w:eastAsia="宋体" w:hAnsi="Times New Roman" w:cs="Times New Roman"/>
                <w:sz w:val="18"/>
                <w:szCs w:val="18"/>
              </w:rPr>
              <w:t>1</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123,630,545.37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79,318,570.64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至</w:t>
            </w:r>
            <w:r>
              <w:rPr>
                <w:rFonts w:ascii="Times New Roman" w:eastAsia="宋体" w:hAnsi="Times New Roman" w:cs="Times New Roman"/>
                <w:sz w:val="18"/>
                <w:szCs w:val="18"/>
              </w:rPr>
              <w:t>2</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8,046,411.69</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6,985,245.44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至</w:t>
            </w:r>
            <w:r>
              <w:rPr>
                <w:rFonts w:ascii="Times New Roman" w:eastAsia="宋体" w:hAnsi="Times New Roman" w:cs="Times New Roman"/>
                <w:sz w:val="18"/>
                <w:szCs w:val="18"/>
              </w:rPr>
              <w:t>3</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1,210,124.97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2,277,618.94</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年以上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1,319,714.13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1,172,754.88</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至</w:t>
            </w:r>
            <w:r>
              <w:rPr>
                <w:rFonts w:ascii="Times New Roman" w:eastAsia="宋体" w:hAnsi="Times New Roman" w:cs="Times New Roman"/>
                <w:sz w:val="18"/>
                <w:szCs w:val="18"/>
              </w:rPr>
              <w:t>4</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656,995.27</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861,673.02</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4</w:t>
            </w:r>
            <w:r>
              <w:rPr>
                <w:rFonts w:ascii="Times New Roman" w:eastAsia="宋体" w:hAnsi="Times New Roman" w:cs="Times New Roman"/>
                <w:sz w:val="18"/>
                <w:szCs w:val="18"/>
              </w:rPr>
              <w:t>至</w:t>
            </w:r>
            <w:r>
              <w:rPr>
                <w:rFonts w:ascii="Times New Roman" w:eastAsia="宋体" w:hAnsi="Times New Roman" w:cs="Times New Roman"/>
                <w:sz w:val="18"/>
                <w:szCs w:val="18"/>
              </w:rPr>
              <w:t>5</w:t>
            </w:r>
            <w:r>
              <w:rPr>
                <w:rFonts w:ascii="Times New Roman" w:eastAsia="宋体" w:hAnsi="Times New Roman" w:cs="Times New Roman"/>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602,673.86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242,636.86</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5</w:t>
            </w:r>
            <w:r>
              <w:rPr>
                <w:rFonts w:ascii="Times New Roman" w:eastAsia="宋体" w:hAnsi="Times New Roman" w:cs="Times New Roman"/>
                <w:sz w:val="18"/>
                <w:szCs w:val="18"/>
              </w:rPr>
              <w:t>年以上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60,045.00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68,445.00</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134,206,796.16</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89,754,189.90</w:t>
            </w:r>
          </w:p>
        </w:tc>
      </w:tr>
    </w:tbl>
    <w:p w:rsidR="00CE3C32" w:rsidRDefault="006413B8">
      <w:pPr>
        <w:keepNext/>
        <w:keepLines/>
        <w:spacing w:before="300" w:after="300" w:line="280" w:lineRule="exact"/>
        <w:outlineLvl w:val="4"/>
        <w:rPr>
          <w:rFonts w:ascii="Times New Roman" w:eastAsia="宋体" w:hAnsi="Times New Roman" w:cs="Times New Roman"/>
          <w:b/>
          <w:bCs/>
          <w:sz w:val="18"/>
          <w:szCs w:val="18"/>
        </w:rPr>
      </w:pPr>
      <w:bookmarkStart w:id="539" w:name="_Toc989424"/>
      <w:r>
        <w:rPr>
          <w:rFonts w:ascii="Times New Roman" w:eastAsia="宋体" w:hAnsi="Times New Roman" w:cs="Times New Roman"/>
          <w:b/>
          <w:bCs/>
          <w:sz w:val="18"/>
          <w:szCs w:val="18"/>
        </w:rPr>
        <w:t>3</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按坏账计提方法分类披露</w:t>
      </w:r>
      <w:bookmarkEnd w:id="539"/>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877"/>
        <w:gridCol w:w="876"/>
        <w:gridCol w:w="877"/>
        <w:gridCol w:w="876"/>
        <w:gridCol w:w="876"/>
        <w:gridCol w:w="877"/>
        <w:gridCol w:w="876"/>
        <w:gridCol w:w="877"/>
        <w:gridCol w:w="876"/>
      </w:tblGrid>
      <w:tr w:rsidR="00CE3C32">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类别</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r>
      <w:tr w:rsidR="00CE3C32">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按单项计提坏账准备</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130,857,065.67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97.50%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130,857,065.67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87,144,705.81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97.09%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87,144,705.81</w:t>
            </w:r>
          </w:p>
        </w:tc>
      </w:tr>
      <w:tr w:rsidR="00CE3C32">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按组合计提坏账准备</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3,349,730.49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2.50%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1,087,662.38</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32.47%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2,262,068.11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2,609,484.09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898,697.60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34.44%</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1,710,786.49</w:t>
            </w:r>
          </w:p>
        </w:tc>
      </w:tr>
      <w:tr w:rsidR="00CE3C32">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组合</w:t>
            </w:r>
            <w:r>
              <w:rPr>
                <w:rFonts w:ascii="Times New Roman" w:eastAsia="宋体" w:hAnsi="Times New Roman" w:cs="Times New Roman"/>
                <w:sz w:val="18"/>
                <w:szCs w:val="18"/>
              </w:rPr>
              <w:t>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1,595,070.66</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849,314.73</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53.25%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745,755.93</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1,369,865.66</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1.53%</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728,663.88</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53.19%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641,201.78</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组合</w:t>
            </w:r>
            <w:r>
              <w:rPr>
                <w:rFonts w:ascii="Times New Roman" w:eastAsia="宋体" w:hAnsi="Times New Roman" w:cs="Times New Roman"/>
                <w:sz w:val="18"/>
                <w:szCs w:val="18"/>
              </w:rPr>
              <w:t>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1,126,481.53</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0.84%</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140,427.65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12.47%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986,053.88</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598,494.18</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0.67%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91,683.05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15.32%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506,811.13</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组合</w:t>
            </w:r>
            <w:r>
              <w:rPr>
                <w:rFonts w:ascii="Times New Roman" w:eastAsia="宋体" w:hAnsi="Times New Roman" w:cs="Times New Roman"/>
                <w:sz w:val="18"/>
                <w:szCs w:val="18"/>
              </w:rPr>
              <w:t>3</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628,178.30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0.47%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97,920.00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15.59%</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530,258.30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641,124.25</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0.71%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78,350.67</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12.22%</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562,773.58</w:t>
            </w:r>
          </w:p>
        </w:tc>
      </w:tr>
      <w:tr w:rsidR="00CE3C3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134,206,796.16</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1,087,662.38</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0.81%</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133,119,133.78</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89,754,189.90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898,697.60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w:t>
            </w:r>
          </w:p>
        </w:tc>
        <w:tc>
          <w:tcPr>
            <w:tcW w:w="87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88,855,492.30</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按单项计提坏账准备类别名称：</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blHeader/>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名称</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blHeader/>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计提理由</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广东天亿马数字能源有限公司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20,266,872.88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32,712,875.34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合并范围内子公司</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广东天亿马信息科技有限公司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5,855,386.35</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合并范围内子公司</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广东翼启数据产业有限公司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13,303.24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合并范围内子公司</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广图粤科（广</w:t>
            </w:r>
            <w:r>
              <w:rPr>
                <w:rFonts w:ascii="Times New Roman" w:eastAsia="宋体" w:hAnsi="Times New Roman" w:cs="Times New Roman"/>
                <w:sz w:val="18"/>
                <w:szCs w:val="18"/>
              </w:rPr>
              <w:lastRenderedPageBreak/>
              <w:t>州）科技有限公司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lastRenderedPageBreak/>
              <w:t>14,469,938.50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28,129,801.24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合并范围内子</w:t>
            </w:r>
            <w:r>
              <w:rPr>
                <w:rFonts w:ascii="Times New Roman" w:eastAsia="宋体" w:hAnsi="Times New Roman" w:cs="Times New Roman"/>
                <w:sz w:val="18"/>
                <w:szCs w:val="18"/>
              </w:rPr>
              <w:lastRenderedPageBreak/>
              <w:t>公司</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广州市天亿马信息技术有限公司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2,051,397.83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2,051,397.83</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合并范围内子公司</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邯郸庚源新能源科技有限公司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3,227,269.50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合并范围内子公司</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桓台爱道光伏发电有限公司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5,871,673.68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7,721,673.68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合并范围内子公司</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深圳市互联精英信息技术有限公司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18,545,922.39</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23,724,357.70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合并范围内子公司</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深圳市天亿马信息技术有限公司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4,550,100.00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555,551.46</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合并范围内子公司</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天亿马信息技术有限公司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14,778,105.78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32,720,835.68</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合并范围内子公司</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重庆天亿马信息技术有限公司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755,308.40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合并范围内子公司</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87,556,285.11</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130,857,065.67</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按组合计提坏账准备类别名称：组合</w:t>
      </w:r>
      <w:r>
        <w:rPr>
          <w:rFonts w:ascii="Times New Roman" w:eastAsia="宋体" w:hAnsi="Times New Roman" w:cs="Times New Roman"/>
          <w:sz w:val="18"/>
          <w:szCs w:val="18"/>
        </w:rPr>
        <w:t>1</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押金、投标保证金、履约保证金、质量保证金等应收款项</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1,595,070.66</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849,314.73</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53.25%</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1,595,070.66</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849,314.73</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确定该组合依据的说明：</w:t>
      </w:r>
      <w:r>
        <w:rPr>
          <w:rFonts w:ascii="Times New Roman" w:hAnsi="Times New Roman" w:cs="Times New Roman"/>
          <w:sz w:val="18"/>
          <w:szCs w:val="18"/>
        </w:rPr>
        <w:t>确定其他应收款组合的依据详见本节五、</w:t>
      </w:r>
      <w:r>
        <w:rPr>
          <w:rFonts w:ascii="Times New Roman" w:hAnsi="Times New Roman" w:cs="Times New Roman"/>
          <w:sz w:val="18"/>
          <w:szCs w:val="18"/>
        </w:rPr>
        <w:t>15</w:t>
      </w:r>
      <w:r>
        <w:rPr>
          <w:rFonts w:ascii="Times New Roman" w:hAnsi="Times New Roman" w:cs="Times New Roman"/>
          <w:sz w:val="18"/>
          <w:szCs w:val="18"/>
        </w:rPr>
        <w:t>。</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按组合计提坏账准备类别名称：组合</w:t>
      </w:r>
      <w:r>
        <w:rPr>
          <w:rFonts w:ascii="Times New Roman" w:eastAsia="宋体" w:hAnsi="Times New Roman" w:cs="Times New Roman"/>
          <w:sz w:val="18"/>
          <w:szCs w:val="18"/>
        </w:rPr>
        <w:t>2</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备用金、代垫社保公积金、代垫费用等应收款项</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1,126,481.53</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140,427.65</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12.47%</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1,126,481.53</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140,427.65</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确定该组合依据的说明：</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确定其他应收款组合的依据详见本节五、</w:t>
      </w:r>
      <w:r>
        <w:rPr>
          <w:rFonts w:ascii="Times New Roman" w:hAnsi="Times New Roman" w:cs="Times New Roman"/>
          <w:sz w:val="18"/>
          <w:szCs w:val="18"/>
        </w:rPr>
        <w:t>15</w:t>
      </w:r>
      <w:r>
        <w:rPr>
          <w:rFonts w:ascii="Times New Roman" w:hAnsi="Times New Roman" w:cs="Times New Roman"/>
          <w:sz w:val="18"/>
          <w:szCs w:val="18"/>
        </w:rPr>
        <w:t>。</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按组合计提坏账准备类别名称：组合</w:t>
      </w:r>
      <w:r>
        <w:rPr>
          <w:rFonts w:ascii="Times New Roman" w:eastAsia="宋体" w:hAnsi="Times New Roman" w:cs="Times New Roman"/>
          <w:sz w:val="18"/>
          <w:szCs w:val="18"/>
        </w:rPr>
        <w:t>3</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计提比例</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应收其他款项</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628,178.30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97,920.00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15.59%</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合计</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628,178.30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97,920.00</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确定该组合依据的说明：</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确定其他应收款组合的依据详见本节五、</w:t>
      </w:r>
      <w:r>
        <w:rPr>
          <w:rFonts w:ascii="Times New Roman" w:hAnsi="Times New Roman" w:cs="Times New Roman"/>
          <w:sz w:val="18"/>
          <w:szCs w:val="18"/>
        </w:rPr>
        <w:t>15</w:t>
      </w:r>
      <w:r>
        <w:rPr>
          <w:rFonts w:ascii="Times New Roman" w:hAnsi="Times New Roman" w:cs="Times New Roman"/>
          <w:sz w:val="18"/>
          <w:szCs w:val="18"/>
        </w:rPr>
        <w:t>。</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按预期信用损失一般模型计提坏账准备：</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blHeader/>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第一阶段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第二阶段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第三阶段</w:t>
            </w:r>
          </w:p>
        </w:tc>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合计</w:t>
            </w:r>
          </w:p>
        </w:tc>
      </w:tr>
      <w:tr w:rsidR="00CE3C32">
        <w:trPr>
          <w:trHeight w:val="240"/>
          <w:tblHeader/>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未来</w:t>
            </w:r>
            <w:r>
              <w:rPr>
                <w:rFonts w:ascii="Times New Roman" w:eastAsia="宋体" w:hAnsi="Times New Roman" w:cs="Times New Roman"/>
                <w:sz w:val="18"/>
                <w:szCs w:val="18"/>
              </w:rPr>
              <w:t>12</w:t>
            </w:r>
            <w:r>
              <w:rPr>
                <w:rFonts w:ascii="Times New Roman" w:eastAsia="宋体" w:hAnsi="Times New Roman" w:cs="Times New Roman"/>
                <w:sz w:val="18"/>
                <w:szCs w:val="18"/>
              </w:rPr>
              <w:t>个月预期信用损失</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整个存续期预期信用损失</w:t>
            </w:r>
            <w:r>
              <w:rPr>
                <w:rFonts w:ascii="Times New Roman" w:eastAsia="宋体" w:hAnsi="Times New Roman" w:cs="Times New Roman"/>
                <w:sz w:val="18"/>
                <w:szCs w:val="18"/>
              </w:rPr>
              <w:t>(</w:t>
            </w:r>
            <w:r>
              <w:rPr>
                <w:rFonts w:ascii="Times New Roman" w:eastAsia="宋体" w:hAnsi="Times New Roman" w:cs="Times New Roman"/>
                <w:sz w:val="18"/>
                <w:szCs w:val="18"/>
              </w:rPr>
              <w:t>未发生信用减值</w:t>
            </w:r>
            <w:r>
              <w:rPr>
                <w:rFonts w:ascii="Times New Roman" w:eastAsia="宋体" w:hAnsi="Times New Roman" w:cs="Times New Roman"/>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整个存续期预期信用损失</w:t>
            </w:r>
            <w:r>
              <w:rPr>
                <w:rFonts w:ascii="Times New Roman" w:eastAsia="宋体" w:hAnsi="Times New Roman" w:cs="Times New Roman"/>
                <w:sz w:val="18"/>
                <w:szCs w:val="18"/>
              </w:rPr>
              <w:t>(</w:t>
            </w:r>
            <w:r>
              <w:rPr>
                <w:rFonts w:ascii="Times New Roman" w:eastAsia="宋体" w:hAnsi="Times New Roman" w:cs="Times New Roman"/>
                <w:sz w:val="18"/>
                <w:szCs w:val="18"/>
              </w:rPr>
              <w:t>已发生信用减值</w:t>
            </w:r>
            <w:r>
              <w:rPr>
                <w:rFonts w:ascii="Times New Roman" w:eastAsia="宋体" w:hAnsi="Times New Roman" w:cs="Times New Roman"/>
                <w:sz w:val="18"/>
                <w:szCs w:val="18"/>
              </w:rPr>
              <w:t>)</w:t>
            </w:r>
          </w:p>
        </w:tc>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日余额</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898,697.60</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898,697.60</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日余额在本期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本期计提</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855,356.92</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855,356.92</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本期核销</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666,392.14</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666,392.14</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2025</w:t>
            </w:r>
            <w:r>
              <w:rPr>
                <w:rFonts w:ascii="Times New Roman" w:eastAsia="宋体" w:hAnsi="Times New Roman" w:cs="Times New Roman"/>
                <w:sz w:val="18"/>
                <w:szCs w:val="18"/>
              </w:rPr>
              <w:t>年</w:t>
            </w:r>
            <w:r>
              <w:rPr>
                <w:rFonts w:ascii="Times New Roman" w:eastAsia="宋体" w:hAnsi="Times New Roman" w:cs="Times New Roman"/>
                <w:sz w:val="18"/>
                <w:szCs w:val="18"/>
              </w:rPr>
              <w:t>6</w:t>
            </w:r>
            <w:r>
              <w:rPr>
                <w:rFonts w:ascii="Times New Roman" w:eastAsia="宋体" w:hAnsi="Times New Roman" w:cs="Times New Roman"/>
                <w:sz w:val="18"/>
                <w:szCs w:val="18"/>
              </w:rPr>
              <w:t>月</w:t>
            </w:r>
            <w:r>
              <w:rPr>
                <w:rFonts w:ascii="Times New Roman" w:eastAsia="宋体" w:hAnsi="Times New Roman" w:cs="Times New Roman"/>
                <w:sz w:val="18"/>
                <w:szCs w:val="18"/>
              </w:rPr>
              <w:t>30</w:t>
            </w:r>
            <w:r>
              <w:rPr>
                <w:rFonts w:ascii="Times New Roman" w:eastAsia="宋体" w:hAnsi="Times New Roman" w:cs="Times New Roman"/>
                <w:sz w:val="18"/>
                <w:szCs w:val="18"/>
              </w:rPr>
              <w:t>日余额</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1,087,662.38</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1,087,662.38</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各阶段划分依据和坏账准备计提比例</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损失准备本期变动金额重大的账面余额变动情况</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4"/>
        <w:rPr>
          <w:rFonts w:ascii="Times New Roman" w:eastAsia="宋体" w:hAnsi="Times New Roman" w:cs="Times New Roman"/>
          <w:b/>
          <w:bCs/>
          <w:sz w:val="18"/>
          <w:szCs w:val="18"/>
        </w:rPr>
      </w:pPr>
      <w:bookmarkStart w:id="540" w:name="_Toc989425"/>
      <w:r>
        <w:rPr>
          <w:rFonts w:ascii="Times New Roman" w:eastAsia="宋体" w:hAnsi="Times New Roman" w:cs="Times New Roman"/>
          <w:b/>
          <w:bCs/>
          <w:sz w:val="18"/>
          <w:szCs w:val="18"/>
        </w:rPr>
        <w:t>4</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本期计提、收回或转回的坏账准备情况</w:t>
      </w:r>
      <w:bookmarkEnd w:id="540"/>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本期计提坏账准备情况：</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转销或核销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账龄组合</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898,697.60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855,356.92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666,392.14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1,087,662.38</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898,697.60</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855,356.92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666,392.14</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1,087,662.38</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其中本期坏账准备转回或收回金额重要的：</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收回或转回金额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转回原因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收回方式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确定原坏账准备计提比例的依据及其合理性</w:t>
            </w:r>
          </w:p>
        </w:tc>
      </w:tr>
    </w:tbl>
    <w:p w:rsidR="00CE3C32" w:rsidRDefault="006413B8">
      <w:pPr>
        <w:keepNext/>
        <w:keepLines/>
        <w:spacing w:before="300" w:after="300" w:line="280" w:lineRule="exact"/>
        <w:outlineLvl w:val="4"/>
        <w:rPr>
          <w:rFonts w:ascii="Times New Roman" w:eastAsia="宋体" w:hAnsi="Times New Roman" w:cs="Times New Roman"/>
          <w:b/>
          <w:bCs/>
          <w:sz w:val="18"/>
          <w:szCs w:val="18"/>
        </w:rPr>
      </w:pPr>
      <w:bookmarkStart w:id="541" w:name="_Toc989426"/>
      <w:r>
        <w:rPr>
          <w:rFonts w:ascii="Times New Roman" w:eastAsia="宋体" w:hAnsi="Times New Roman" w:cs="Times New Roman"/>
          <w:b/>
          <w:bCs/>
          <w:sz w:val="18"/>
          <w:szCs w:val="18"/>
        </w:rPr>
        <w:t>5</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本期实际核销的其他应收款情况</w:t>
      </w:r>
      <w:bookmarkEnd w:id="541"/>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CE3C3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r>
      <w:tr w:rsidR="00CE3C32">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重庆天亿马信息技术有限公司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666,392.14</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其中重要的其他应收款核销情况：</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其他应收款性质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款项是否由关联交易产生</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lastRenderedPageBreak/>
        <w:t>其他应收款核销说明：</w:t>
      </w:r>
      <w:r>
        <w:rPr>
          <w:rFonts w:ascii="Times New Roman" w:eastAsia="宋体" w:hAnsi="Times New Roman" w:cs="Times New Roman" w:hint="eastAsia"/>
          <w:sz w:val="18"/>
          <w:szCs w:val="18"/>
        </w:rPr>
        <w:t>无。</w:t>
      </w:r>
    </w:p>
    <w:p w:rsidR="00CE3C32" w:rsidRDefault="006413B8">
      <w:pPr>
        <w:keepNext/>
        <w:keepLines/>
        <w:spacing w:before="300" w:after="300" w:line="280" w:lineRule="exact"/>
        <w:outlineLvl w:val="4"/>
        <w:rPr>
          <w:rFonts w:ascii="Times New Roman" w:eastAsia="宋体" w:hAnsi="Times New Roman" w:cs="Times New Roman"/>
          <w:b/>
          <w:bCs/>
          <w:sz w:val="18"/>
          <w:szCs w:val="18"/>
        </w:rPr>
      </w:pPr>
      <w:bookmarkStart w:id="542" w:name="_Toc989427"/>
      <w:r>
        <w:rPr>
          <w:rFonts w:ascii="Times New Roman" w:eastAsia="宋体" w:hAnsi="Times New Roman" w:cs="Times New Roman"/>
          <w:b/>
          <w:bCs/>
          <w:sz w:val="18"/>
          <w:szCs w:val="18"/>
        </w:rPr>
        <w:t>6</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按欠款方归集的期末余额前五名的其他应收款情况</w:t>
      </w:r>
      <w:bookmarkEnd w:id="542"/>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CE3C32">
        <w:trPr>
          <w:trHeight w:val="240"/>
          <w:tblHeader/>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款项的性质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账龄</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占其他应收款期末余额合计数的比例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坏账准备期末余额</w:t>
            </w: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天亿马信息技术有限公司</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往来款</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32,720,835.68</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年以内、</w:t>
            </w:r>
            <w:r>
              <w:rPr>
                <w:rFonts w:ascii="Times New Roman" w:eastAsia="宋体" w:hAnsi="Times New Roman" w:cs="Times New Roman"/>
                <w:sz w:val="18"/>
                <w:szCs w:val="18"/>
              </w:rPr>
              <w:t>2</w:t>
            </w:r>
            <w:r>
              <w:rPr>
                <w:rFonts w:ascii="Times New Roman" w:eastAsia="宋体" w:hAnsi="Times New Roman" w:cs="Times New Roman"/>
                <w:sz w:val="18"/>
                <w:szCs w:val="18"/>
              </w:rPr>
              <w:t>至</w:t>
            </w:r>
            <w:r>
              <w:rPr>
                <w:rFonts w:ascii="Times New Roman" w:eastAsia="宋体" w:hAnsi="Times New Roman" w:cs="Times New Roman"/>
                <w:sz w:val="18"/>
                <w:szCs w:val="18"/>
              </w:rPr>
              <w:t>3</w:t>
            </w:r>
            <w:r>
              <w:rPr>
                <w:rFonts w:ascii="Times New Roman" w:eastAsia="宋体" w:hAnsi="Times New Roman" w:cs="Times New Roman"/>
                <w:sz w:val="18"/>
                <w:szCs w:val="18"/>
              </w:rPr>
              <w:t>年</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24.38%</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广东天亿马数字能源有限公司</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往来款</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32,712,875.34</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年以内至</w:t>
            </w:r>
            <w:r>
              <w:rPr>
                <w:rFonts w:ascii="Times New Roman" w:eastAsia="宋体" w:hAnsi="Times New Roman" w:cs="Times New Roman"/>
                <w:sz w:val="18"/>
                <w:szCs w:val="18"/>
              </w:rPr>
              <w:t>2</w:t>
            </w:r>
            <w:r>
              <w:rPr>
                <w:rFonts w:ascii="Times New Roman" w:eastAsia="宋体" w:hAnsi="Times New Roman" w:cs="Times New Roman"/>
                <w:sz w:val="18"/>
                <w:szCs w:val="18"/>
              </w:rPr>
              <w:t>年</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24.37%</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广图粤科（广州）科技有限公司</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往来款</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28,129,801.24</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年以内至</w:t>
            </w:r>
            <w:r>
              <w:rPr>
                <w:rFonts w:ascii="Times New Roman" w:eastAsia="宋体" w:hAnsi="Times New Roman" w:cs="Times New Roman"/>
                <w:sz w:val="18"/>
                <w:szCs w:val="18"/>
              </w:rPr>
              <w:t>2</w:t>
            </w:r>
            <w:r>
              <w:rPr>
                <w:rFonts w:ascii="Times New Roman" w:eastAsia="宋体" w:hAnsi="Times New Roman" w:cs="Times New Roman"/>
                <w:sz w:val="18"/>
                <w:szCs w:val="18"/>
              </w:rPr>
              <w:t>年</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20.96%</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深圳市互联精英信息技术有限公司</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往来款</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23,724,357.70</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年以内至</w:t>
            </w:r>
            <w:r>
              <w:rPr>
                <w:rFonts w:ascii="Times New Roman" w:eastAsia="宋体" w:hAnsi="Times New Roman" w:cs="Times New Roman"/>
                <w:sz w:val="18"/>
                <w:szCs w:val="18"/>
              </w:rPr>
              <w:t>2</w:t>
            </w:r>
            <w:r>
              <w:rPr>
                <w:rFonts w:ascii="Times New Roman" w:eastAsia="宋体" w:hAnsi="Times New Roman" w:cs="Times New Roman"/>
                <w:sz w:val="18"/>
                <w:szCs w:val="18"/>
              </w:rPr>
              <w:t>年</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17.68%</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桓台爱道光伏发电有限公司</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往来款</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7,721,673.68</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年以内</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5.75%</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125,009,543.64</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93.14%</w:t>
            </w:r>
          </w:p>
        </w:tc>
        <w:tc>
          <w:tcPr>
            <w:tcW w:w="1606"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bl>
    <w:p w:rsidR="00CE3C32" w:rsidRDefault="006413B8">
      <w:pPr>
        <w:keepNext/>
        <w:keepLines/>
        <w:spacing w:before="300" w:after="300" w:line="280" w:lineRule="exact"/>
        <w:outlineLvl w:val="4"/>
        <w:rPr>
          <w:rFonts w:ascii="Times New Roman" w:eastAsia="宋体" w:hAnsi="Times New Roman" w:cs="Times New Roman"/>
          <w:b/>
          <w:bCs/>
          <w:sz w:val="18"/>
          <w:szCs w:val="18"/>
        </w:rPr>
      </w:pPr>
      <w:bookmarkStart w:id="543" w:name="_Toc989428"/>
      <w:r>
        <w:rPr>
          <w:rFonts w:ascii="Times New Roman" w:eastAsia="宋体" w:hAnsi="Times New Roman" w:cs="Times New Roman"/>
          <w:b/>
          <w:bCs/>
          <w:sz w:val="18"/>
          <w:szCs w:val="18"/>
        </w:rPr>
        <w:t>7</w:t>
      </w:r>
      <w:r>
        <w:rPr>
          <w:rFonts w:ascii="Times New Roman" w:eastAsia="宋体" w:hAnsi="Times New Roman" w:cs="Times New Roman"/>
          <w:b/>
          <w:bCs/>
          <w:sz w:val="18"/>
          <w:szCs w:val="18"/>
        </w:rPr>
        <w:t>）</w:t>
      </w:r>
      <w:r>
        <w:rPr>
          <w:rFonts w:ascii="Times New Roman" w:eastAsia="宋体" w:hAnsi="Times New Roman" w:cs="Times New Roman"/>
          <w:b/>
          <w:bCs/>
          <w:sz w:val="18"/>
          <w:szCs w:val="18"/>
        </w:rPr>
        <w:t xml:space="preserve"> </w:t>
      </w:r>
      <w:r>
        <w:rPr>
          <w:rFonts w:ascii="Times New Roman" w:eastAsia="宋体" w:hAnsi="Times New Roman" w:cs="Times New Roman"/>
          <w:b/>
          <w:bCs/>
          <w:sz w:val="18"/>
          <w:szCs w:val="18"/>
        </w:rPr>
        <w:t>因资金集中管理而列报于其他应收款</w:t>
      </w:r>
      <w:bookmarkEnd w:id="543"/>
    </w:p>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不适用。</w:t>
      </w:r>
    </w:p>
    <w:p w:rsidR="00CE3C32" w:rsidRDefault="006413B8">
      <w:pPr>
        <w:pStyle w:val="3"/>
        <w:spacing w:line="280" w:lineRule="exact"/>
        <w:jc w:val="left"/>
        <w:rPr>
          <w:rFonts w:ascii="Times New Roman" w:hAnsi="Times New Roman" w:cs="Times New Roman"/>
          <w:b/>
          <w:bCs/>
        </w:rPr>
      </w:pPr>
      <w:bookmarkStart w:id="544" w:name="_Toc989429"/>
      <w:r>
        <w:rPr>
          <w:rFonts w:ascii="Times New Roman" w:hAnsi="Times New Roman" w:cs="Times New Roman"/>
          <w:b/>
          <w:bCs/>
        </w:rPr>
        <w:t>3</w:t>
      </w:r>
      <w:r>
        <w:rPr>
          <w:rFonts w:ascii="Times New Roman" w:hAnsi="Times New Roman" w:cs="Times New Roman"/>
          <w:b/>
          <w:bCs/>
        </w:rPr>
        <w:t>、长期股权投资</w:t>
      </w:r>
      <w:bookmarkEnd w:id="544"/>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w:t>
            </w:r>
          </w:p>
        </w:tc>
      </w:tr>
      <w:tr w:rsidR="00CE3C32">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账面价值</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对子公司投资</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197,585,657.12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197,585,657.12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197,034,286.92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197,034,286.92</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197,585,657.12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197,585,657.12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197,034,286.92</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197,034,286.92</w:t>
            </w: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545" w:name="_Toc989430"/>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对子公司投资</w:t>
      </w:r>
      <w:bookmarkEnd w:id="545"/>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CE3C32">
        <w:trPr>
          <w:trHeight w:val="240"/>
          <w:tblHeader/>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被投资单位</w:t>
            </w:r>
          </w:p>
        </w:tc>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期初余额（账面价值）</w:t>
            </w:r>
          </w:p>
        </w:tc>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减值准备期初余额</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本期增减变动</w:t>
            </w:r>
          </w:p>
        </w:tc>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期末余额（账面价值）</w:t>
            </w:r>
          </w:p>
        </w:tc>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减值准备期末余额</w:t>
            </w:r>
          </w:p>
        </w:tc>
      </w:tr>
      <w:tr w:rsidR="00CE3C32">
        <w:trPr>
          <w:trHeight w:val="240"/>
          <w:tblHeader/>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追加投资</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减少投资</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计提减值准备</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天亿马（香港）信息产业有限公司</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7,111.42</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7,111.42</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深圳市互联精英信息技术有限公司</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107,563,600.00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139,605.30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107,703,205.30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重庆天亿马信息技术有限公</w:t>
            </w:r>
            <w:r>
              <w:rPr>
                <w:rFonts w:ascii="Times New Roman" w:eastAsia="宋体" w:hAnsi="Times New Roman" w:cs="Times New Roman"/>
                <w:sz w:val="18"/>
                <w:szCs w:val="18"/>
              </w:rPr>
              <w:lastRenderedPageBreak/>
              <w:t>司</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lastRenderedPageBreak/>
              <w:t>510,000.00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510,000.00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天亿马信息技术有限公司</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50,000,000.00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50,000,000.00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广东天亿马信息科技有限公司</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10,836,799.75</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421,705.40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11,258,505.15</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广图粤科（广州）科技有限公司</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7,100,000.00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7,100,000.00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广东天亿马数字能源有限公司</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6,016,775.75</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500,059.50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6,516,835.25</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广东天亿马数字产业有限公司</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10,000,000.00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10,000,000.00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广州市天亿马信息技术有限公司</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5,000,000.00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5,000,000.00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197,034,286.92</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1,061,370.20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510,000.00</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197,585,657.12</w:t>
            </w:r>
          </w:p>
        </w:tc>
        <w:tc>
          <w:tcPr>
            <w:tcW w:w="1071"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bl>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546" w:name="_Toc989431"/>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对联营、合营企业投资</w:t>
      </w:r>
      <w:bookmarkEnd w:id="546"/>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41"/>
        <w:gridCol w:w="741"/>
        <w:gridCol w:w="741"/>
        <w:gridCol w:w="741"/>
        <w:gridCol w:w="741"/>
        <w:gridCol w:w="741"/>
        <w:gridCol w:w="741"/>
        <w:gridCol w:w="741"/>
        <w:gridCol w:w="741"/>
        <w:gridCol w:w="741"/>
        <w:gridCol w:w="745"/>
        <w:gridCol w:w="741"/>
        <w:gridCol w:w="743"/>
      </w:tblGrid>
      <w:tr w:rsidR="00CE3C32">
        <w:trPr>
          <w:trHeight w:val="240"/>
        </w:trPr>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投资单位</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期初余额（账面价值）</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减值准备期初余额</w:t>
            </w:r>
          </w:p>
        </w:tc>
        <w:tc>
          <w:tcPr>
            <w:tcW w:w="5932" w:type="dxa"/>
            <w:gridSpan w:val="8"/>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本期增减变动</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期末余额（账面价值）</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减值准备期末余额</w:t>
            </w:r>
          </w:p>
        </w:tc>
      </w:tr>
      <w:tr w:rsidR="00CE3C32">
        <w:trPr>
          <w:trHeight w:val="240"/>
        </w:trPr>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追加投资</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减少投资</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权益法下确认的投资损益</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其他综合收益调整</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其他权益变动</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宣告发放现金股利或利润</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计提减值准备</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9639" w:type="dxa"/>
            <w:gridSpan w:val="1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一、合营企业</w:t>
            </w:r>
          </w:p>
        </w:tc>
      </w:tr>
      <w:tr w:rsidR="00CE3C32">
        <w:trPr>
          <w:trHeight w:val="240"/>
        </w:trPr>
        <w:tc>
          <w:tcPr>
            <w:tcW w:w="9639" w:type="dxa"/>
            <w:gridSpan w:val="13"/>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二、联营企业</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可收回金额按公允价值减去处置费用后的净额确定</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可收回金额按预计未来现金流量的现值确定</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前述信息与以前年度减值测试采用的信息或外部信息明显不一致的差异原因</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公司以前年度减值测试采用信息与当年实际情况明显不一致的差异原因</w:t>
      </w:r>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lastRenderedPageBreak/>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547" w:name="_Toc989432"/>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其他说明</w:t>
      </w:r>
      <w:bookmarkEnd w:id="547"/>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548" w:name="_Toc989433"/>
      <w:r>
        <w:rPr>
          <w:rFonts w:ascii="Times New Roman" w:hAnsi="Times New Roman" w:cs="Times New Roman"/>
          <w:b/>
          <w:bCs/>
        </w:rPr>
        <w:t>4</w:t>
      </w:r>
      <w:r>
        <w:rPr>
          <w:rFonts w:ascii="Times New Roman" w:hAnsi="Times New Roman" w:cs="Times New Roman"/>
          <w:b/>
          <w:bCs/>
        </w:rPr>
        <w:t>、营业收入和营业成本</w:t>
      </w:r>
      <w:bookmarkEnd w:id="548"/>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CE3C32">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成本</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收入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成本</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主营业务</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88,428,093.79</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64,661,979.64</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43,570,320.67</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31,768,038.73</w:t>
            </w:r>
          </w:p>
        </w:tc>
      </w:tr>
      <w:tr w:rsidR="00CE3C3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88,428,093.79</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64,661,979.64</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43,570,320.67</w:t>
            </w:r>
          </w:p>
        </w:tc>
        <w:tc>
          <w:tcPr>
            <w:tcW w:w="1928"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31,768,038.73</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营业收入、营业成本的分解信息：</w:t>
      </w:r>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54"/>
        <w:gridCol w:w="1844"/>
        <w:gridCol w:w="1982"/>
        <w:gridCol w:w="1984"/>
        <w:gridCol w:w="2089"/>
      </w:tblGrid>
      <w:tr w:rsidR="00CE3C32">
        <w:trPr>
          <w:trHeight w:val="240"/>
        </w:trPr>
        <w:tc>
          <w:tcPr>
            <w:tcW w:w="991"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合同分类</w:t>
            </w:r>
          </w:p>
        </w:tc>
        <w:tc>
          <w:tcPr>
            <w:tcW w:w="1942" w:type="pct"/>
            <w:gridSpan w:val="2"/>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CE3C32" w:rsidRDefault="006413B8">
            <w:pPr>
              <w:spacing w:line="240" w:lineRule="exact"/>
              <w:jc w:val="center"/>
              <w:rPr>
                <w:rFonts w:ascii="Times New Roman" w:eastAsia="宋体" w:hAnsi="Times New Roman" w:cs="Times New Roman"/>
                <w:sz w:val="18"/>
                <w:szCs w:val="18"/>
              </w:rPr>
            </w:pPr>
            <w:r>
              <w:rPr>
                <w:rFonts w:ascii="Times New Roman" w:eastAsia="宋体" w:hAnsi="Times New Roman" w:cs="Times New Roman" w:hint="eastAsia"/>
                <w:sz w:val="18"/>
                <w:szCs w:val="18"/>
              </w:rPr>
              <w:t>本公司</w:t>
            </w:r>
          </w:p>
        </w:tc>
        <w:tc>
          <w:tcPr>
            <w:tcW w:w="2068"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合计</w:t>
            </w:r>
          </w:p>
        </w:tc>
      </w:tr>
      <w:tr w:rsidR="00CE3C32">
        <w:trPr>
          <w:trHeight w:val="240"/>
        </w:trPr>
        <w:tc>
          <w:tcPr>
            <w:tcW w:w="991"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93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营业收入</w:t>
            </w:r>
          </w:p>
        </w:tc>
        <w:tc>
          <w:tcPr>
            <w:tcW w:w="100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营业成本</w:t>
            </w:r>
          </w:p>
        </w:tc>
        <w:tc>
          <w:tcPr>
            <w:tcW w:w="100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营业收入</w:t>
            </w:r>
          </w:p>
        </w:tc>
        <w:tc>
          <w:tcPr>
            <w:tcW w:w="106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营业成本</w:t>
            </w: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业务类型</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其中：</w:t>
            </w:r>
          </w:p>
        </w:tc>
        <w:tc>
          <w:tcPr>
            <w:tcW w:w="93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0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0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6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信息系统集成服务</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9,395,843.57</w:t>
            </w: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8,664,759.67</w:t>
            </w: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9,395,843.57</w:t>
            </w: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8,664,759.67</w:t>
            </w: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软件开发及技术服务</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34,677,547.18</w:t>
            </w: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28,623,303.48</w:t>
            </w: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34,677,547.18</w:t>
            </w: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28,623,303.48</w:t>
            </w: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信息系统运维服务</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3,605,153.82</w:t>
            </w: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1,819,722.16</w:t>
            </w: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3,605,153.82</w:t>
            </w: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1,819,722.16</w:t>
            </w: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信息设备销售</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10,674,236.02</w:t>
            </w: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9,572,799.48</w:t>
            </w: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10,674,236.02</w:t>
            </w: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9,572,799.48</w:t>
            </w: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算力服务</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30,075,313.20</w:t>
            </w: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15,981,394.85</w:t>
            </w: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30,075,313.20</w:t>
            </w: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15,981,394.85</w:t>
            </w: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按经营地区分类</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 xml:space="preserve">　其中：</w:t>
            </w:r>
          </w:p>
        </w:tc>
        <w:tc>
          <w:tcPr>
            <w:tcW w:w="93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0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0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6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华南地区</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81,524,799.32</w:t>
            </w: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59,107,335.20</w:t>
            </w: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81,524,799.32</w:t>
            </w: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59,107,335.20</w:t>
            </w: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华中地区</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290,086.83</w:t>
            </w: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159,658.25</w:t>
            </w: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290,086.83</w:t>
            </w: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159,658.25</w:t>
            </w: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华东地区</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679,964.31</w:t>
            </w: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82,247.75</w:t>
            </w: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679,964.31</w:t>
            </w: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82,247.75</w:t>
            </w: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其他地区</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5,933,243.33</w:t>
            </w: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5,312,738.44</w:t>
            </w: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5,933,243.33</w:t>
            </w: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5,312,738.44</w:t>
            </w: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市场或客户类型</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 xml:space="preserve">　其中：</w:t>
            </w:r>
          </w:p>
        </w:tc>
        <w:tc>
          <w:tcPr>
            <w:tcW w:w="93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0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0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6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智慧政务</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4,795,705.86</w:t>
            </w: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3,701,434.37</w:t>
            </w: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4,795,705.86</w:t>
            </w: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3,701,434.37</w:t>
            </w: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智慧教育</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5,394,232.21</w:t>
            </w: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5,012,696.44</w:t>
            </w: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5,394,232.21</w:t>
            </w: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5,012,696.44</w:t>
            </w: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智慧医疗</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881,182.24</w:t>
            </w: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814,557.42</w:t>
            </w: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881,182.24</w:t>
            </w: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814,557.42</w:t>
            </w: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智慧企业</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39,736,470.87</w:t>
            </w: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32,193,771.93</w:t>
            </w: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39,736,470.87</w:t>
            </w: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32,193,771.93</w:t>
            </w: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算力服务</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30,075,313.20</w:t>
            </w: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15,981,394.85</w:t>
            </w: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30,075,313.20</w:t>
            </w: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15,981,394.85</w:t>
            </w: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轨道交通</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7,545,189.41</w:t>
            </w: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6,958,124.63</w:t>
            </w: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7,545,189.41</w:t>
            </w: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6,958,124.63</w:t>
            </w: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合同类型</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 xml:space="preserve">　其中：</w:t>
            </w:r>
          </w:p>
        </w:tc>
        <w:tc>
          <w:tcPr>
            <w:tcW w:w="93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0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0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6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按商品转让的时间分类</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 xml:space="preserve">　其中：</w:t>
            </w:r>
          </w:p>
        </w:tc>
        <w:tc>
          <w:tcPr>
            <w:tcW w:w="93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0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0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6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在某一时点</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55,130,032.65</w:t>
            </w: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47,004,246.06</w:t>
            </w: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55,130,032.65</w:t>
            </w: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47,004,246.06</w:t>
            </w: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在某一时间段</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33,298,061.14</w:t>
            </w: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17,657,733.58</w:t>
            </w: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33,298,061.14</w:t>
            </w: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17,657,733.58</w:t>
            </w: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按合同期限分类</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 xml:space="preserve">　其中：</w:t>
            </w:r>
          </w:p>
        </w:tc>
        <w:tc>
          <w:tcPr>
            <w:tcW w:w="93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0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0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6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按销售渠道分类</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 xml:space="preserve">　其中：</w:t>
            </w:r>
          </w:p>
        </w:tc>
        <w:tc>
          <w:tcPr>
            <w:tcW w:w="93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06"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07"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106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r>
      <w:tr w:rsidR="00CE3C32">
        <w:trPr>
          <w:trHeight w:val="240"/>
        </w:trPr>
        <w:tc>
          <w:tcPr>
            <w:tcW w:w="991" w:type="pc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93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88,428,093.79</w:t>
            </w:r>
          </w:p>
        </w:tc>
        <w:tc>
          <w:tcPr>
            <w:tcW w:w="1006"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64,661,979.64</w:t>
            </w:r>
          </w:p>
        </w:tc>
        <w:tc>
          <w:tcPr>
            <w:tcW w:w="1007"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88,428,093.79</w:t>
            </w:r>
          </w:p>
        </w:tc>
        <w:tc>
          <w:tcPr>
            <w:tcW w:w="1061" w:type="pct"/>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64,661,979.64</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与履约义务相关的信息：</w:t>
      </w:r>
    </w:p>
    <w:p w:rsidR="00CE3C32" w:rsidRDefault="00CE3C32">
      <w:pPr>
        <w:spacing w:line="0" w:lineRule="atLeast"/>
        <w:rPr>
          <w:rFonts w:ascii="Times New Roman" w:hAnsi="Times New Roman" w:cs="Times New Roman"/>
        </w:rPr>
      </w:pP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CE3C3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履行履约义务的时间</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重要的支付条款</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公司承诺转让商品的性质</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是否为主要责任人</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公司承担的预期将退还给客户的款项</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公司提供的质量保证类型及相关义务</w:t>
            </w:r>
          </w:p>
        </w:tc>
      </w:tr>
      <w:tr w:rsidR="00CE3C3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无</w:t>
            </w: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w:t>
      </w:r>
      <w:r>
        <w:rPr>
          <w:rFonts w:ascii="Times New Roman" w:hAnsi="Times New Roman" w:cs="Times New Roman"/>
          <w:sz w:val="18"/>
          <w:szCs w:val="18"/>
        </w:rPr>
        <w:t>无</w:t>
      </w:r>
    </w:p>
    <w:p w:rsidR="00CE3C32" w:rsidRDefault="006413B8">
      <w:pPr>
        <w:spacing w:before="100" w:after="10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与分摊至剩余履约义务的交易价格相关的信息：本报告期末已签订合同、但尚未履行或尚未履行完毕的履约义务所对应的收入金额为</w:t>
      </w:r>
      <w:r>
        <w:rPr>
          <w:rFonts w:ascii="Times New Roman" w:eastAsia="宋体" w:hAnsi="Times New Roman" w:cs="Times New Roman"/>
          <w:sz w:val="18"/>
          <w:szCs w:val="18"/>
        </w:rPr>
        <w:t>675,964,885.24</w:t>
      </w:r>
      <w:r>
        <w:rPr>
          <w:rFonts w:ascii="Times New Roman" w:eastAsia="宋体" w:hAnsi="Times New Roman" w:cs="Times New Roman"/>
          <w:sz w:val="18"/>
          <w:szCs w:val="18"/>
        </w:rPr>
        <w:t>元。</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重大合同变更或重大交易价格调整</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会计处理方法</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对收入的影响金额</w:t>
            </w:r>
          </w:p>
        </w:tc>
      </w:tr>
    </w:tbl>
    <w:p w:rsidR="00CE3C32" w:rsidRDefault="006413B8">
      <w:pPr>
        <w:spacing w:before="100" w:after="100" w:line="240" w:lineRule="exact"/>
        <w:rPr>
          <w:rFonts w:ascii="Times New Roman" w:hAnsi="Times New Roman" w:cs="Times New Roman"/>
          <w:sz w:val="18"/>
          <w:szCs w:val="18"/>
        </w:rPr>
      </w:pPr>
      <w:r>
        <w:rPr>
          <w:rFonts w:ascii="Times New Roman" w:eastAsia="宋体" w:hAnsi="Times New Roman" w:cs="Times New Roman"/>
          <w:sz w:val="18"/>
          <w:szCs w:val="18"/>
        </w:rPr>
        <w:t>其他说明：</w:t>
      </w:r>
      <w:r>
        <w:rPr>
          <w:rFonts w:ascii="Times New Roman" w:eastAsia="宋体" w:hAnsi="Times New Roman" w:cs="Times New Roman" w:hint="eastAsia"/>
          <w:sz w:val="18"/>
          <w:szCs w:val="18"/>
        </w:rPr>
        <w:t>无。</w:t>
      </w:r>
    </w:p>
    <w:p w:rsidR="00CE3C32" w:rsidRDefault="006413B8">
      <w:pPr>
        <w:pStyle w:val="3"/>
        <w:spacing w:line="280" w:lineRule="exact"/>
        <w:jc w:val="left"/>
        <w:rPr>
          <w:rFonts w:ascii="Times New Roman" w:hAnsi="Times New Roman" w:cs="Times New Roman"/>
          <w:b/>
          <w:bCs/>
        </w:rPr>
      </w:pPr>
      <w:bookmarkStart w:id="549" w:name="_Toc989434"/>
      <w:r>
        <w:rPr>
          <w:rFonts w:ascii="Times New Roman" w:hAnsi="Times New Roman" w:cs="Times New Roman"/>
          <w:b/>
          <w:bCs/>
        </w:rPr>
        <w:t>5</w:t>
      </w:r>
      <w:r>
        <w:rPr>
          <w:rFonts w:ascii="Times New Roman" w:hAnsi="Times New Roman" w:cs="Times New Roman"/>
          <w:b/>
          <w:bCs/>
        </w:rPr>
        <w:t>、投资收益</w:t>
      </w:r>
      <w:bookmarkEnd w:id="549"/>
    </w:p>
    <w:p w:rsidR="00CE3C32" w:rsidRDefault="006413B8">
      <w:pPr>
        <w:spacing w:before="40" w:after="4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上期发生额</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处置长期股权投资产生的投资收益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-510,000.00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处置交易性金融资产取得的投资收益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jc w:val="right"/>
              <w:rPr>
                <w:rFonts w:ascii="Times New Roman" w:eastAsia="宋体"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260,712.33</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-510,000.00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260,712.33</w:t>
            </w:r>
          </w:p>
        </w:tc>
      </w:tr>
    </w:tbl>
    <w:p w:rsidR="00CE3C32" w:rsidRDefault="006413B8">
      <w:pPr>
        <w:pStyle w:val="3"/>
        <w:spacing w:line="280" w:lineRule="exact"/>
        <w:jc w:val="left"/>
        <w:rPr>
          <w:rFonts w:ascii="Times New Roman" w:hAnsi="Times New Roman" w:cs="Times New Roman"/>
          <w:b/>
          <w:bCs/>
        </w:rPr>
      </w:pPr>
      <w:bookmarkStart w:id="550" w:name="_Toc989435"/>
      <w:r>
        <w:rPr>
          <w:rFonts w:ascii="Times New Roman" w:hAnsi="Times New Roman" w:cs="Times New Roman"/>
          <w:b/>
          <w:bCs/>
        </w:rPr>
        <w:t>6</w:t>
      </w:r>
      <w:r>
        <w:rPr>
          <w:rFonts w:ascii="Times New Roman" w:hAnsi="Times New Roman" w:cs="Times New Roman"/>
          <w:b/>
          <w:bCs/>
        </w:rPr>
        <w:t>、其他</w:t>
      </w:r>
      <w:bookmarkEnd w:id="550"/>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无</w:t>
      </w:r>
    </w:p>
    <w:p w:rsidR="00CE3C32" w:rsidRDefault="006413B8">
      <w:pPr>
        <w:pStyle w:val="2"/>
        <w:spacing w:before="300" w:after="300" w:line="320" w:lineRule="exact"/>
        <w:rPr>
          <w:rFonts w:ascii="Times New Roman" w:eastAsia="宋体" w:hAnsi="Times New Roman" w:cs="Times New Roman"/>
          <w:b/>
          <w:bCs/>
          <w:sz w:val="24"/>
          <w:szCs w:val="24"/>
        </w:rPr>
      </w:pPr>
      <w:bookmarkStart w:id="551" w:name="_Toc989436"/>
      <w:r>
        <w:rPr>
          <w:rFonts w:ascii="Times New Roman" w:eastAsia="宋体" w:hAnsi="Times New Roman" w:cs="Times New Roman"/>
          <w:b/>
          <w:bCs/>
          <w:sz w:val="24"/>
          <w:szCs w:val="24"/>
        </w:rPr>
        <w:t>二十、补充资料</w:t>
      </w:r>
      <w:bookmarkEnd w:id="551"/>
    </w:p>
    <w:p w:rsidR="00CE3C32" w:rsidRDefault="006413B8">
      <w:pPr>
        <w:pStyle w:val="3"/>
        <w:spacing w:line="280" w:lineRule="exact"/>
        <w:jc w:val="left"/>
        <w:rPr>
          <w:rFonts w:ascii="Times New Roman" w:hAnsi="Times New Roman" w:cs="Times New Roman"/>
          <w:b/>
          <w:bCs/>
        </w:rPr>
      </w:pPr>
      <w:bookmarkStart w:id="552" w:name="_Toc989437"/>
      <w:r>
        <w:rPr>
          <w:rFonts w:ascii="Times New Roman" w:hAnsi="Times New Roman" w:cs="Times New Roman"/>
          <w:b/>
          <w:bCs/>
        </w:rPr>
        <w:t>1</w:t>
      </w:r>
      <w:r>
        <w:rPr>
          <w:rFonts w:ascii="Times New Roman" w:hAnsi="Times New Roman" w:cs="Times New Roman"/>
          <w:b/>
          <w:bCs/>
        </w:rPr>
        <w:t>、当期非经常性损益明细表</w:t>
      </w:r>
      <w:bookmarkEnd w:id="552"/>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不适用</w:t>
      </w:r>
    </w:p>
    <w:p w:rsidR="00CE3C32" w:rsidRDefault="006413B8">
      <w:pPr>
        <w:spacing w:before="120" w:after="120"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说明</w:t>
            </w: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非流动性资产处置损益</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-327,415.04</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计入当期损益的政府补助（与公司正常经营业务密切相关、符合国家政策规定、按照确定的标准享有、对公司损益产生持续影响的政府补助除外）</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7,093.45</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除上述各项之外的其他营业外收入和支出</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-1,034,195.78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其他符合非经常性损益定义的损益项目</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40,975.70</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lastRenderedPageBreak/>
              <w:t>减：所得税影响额</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-196,453.18</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少数股东权益影响额（税后）</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3,551.53</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CE3C32">
            <w:pPr>
              <w:spacing w:line="240" w:lineRule="exact"/>
              <w:rPr>
                <w:rFonts w:ascii="Times New Roman" w:eastAsia="宋体" w:hAnsi="Times New Roman" w:cs="Times New Roman"/>
                <w:sz w:val="18"/>
                <w:szCs w:val="18"/>
              </w:rPr>
            </w:pPr>
          </w:p>
        </w:tc>
      </w:tr>
      <w:tr w:rsidR="00CE3C3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-1,120,640.02</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w:t>
            </w:r>
          </w:p>
        </w:tc>
      </w:tr>
    </w:tbl>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其他符合非经常性损益定义的损益项目的具体情况：</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公司不存在其他符合非经常性损益定义的损益项目的具体情况。</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将《公开发行证券的公司信息披露解释性公告第</w:t>
      </w:r>
      <w:r>
        <w:rPr>
          <w:rFonts w:ascii="Times New Roman" w:eastAsia="宋体" w:hAnsi="Times New Roman" w:cs="Times New Roman"/>
          <w:sz w:val="18"/>
          <w:szCs w:val="18"/>
        </w:rPr>
        <w:t>1</w:t>
      </w:r>
      <w:r>
        <w:rPr>
          <w:rFonts w:ascii="Times New Roman" w:eastAsia="宋体" w:hAnsi="Times New Roman" w:cs="Times New Roman"/>
          <w:sz w:val="18"/>
          <w:szCs w:val="18"/>
        </w:rPr>
        <w:t>号</w:t>
      </w:r>
      <w:r>
        <w:rPr>
          <w:rFonts w:ascii="Times New Roman" w:eastAsia="宋体" w:hAnsi="Times New Roman" w:cs="Times New Roman"/>
          <w:sz w:val="18"/>
          <w:szCs w:val="18"/>
        </w:rPr>
        <w:t>——</w:t>
      </w:r>
      <w:r>
        <w:rPr>
          <w:rFonts w:ascii="Times New Roman" w:eastAsia="宋体" w:hAnsi="Times New Roman" w:cs="Times New Roman"/>
          <w:sz w:val="18"/>
          <w:szCs w:val="18"/>
        </w:rPr>
        <w:t>非经常性损益》中列举的非经常性损益项目界定为经常性损益项目的情况说明</w:t>
      </w:r>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553" w:name="_Toc989438"/>
      <w:r>
        <w:rPr>
          <w:rFonts w:ascii="Times New Roman" w:hAnsi="Times New Roman" w:cs="Times New Roman"/>
          <w:b/>
          <w:bCs/>
        </w:rPr>
        <w:t>2</w:t>
      </w:r>
      <w:r>
        <w:rPr>
          <w:rFonts w:ascii="Times New Roman" w:hAnsi="Times New Roman" w:cs="Times New Roman"/>
          <w:b/>
          <w:bCs/>
        </w:rPr>
        <w:t>、净资产收益率及每股收益</w:t>
      </w:r>
      <w:bookmarkEnd w:id="553"/>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CE3C32">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报告期利润</w:t>
            </w:r>
          </w:p>
        </w:tc>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加权平均净资产收益率</w:t>
            </w:r>
          </w:p>
        </w:tc>
        <w:tc>
          <w:tcPr>
            <w:tcW w:w="4820"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每股收益</w:t>
            </w:r>
          </w:p>
        </w:tc>
      </w:tr>
      <w:tr w:rsidR="00CE3C32">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CE3C32">
            <w:pPr>
              <w:rPr>
                <w:rFonts w:ascii="Times New Roman" w:hAnsi="Times New Roman" w:cs="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基本每股收益（元</w:t>
            </w:r>
            <w:r>
              <w:rPr>
                <w:rFonts w:ascii="Times New Roman" w:eastAsia="宋体" w:hAnsi="Times New Roman" w:cs="Times New Roman"/>
                <w:sz w:val="18"/>
                <w:szCs w:val="18"/>
              </w:rPr>
              <w:t>/</w:t>
            </w:r>
            <w:r>
              <w:rPr>
                <w:rFonts w:ascii="Times New Roman" w:eastAsia="宋体" w:hAnsi="Times New Roman" w:cs="Times New Roman"/>
                <w:sz w:val="18"/>
                <w:szCs w:val="18"/>
              </w:rPr>
              <w:t>股）</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jc w:val="center"/>
              <w:rPr>
                <w:rFonts w:ascii="Times New Roman" w:eastAsia="宋体" w:hAnsi="Times New Roman" w:cs="Times New Roman"/>
                <w:sz w:val="18"/>
                <w:szCs w:val="18"/>
              </w:rPr>
            </w:pPr>
            <w:r>
              <w:rPr>
                <w:rFonts w:ascii="Times New Roman" w:eastAsia="宋体" w:hAnsi="Times New Roman" w:cs="Times New Roman"/>
                <w:sz w:val="18"/>
                <w:szCs w:val="18"/>
              </w:rPr>
              <w:t>稀释每股收益（元</w:t>
            </w:r>
            <w:r>
              <w:rPr>
                <w:rFonts w:ascii="Times New Roman" w:eastAsia="宋体" w:hAnsi="Times New Roman" w:cs="Times New Roman"/>
                <w:sz w:val="18"/>
                <w:szCs w:val="18"/>
              </w:rPr>
              <w:t>/</w:t>
            </w:r>
            <w:r>
              <w:rPr>
                <w:rFonts w:ascii="Times New Roman" w:eastAsia="宋体" w:hAnsi="Times New Roman" w:cs="Times New Roman"/>
                <w:sz w:val="18"/>
                <w:szCs w:val="18"/>
              </w:rPr>
              <w:t>股）</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归属于公司普通股股东的净利润</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0.79%</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0.0903</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0.0902</w:t>
            </w:r>
          </w:p>
        </w:tc>
      </w:tr>
      <w:tr w:rsidR="00CE3C3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CE3C32" w:rsidRDefault="006413B8">
            <w:pPr>
              <w:spacing w:before="40" w:after="40" w:line="240" w:lineRule="exact"/>
              <w:rPr>
                <w:rFonts w:ascii="Times New Roman" w:eastAsia="宋体" w:hAnsi="Times New Roman" w:cs="Times New Roman"/>
                <w:sz w:val="18"/>
                <w:szCs w:val="18"/>
              </w:rPr>
            </w:pPr>
            <w:r>
              <w:rPr>
                <w:rFonts w:ascii="Times New Roman" w:eastAsia="宋体" w:hAnsi="Times New Roman" w:cs="Times New Roman"/>
                <w:sz w:val="18"/>
                <w:szCs w:val="18"/>
              </w:rPr>
              <w:t>扣除非经常性损益后归属于公司普通股股东的净利润</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0.94%</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0.1070</w:t>
            </w:r>
          </w:p>
        </w:tc>
        <w:tc>
          <w:tcPr>
            <w:tcW w:w="2410" w:type="dxa"/>
            <w:tcBorders>
              <w:top w:val="single" w:sz="2" w:space="0" w:color="auto"/>
              <w:left w:val="single" w:sz="2" w:space="0" w:color="auto"/>
              <w:bottom w:val="single" w:sz="2" w:space="0" w:color="auto"/>
              <w:right w:val="single" w:sz="2" w:space="0" w:color="auto"/>
            </w:tcBorders>
            <w:vAlign w:val="center"/>
          </w:tcPr>
          <w:p w:rsidR="00CE3C32" w:rsidRDefault="006413B8">
            <w:pPr>
              <w:spacing w:line="240" w:lineRule="exact"/>
              <w:jc w:val="right"/>
              <w:rPr>
                <w:rFonts w:ascii="Times New Roman" w:eastAsia="宋体" w:hAnsi="Times New Roman" w:cs="Times New Roman"/>
                <w:sz w:val="18"/>
                <w:szCs w:val="18"/>
              </w:rPr>
            </w:pPr>
            <w:r>
              <w:rPr>
                <w:rFonts w:ascii="Times New Roman" w:eastAsia="宋体" w:hAnsi="Times New Roman" w:cs="Times New Roman"/>
                <w:sz w:val="18"/>
                <w:szCs w:val="18"/>
              </w:rPr>
              <w:t>0.1069</w:t>
            </w:r>
          </w:p>
        </w:tc>
      </w:tr>
    </w:tbl>
    <w:p w:rsidR="00CE3C32" w:rsidRDefault="006413B8">
      <w:pPr>
        <w:pStyle w:val="3"/>
        <w:spacing w:line="280" w:lineRule="exact"/>
        <w:jc w:val="left"/>
        <w:rPr>
          <w:rFonts w:ascii="Times New Roman" w:hAnsi="Times New Roman" w:cs="Times New Roman"/>
          <w:b/>
          <w:bCs/>
        </w:rPr>
      </w:pPr>
      <w:bookmarkStart w:id="554" w:name="_Toc989439"/>
      <w:r>
        <w:rPr>
          <w:rFonts w:ascii="Times New Roman" w:hAnsi="Times New Roman" w:cs="Times New Roman"/>
          <w:b/>
          <w:bCs/>
        </w:rPr>
        <w:t>3</w:t>
      </w:r>
      <w:r>
        <w:rPr>
          <w:rFonts w:ascii="Times New Roman" w:hAnsi="Times New Roman" w:cs="Times New Roman"/>
          <w:b/>
          <w:bCs/>
        </w:rPr>
        <w:t>、境内外会计准则下会计数据差异</w:t>
      </w:r>
      <w:bookmarkEnd w:id="554"/>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555" w:name="_Toc989440"/>
      <w:r>
        <w:rPr>
          <w:rFonts w:ascii="Times New Roman" w:eastAsia="宋体" w:hAnsi="Times New Roman" w:cs="Times New Roman"/>
          <w:b/>
          <w:bCs/>
          <w:szCs w:val="21"/>
        </w:rPr>
        <w:t>（</w:t>
      </w:r>
      <w:r>
        <w:rPr>
          <w:rFonts w:ascii="Times New Roman" w:eastAsia="宋体" w:hAnsi="Times New Roman" w:cs="Times New Roman"/>
          <w:b/>
          <w:bCs/>
          <w:szCs w:val="21"/>
        </w:rPr>
        <w:t>1</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同时按照国际会计准则与按中国会计准则披露的财务报告中净利润和净资产差异情况</w:t>
      </w:r>
      <w:bookmarkEnd w:id="555"/>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556" w:name="_Toc989441"/>
      <w:r>
        <w:rPr>
          <w:rFonts w:ascii="Times New Roman" w:eastAsia="宋体" w:hAnsi="Times New Roman" w:cs="Times New Roman"/>
          <w:b/>
          <w:bCs/>
          <w:szCs w:val="21"/>
        </w:rPr>
        <w:t>（</w:t>
      </w:r>
      <w:r>
        <w:rPr>
          <w:rFonts w:ascii="Times New Roman" w:eastAsia="宋体" w:hAnsi="Times New Roman" w:cs="Times New Roman"/>
          <w:b/>
          <w:bCs/>
          <w:szCs w:val="21"/>
        </w:rPr>
        <w:t>2</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同时按照境外会计准则与按中国会计准则披露的财务报告中净利润和净资产差异情况</w:t>
      </w:r>
      <w:bookmarkEnd w:id="556"/>
    </w:p>
    <w:p w:rsidR="00CE3C32" w:rsidRDefault="006413B8">
      <w:pPr>
        <w:spacing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keepNext/>
        <w:keepLines/>
        <w:spacing w:before="300" w:after="300" w:line="280" w:lineRule="exact"/>
        <w:outlineLvl w:val="3"/>
        <w:rPr>
          <w:rFonts w:ascii="Times New Roman" w:eastAsia="宋体" w:hAnsi="Times New Roman" w:cs="Times New Roman"/>
          <w:b/>
          <w:bCs/>
          <w:szCs w:val="21"/>
        </w:rPr>
      </w:pPr>
      <w:bookmarkStart w:id="557" w:name="_Toc989442"/>
      <w:r>
        <w:rPr>
          <w:rFonts w:ascii="Times New Roman" w:eastAsia="宋体" w:hAnsi="Times New Roman" w:cs="Times New Roman"/>
          <w:b/>
          <w:bCs/>
          <w:szCs w:val="21"/>
        </w:rPr>
        <w:t>（</w:t>
      </w:r>
      <w:r>
        <w:rPr>
          <w:rFonts w:ascii="Times New Roman" w:eastAsia="宋体" w:hAnsi="Times New Roman" w:cs="Times New Roman"/>
          <w:b/>
          <w:bCs/>
          <w:szCs w:val="21"/>
        </w:rPr>
        <w:t>3</w:t>
      </w:r>
      <w:r>
        <w:rPr>
          <w:rFonts w:ascii="Times New Roman" w:eastAsia="宋体" w:hAnsi="Times New Roman" w:cs="Times New Roman"/>
          <w:b/>
          <w:bCs/>
          <w:szCs w:val="21"/>
        </w:rPr>
        <w:t>）</w:t>
      </w:r>
      <w:r>
        <w:rPr>
          <w:rFonts w:ascii="Times New Roman" w:eastAsia="宋体" w:hAnsi="Times New Roman" w:cs="Times New Roman"/>
          <w:b/>
          <w:bCs/>
          <w:szCs w:val="21"/>
        </w:rPr>
        <w:t xml:space="preserve"> </w:t>
      </w:r>
      <w:r>
        <w:rPr>
          <w:rFonts w:ascii="Times New Roman" w:eastAsia="宋体" w:hAnsi="Times New Roman" w:cs="Times New Roman"/>
          <w:b/>
          <w:bCs/>
          <w:szCs w:val="21"/>
        </w:rPr>
        <w:t>境内外会计准则下会计数据差异原因说明，对已经境外审计机构审计的数据进行差异调节的，应注明该境外机构的名称</w:t>
      </w:r>
      <w:bookmarkEnd w:id="557"/>
    </w:p>
    <w:p w:rsidR="00CE3C32" w:rsidRDefault="006413B8">
      <w:pPr>
        <w:spacing w:before="100" w:after="100" w:line="240" w:lineRule="exact"/>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sz w:val="18"/>
          <w:szCs w:val="18"/>
        </w:rPr>
        <w:t>适用</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sym w:font="Wingdings 2" w:char="F052"/>
      </w:r>
      <w:r>
        <w:rPr>
          <w:rFonts w:ascii="Times New Roman" w:eastAsia="宋体" w:hAnsi="Times New Roman" w:cs="Times New Roman"/>
          <w:sz w:val="18"/>
          <w:szCs w:val="18"/>
        </w:rPr>
        <w:t>不适用</w:t>
      </w:r>
    </w:p>
    <w:p w:rsidR="00CE3C32" w:rsidRDefault="006413B8">
      <w:pPr>
        <w:pStyle w:val="3"/>
        <w:spacing w:line="280" w:lineRule="exact"/>
        <w:jc w:val="left"/>
        <w:rPr>
          <w:rFonts w:ascii="Times New Roman" w:hAnsi="Times New Roman" w:cs="Times New Roman"/>
          <w:b/>
          <w:bCs/>
        </w:rPr>
      </w:pPr>
      <w:bookmarkStart w:id="558" w:name="_Toc989443"/>
      <w:r>
        <w:rPr>
          <w:rFonts w:ascii="Times New Roman" w:hAnsi="Times New Roman" w:cs="Times New Roman"/>
          <w:b/>
          <w:bCs/>
        </w:rPr>
        <w:t>4</w:t>
      </w:r>
      <w:r>
        <w:rPr>
          <w:rFonts w:ascii="Times New Roman" w:hAnsi="Times New Roman" w:cs="Times New Roman"/>
          <w:b/>
          <w:bCs/>
        </w:rPr>
        <w:t>、其他</w:t>
      </w:r>
      <w:bookmarkEnd w:id="558"/>
    </w:p>
    <w:p w:rsidR="00CE3C32" w:rsidRDefault="006413B8">
      <w:pPr>
        <w:pStyle w:val="a6"/>
        <w:rPr>
          <w:rFonts w:ascii="Times New Roman" w:hAnsi="Times New Roman" w:cs="Times New Roman"/>
          <w:sz w:val="18"/>
          <w:szCs w:val="18"/>
        </w:rPr>
      </w:pPr>
      <w:r>
        <w:rPr>
          <w:rFonts w:ascii="Times New Roman" w:hAnsi="Times New Roman" w:cs="Times New Roman"/>
          <w:sz w:val="18"/>
          <w:szCs w:val="18"/>
        </w:rPr>
        <w:t>无</w:t>
      </w:r>
    </w:p>
    <w:p w:rsidR="00CE3C32" w:rsidRDefault="00CE3C32">
      <w:pPr>
        <w:rPr>
          <w:rFonts w:ascii="Times New Roman" w:eastAsiaTheme="majorEastAsia" w:hAnsi="Times New Roman" w:cs="Times New Roman"/>
          <w:sz w:val="18"/>
          <w:szCs w:val="18"/>
        </w:rPr>
      </w:pPr>
    </w:p>
    <w:p w:rsidR="00CE3C32" w:rsidRDefault="006413B8">
      <w:pPr>
        <w:spacing w:before="100" w:after="100" w:line="0" w:lineRule="atLeast"/>
        <w:jc w:val="right"/>
        <w:rPr>
          <w:rFonts w:ascii="Times New Roman" w:eastAsiaTheme="majorEastAsia" w:hAnsi="Times New Roman" w:cs="Times New Roman"/>
        </w:rPr>
      </w:pPr>
      <w:r>
        <w:rPr>
          <w:rFonts w:ascii="Times New Roman" w:eastAsiaTheme="majorEastAsia" w:hAnsi="Times New Roman" w:cs="Times New Roman" w:hint="eastAsia"/>
        </w:rPr>
        <w:t>广东天亿马信息产业股份有限公司</w:t>
      </w:r>
    </w:p>
    <w:p w:rsidR="00CE3C32" w:rsidRDefault="006413B8">
      <w:pPr>
        <w:spacing w:before="100" w:after="100" w:line="0" w:lineRule="atLeast"/>
        <w:jc w:val="right"/>
        <w:rPr>
          <w:rFonts w:ascii="Times New Roman" w:eastAsiaTheme="majorEastAsia" w:hAnsi="Times New Roman" w:cs="Times New Roman"/>
        </w:rPr>
      </w:pPr>
      <w:r>
        <w:rPr>
          <w:rFonts w:ascii="Times New Roman" w:eastAsiaTheme="majorEastAsia" w:hAnsi="Times New Roman" w:cs="Times New Roman" w:hint="eastAsia"/>
        </w:rPr>
        <w:t>董事会</w:t>
      </w:r>
    </w:p>
    <w:p w:rsidR="00CE3C32" w:rsidRDefault="006413B8">
      <w:pPr>
        <w:spacing w:before="100" w:after="100" w:line="0" w:lineRule="atLeast"/>
        <w:jc w:val="right"/>
        <w:rPr>
          <w:rFonts w:ascii="Times New Roman" w:eastAsiaTheme="majorEastAsia" w:hAnsi="Times New Roman" w:cs="Times New Roman"/>
        </w:rPr>
      </w:pPr>
      <w:r>
        <w:rPr>
          <w:rFonts w:ascii="Times New Roman" w:eastAsiaTheme="majorEastAsia" w:hAnsi="Times New Roman" w:cs="Times New Roman" w:hint="eastAsia"/>
        </w:rPr>
        <w:t>2025</w:t>
      </w:r>
      <w:r>
        <w:rPr>
          <w:rFonts w:ascii="Times New Roman" w:eastAsiaTheme="majorEastAsia" w:hAnsi="Times New Roman" w:cs="Times New Roman" w:hint="eastAsia"/>
        </w:rPr>
        <w:t>年</w:t>
      </w:r>
      <w:r>
        <w:rPr>
          <w:rFonts w:ascii="Times New Roman" w:eastAsiaTheme="majorEastAsia" w:hAnsi="Times New Roman" w:cs="Times New Roman" w:hint="eastAsia"/>
        </w:rPr>
        <w:t>8</w:t>
      </w:r>
      <w:r>
        <w:rPr>
          <w:rFonts w:ascii="Times New Roman" w:eastAsiaTheme="majorEastAsia" w:hAnsi="Times New Roman" w:cs="Times New Roman" w:hint="eastAsia"/>
        </w:rPr>
        <w:t>月</w:t>
      </w:r>
      <w:r>
        <w:rPr>
          <w:rFonts w:ascii="Times New Roman" w:eastAsiaTheme="majorEastAsia" w:hAnsi="Times New Roman" w:cs="Times New Roman" w:hint="eastAsia"/>
        </w:rPr>
        <w:t>29</w:t>
      </w:r>
      <w:r>
        <w:rPr>
          <w:rFonts w:ascii="Times New Roman" w:eastAsiaTheme="majorEastAsia" w:hAnsi="Times New Roman" w:cs="Times New Roman" w:hint="eastAsia"/>
        </w:rPr>
        <w:t>日</w:t>
      </w:r>
    </w:p>
    <w:p w:rsidR="00CE3C32" w:rsidRDefault="00CE3C32">
      <w:pPr>
        <w:pStyle w:val="a6"/>
        <w:rPr>
          <w:rFonts w:ascii="Times New Roman" w:hAnsi="Times New Roman" w:cs="Times New Roman"/>
          <w:sz w:val="18"/>
          <w:szCs w:val="18"/>
        </w:rPr>
      </w:pPr>
    </w:p>
    <w:sectPr w:rsidR="00CE3C32">
      <w:pgSz w:w="11905" w:h="16840"/>
      <w:pgMar w:top="1440" w:right="1134" w:bottom="1440" w:left="1134" w:header="850"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1B21" w:rsidRDefault="002A1B21">
      <w:r>
        <w:separator/>
      </w:r>
    </w:p>
  </w:endnote>
  <w:endnote w:type="continuationSeparator" w:id="0">
    <w:p w:rsidR="002A1B21" w:rsidRDefault="002A1B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C32" w:rsidRDefault="006413B8">
    <w:pPr>
      <w:pStyle w:val="fotter1"/>
    </w:pPr>
    <w:r>
      <w:fldChar w:fldCharType="begin"/>
    </w:r>
    <w:r>
      <w:instrText>PAGE   \* MERGEFORMAT</w:instrText>
    </w:r>
    <w:r>
      <w:fldChar w:fldCharType="separate"/>
    </w:r>
    <w:r w:rsidR="00AE2278">
      <w:rPr>
        <w:noProof/>
      </w:rPr>
      <w:t>15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1B21" w:rsidRDefault="002A1B21">
      <w:r>
        <w:separator/>
      </w:r>
    </w:p>
  </w:footnote>
  <w:footnote w:type="continuationSeparator" w:id="0">
    <w:p w:rsidR="002A1B21" w:rsidRDefault="002A1B2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C32" w:rsidRDefault="006413B8">
    <w:pPr>
      <w:pStyle w:val="Header1"/>
      <w:pBdr>
        <w:bottom w:val="single" w:sz="6" w:space="1" w:color="auto"/>
      </w:pBdr>
    </w:pPr>
    <w:r>
      <w:t>广东天亿马信息产业股份有限公司2025年半年度报告全文</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
  <w:rsids>
    <w:rsidRoot w:val="00AE3E15"/>
    <w:rsid w:val="00002F63"/>
    <w:rsid w:val="0000619C"/>
    <w:rsid w:val="0001041C"/>
    <w:rsid w:val="00013625"/>
    <w:rsid w:val="000170C2"/>
    <w:rsid w:val="00022D5E"/>
    <w:rsid w:val="000352E7"/>
    <w:rsid w:val="0003547B"/>
    <w:rsid w:val="00037613"/>
    <w:rsid w:val="00041762"/>
    <w:rsid w:val="00061066"/>
    <w:rsid w:val="000631AD"/>
    <w:rsid w:val="0006383E"/>
    <w:rsid w:val="00076B00"/>
    <w:rsid w:val="00085183"/>
    <w:rsid w:val="0009140E"/>
    <w:rsid w:val="000A1497"/>
    <w:rsid w:val="000A587A"/>
    <w:rsid w:val="000C21FB"/>
    <w:rsid w:val="000E0AA3"/>
    <w:rsid w:val="000F739E"/>
    <w:rsid w:val="00114D5B"/>
    <w:rsid w:val="00121310"/>
    <w:rsid w:val="001261CB"/>
    <w:rsid w:val="00126515"/>
    <w:rsid w:val="001510A3"/>
    <w:rsid w:val="0015675F"/>
    <w:rsid w:val="0017707E"/>
    <w:rsid w:val="00181C68"/>
    <w:rsid w:val="00181D08"/>
    <w:rsid w:val="001830A1"/>
    <w:rsid w:val="0018698E"/>
    <w:rsid w:val="00197E73"/>
    <w:rsid w:val="00197F9C"/>
    <w:rsid w:val="001A008A"/>
    <w:rsid w:val="001A14E8"/>
    <w:rsid w:val="001B4B46"/>
    <w:rsid w:val="001C0F25"/>
    <w:rsid w:val="001C6342"/>
    <w:rsid w:val="001E3376"/>
    <w:rsid w:val="001F25F6"/>
    <w:rsid w:val="00212120"/>
    <w:rsid w:val="00240741"/>
    <w:rsid w:val="0024760F"/>
    <w:rsid w:val="0026109C"/>
    <w:rsid w:val="002740E2"/>
    <w:rsid w:val="00275E5C"/>
    <w:rsid w:val="00284931"/>
    <w:rsid w:val="0028514F"/>
    <w:rsid w:val="002903D5"/>
    <w:rsid w:val="00291805"/>
    <w:rsid w:val="0029730B"/>
    <w:rsid w:val="002A03C2"/>
    <w:rsid w:val="002A1B21"/>
    <w:rsid w:val="002B5E37"/>
    <w:rsid w:val="002D7711"/>
    <w:rsid w:val="002F2CD1"/>
    <w:rsid w:val="002F54FF"/>
    <w:rsid w:val="003130C9"/>
    <w:rsid w:val="00323733"/>
    <w:rsid w:val="003239B1"/>
    <w:rsid w:val="00331753"/>
    <w:rsid w:val="0034005E"/>
    <w:rsid w:val="00350AC7"/>
    <w:rsid w:val="003561E9"/>
    <w:rsid w:val="003924D6"/>
    <w:rsid w:val="00393271"/>
    <w:rsid w:val="0039346B"/>
    <w:rsid w:val="003B3D64"/>
    <w:rsid w:val="003D2153"/>
    <w:rsid w:val="003D3441"/>
    <w:rsid w:val="003D69BA"/>
    <w:rsid w:val="003D7E18"/>
    <w:rsid w:val="00425AA0"/>
    <w:rsid w:val="00437E44"/>
    <w:rsid w:val="00441233"/>
    <w:rsid w:val="004416E8"/>
    <w:rsid w:val="0044247B"/>
    <w:rsid w:val="00451465"/>
    <w:rsid w:val="0045179B"/>
    <w:rsid w:val="0046461A"/>
    <w:rsid w:val="00465975"/>
    <w:rsid w:val="0049513C"/>
    <w:rsid w:val="00495148"/>
    <w:rsid w:val="004B0170"/>
    <w:rsid w:val="004C7E5D"/>
    <w:rsid w:val="004D06B9"/>
    <w:rsid w:val="004D60C8"/>
    <w:rsid w:val="004E109F"/>
    <w:rsid w:val="004E740B"/>
    <w:rsid w:val="0050000D"/>
    <w:rsid w:val="00535042"/>
    <w:rsid w:val="00544C58"/>
    <w:rsid w:val="00546F5B"/>
    <w:rsid w:val="00552210"/>
    <w:rsid w:val="005539E6"/>
    <w:rsid w:val="005600C0"/>
    <w:rsid w:val="00571396"/>
    <w:rsid w:val="005A0D37"/>
    <w:rsid w:val="005A12AD"/>
    <w:rsid w:val="005D54F2"/>
    <w:rsid w:val="005D6D97"/>
    <w:rsid w:val="005F53A2"/>
    <w:rsid w:val="00607142"/>
    <w:rsid w:val="00612BAD"/>
    <w:rsid w:val="00612DBA"/>
    <w:rsid w:val="00620023"/>
    <w:rsid w:val="0062779E"/>
    <w:rsid w:val="00634092"/>
    <w:rsid w:val="006413B8"/>
    <w:rsid w:val="006B64C0"/>
    <w:rsid w:val="006C3815"/>
    <w:rsid w:val="006C3EC4"/>
    <w:rsid w:val="006E1411"/>
    <w:rsid w:val="006F1CCA"/>
    <w:rsid w:val="006F3AEF"/>
    <w:rsid w:val="00700E5B"/>
    <w:rsid w:val="00705A0E"/>
    <w:rsid w:val="007104DD"/>
    <w:rsid w:val="00713918"/>
    <w:rsid w:val="0074164B"/>
    <w:rsid w:val="0074511B"/>
    <w:rsid w:val="00754644"/>
    <w:rsid w:val="007550ED"/>
    <w:rsid w:val="0075602D"/>
    <w:rsid w:val="007569FC"/>
    <w:rsid w:val="00760171"/>
    <w:rsid w:val="007646E1"/>
    <w:rsid w:val="007770D3"/>
    <w:rsid w:val="00796F04"/>
    <w:rsid w:val="007F531A"/>
    <w:rsid w:val="0080364B"/>
    <w:rsid w:val="00846D13"/>
    <w:rsid w:val="00856D73"/>
    <w:rsid w:val="008673EB"/>
    <w:rsid w:val="0087798E"/>
    <w:rsid w:val="008A2AAF"/>
    <w:rsid w:val="008C12AA"/>
    <w:rsid w:val="008C46DB"/>
    <w:rsid w:val="008C55FE"/>
    <w:rsid w:val="008D61C6"/>
    <w:rsid w:val="008D6D5C"/>
    <w:rsid w:val="008F00A6"/>
    <w:rsid w:val="00902C3E"/>
    <w:rsid w:val="009034CA"/>
    <w:rsid w:val="00906B13"/>
    <w:rsid w:val="00915C11"/>
    <w:rsid w:val="00923211"/>
    <w:rsid w:val="00926FF3"/>
    <w:rsid w:val="009451C1"/>
    <w:rsid w:val="009768A2"/>
    <w:rsid w:val="00981194"/>
    <w:rsid w:val="0098374F"/>
    <w:rsid w:val="009A1FDF"/>
    <w:rsid w:val="009A559B"/>
    <w:rsid w:val="009A5C65"/>
    <w:rsid w:val="009C1F17"/>
    <w:rsid w:val="009C44F9"/>
    <w:rsid w:val="009C6D50"/>
    <w:rsid w:val="009C70D4"/>
    <w:rsid w:val="009D599B"/>
    <w:rsid w:val="009D710A"/>
    <w:rsid w:val="009F2910"/>
    <w:rsid w:val="00A07762"/>
    <w:rsid w:val="00A20209"/>
    <w:rsid w:val="00A3040B"/>
    <w:rsid w:val="00A377A5"/>
    <w:rsid w:val="00A53557"/>
    <w:rsid w:val="00A65C78"/>
    <w:rsid w:val="00A80541"/>
    <w:rsid w:val="00A8695B"/>
    <w:rsid w:val="00A90DCE"/>
    <w:rsid w:val="00A978E6"/>
    <w:rsid w:val="00AB3D10"/>
    <w:rsid w:val="00AD3F77"/>
    <w:rsid w:val="00AD53FA"/>
    <w:rsid w:val="00AE2278"/>
    <w:rsid w:val="00AE3E15"/>
    <w:rsid w:val="00AF01FC"/>
    <w:rsid w:val="00AF4BB9"/>
    <w:rsid w:val="00AF732B"/>
    <w:rsid w:val="00B02454"/>
    <w:rsid w:val="00B03709"/>
    <w:rsid w:val="00B05214"/>
    <w:rsid w:val="00B1164E"/>
    <w:rsid w:val="00B156EA"/>
    <w:rsid w:val="00B4617A"/>
    <w:rsid w:val="00B62F5F"/>
    <w:rsid w:val="00B66B25"/>
    <w:rsid w:val="00B73708"/>
    <w:rsid w:val="00B73FB6"/>
    <w:rsid w:val="00B80D5B"/>
    <w:rsid w:val="00BA43BF"/>
    <w:rsid w:val="00BB4489"/>
    <w:rsid w:val="00BC19C9"/>
    <w:rsid w:val="00BC7106"/>
    <w:rsid w:val="00BC7809"/>
    <w:rsid w:val="00BD4640"/>
    <w:rsid w:val="00C128BC"/>
    <w:rsid w:val="00C12C09"/>
    <w:rsid w:val="00C15410"/>
    <w:rsid w:val="00C20FA8"/>
    <w:rsid w:val="00C30B8A"/>
    <w:rsid w:val="00C37B8C"/>
    <w:rsid w:val="00C5257E"/>
    <w:rsid w:val="00C549A8"/>
    <w:rsid w:val="00C5745A"/>
    <w:rsid w:val="00C61B25"/>
    <w:rsid w:val="00C85191"/>
    <w:rsid w:val="00CA4824"/>
    <w:rsid w:val="00CA4C14"/>
    <w:rsid w:val="00CD7469"/>
    <w:rsid w:val="00CE3C32"/>
    <w:rsid w:val="00D15A04"/>
    <w:rsid w:val="00D252D6"/>
    <w:rsid w:val="00D25FF4"/>
    <w:rsid w:val="00D279EC"/>
    <w:rsid w:val="00D30600"/>
    <w:rsid w:val="00D32A7E"/>
    <w:rsid w:val="00D47DBC"/>
    <w:rsid w:val="00D63AF2"/>
    <w:rsid w:val="00D83CFA"/>
    <w:rsid w:val="00D85C7C"/>
    <w:rsid w:val="00D87558"/>
    <w:rsid w:val="00D97E18"/>
    <w:rsid w:val="00DA5E91"/>
    <w:rsid w:val="00DC158C"/>
    <w:rsid w:val="00DD5233"/>
    <w:rsid w:val="00DE771C"/>
    <w:rsid w:val="00DF3E76"/>
    <w:rsid w:val="00DF405B"/>
    <w:rsid w:val="00E127E0"/>
    <w:rsid w:val="00E16CBC"/>
    <w:rsid w:val="00E35149"/>
    <w:rsid w:val="00E45655"/>
    <w:rsid w:val="00E476F6"/>
    <w:rsid w:val="00E50434"/>
    <w:rsid w:val="00E557D2"/>
    <w:rsid w:val="00E55922"/>
    <w:rsid w:val="00E876DC"/>
    <w:rsid w:val="00E94276"/>
    <w:rsid w:val="00EA467D"/>
    <w:rsid w:val="00EA712F"/>
    <w:rsid w:val="00EA7FBE"/>
    <w:rsid w:val="00F011BD"/>
    <w:rsid w:val="00F10C23"/>
    <w:rsid w:val="00F10E5D"/>
    <w:rsid w:val="00F177DC"/>
    <w:rsid w:val="00F36839"/>
    <w:rsid w:val="00F530B1"/>
    <w:rsid w:val="00F56509"/>
    <w:rsid w:val="00F60515"/>
    <w:rsid w:val="00F66998"/>
    <w:rsid w:val="00F66D73"/>
    <w:rsid w:val="00F81BFC"/>
    <w:rsid w:val="00F8284D"/>
    <w:rsid w:val="00F907CA"/>
    <w:rsid w:val="00FA1A16"/>
    <w:rsid w:val="00FA59E4"/>
    <w:rsid w:val="00FB7641"/>
    <w:rsid w:val="00FC2B77"/>
    <w:rsid w:val="00FC345F"/>
    <w:rsid w:val="00FC49A4"/>
    <w:rsid w:val="00FC7B86"/>
    <w:rsid w:val="00FD4820"/>
    <w:rsid w:val="00FF0128"/>
    <w:rsid w:val="00FF4F03"/>
    <w:rsid w:val="00FF5BDF"/>
    <w:rsid w:val="00FF7BD3"/>
    <w:rsid w:val="0E414642"/>
    <w:rsid w:val="26A6426D"/>
    <w:rsid w:val="35BA4A6B"/>
    <w:rsid w:val="437D5E6A"/>
    <w:rsid w:val="748D1686"/>
    <w:rsid w:val="7F686F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1"/>
      <w:szCs w:val="22"/>
    </w:r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9"/>
    <w:qFormat/>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1">
    <w:name w:val="toc 1"/>
    <w:basedOn w:val="a"/>
    <w:next w:val="a"/>
    <w:autoRedefine/>
    <w:uiPriority w:val="39"/>
  </w:style>
  <w:style w:type="paragraph" w:styleId="20">
    <w:name w:val="toc 2"/>
    <w:basedOn w:val="a"/>
    <w:next w:val="a"/>
    <w:autoRedefine/>
    <w:uiPriority w:val="39"/>
    <w:unhideWhenUsed/>
    <w:pPr>
      <w:ind w:leftChars="200" w:left="420"/>
    </w:pPr>
  </w:style>
  <w:style w:type="paragraph" w:styleId="a6">
    <w:name w:val="Normal (Web)"/>
    <w:basedOn w:val="a"/>
    <w:uiPriority w:val="99"/>
    <w:unhideWhenUsed/>
    <w:qFormat/>
    <w:pPr>
      <w:widowControl/>
      <w:spacing w:before="100" w:beforeAutospacing="1" w:after="100" w:afterAutospacing="1"/>
    </w:pPr>
    <w:rPr>
      <w:rFonts w:ascii="宋体" w:eastAsia="宋体" w:hAnsi="宋体" w:cs="宋体"/>
      <w:kern w:val="0"/>
      <w:sz w:val="24"/>
      <w:szCs w:val="24"/>
    </w:rPr>
  </w:style>
  <w:style w:type="character" w:styleId="a7">
    <w:name w:val="Strong"/>
    <w:basedOn w:val="a0"/>
    <w:uiPriority w:val="22"/>
    <w:qFormat/>
    <w:rPr>
      <w:b/>
      <w:bCs/>
    </w:rPr>
  </w:style>
  <w:style w:type="paragraph" w:customStyle="1" w:styleId="Header1">
    <w:name w:val="Header 1"/>
    <w:qFormat/>
    <w:pPr>
      <w:jc w:val="right"/>
    </w:pPr>
    <w:rPr>
      <w:rFonts w:ascii="宋体" w:eastAsia="宋体"/>
      <w:kern w:val="2"/>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eastAsia="宋体"/>
      <w:kern w:val="2"/>
      <w:sz w:val="18"/>
      <w:szCs w:val="1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1"/>
      <w:szCs w:val="22"/>
    </w:r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9"/>
    <w:qFormat/>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1">
    <w:name w:val="toc 1"/>
    <w:basedOn w:val="a"/>
    <w:next w:val="a"/>
    <w:autoRedefine/>
    <w:uiPriority w:val="39"/>
  </w:style>
  <w:style w:type="paragraph" w:styleId="20">
    <w:name w:val="toc 2"/>
    <w:basedOn w:val="a"/>
    <w:next w:val="a"/>
    <w:autoRedefine/>
    <w:uiPriority w:val="39"/>
    <w:unhideWhenUsed/>
    <w:pPr>
      <w:ind w:leftChars="200" w:left="420"/>
    </w:pPr>
  </w:style>
  <w:style w:type="paragraph" w:styleId="a6">
    <w:name w:val="Normal (Web)"/>
    <w:basedOn w:val="a"/>
    <w:uiPriority w:val="99"/>
    <w:unhideWhenUsed/>
    <w:qFormat/>
    <w:pPr>
      <w:widowControl/>
      <w:spacing w:before="100" w:beforeAutospacing="1" w:after="100" w:afterAutospacing="1"/>
    </w:pPr>
    <w:rPr>
      <w:rFonts w:ascii="宋体" w:eastAsia="宋体" w:hAnsi="宋体" w:cs="宋体"/>
      <w:kern w:val="0"/>
      <w:sz w:val="24"/>
      <w:szCs w:val="24"/>
    </w:rPr>
  </w:style>
  <w:style w:type="character" w:styleId="a7">
    <w:name w:val="Strong"/>
    <w:basedOn w:val="a0"/>
    <w:uiPriority w:val="22"/>
    <w:qFormat/>
    <w:rPr>
      <w:b/>
      <w:bCs/>
    </w:rPr>
  </w:style>
  <w:style w:type="paragraph" w:customStyle="1" w:styleId="Header1">
    <w:name w:val="Header 1"/>
    <w:qFormat/>
    <w:pPr>
      <w:jc w:val="right"/>
    </w:pPr>
    <w:rPr>
      <w:rFonts w:ascii="宋体" w:eastAsia="宋体"/>
      <w:kern w:val="2"/>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eastAsia="宋体"/>
      <w:kern w:val="2"/>
      <w:sz w:val="18"/>
      <w:szCs w:val="1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184</Pages>
  <Words>24132</Words>
  <Characters>137557</Characters>
  <Application>Microsoft Office Word</Application>
  <DocSecurity>0</DocSecurity>
  <Lines>1146</Lines>
  <Paragraphs>322</Paragraphs>
  <ScaleCrop>false</ScaleCrop>
  <Company>Microsoft</Company>
  <LinksUpToDate>false</LinksUpToDate>
  <CharactersWithSpaces>161367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huangsq</dc:creator>
  <cp:lastModifiedBy>hsq</cp:lastModifiedBy>
  <cp:revision>260</cp:revision>
  <dcterms:created xsi:type="dcterms:W3CDTF">2025-08-27T09:23:00Z</dcterms:created>
  <dcterms:modified xsi:type="dcterms:W3CDTF">2025-08-28T06:37:00Z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2052-12.1.0.22529</vt:lpwstr>
  </property>
  <property fmtid="{D5CDD505-2E9C-101B-9397-08002B2CF9AE}" pid="4" name="ICV">
    <vt:lpwstr>E07C51EE358D405180972E01541F9B75_12</vt:lpwstr>
  </property>
</Properties>
</file>