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77F6" w:rsidRPr="00CE4CF2" w:rsidRDefault="00FB3D8D" w:rsidP="00600797">
      <w:pPr>
        <w:spacing w:before="200" w:line="288" w:lineRule="auto"/>
        <w:jc w:val="center"/>
        <w:rPr>
          <w:rFonts w:ascii="Times New Roman" w:eastAsia="仿宋" w:hAnsi="Times New Roman" w:cs="Times New Roman"/>
          <w:sz w:val="24"/>
          <w:szCs w:val="24"/>
        </w:rPr>
      </w:pPr>
      <w:r w:rsidRPr="00CE4CF2">
        <w:rPr>
          <w:rFonts w:ascii="Times New Roman" w:eastAsia="仿宋" w:hAnsi="Times New Roman" w:cs="Times New Roman"/>
          <w:sz w:val="24"/>
          <w:szCs w:val="24"/>
        </w:rPr>
        <w:t>证券代码：</w:t>
      </w:r>
      <w:r w:rsidRPr="00CE4CF2">
        <w:rPr>
          <w:rFonts w:ascii="Times New Roman" w:eastAsia="仿宋" w:hAnsi="Times New Roman" w:cs="Times New Roman"/>
          <w:sz w:val="24"/>
          <w:szCs w:val="24"/>
        </w:rPr>
        <w:t xml:space="preserve">301178         </w:t>
      </w:r>
      <w:r w:rsidR="00600797" w:rsidRPr="00CE4CF2">
        <w:rPr>
          <w:rFonts w:ascii="Times New Roman" w:eastAsia="仿宋" w:hAnsi="Times New Roman" w:cs="Times New Roman"/>
          <w:sz w:val="24"/>
          <w:szCs w:val="24"/>
        </w:rPr>
        <w:t xml:space="preserve">    </w:t>
      </w:r>
      <w:r w:rsidRPr="00CE4CF2">
        <w:rPr>
          <w:rFonts w:ascii="Times New Roman" w:eastAsia="仿宋" w:hAnsi="Times New Roman" w:cs="Times New Roman"/>
          <w:sz w:val="24"/>
          <w:szCs w:val="24"/>
        </w:rPr>
        <w:t>证券简称：天亿马</w:t>
      </w:r>
      <w:r w:rsidRPr="00CE4CF2">
        <w:rPr>
          <w:rFonts w:ascii="Times New Roman" w:eastAsia="仿宋" w:hAnsi="Times New Roman" w:cs="Times New Roman"/>
          <w:sz w:val="24"/>
          <w:szCs w:val="24"/>
        </w:rPr>
        <w:t xml:space="preserve">           </w:t>
      </w:r>
      <w:r w:rsidRPr="00CE4CF2">
        <w:rPr>
          <w:rFonts w:ascii="Times New Roman" w:eastAsia="仿宋" w:hAnsi="Times New Roman" w:cs="Times New Roman"/>
          <w:sz w:val="24"/>
          <w:szCs w:val="24"/>
        </w:rPr>
        <w:t>公告编号：</w:t>
      </w:r>
      <w:r w:rsidRPr="00CE4CF2">
        <w:rPr>
          <w:rFonts w:ascii="Times New Roman" w:eastAsia="仿宋" w:hAnsi="Times New Roman" w:cs="Times New Roman"/>
          <w:sz w:val="24"/>
          <w:szCs w:val="24"/>
        </w:rPr>
        <w:t>2025-071</w:t>
      </w:r>
    </w:p>
    <w:p w:rsidR="00600797" w:rsidRPr="00CE4CF2" w:rsidRDefault="00FB3D8D" w:rsidP="00CE4CF2">
      <w:pPr>
        <w:spacing w:beforeLines="100" w:before="312" w:afterLines="100" w:after="312" w:line="288" w:lineRule="auto"/>
        <w:jc w:val="center"/>
        <w:rPr>
          <w:rFonts w:ascii="Times New Roman" w:eastAsia="黑体" w:hAnsi="Times New Roman" w:cs="Times New Roman"/>
          <w:bCs/>
          <w:sz w:val="32"/>
          <w:szCs w:val="32"/>
        </w:rPr>
      </w:pPr>
      <w:r w:rsidRPr="00CE4CF2">
        <w:rPr>
          <w:rFonts w:ascii="Times New Roman" w:eastAsia="黑体" w:hAnsi="Times New Roman" w:cs="Times New Roman"/>
          <w:bCs/>
          <w:sz w:val="32"/>
          <w:szCs w:val="32"/>
        </w:rPr>
        <w:t>广东天亿马信息产业股份有限公司</w:t>
      </w:r>
    </w:p>
    <w:p w:rsidR="007177F6" w:rsidRPr="00CE4CF2" w:rsidRDefault="00FB3D8D" w:rsidP="00CE4CF2">
      <w:pPr>
        <w:spacing w:beforeLines="100" w:before="312" w:afterLines="100" w:after="312" w:line="288" w:lineRule="auto"/>
        <w:jc w:val="center"/>
        <w:rPr>
          <w:rFonts w:ascii="Times New Roman" w:eastAsia="黑体" w:hAnsi="Times New Roman" w:cs="Times New Roman"/>
          <w:bCs/>
          <w:sz w:val="32"/>
          <w:szCs w:val="32"/>
        </w:rPr>
      </w:pPr>
      <w:r w:rsidRPr="00CE4CF2">
        <w:rPr>
          <w:rFonts w:ascii="Times New Roman" w:eastAsia="黑体" w:hAnsi="Times New Roman" w:cs="Times New Roman"/>
          <w:bCs/>
          <w:sz w:val="32"/>
          <w:szCs w:val="32"/>
        </w:rPr>
        <w:t>2025</w:t>
      </w:r>
      <w:r w:rsidRPr="00CE4CF2">
        <w:rPr>
          <w:rFonts w:ascii="Times New Roman" w:eastAsia="黑体" w:hAnsi="Times New Roman" w:cs="Times New Roman"/>
          <w:bCs/>
          <w:sz w:val="32"/>
          <w:szCs w:val="32"/>
        </w:rPr>
        <w:t>年半年度报告摘要</w:t>
      </w:r>
    </w:p>
    <w:p w:rsidR="007177F6" w:rsidRPr="00CE4CF2" w:rsidRDefault="00FB3D8D" w:rsidP="00CE4CF2">
      <w:pPr>
        <w:pStyle w:val="2"/>
        <w:spacing w:before="0" w:after="0" w:line="288" w:lineRule="auto"/>
        <w:jc w:val="both"/>
        <w:rPr>
          <w:rFonts w:ascii="Times New Roman" w:eastAsia="仿宋" w:hAnsi="Times New Roman" w:cs="Times New Roman"/>
          <w:b/>
          <w:bCs/>
          <w:kern w:val="0"/>
          <w:sz w:val="28"/>
          <w:szCs w:val="24"/>
        </w:rPr>
      </w:pPr>
      <w:bookmarkStart w:id="0" w:name="_Toc988889"/>
      <w:r w:rsidRPr="00CE4CF2">
        <w:rPr>
          <w:rFonts w:ascii="Times New Roman" w:eastAsia="仿宋" w:hAnsi="Times New Roman" w:cs="Times New Roman"/>
          <w:b/>
          <w:bCs/>
          <w:kern w:val="0"/>
          <w:sz w:val="28"/>
          <w:szCs w:val="24"/>
        </w:rPr>
        <w:t>一、重要提示</w:t>
      </w:r>
      <w:bookmarkEnd w:id="0"/>
    </w:p>
    <w:p w:rsidR="007177F6" w:rsidRPr="00CE4CF2" w:rsidRDefault="00FB3D8D" w:rsidP="00CE4CF2">
      <w:pPr>
        <w:spacing w:line="288" w:lineRule="auto"/>
        <w:ind w:firstLineChars="200" w:firstLine="480"/>
        <w:jc w:val="both"/>
        <w:rPr>
          <w:rFonts w:ascii="Times New Roman" w:eastAsia="仿宋" w:hAnsi="Times New Roman" w:cs="Times New Roman"/>
          <w:kern w:val="0"/>
          <w:sz w:val="24"/>
          <w:szCs w:val="24"/>
        </w:rPr>
      </w:pPr>
      <w:r w:rsidRPr="00CE4CF2">
        <w:rPr>
          <w:rFonts w:ascii="Times New Roman" w:eastAsia="仿宋" w:hAnsi="Times New Roman" w:cs="Times New Roman"/>
          <w:kern w:val="0"/>
          <w:sz w:val="24"/>
          <w:szCs w:val="24"/>
        </w:rPr>
        <w:t>本半年度报告摘要来自半年度报告全文，为全面了解本公司的经营成果、财务状况及未来发展规划，投资者应当到证监会指定媒体仔细阅读半年度报告全文。</w:t>
      </w:r>
    </w:p>
    <w:p w:rsidR="007177F6" w:rsidRPr="00CE4CF2" w:rsidRDefault="00FB3D8D" w:rsidP="00CE4CF2">
      <w:pPr>
        <w:spacing w:line="288" w:lineRule="auto"/>
        <w:ind w:firstLineChars="200" w:firstLine="480"/>
        <w:jc w:val="both"/>
        <w:rPr>
          <w:rFonts w:ascii="Times New Roman" w:eastAsia="仿宋" w:hAnsi="Times New Roman" w:cs="Times New Roman"/>
          <w:kern w:val="0"/>
          <w:sz w:val="24"/>
          <w:szCs w:val="24"/>
        </w:rPr>
      </w:pPr>
      <w:r w:rsidRPr="00CE4CF2">
        <w:rPr>
          <w:rFonts w:ascii="Times New Roman" w:eastAsia="仿宋" w:hAnsi="Times New Roman" w:cs="Times New Roman"/>
          <w:kern w:val="0"/>
          <w:sz w:val="24"/>
          <w:szCs w:val="24"/>
        </w:rPr>
        <w:t>所有董事均已出席了审议本报告的董事会会议。</w:t>
      </w:r>
    </w:p>
    <w:p w:rsidR="007177F6" w:rsidRPr="00CE4CF2" w:rsidRDefault="00FB3D8D" w:rsidP="00CE4CF2">
      <w:pPr>
        <w:spacing w:line="288" w:lineRule="auto"/>
        <w:ind w:firstLineChars="200" w:firstLine="480"/>
        <w:jc w:val="both"/>
        <w:rPr>
          <w:rFonts w:ascii="Times New Roman" w:eastAsia="仿宋" w:hAnsi="Times New Roman" w:cs="Times New Roman"/>
          <w:kern w:val="0"/>
          <w:sz w:val="24"/>
          <w:szCs w:val="24"/>
        </w:rPr>
      </w:pPr>
      <w:r w:rsidRPr="00CE4CF2">
        <w:rPr>
          <w:rFonts w:ascii="Times New Roman" w:eastAsia="仿宋" w:hAnsi="Times New Roman" w:cs="Times New Roman"/>
          <w:kern w:val="0"/>
          <w:sz w:val="24"/>
          <w:szCs w:val="24"/>
        </w:rPr>
        <w:t>非标准审计意见提示</w:t>
      </w:r>
    </w:p>
    <w:p w:rsidR="007177F6" w:rsidRPr="00CE4CF2" w:rsidRDefault="00FB3D8D" w:rsidP="00CE4CF2">
      <w:pPr>
        <w:spacing w:line="288" w:lineRule="auto"/>
        <w:ind w:firstLineChars="200" w:firstLine="480"/>
        <w:jc w:val="both"/>
        <w:rPr>
          <w:rFonts w:ascii="Times New Roman" w:eastAsia="仿宋" w:hAnsi="Times New Roman" w:cs="Times New Roman"/>
          <w:kern w:val="0"/>
          <w:sz w:val="24"/>
          <w:szCs w:val="24"/>
        </w:rPr>
      </w:pPr>
      <w:r w:rsidRPr="00CE4CF2">
        <w:rPr>
          <w:rFonts w:ascii="Times New Roman" w:eastAsia="仿宋" w:hAnsi="Times New Roman" w:cs="Times New Roman"/>
          <w:kern w:val="0"/>
          <w:sz w:val="24"/>
          <w:szCs w:val="24"/>
        </w:rPr>
        <w:t>□</w:t>
      </w:r>
      <w:r w:rsidRPr="00CE4CF2">
        <w:rPr>
          <w:rFonts w:ascii="Times New Roman" w:eastAsia="仿宋" w:hAnsi="Times New Roman" w:cs="Times New Roman"/>
          <w:kern w:val="0"/>
          <w:sz w:val="24"/>
          <w:szCs w:val="24"/>
        </w:rPr>
        <w:t>适用</w:t>
      </w:r>
      <w:r w:rsidRPr="00CE4CF2">
        <w:rPr>
          <w:rFonts w:ascii="Times New Roman" w:eastAsia="仿宋" w:hAnsi="Times New Roman" w:cs="Times New Roman"/>
          <w:kern w:val="0"/>
          <w:sz w:val="24"/>
          <w:szCs w:val="24"/>
        </w:rPr>
        <w:t xml:space="preserve"> </w:t>
      </w:r>
      <w:r w:rsidRPr="00CE4CF2">
        <w:rPr>
          <w:rFonts w:ascii="Times New Roman" w:eastAsia="仿宋" w:hAnsi="Times New Roman" w:cs="Times New Roman"/>
          <w:kern w:val="0"/>
          <w:sz w:val="24"/>
          <w:szCs w:val="24"/>
        </w:rPr>
        <w:sym w:font="Wingdings 2" w:char="F052"/>
      </w:r>
      <w:r w:rsidRPr="00CE4CF2">
        <w:rPr>
          <w:rFonts w:ascii="Times New Roman" w:eastAsia="仿宋" w:hAnsi="Times New Roman" w:cs="Times New Roman"/>
          <w:kern w:val="0"/>
          <w:sz w:val="24"/>
          <w:szCs w:val="24"/>
        </w:rPr>
        <w:t>不适用</w:t>
      </w:r>
    </w:p>
    <w:p w:rsidR="007177F6" w:rsidRPr="00CE4CF2" w:rsidRDefault="00FB3D8D" w:rsidP="00CE4CF2">
      <w:pPr>
        <w:spacing w:line="288" w:lineRule="auto"/>
        <w:ind w:firstLineChars="200" w:firstLine="480"/>
        <w:jc w:val="both"/>
        <w:rPr>
          <w:rFonts w:ascii="Times New Roman" w:eastAsia="仿宋" w:hAnsi="Times New Roman" w:cs="Times New Roman"/>
          <w:kern w:val="0"/>
          <w:sz w:val="24"/>
          <w:szCs w:val="24"/>
        </w:rPr>
      </w:pPr>
      <w:r w:rsidRPr="00CE4CF2">
        <w:rPr>
          <w:rFonts w:ascii="Times New Roman" w:eastAsia="仿宋" w:hAnsi="Times New Roman" w:cs="Times New Roman"/>
          <w:kern w:val="0"/>
          <w:sz w:val="24"/>
          <w:szCs w:val="24"/>
        </w:rPr>
        <w:t>董事会审议的报告期利润分配预案或公积金转增股本预案</w:t>
      </w:r>
    </w:p>
    <w:p w:rsidR="007177F6" w:rsidRPr="00CE4CF2" w:rsidRDefault="00FB3D8D" w:rsidP="00CE4CF2">
      <w:pPr>
        <w:spacing w:line="288" w:lineRule="auto"/>
        <w:ind w:firstLineChars="200" w:firstLine="480"/>
        <w:jc w:val="both"/>
        <w:rPr>
          <w:rFonts w:ascii="Times New Roman" w:eastAsia="仿宋" w:hAnsi="Times New Roman" w:cs="Times New Roman"/>
          <w:kern w:val="0"/>
          <w:sz w:val="24"/>
          <w:szCs w:val="24"/>
        </w:rPr>
      </w:pPr>
      <w:r w:rsidRPr="00CE4CF2">
        <w:rPr>
          <w:rFonts w:ascii="Times New Roman" w:eastAsia="仿宋" w:hAnsi="Times New Roman" w:cs="Times New Roman"/>
          <w:kern w:val="0"/>
          <w:sz w:val="24"/>
          <w:szCs w:val="24"/>
        </w:rPr>
        <w:t>□</w:t>
      </w:r>
      <w:r w:rsidRPr="00CE4CF2">
        <w:rPr>
          <w:rFonts w:ascii="Times New Roman" w:eastAsia="仿宋" w:hAnsi="Times New Roman" w:cs="Times New Roman"/>
          <w:kern w:val="0"/>
          <w:sz w:val="24"/>
          <w:szCs w:val="24"/>
        </w:rPr>
        <w:t>适用</w:t>
      </w:r>
      <w:r w:rsidRPr="00CE4CF2">
        <w:rPr>
          <w:rFonts w:ascii="Times New Roman" w:eastAsia="仿宋" w:hAnsi="Times New Roman" w:cs="Times New Roman"/>
          <w:kern w:val="0"/>
          <w:sz w:val="24"/>
          <w:szCs w:val="24"/>
        </w:rPr>
        <w:t xml:space="preserve"> </w:t>
      </w:r>
      <w:r w:rsidRPr="00CE4CF2">
        <w:rPr>
          <w:rFonts w:ascii="Times New Roman" w:eastAsia="仿宋" w:hAnsi="Times New Roman" w:cs="Times New Roman"/>
          <w:kern w:val="0"/>
          <w:sz w:val="24"/>
          <w:szCs w:val="24"/>
        </w:rPr>
        <w:sym w:font="Wingdings 2" w:char="F052"/>
      </w:r>
      <w:r w:rsidRPr="00CE4CF2">
        <w:rPr>
          <w:rFonts w:ascii="Times New Roman" w:eastAsia="仿宋" w:hAnsi="Times New Roman" w:cs="Times New Roman"/>
          <w:kern w:val="0"/>
          <w:sz w:val="24"/>
          <w:szCs w:val="24"/>
        </w:rPr>
        <w:t>不适用</w:t>
      </w:r>
    </w:p>
    <w:p w:rsidR="007177F6" w:rsidRPr="00CE4CF2" w:rsidRDefault="00FB3D8D" w:rsidP="00CE4CF2">
      <w:pPr>
        <w:spacing w:line="288" w:lineRule="auto"/>
        <w:ind w:firstLineChars="200" w:firstLine="480"/>
        <w:jc w:val="both"/>
        <w:rPr>
          <w:rFonts w:ascii="Times New Roman" w:eastAsia="仿宋" w:hAnsi="Times New Roman" w:cs="Times New Roman"/>
          <w:kern w:val="0"/>
          <w:sz w:val="24"/>
          <w:szCs w:val="24"/>
        </w:rPr>
      </w:pPr>
      <w:r w:rsidRPr="00CE4CF2">
        <w:rPr>
          <w:rFonts w:ascii="Times New Roman" w:eastAsia="仿宋" w:hAnsi="Times New Roman" w:cs="Times New Roman"/>
          <w:kern w:val="0"/>
          <w:sz w:val="24"/>
          <w:szCs w:val="24"/>
        </w:rPr>
        <w:t>公司计划不派发现金红利，不送红股，不以公积金转增股本。</w:t>
      </w:r>
    </w:p>
    <w:p w:rsidR="007177F6" w:rsidRPr="00CE4CF2" w:rsidRDefault="00FB3D8D" w:rsidP="00CE4CF2">
      <w:pPr>
        <w:spacing w:line="288" w:lineRule="auto"/>
        <w:ind w:firstLineChars="200" w:firstLine="480"/>
        <w:jc w:val="both"/>
        <w:rPr>
          <w:rFonts w:ascii="Times New Roman" w:eastAsia="仿宋" w:hAnsi="Times New Roman" w:cs="Times New Roman"/>
          <w:kern w:val="0"/>
          <w:sz w:val="24"/>
          <w:szCs w:val="24"/>
        </w:rPr>
      </w:pPr>
      <w:r w:rsidRPr="00CE4CF2">
        <w:rPr>
          <w:rFonts w:ascii="Times New Roman" w:eastAsia="仿宋" w:hAnsi="Times New Roman" w:cs="Times New Roman"/>
          <w:kern w:val="0"/>
          <w:sz w:val="24"/>
          <w:szCs w:val="24"/>
        </w:rPr>
        <w:t>董事会决议通过的本报告期优先股利润分配预案</w:t>
      </w:r>
    </w:p>
    <w:p w:rsidR="007177F6" w:rsidRPr="00CE4CF2" w:rsidRDefault="00FB3D8D" w:rsidP="00CE4CF2">
      <w:pPr>
        <w:spacing w:line="288" w:lineRule="auto"/>
        <w:ind w:firstLineChars="200" w:firstLine="480"/>
        <w:jc w:val="both"/>
        <w:rPr>
          <w:rFonts w:ascii="Times New Roman" w:eastAsia="仿宋" w:hAnsi="Times New Roman" w:cs="Times New Roman"/>
          <w:kern w:val="0"/>
          <w:sz w:val="24"/>
          <w:szCs w:val="24"/>
        </w:rPr>
      </w:pPr>
      <w:r w:rsidRPr="00CE4CF2">
        <w:rPr>
          <w:rFonts w:ascii="Times New Roman" w:eastAsia="仿宋" w:hAnsi="Times New Roman" w:cs="Times New Roman"/>
          <w:kern w:val="0"/>
          <w:sz w:val="24"/>
          <w:szCs w:val="24"/>
        </w:rPr>
        <w:t>□</w:t>
      </w:r>
      <w:r w:rsidRPr="00CE4CF2">
        <w:rPr>
          <w:rFonts w:ascii="Times New Roman" w:eastAsia="仿宋" w:hAnsi="Times New Roman" w:cs="Times New Roman"/>
          <w:kern w:val="0"/>
          <w:sz w:val="24"/>
          <w:szCs w:val="24"/>
        </w:rPr>
        <w:t>适用</w:t>
      </w:r>
      <w:r w:rsidRPr="00CE4CF2">
        <w:rPr>
          <w:rFonts w:ascii="Times New Roman" w:eastAsia="仿宋" w:hAnsi="Times New Roman" w:cs="Times New Roman"/>
          <w:kern w:val="0"/>
          <w:sz w:val="24"/>
          <w:szCs w:val="24"/>
        </w:rPr>
        <w:t xml:space="preserve"> </w:t>
      </w:r>
      <w:r w:rsidRPr="00CE4CF2">
        <w:rPr>
          <w:rFonts w:ascii="Times New Roman" w:eastAsia="仿宋" w:hAnsi="Times New Roman" w:cs="Times New Roman"/>
          <w:kern w:val="0"/>
          <w:sz w:val="24"/>
          <w:szCs w:val="24"/>
        </w:rPr>
        <w:sym w:font="Wingdings 2" w:char="F052"/>
      </w:r>
      <w:r w:rsidRPr="00CE4CF2">
        <w:rPr>
          <w:rFonts w:ascii="Times New Roman" w:eastAsia="仿宋" w:hAnsi="Times New Roman" w:cs="Times New Roman"/>
          <w:kern w:val="0"/>
          <w:sz w:val="24"/>
          <w:szCs w:val="24"/>
        </w:rPr>
        <w:t>不适用</w:t>
      </w:r>
    </w:p>
    <w:p w:rsidR="007177F6" w:rsidRPr="00CE4CF2" w:rsidRDefault="00FB3D8D" w:rsidP="00CE4CF2">
      <w:pPr>
        <w:pStyle w:val="2"/>
        <w:spacing w:before="0" w:after="0" w:line="288" w:lineRule="auto"/>
        <w:jc w:val="both"/>
        <w:rPr>
          <w:rFonts w:ascii="Times New Roman" w:eastAsia="仿宋" w:hAnsi="Times New Roman" w:cs="Times New Roman"/>
          <w:b/>
          <w:bCs/>
          <w:kern w:val="0"/>
          <w:sz w:val="28"/>
          <w:szCs w:val="24"/>
        </w:rPr>
      </w:pPr>
      <w:bookmarkStart w:id="1" w:name="_Toc988890"/>
      <w:r w:rsidRPr="00CE4CF2">
        <w:rPr>
          <w:rFonts w:ascii="Times New Roman" w:eastAsia="仿宋" w:hAnsi="Times New Roman" w:cs="Times New Roman"/>
          <w:b/>
          <w:bCs/>
          <w:kern w:val="0"/>
          <w:sz w:val="28"/>
          <w:szCs w:val="24"/>
        </w:rPr>
        <w:t>二、公司基本情况</w:t>
      </w:r>
      <w:bookmarkEnd w:id="1"/>
    </w:p>
    <w:p w:rsidR="007177F6" w:rsidRPr="00CE4CF2" w:rsidRDefault="00FB3D8D" w:rsidP="00CE4CF2">
      <w:pPr>
        <w:pStyle w:val="2"/>
        <w:spacing w:before="0" w:after="0" w:line="288" w:lineRule="auto"/>
        <w:jc w:val="both"/>
        <w:rPr>
          <w:rFonts w:ascii="Times New Roman" w:eastAsia="仿宋" w:hAnsi="Times New Roman" w:cs="Times New Roman"/>
          <w:b/>
          <w:bCs/>
          <w:kern w:val="0"/>
          <w:sz w:val="28"/>
          <w:szCs w:val="24"/>
        </w:rPr>
      </w:pPr>
      <w:bookmarkStart w:id="2" w:name="_Toc988891"/>
      <w:r w:rsidRPr="00CE4CF2">
        <w:rPr>
          <w:rFonts w:ascii="Times New Roman" w:eastAsia="仿宋" w:hAnsi="Times New Roman" w:cs="Times New Roman"/>
          <w:b/>
          <w:bCs/>
          <w:kern w:val="0"/>
          <w:sz w:val="28"/>
          <w:szCs w:val="24"/>
        </w:rPr>
        <w:t>1</w:t>
      </w:r>
      <w:r w:rsidRPr="00CE4CF2">
        <w:rPr>
          <w:rFonts w:ascii="Times New Roman" w:eastAsia="仿宋" w:hAnsi="Times New Roman" w:cs="Times New Roman"/>
          <w:b/>
          <w:bCs/>
          <w:kern w:val="0"/>
          <w:sz w:val="28"/>
          <w:szCs w:val="24"/>
        </w:rPr>
        <w:t>、公司简介</w:t>
      </w:r>
      <w:bookmarkEnd w:id="2"/>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3213"/>
        <w:gridCol w:w="2142"/>
        <w:gridCol w:w="1071"/>
        <w:gridCol w:w="1071"/>
        <w:gridCol w:w="2142"/>
      </w:tblGrid>
      <w:tr w:rsidR="007177F6" w:rsidRPr="00CE4CF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rPr>
                <w:rFonts w:ascii="Times New Roman" w:eastAsia="仿宋" w:hAnsi="Times New Roman" w:cs="Times New Roman"/>
                <w:sz w:val="24"/>
                <w:szCs w:val="24"/>
              </w:rPr>
            </w:pPr>
            <w:r w:rsidRPr="00CE4CF2">
              <w:rPr>
                <w:rFonts w:ascii="Times New Roman" w:eastAsia="仿宋" w:hAnsi="Times New Roman" w:cs="Times New Roman"/>
                <w:sz w:val="24"/>
                <w:szCs w:val="24"/>
              </w:rPr>
              <w:t>股票简称</w:t>
            </w:r>
          </w:p>
        </w:tc>
        <w:tc>
          <w:tcPr>
            <w:tcW w:w="2142"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天亿马</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rPr>
                <w:rFonts w:ascii="Times New Roman" w:eastAsia="仿宋" w:hAnsi="Times New Roman" w:cs="Times New Roman"/>
                <w:sz w:val="24"/>
                <w:szCs w:val="24"/>
              </w:rPr>
            </w:pPr>
            <w:r w:rsidRPr="00CE4CF2">
              <w:rPr>
                <w:rFonts w:ascii="Times New Roman" w:eastAsia="仿宋" w:hAnsi="Times New Roman" w:cs="Times New Roman"/>
                <w:sz w:val="24"/>
                <w:szCs w:val="24"/>
              </w:rPr>
              <w:t>股票代码</w:t>
            </w:r>
          </w:p>
        </w:tc>
        <w:tc>
          <w:tcPr>
            <w:tcW w:w="2142"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301178</w:t>
            </w:r>
          </w:p>
        </w:tc>
      </w:tr>
      <w:tr w:rsidR="007177F6" w:rsidRPr="00CE4CF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rPr>
                <w:rFonts w:ascii="Times New Roman" w:eastAsia="仿宋" w:hAnsi="Times New Roman" w:cs="Times New Roman"/>
                <w:sz w:val="24"/>
                <w:szCs w:val="24"/>
              </w:rPr>
            </w:pPr>
            <w:r w:rsidRPr="00CE4CF2">
              <w:rPr>
                <w:rFonts w:ascii="Times New Roman" w:eastAsia="仿宋" w:hAnsi="Times New Roman" w:cs="Times New Roman"/>
                <w:sz w:val="24"/>
                <w:szCs w:val="24"/>
              </w:rPr>
              <w:t>股票上市交易所</w:t>
            </w:r>
          </w:p>
        </w:tc>
        <w:tc>
          <w:tcPr>
            <w:tcW w:w="6426" w:type="dxa"/>
            <w:gridSpan w:val="4"/>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深圳证券交易所</w:t>
            </w:r>
          </w:p>
        </w:tc>
      </w:tr>
      <w:tr w:rsidR="007177F6" w:rsidRPr="00CE4CF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rPr>
                <w:rFonts w:ascii="Times New Roman" w:eastAsia="仿宋" w:hAnsi="Times New Roman" w:cs="Times New Roman"/>
                <w:sz w:val="24"/>
                <w:szCs w:val="24"/>
              </w:rPr>
            </w:pPr>
            <w:r w:rsidRPr="00CE4CF2">
              <w:rPr>
                <w:rFonts w:ascii="Times New Roman" w:eastAsia="仿宋" w:hAnsi="Times New Roman" w:cs="Times New Roman"/>
                <w:sz w:val="24"/>
                <w:szCs w:val="24"/>
              </w:rPr>
              <w:t>变更前的股票简称（如有）</w:t>
            </w:r>
          </w:p>
        </w:tc>
        <w:tc>
          <w:tcPr>
            <w:tcW w:w="6426" w:type="dxa"/>
            <w:gridSpan w:val="4"/>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不适用</w:t>
            </w:r>
          </w:p>
        </w:tc>
      </w:tr>
      <w:tr w:rsidR="007177F6" w:rsidRPr="00CE4CF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jc w:val="center"/>
              <w:rPr>
                <w:rFonts w:ascii="Times New Roman" w:eastAsia="仿宋" w:hAnsi="Times New Roman" w:cs="Times New Roman"/>
                <w:sz w:val="24"/>
                <w:szCs w:val="24"/>
              </w:rPr>
            </w:pPr>
            <w:r w:rsidRPr="00CE4CF2">
              <w:rPr>
                <w:rFonts w:ascii="Times New Roman" w:eastAsia="仿宋" w:hAnsi="Times New Roman" w:cs="Times New Roman"/>
                <w:sz w:val="24"/>
                <w:szCs w:val="24"/>
              </w:rPr>
              <w:t>联系人和联系方式</w:t>
            </w:r>
          </w:p>
        </w:tc>
        <w:tc>
          <w:tcPr>
            <w:tcW w:w="321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jc w:val="center"/>
              <w:rPr>
                <w:rFonts w:ascii="Times New Roman" w:eastAsia="仿宋" w:hAnsi="Times New Roman" w:cs="Times New Roman"/>
                <w:sz w:val="24"/>
                <w:szCs w:val="24"/>
              </w:rPr>
            </w:pPr>
            <w:r w:rsidRPr="00CE4CF2">
              <w:rPr>
                <w:rFonts w:ascii="Times New Roman" w:eastAsia="仿宋" w:hAnsi="Times New Roman" w:cs="Times New Roman"/>
                <w:sz w:val="24"/>
                <w:szCs w:val="24"/>
              </w:rPr>
              <w:t>董事会秘书</w:t>
            </w:r>
          </w:p>
        </w:tc>
        <w:tc>
          <w:tcPr>
            <w:tcW w:w="321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jc w:val="center"/>
              <w:rPr>
                <w:rFonts w:ascii="Times New Roman" w:eastAsia="仿宋" w:hAnsi="Times New Roman" w:cs="Times New Roman"/>
                <w:sz w:val="24"/>
                <w:szCs w:val="24"/>
              </w:rPr>
            </w:pPr>
            <w:r w:rsidRPr="00CE4CF2">
              <w:rPr>
                <w:rFonts w:ascii="Times New Roman" w:eastAsia="仿宋" w:hAnsi="Times New Roman" w:cs="Times New Roman"/>
                <w:sz w:val="24"/>
                <w:szCs w:val="24"/>
              </w:rPr>
              <w:t>证券事务代表</w:t>
            </w:r>
          </w:p>
        </w:tc>
      </w:tr>
      <w:tr w:rsidR="007177F6" w:rsidRPr="00CE4CF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rPr>
                <w:rFonts w:ascii="Times New Roman" w:eastAsia="仿宋" w:hAnsi="Times New Roman" w:cs="Times New Roman"/>
                <w:sz w:val="24"/>
                <w:szCs w:val="24"/>
              </w:rPr>
            </w:pPr>
            <w:r w:rsidRPr="00CE4CF2">
              <w:rPr>
                <w:rFonts w:ascii="Times New Roman" w:eastAsia="仿宋" w:hAnsi="Times New Roman" w:cs="Times New Roman"/>
                <w:sz w:val="24"/>
                <w:szCs w:val="24"/>
              </w:rPr>
              <w:t>姓名</w:t>
            </w:r>
          </w:p>
        </w:tc>
        <w:tc>
          <w:tcPr>
            <w:tcW w:w="3213" w:type="dxa"/>
            <w:gridSpan w:val="2"/>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曹维</w:t>
            </w:r>
          </w:p>
        </w:tc>
        <w:tc>
          <w:tcPr>
            <w:tcW w:w="3213" w:type="dxa"/>
            <w:gridSpan w:val="2"/>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黄舒倩</w:t>
            </w:r>
          </w:p>
        </w:tc>
      </w:tr>
      <w:tr w:rsidR="007177F6" w:rsidRPr="00CE4CF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rPr>
                <w:rFonts w:ascii="Times New Roman" w:eastAsia="仿宋" w:hAnsi="Times New Roman" w:cs="Times New Roman"/>
                <w:sz w:val="24"/>
                <w:szCs w:val="24"/>
              </w:rPr>
            </w:pPr>
            <w:r w:rsidRPr="00CE4CF2">
              <w:rPr>
                <w:rFonts w:ascii="Times New Roman" w:eastAsia="仿宋" w:hAnsi="Times New Roman" w:cs="Times New Roman"/>
                <w:sz w:val="24"/>
                <w:szCs w:val="24"/>
              </w:rPr>
              <w:t>电话</w:t>
            </w:r>
          </w:p>
        </w:tc>
        <w:tc>
          <w:tcPr>
            <w:tcW w:w="3213" w:type="dxa"/>
            <w:gridSpan w:val="2"/>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0754-88880666</w:t>
            </w:r>
          </w:p>
        </w:tc>
        <w:tc>
          <w:tcPr>
            <w:tcW w:w="3213" w:type="dxa"/>
            <w:gridSpan w:val="2"/>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0754-88880666</w:t>
            </w:r>
          </w:p>
        </w:tc>
      </w:tr>
      <w:tr w:rsidR="007177F6" w:rsidRPr="00CE4CF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rPr>
                <w:rFonts w:ascii="Times New Roman" w:eastAsia="仿宋" w:hAnsi="Times New Roman" w:cs="Times New Roman"/>
                <w:sz w:val="24"/>
                <w:szCs w:val="24"/>
              </w:rPr>
            </w:pPr>
            <w:r w:rsidRPr="00CE4CF2">
              <w:rPr>
                <w:rFonts w:ascii="Times New Roman" w:eastAsia="仿宋" w:hAnsi="Times New Roman" w:cs="Times New Roman"/>
                <w:sz w:val="24"/>
                <w:szCs w:val="24"/>
              </w:rPr>
              <w:t>办公地址</w:t>
            </w:r>
          </w:p>
        </w:tc>
        <w:tc>
          <w:tcPr>
            <w:tcW w:w="3213" w:type="dxa"/>
            <w:gridSpan w:val="2"/>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广东省汕头市海滨路</w:t>
            </w:r>
            <w:r w:rsidRPr="00CE4CF2">
              <w:rPr>
                <w:rFonts w:ascii="Times New Roman" w:eastAsia="仿宋" w:hAnsi="Times New Roman" w:cs="Times New Roman"/>
                <w:sz w:val="24"/>
                <w:szCs w:val="24"/>
              </w:rPr>
              <w:t xml:space="preserve"> 55 </w:t>
            </w:r>
            <w:r w:rsidRPr="00CE4CF2">
              <w:rPr>
                <w:rFonts w:ascii="Times New Roman" w:eastAsia="仿宋" w:hAnsi="Times New Roman" w:cs="Times New Roman"/>
                <w:sz w:val="24"/>
                <w:szCs w:val="24"/>
              </w:rPr>
              <w:t>号海逸投资大厦</w:t>
            </w:r>
            <w:r w:rsidRPr="00CE4CF2">
              <w:rPr>
                <w:rFonts w:ascii="Times New Roman" w:eastAsia="仿宋" w:hAnsi="Times New Roman" w:cs="Times New Roman"/>
                <w:sz w:val="24"/>
                <w:szCs w:val="24"/>
              </w:rPr>
              <w:t xml:space="preserve"> 4-5 </w:t>
            </w:r>
            <w:r w:rsidRPr="00CE4CF2">
              <w:rPr>
                <w:rFonts w:ascii="Times New Roman" w:eastAsia="仿宋" w:hAnsi="Times New Roman" w:cs="Times New Roman"/>
                <w:sz w:val="24"/>
                <w:szCs w:val="24"/>
              </w:rPr>
              <w:t>楼</w:t>
            </w:r>
          </w:p>
        </w:tc>
        <w:tc>
          <w:tcPr>
            <w:tcW w:w="3213" w:type="dxa"/>
            <w:gridSpan w:val="2"/>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广东省汕头市海滨路</w:t>
            </w:r>
            <w:r w:rsidRPr="00CE4CF2">
              <w:rPr>
                <w:rFonts w:ascii="Times New Roman" w:eastAsia="仿宋" w:hAnsi="Times New Roman" w:cs="Times New Roman"/>
                <w:sz w:val="24"/>
                <w:szCs w:val="24"/>
              </w:rPr>
              <w:t xml:space="preserve"> 55 </w:t>
            </w:r>
            <w:r w:rsidRPr="00CE4CF2">
              <w:rPr>
                <w:rFonts w:ascii="Times New Roman" w:eastAsia="仿宋" w:hAnsi="Times New Roman" w:cs="Times New Roman"/>
                <w:sz w:val="24"/>
                <w:szCs w:val="24"/>
              </w:rPr>
              <w:t>号海逸投资大厦</w:t>
            </w:r>
            <w:r w:rsidRPr="00CE4CF2">
              <w:rPr>
                <w:rFonts w:ascii="Times New Roman" w:eastAsia="仿宋" w:hAnsi="Times New Roman" w:cs="Times New Roman"/>
                <w:sz w:val="24"/>
                <w:szCs w:val="24"/>
              </w:rPr>
              <w:t xml:space="preserve"> 4-5 </w:t>
            </w:r>
            <w:r w:rsidRPr="00CE4CF2">
              <w:rPr>
                <w:rFonts w:ascii="Times New Roman" w:eastAsia="仿宋" w:hAnsi="Times New Roman" w:cs="Times New Roman"/>
                <w:sz w:val="24"/>
                <w:szCs w:val="24"/>
              </w:rPr>
              <w:t>楼</w:t>
            </w:r>
          </w:p>
        </w:tc>
      </w:tr>
      <w:tr w:rsidR="007177F6" w:rsidRPr="00CE4CF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rPr>
                <w:rFonts w:ascii="Times New Roman" w:eastAsia="仿宋" w:hAnsi="Times New Roman" w:cs="Times New Roman"/>
                <w:sz w:val="24"/>
                <w:szCs w:val="24"/>
              </w:rPr>
            </w:pPr>
            <w:r w:rsidRPr="00CE4CF2">
              <w:rPr>
                <w:rFonts w:ascii="Times New Roman" w:eastAsia="仿宋" w:hAnsi="Times New Roman" w:cs="Times New Roman"/>
                <w:sz w:val="24"/>
                <w:szCs w:val="24"/>
              </w:rPr>
              <w:t>电子信箱</w:t>
            </w:r>
          </w:p>
        </w:tc>
        <w:tc>
          <w:tcPr>
            <w:tcW w:w="3213" w:type="dxa"/>
            <w:gridSpan w:val="2"/>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Securities@tym.com.cn</w:t>
            </w:r>
          </w:p>
        </w:tc>
        <w:tc>
          <w:tcPr>
            <w:tcW w:w="3213" w:type="dxa"/>
            <w:gridSpan w:val="2"/>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Securities@tym.com.cn</w:t>
            </w:r>
          </w:p>
        </w:tc>
      </w:tr>
    </w:tbl>
    <w:p w:rsidR="007177F6" w:rsidRPr="00CE4CF2" w:rsidRDefault="00FB3D8D" w:rsidP="00CE4CF2">
      <w:pPr>
        <w:pStyle w:val="2"/>
        <w:spacing w:before="0" w:after="0" w:line="288" w:lineRule="auto"/>
        <w:jc w:val="both"/>
        <w:rPr>
          <w:rFonts w:ascii="Times New Roman" w:eastAsia="仿宋" w:hAnsi="Times New Roman" w:cs="Times New Roman"/>
          <w:b/>
          <w:bCs/>
          <w:kern w:val="0"/>
          <w:sz w:val="28"/>
          <w:szCs w:val="24"/>
        </w:rPr>
      </w:pPr>
      <w:bookmarkStart w:id="3" w:name="_Toc988892"/>
      <w:r w:rsidRPr="00CE4CF2">
        <w:rPr>
          <w:rFonts w:ascii="Times New Roman" w:eastAsia="仿宋" w:hAnsi="Times New Roman" w:cs="Times New Roman"/>
          <w:b/>
          <w:bCs/>
          <w:kern w:val="0"/>
          <w:sz w:val="28"/>
          <w:szCs w:val="24"/>
        </w:rPr>
        <w:t>2</w:t>
      </w:r>
      <w:r w:rsidRPr="00CE4CF2">
        <w:rPr>
          <w:rFonts w:ascii="Times New Roman" w:eastAsia="仿宋" w:hAnsi="Times New Roman" w:cs="Times New Roman"/>
          <w:b/>
          <w:bCs/>
          <w:kern w:val="0"/>
          <w:sz w:val="28"/>
          <w:szCs w:val="24"/>
        </w:rPr>
        <w:t>、主要会计数据和财务指标</w:t>
      </w:r>
      <w:bookmarkEnd w:id="3"/>
    </w:p>
    <w:p w:rsidR="007177F6" w:rsidRPr="00CE4CF2" w:rsidRDefault="00FB3D8D" w:rsidP="00CE4CF2">
      <w:pPr>
        <w:spacing w:line="288" w:lineRule="auto"/>
        <w:ind w:firstLineChars="200" w:firstLine="480"/>
        <w:jc w:val="both"/>
        <w:rPr>
          <w:rFonts w:ascii="Times New Roman" w:eastAsia="仿宋" w:hAnsi="Times New Roman" w:cs="Times New Roman"/>
          <w:kern w:val="0"/>
          <w:sz w:val="24"/>
          <w:szCs w:val="24"/>
        </w:rPr>
      </w:pPr>
      <w:r w:rsidRPr="00CE4CF2">
        <w:rPr>
          <w:rFonts w:ascii="Times New Roman" w:eastAsia="仿宋" w:hAnsi="Times New Roman" w:cs="Times New Roman"/>
          <w:kern w:val="0"/>
          <w:sz w:val="24"/>
          <w:szCs w:val="24"/>
        </w:rPr>
        <w:t>公司是否需追溯调整或重述以前年度会计数据</w:t>
      </w:r>
    </w:p>
    <w:p w:rsidR="007177F6" w:rsidRPr="00CE4CF2" w:rsidRDefault="00FB3D8D" w:rsidP="00CE4CF2">
      <w:pPr>
        <w:spacing w:line="288" w:lineRule="auto"/>
        <w:ind w:firstLineChars="200" w:firstLine="480"/>
        <w:jc w:val="both"/>
        <w:rPr>
          <w:rFonts w:ascii="Times New Roman" w:eastAsia="仿宋" w:hAnsi="Times New Roman" w:cs="Times New Roman"/>
          <w:kern w:val="0"/>
          <w:sz w:val="24"/>
          <w:szCs w:val="24"/>
        </w:rPr>
      </w:pPr>
      <w:r w:rsidRPr="00CE4CF2">
        <w:rPr>
          <w:rFonts w:ascii="Times New Roman" w:eastAsia="仿宋" w:hAnsi="Times New Roman" w:cs="Times New Roman"/>
          <w:kern w:val="0"/>
          <w:sz w:val="24"/>
          <w:szCs w:val="24"/>
        </w:rPr>
        <w:t>□</w:t>
      </w:r>
      <w:r w:rsidRPr="00CE4CF2">
        <w:rPr>
          <w:rFonts w:ascii="Times New Roman" w:eastAsia="仿宋" w:hAnsi="Times New Roman" w:cs="Times New Roman"/>
          <w:kern w:val="0"/>
          <w:sz w:val="24"/>
          <w:szCs w:val="24"/>
        </w:rPr>
        <w:t>是</w:t>
      </w:r>
      <w:r w:rsidRPr="00CE4CF2">
        <w:rPr>
          <w:rFonts w:ascii="Times New Roman" w:eastAsia="仿宋" w:hAnsi="Times New Roman" w:cs="Times New Roman"/>
          <w:kern w:val="0"/>
          <w:sz w:val="24"/>
          <w:szCs w:val="24"/>
        </w:rPr>
        <w:t xml:space="preserve"> </w:t>
      </w:r>
      <w:r w:rsidRPr="00CE4CF2">
        <w:rPr>
          <w:rFonts w:ascii="Times New Roman" w:eastAsia="仿宋" w:hAnsi="Times New Roman" w:cs="Times New Roman"/>
          <w:kern w:val="0"/>
          <w:sz w:val="24"/>
          <w:szCs w:val="24"/>
        </w:rPr>
        <w:sym w:font="Wingdings 2" w:char="F052"/>
      </w:r>
      <w:r w:rsidRPr="00CE4CF2">
        <w:rPr>
          <w:rFonts w:ascii="Times New Roman" w:eastAsia="仿宋" w:hAnsi="Times New Roman" w:cs="Times New Roman"/>
          <w:kern w:val="0"/>
          <w:sz w:val="24"/>
          <w:szCs w:val="24"/>
        </w:rPr>
        <w:t>否</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3855"/>
        <w:gridCol w:w="1928"/>
        <w:gridCol w:w="1928"/>
        <w:gridCol w:w="1928"/>
      </w:tblGrid>
      <w:tr w:rsidR="007177F6" w:rsidRPr="00CE4CF2" w:rsidTr="00CE4CF2">
        <w:trPr>
          <w:trHeight w:val="240"/>
          <w:tblHeader/>
        </w:trPr>
        <w:tc>
          <w:tcPr>
            <w:tcW w:w="3856" w:type="dxa"/>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7177F6" w:rsidP="00CE4CF2">
            <w:pPr>
              <w:rPr>
                <w:rFonts w:ascii="Times New Roman" w:eastAsia="仿宋" w:hAnsi="Times New Roman" w:cs="Times New Roman"/>
                <w:sz w:val="24"/>
                <w:szCs w:val="24"/>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jc w:val="center"/>
              <w:rPr>
                <w:rFonts w:ascii="Times New Roman" w:eastAsia="仿宋" w:hAnsi="Times New Roman" w:cs="Times New Roman"/>
                <w:sz w:val="24"/>
                <w:szCs w:val="24"/>
              </w:rPr>
            </w:pPr>
            <w:r w:rsidRPr="00CE4CF2">
              <w:rPr>
                <w:rFonts w:ascii="Times New Roman" w:eastAsia="仿宋" w:hAnsi="Times New Roman" w:cs="Times New Roman"/>
                <w:sz w:val="24"/>
                <w:szCs w:val="24"/>
              </w:rPr>
              <w:t>本报告期</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jc w:val="center"/>
              <w:rPr>
                <w:rFonts w:ascii="Times New Roman" w:eastAsia="仿宋" w:hAnsi="Times New Roman" w:cs="Times New Roman"/>
                <w:sz w:val="24"/>
                <w:szCs w:val="24"/>
              </w:rPr>
            </w:pPr>
            <w:r w:rsidRPr="00CE4CF2">
              <w:rPr>
                <w:rFonts w:ascii="Times New Roman" w:eastAsia="仿宋" w:hAnsi="Times New Roman" w:cs="Times New Roman"/>
                <w:sz w:val="24"/>
                <w:szCs w:val="24"/>
              </w:rPr>
              <w:t>上年同期</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jc w:val="center"/>
              <w:rPr>
                <w:rFonts w:ascii="Times New Roman" w:eastAsia="仿宋" w:hAnsi="Times New Roman" w:cs="Times New Roman"/>
                <w:sz w:val="24"/>
                <w:szCs w:val="24"/>
              </w:rPr>
            </w:pPr>
            <w:r w:rsidRPr="00CE4CF2">
              <w:rPr>
                <w:rFonts w:ascii="Times New Roman" w:eastAsia="仿宋" w:hAnsi="Times New Roman" w:cs="Times New Roman"/>
                <w:sz w:val="24"/>
                <w:szCs w:val="24"/>
              </w:rPr>
              <w:t>本报告期比上年同期增减</w:t>
            </w:r>
          </w:p>
        </w:tc>
      </w:tr>
      <w:tr w:rsidR="007177F6" w:rsidRPr="00CE4CF2">
        <w:trPr>
          <w:trHeight w:val="240"/>
        </w:trPr>
        <w:tc>
          <w:tcPr>
            <w:tcW w:w="3856" w:type="dxa"/>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rPr>
                <w:rFonts w:ascii="Times New Roman" w:eastAsia="仿宋" w:hAnsi="Times New Roman" w:cs="Times New Roman"/>
                <w:sz w:val="24"/>
                <w:szCs w:val="24"/>
              </w:rPr>
            </w:pPr>
            <w:r w:rsidRPr="00CE4CF2">
              <w:rPr>
                <w:rFonts w:ascii="Times New Roman" w:eastAsia="仿宋" w:hAnsi="Times New Roman" w:cs="Times New Roman"/>
                <w:sz w:val="24"/>
                <w:szCs w:val="24"/>
              </w:rPr>
              <w:lastRenderedPageBreak/>
              <w:t>营业收入（元）</w:t>
            </w:r>
          </w:p>
        </w:tc>
        <w:tc>
          <w:tcPr>
            <w:tcW w:w="192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145,629,526.57</w:t>
            </w:r>
          </w:p>
        </w:tc>
        <w:tc>
          <w:tcPr>
            <w:tcW w:w="192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89,214,406.37</w:t>
            </w:r>
          </w:p>
        </w:tc>
        <w:tc>
          <w:tcPr>
            <w:tcW w:w="192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63.24%</w:t>
            </w:r>
          </w:p>
        </w:tc>
      </w:tr>
      <w:tr w:rsidR="007177F6" w:rsidRPr="00CE4CF2">
        <w:trPr>
          <w:trHeight w:val="240"/>
        </w:trPr>
        <w:tc>
          <w:tcPr>
            <w:tcW w:w="3856" w:type="dxa"/>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rPr>
                <w:rFonts w:ascii="Times New Roman" w:eastAsia="仿宋" w:hAnsi="Times New Roman" w:cs="Times New Roman"/>
                <w:sz w:val="24"/>
                <w:szCs w:val="24"/>
              </w:rPr>
            </w:pPr>
            <w:r w:rsidRPr="00CE4CF2">
              <w:rPr>
                <w:rFonts w:ascii="Times New Roman" w:eastAsia="仿宋" w:hAnsi="Times New Roman" w:cs="Times New Roman"/>
                <w:sz w:val="24"/>
                <w:szCs w:val="24"/>
              </w:rPr>
              <w:t>归属于上市公司股东的净利润（元）</w:t>
            </w:r>
          </w:p>
        </w:tc>
        <w:tc>
          <w:tcPr>
            <w:tcW w:w="192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6,059,068.30</w:t>
            </w:r>
          </w:p>
        </w:tc>
        <w:tc>
          <w:tcPr>
            <w:tcW w:w="192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-11,729,023.47</w:t>
            </w:r>
          </w:p>
        </w:tc>
        <w:tc>
          <w:tcPr>
            <w:tcW w:w="192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151.66%</w:t>
            </w:r>
          </w:p>
        </w:tc>
      </w:tr>
      <w:tr w:rsidR="007177F6" w:rsidRPr="00CE4CF2">
        <w:trPr>
          <w:trHeight w:val="240"/>
        </w:trPr>
        <w:tc>
          <w:tcPr>
            <w:tcW w:w="3856" w:type="dxa"/>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rPr>
                <w:rFonts w:ascii="Times New Roman" w:eastAsia="仿宋" w:hAnsi="Times New Roman" w:cs="Times New Roman"/>
                <w:sz w:val="24"/>
                <w:szCs w:val="24"/>
              </w:rPr>
            </w:pPr>
            <w:r w:rsidRPr="00CE4CF2">
              <w:rPr>
                <w:rFonts w:ascii="Times New Roman" w:eastAsia="仿宋" w:hAnsi="Times New Roman" w:cs="Times New Roman"/>
                <w:sz w:val="24"/>
                <w:szCs w:val="24"/>
              </w:rPr>
              <w:t>归属于上市公司股东的扣除非经常性损益的净利润（元）</w:t>
            </w:r>
          </w:p>
        </w:tc>
        <w:tc>
          <w:tcPr>
            <w:tcW w:w="192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7,179,708.32</w:t>
            </w:r>
          </w:p>
        </w:tc>
        <w:tc>
          <w:tcPr>
            <w:tcW w:w="192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-10,310,198.38</w:t>
            </w:r>
          </w:p>
        </w:tc>
        <w:tc>
          <w:tcPr>
            <w:tcW w:w="192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169.64%</w:t>
            </w:r>
          </w:p>
        </w:tc>
      </w:tr>
      <w:tr w:rsidR="007177F6" w:rsidRPr="00CE4CF2">
        <w:trPr>
          <w:trHeight w:val="240"/>
        </w:trPr>
        <w:tc>
          <w:tcPr>
            <w:tcW w:w="3856" w:type="dxa"/>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rPr>
                <w:rFonts w:ascii="Times New Roman" w:eastAsia="仿宋" w:hAnsi="Times New Roman" w:cs="Times New Roman"/>
                <w:sz w:val="24"/>
                <w:szCs w:val="24"/>
              </w:rPr>
            </w:pPr>
            <w:r w:rsidRPr="00CE4CF2">
              <w:rPr>
                <w:rFonts w:ascii="Times New Roman" w:eastAsia="仿宋" w:hAnsi="Times New Roman" w:cs="Times New Roman"/>
                <w:sz w:val="24"/>
                <w:szCs w:val="24"/>
              </w:rPr>
              <w:t>经营活动产生的现金流量净额（元）</w:t>
            </w:r>
          </w:p>
        </w:tc>
        <w:tc>
          <w:tcPr>
            <w:tcW w:w="192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-16,382,921.61</w:t>
            </w:r>
          </w:p>
        </w:tc>
        <w:tc>
          <w:tcPr>
            <w:tcW w:w="192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-61,821,520.43</w:t>
            </w:r>
          </w:p>
        </w:tc>
        <w:tc>
          <w:tcPr>
            <w:tcW w:w="192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73.50%</w:t>
            </w:r>
          </w:p>
        </w:tc>
      </w:tr>
      <w:tr w:rsidR="007177F6" w:rsidRPr="00CE4CF2">
        <w:trPr>
          <w:trHeight w:val="240"/>
        </w:trPr>
        <w:tc>
          <w:tcPr>
            <w:tcW w:w="3856" w:type="dxa"/>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rPr>
                <w:rFonts w:ascii="Times New Roman" w:eastAsia="仿宋" w:hAnsi="Times New Roman" w:cs="Times New Roman"/>
                <w:sz w:val="24"/>
                <w:szCs w:val="24"/>
              </w:rPr>
            </w:pPr>
            <w:r w:rsidRPr="00CE4CF2">
              <w:rPr>
                <w:rFonts w:ascii="Times New Roman" w:eastAsia="仿宋" w:hAnsi="Times New Roman" w:cs="Times New Roman"/>
                <w:sz w:val="24"/>
                <w:szCs w:val="24"/>
              </w:rPr>
              <w:t>基本每股收益（元</w:t>
            </w:r>
            <w:r w:rsidRPr="00CE4CF2">
              <w:rPr>
                <w:rFonts w:ascii="Times New Roman" w:eastAsia="仿宋" w:hAnsi="Times New Roman" w:cs="Times New Roman"/>
                <w:sz w:val="24"/>
                <w:szCs w:val="24"/>
              </w:rPr>
              <w:t>/</w:t>
            </w:r>
            <w:r w:rsidRPr="00CE4CF2">
              <w:rPr>
                <w:rFonts w:ascii="Times New Roman" w:eastAsia="仿宋" w:hAnsi="Times New Roman" w:cs="Times New Roman"/>
                <w:sz w:val="24"/>
                <w:szCs w:val="24"/>
              </w:rPr>
              <w:t>股）</w:t>
            </w:r>
          </w:p>
        </w:tc>
        <w:tc>
          <w:tcPr>
            <w:tcW w:w="192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0.0903</w:t>
            </w:r>
          </w:p>
        </w:tc>
        <w:tc>
          <w:tcPr>
            <w:tcW w:w="192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-0.1764</w:t>
            </w:r>
          </w:p>
        </w:tc>
        <w:tc>
          <w:tcPr>
            <w:tcW w:w="192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151.19%</w:t>
            </w:r>
          </w:p>
        </w:tc>
      </w:tr>
      <w:tr w:rsidR="007177F6" w:rsidRPr="00CE4CF2">
        <w:trPr>
          <w:trHeight w:val="240"/>
        </w:trPr>
        <w:tc>
          <w:tcPr>
            <w:tcW w:w="3856" w:type="dxa"/>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rPr>
                <w:rFonts w:ascii="Times New Roman" w:eastAsia="仿宋" w:hAnsi="Times New Roman" w:cs="Times New Roman"/>
                <w:sz w:val="24"/>
                <w:szCs w:val="24"/>
              </w:rPr>
            </w:pPr>
            <w:r w:rsidRPr="00CE4CF2">
              <w:rPr>
                <w:rFonts w:ascii="Times New Roman" w:eastAsia="仿宋" w:hAnsi="Times New Roman" w:cs="Times New Roman"/>
                <w:sz w:val="24"/>
                <w:szCs w:val="24"/>
              </w:rPr>
              <w:t>稀释每股收益（元</w:t>
            </w:r>
            <w:r w:rsidRPr="00CE4CF2">
              <w:rPr>
                <w:rFonts w:ascii="Times New Roman" w:eastAsia="仿宋" w:hAnsi="Times New Roman" w:cs="Times New Roman"/>
                <w:sz w:val="24"/>
                <w:szCs w:val="24"/>
              </w:rPr>
              <w:t>/</w:t>
            </w:r>
            <w:r w:rsidRPr="00CE4CF2">
              <w:rPr>
                <w:rFonts w:ascii="Times New Roman" w:eastAsia="仿宋" w:hAnsi="Times New Roman" w:cs="Times New Roman"/>
                <w:sz w:val="24"/>
                <w:szCs w:val="24"/>
              </w:rPr>
              <w:t>股）</w:t>
            </w:r>
          </w:p>
        </w:tc>
        <w:tc>
          <w:tcPr>
            <w:tcW w:w="192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0.0902</w:t>
            </w:r>
          </w:p>
        </w:tc>
        <w:tc>
          <w:tcPr>
            <w:tcW w:w="192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-0.1768</w:t>
            </w:r>
          </w:p>
        </w:tc>
        <w:tc>
          <w:tcPr>
            <w:tcW w:w="192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151.02%</w:t>
            </w:r>
          </w:p>
        </w:tc>
      </w:tr>
      <w:tr w:rsidR="007177F6" w:rsidRPr="00CE4CF2">
        <w:trPr>
          <w:trHeight w:val="240"/>
        </w:trPr>
        <w:tc>
          <w:tcPr>
            <w:tcW w:w="3856" w:type="dxa"/>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rPr>
                <w:rFonts w:ascii="Times New Roman" w:eastAsia="仿宋" w:hAnsi="Times New Roman" w:cs="Times New Roman"/>
                <w:sz w:val="24"/>
                <w:szCs w:val="24"/>
              </w:rPr>
            </w:pPr>
            <w:r w:rsidRPr="00CE4CF2">
              <w:rPr>
                <w:rFonts w:ascii="Times New Roman" w:eastAsia="仿宋" w:hAnsi="Times New Roman" w:cs="Times New Roman"/>
                <w:sz w:val="24"/>
                <w:szCs w:val="24"/>
              </w:rPr>
              <w:t>加权平均净资产收益率</w:t>
            </w:r>
          </w:p>
        </w:tc>
        <w:tc>
          <w:tcPr>
            <w:tcW w:w="192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0.79%</w:t>
            </w:r>
          </w:p>
        </w:tc>
        <w:tc>
          <w:tcPr>
            <w:tcW w:w="192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-1.44%</w:t>
            </w:r>
          </w:p>
        </w:tc>
        <w:tc>
          <w:tcPr>
            <w:tcW w:w="192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2.23%</w:t>
            </w:r>
          </w:p>
        </w:tc>
      </w:tr>
      <w:tr w:rsidR="007177F6" w:rsidRPr="00CE4CF2">
        <w:trPr>
          <w:trHeight w:val="240"/>
        </w:trPr>
        <w:tc>
          <w:tcPr>
            <w:tcW w:w="3856" w:type="dxa"/>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7177F6" w:rsidP="00CE4CF2">
            <w:pPr>
              <w:rPr>
                <w:rFonts w:ascii="Times New Roman" w:eastAsia="仿宋" w:hAnsi="Times New Roman" w:cs="Times New Roman"/>
                <w:sz w:val="24"/>
                <w:szCs w:val="24"/>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jc w:val="center"/>
              <w:rPr>
                <w:rFonts w:ascii="Times New Roman" w:eastAsia="仿宋" w:hAnsi="Times New Roman" w:cs="Times New Roman"/>
                <w:sz w:val="24"/>
                <w:szCs w:val="24"/>
              </w:rPr>
            </w:pPr>
            <w:r w:rsidRPr="00CE4CF2">
              <w:rPr>
                <w:rFonts w:ascii="Times New Roman" w:eastAsia="仿宋" w:hAnsi="Times New Roman" w:cs="Times New Roman"/>
                <w:sz w:val="24"/>
                <w:szCs w:val="24"/>
              </w:rPr>
              <w:t>本报告期末</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jc w:val="center"/>
              <w:rPr>
                <w:rFonts w:ascii="Times New Roman" w:eastAsia="仿宋" w:hAnsi="Times New Roman" w:cs="Times New Roman"/>
                <w:sz w:val="24"/>
                <w:szCs w:val="24"/>
              </w:rPr>
            </w:pPr>
            <w:r w:rsidRPr="00CE4CF2">
              <w:rPr>
                <w:rFonts w:ascii="Times New Roman" w:eastAsia="仿宋" w:hAnsi="Times New Roman" w:cs="Times New Roman"/>
                <w:sz w:val="24"/>
                <w:szCs w:val="24"/>
              </w:rPr>
              <w:t>上年度末</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jc w:val="center"/>
              <w:rPr>
                <w:rFonts w:ascii="Times New Roman" w:eastAsia="仿宋" w:hAnsi="Times New Roman" w:cs="Times New Roman"/>
                <w:sz w:val="24"/>
                <w:szCs w:val="24"/>
              </w:rPr>
            </w:pPr>
            <w:r w:rsidRPr="00CE4CF2">
              <w:rPr>
                <w:rFonts w:ascii="Times New Roman" w:eastAsia="仿宋" w:hAnsi="Times New Roman" w:cs="Times New Roman"/>
                <w:sz w:val="24"/>
                <w:szCs w:val="24"/>
              </w:rPr>
              <w:t>本报告期末比上年度末增减</w:t>
            </w:r>
          </w:p>
        </w:tc>
      </w:tr>
      <w:tr w:rsidR="007177F6" w:rsidRPr="00CE4CF2">
        <w:trPr>
          <w:trHeight w:val="240"/>
        </w:trPr>
        <w:tc>
          <w:tcPr>
            <w:tcW w:w="3856" w:type="dxa"/>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rPr>
                <w:rFonts w:ascii="Times New Roman" w:eastAsia="仿宋" w:hAnsi="Times New Roman" w:cs="Times New Roman"/>
                <w:sz w:val="24"/>
                <w:szCs w:val="24"/>
              </w:rPr>
            </w:pPr>
            <w:r w:rsidRPr="00CE4CF2">
              <w:rPr>
                <w:rFonts w:ascii="Times New Roman" w:eastAsia="仿宋" w:hAnsi="Times New Roman" w:cs="Times New Roman"/>
                <w:sz w:val="24"/>
                <w:szCs w:val="24"/>
              </w:rPr>
              <w:t>总资产（元）</w:t>
            </w:r>
          </w:p>
        </w:tc>
        <w:tc>
          <w:tcPr>
            <w:tcW w:w="192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1,439,369,397.40</w:t>
            </w:r>
          </w:p>
        </w:tc>
        <w:tc>
          <w:tcPr>
            <w:tcW w:w="192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1,333,766,753.86</w:t>
            </w:r>
          </w:p>
        </w:tc>
        <w:tc>
          <w:tcPr>
            <w:tcW w:w="192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7.92%</w:t>
            </w:r>
          </w:p>
        </w:tc>
      </w:tr>
      <w:tr w:rsidR="007177F6" w:rsidRPr="00CE4CF2">
        <w:trPr>
          <w:trHeight w:val="240"/>
        </w:trPr>
        <w:tc>
          <w:tcPr>
            <w:tcW w:w="3856" w:type="dxa"/>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rPr>
                <w:rFonts w:ascii="Times New Roman" w:eastAsia="仿宋" w:hAnsi="Times New Roman" w:cs="Times New Roman"/>
                <w:sz w:val="24"/>
                <w:szCs w:val="24"/>
              </w:rPr>
            </w:pPr>
            <w:r w:rsidRPr="00CE4CF2">
              <w:rPr>
                <w:rFonts w:ascii="Times New Roman" w:eastAsia="仿宋" w:hAnsi="Times New Roman" w:cs="Times New Roman"/>
                <w:sz w:val="24"/>
                <w:szCs w:val="24"/>
              </w:rPr>
              <w:t>归属于上市公司股东的净资产（元）</w:t>
            </w:r>
          </w:p>
        </w:tc>
        <w:tc>
          <w:tcPr>
            <w:tcW w:w="192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769,941,246.80</w:t>
            </w:r>
          </w:p>
        </w:tc>
        <w:tc>
          <w:tcPr>
            <w:tcW w:w="192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758,250,167.43</w:t>
            </w:r>
          </w:p>
        </w:tc>
        <w:tc>
          <w:tcPr>
            <w:tcW w:w="192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1.54%</w:t>
            </w:r>
          </w:p>
        </w:tc>
      </w:tr>
    </w:tbl>
    <w:p w:rsidR="007177F6" w:rsidRPr="00CE4CF2" w:rsidRDefault="00FB3D8D" w:rsidP="00CE4CF2">
      <w:pPr>
        <w:pStyle w:val="2"/>
        <w:spacing w:before="0" w:after="0" w:line="288" w:lineRule="auto"/>
        <w:jc w:val="both"/>
        <w:rPr>
          <w:rFonts w:ascii="Times New Roman" w:eastAsia="仿宋" w:hAnsi="Times New Roman" w:cs="Times New Roman"/>
          <w:b/>
          <w:bCs/>
          <w:kern w:val="0"/>
          <w:sz w:val="28"/>
          <w:szCs w:val="24"/>
        </w:rPr>
      </w:pPr>
      <w:bookmarkStart w:id="4" w:name="_Toc988893"/>
      <w:r w:rsidRPr="00CE4CF2">
        <w:rPr>
          <w:rFonts w:ascii="Times New Roman" w:eastAsia="仿宋" w:hAnsi="Times New Roman" w:cs="Times New Roman"/>
          <w:b/>
          <w:bCs/>
          <w:kern w:val="0"/>
          <w:sz w:val="28"/>
          <w:szCs w:val="24"/>
        </w:rPr>
        <w:t>3</w:t>
      </w:r>
      <w:r w:rsidRPr="00CE4CF2">
        <w:rPr>
          <w:rFonts w:ascii="Times New Roman" w:eastAsia="仿宋" w:hAnsi="Times New Roman" w:cs="Times New Roman"/>
          <w:b/>
          <w:bCs/>
          <w:kern w:val="0"/>
          <w:sz w:val="28"/>
          <w:szCs w:val="24"/>
        </w:rPr>
        <w:t>、公司股东数量及持股情况</w:t>
      </w:r>
      <w:bookmarkEnd w:id="4"/>
    </w:p>
    <w:p w:rsidR="007177F6" w:rsidRPr="00CE4CF2" w:rsidRDefault="00FB3D8D">
      <w:pPr>
        <w:spacing w:before="40" w:after="40" w:line="240" w:lineRule="exact"/>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单位：股</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875"/>
        <w:gridCol w:w="651"/>
        <w:gridCol w:w="1276"/>
        <w:gridCol w:w="1134"/>
        <w:gridCol w:w="1842"/>
        <w:gridCol w:w="1418"/>
        <w:gridCol w:w="1134"/>
        <w:gridCol w:w="142"/>
        <w:gridCol w:w="1167"/>
      </w:tblGrid>
      <w:tr w:rsidR="007177F6" w:rsidRPr="00CE4CF2" w:rsidTr="00CE4CF2">
        <w:trPr>
          <w:trHeight w:val="240"/>
        </w:trPr>
        <w:tc>
          <w:tcPr>
            <w:tcW w:w="875" w:type="dxa"/>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rPr>
                <w:rFonts w:ascii="Times New Roman" w:eastAsia="仿宋" w:hAnsi="Times New Roman" w:cs="Times New Roman"/>
                <w:sz w:val="24"/>
                <w:szCs w:val="24"/>
              </w:rPr>
            </w:pPr>
            <w:r w:rsidRPr="00CE4CF2">
              <w:rPr>
                <w:rFonts w:ascii="Times New Roman" w:eastAsia="仿宋" w:hAnsi="Times New Roman" w:cs="Times New Roman"/>
                <w:sz w:val="24"/>
                <w:szCs w:val="24"/>
              </w:rPr>
              <w:t>报告期末普通股股东总数</w:t>
            </w:r>
          </w:p>
        </w:tc>
        <w:tc>
          <w:tcPr>
            <w:tcW w:w="3061" w:type="dxa"/>
            <w:gridSpan w:val="3"/>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10,092</w:t>
            </w:r>
          </w:p>
        </w:tc>
        <w:tc>
          <w:tcPr>
            <w:tcW w:w="1842" w:type="dxa"/>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rPr>
                <w:rFonts w:ascii="Times New Roman" w:eastAsia="仿宋" w:hAnsi="Times New Roman" w:cs="Times New Roman"/>
                <w:sz w:val="24"/>
                <w:szCs w:val="24"/>
              </w:rPr>
            </w:pPr>
            <w:r w:rsidRPr="00CE4CF2">
              <w:rPr>
                <w:rFonts w:ascii="Times New Roman" w:eastAsia="仿宋" w:hAnsi="Times New Roman" w:cs="Times New Roman"/>
                <w:sz w:val="24"/>
                <w:szCs w:val="24"/>
              </w:rPr>
              <w:t>报告期末表决权恢复的优先股股东总数（如有）</w:t>
            </w:r>
          </w:p>
        </w:tc>
        <w:tc>
          <w:tcPr>
            <w:tcW w:w="141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0</w:t>
            </w:r>
          </w:p>
        </w:tc>
        <w:tc>
          <w:tcPr>
            <w:tcW w:w="127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rPr>
                <w:rFonts w:ascii="Times New Roman" w:eastAsia="仿宋" w:hAnsi="Times New Roman" w:cs="Times New Roman"/>
                <w:sz w:val="24"/>
                <w:szCs w:val="24"/>
              </w:rPr>
            </w:pPr>
            <w:r w:rsidRPr="00CE4CF2">
              <w:rPr>
                <w:rFonts w:ascii="Times New Roman" w:eastAsia="仿宋" w:hAnsi="Times New Roman" w:cs="Times New Roman"/>
                <w:sz w:val="24"/>
                <w:szCs w:val="24"/>
              </w:rPr>
              <w:t>持有特别表决权股份的股东总数（如有）</w:t>
            </w:r>
          </w:p>
        </w:tc>
        <w:tc>
          <w:tcPr>
            <w:tcW w:w="1167"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0</w:t>
            </w:r>
          </w:p>
        </w:tc>
      </w:tr>
      <w:tr w:rsidR="007177F6" w:rsidRPr="00CE4CF2">
        <w:trPr>
          <w:trHeight w:val="240"/>
        </w:trPr>
        <w:tc>
          <w:tcPr>
            <w:tcW w:w="9639" w:type="dxa"/>
            <w:gridSpan w:val="9"/>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jc w:val="center"/>
              <w:rPr>
                <w:rFonts w:ascii="Times New Roman" w:eastAsia="仿宋" w:hAnsi="Times New Roman" w:cs="Times New Roman"/>
                <w:sz w:val="24"/>
                <w:szCs w:val="24"/>
              </w:rPr>
            </w:pPr>
            <w:r w:rsidRPr="00CE4CF2">
              <w:rPr>
                <w:rFonts w:ascii="Times New Roman" w:eastAsia="仿宋" w:hAnsi="Times New Roman" w:cs="Times New Roman"/>
                <w:sz w:val="24"/>
                <w:szCs w:val="24"/>
              </w:rPr>
              <w:t>前</w:t>
            </w:r>
            <w:r w:rsidRPr="00CE4CF2">
              <w:rPr>
                <w:rFonts w:ascii="Times New Roman" w:eastAsia="仿宋" w:hAnsi="Times New Roman" w:cs="Times New Roman"/>
                <w:sz w:val="24"/>
                <w:szCs w:val="24"/>
              </w:rPr>
              <w:t>10</w:t>
            </w:r>
            <w:r w:rsidRPr="00CE4CF2">
              <w:rPr>
                <w:rFonts w:ascii="Times New Roman" w:eastAsia="仿宋" w:hAnsi="Times New Roman" w:cs="Times New Roman"/>
                <w:sz w:val="24"/>
                <w:szCs w:val="24"/>
              </w:rPr>
              <w:t>名股东持股情况（不含通过转融通出借股份）</w:t>
            </w:r>
          </w:p>
        </w:tc>
      </w:tr>
      <w:tr w:rsidR="007177F6" w:rsidRPr="00CE4CF2" w:rsidTr="00CE4CF2">
        <w:trPr>
          <w:trHeight w:val="240"/>
        </w:trPr>
        <w:tc>
          <w:tcPr>
            <w:tcW w:w="1526"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jc w:val="center"/>
              <w:rPr>
                <w:rFonts w:ascii="Times New Roman" w:eastAsia="仿宋" w:hAnsi="Times New Roman" w:cs="Times New Roman"/>
                <w:sz w:val="24"/>
                <w:szCs w:val="24"/>
              </w:rPr>
            </w:pPr>
            <w:r w:rsidRPr="00CE4CF2">
              <w:rPr>
                <w:rFonts w:ascii="Times New Roman" w:eastAsia="仿宋" w:hAnsi="Times New Roman" w:cs="Times New Roman"/>
                <w:sz w:val="24"/>
                <w:szCs w:val="24"/>
              </w:rPr>
              <w:t>股东名称</w:t>
            </w:r>
          </w:p>
        </w:tc>
        <w:tc>
          <w:tcPr>
            <w:tcW w:w="12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jc w:val="center"/>
              <w:rPr>
                <w:rFonts w:ascii="Times New Roman" w:eastAsia="仿宋" w:hAnsi="Times New Roman" w:cs="Times New Roman"/>
                <w:sz w:val="24"/>
                <w:szCs w:val="24"/>
              </w:rPr>
            </w:pPr>
            <w:r w:rsidRPr="00CE4CF2">
              <w:rPr>
                <w:rFonts w:ascii="Times New Roman" w:eastAsia="仿宋" w:hAnsi="Times New Roman" w:cs="Times New Roman"/>
                <w:sz w:val="24"/>
                <w:szCs w:val="24"/>
              </w:rPr>
              <w:t>股东性质</w:t>
            </w:r>
          </w:p>
        </w:tc>
        <w:tc>
          <w:tcPr>
            <w:tcW w:w="1134"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jc w:val="center"/>
              <w:rPr>
                <w:rFonts w:ascii="Times New Roman" w:eastAsia="仿宋" w:hAnsi="Times New Roman" w:cs="Times New Roman"/>
                <w:sz w:val="24"/>
                <w:szCs w:val="24"/>
              </w:rPr>
            </w:pPr>
            <w:r w:rsidRPr="00CE4CF2">
              <w:rPr>
                <w:rFonts w:ascii="Times New Roman" w:eastAsia="仿宋" w:hAnsi="Times New Roman" w:cs="Times New Roman"/>
                <w:sz w:val="24"/>
                <w:szCs w:val="24"/>
              </w:rPr>
              <w:t>持股比例</w:t>
            </w:r>
          </w:p>
        </w:tc>
        <w:tc>
          <w:tcPr>
            <w:tcW w:w="184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jc w:val="center"/>
              <w:rPr>
                <w:rFonts w:ascii="Times New Roman" w:eastAsia="仿宋" w:hAnsi="Times New Roman" w:cs="Times New Roman"/>
                <w:sz w:val="24"/>
                <w:szCs w:val="24"/>
              </w:rPr>
            </w:pPr>
            <w:r w:rsidRPr="00CE4CF2">
              <w:rPr>
                <w:rFonts w:ascii="Times New Roman" w:eastAsia="仿宋" w:hAnsi="Times New Roman" w:cs="Times New Roman"/>
                <w:sz w:val="24"/>
                <w:szCs w:val="24"/>
              </w:rPr>
              <w:t>持股数量</w:t>
            </w:r>
          </w:p>
        </w:tc>
        <w:tc>
          <w:tcPr>
            <w:tcW w:w="141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jc w:val="center"/>
              <w:rPr>
                <w:rFonts w:ascii="Times New Roman" w:eastAsia="仿宋" w:hAnsi="Times New Roman" w:cs="Times New Roman"/>
                <w:sz w:val="24"/>
                <w:szCs w:val="24"/>
              </w:rPr>
            </w:pPr>
            <w:r w:rsidRPr="00CE4CF2">
              <w:rPr>
                <w:rFonts w:ascii="Times New Roman" w:eastAsia="仿宋" w:hAnsi="Times New Roman" w:cs="Times New Roman"/>
                <w:sz w:val="24"/>
                <w:szCs w:val="24"/>
              </w:rPr>
              <w:t>持有有限售条件的股份数量</w:t>
            </w:r>
          </w:p>
        </w:tc>
        <w:tc>
          <w:tcPr>
            <w:tcW w:w="2443"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jc w:val="center"/>
              <w:rPr>
                <w:rFonts w:ascii="Times New Roman" w:eastAsia="仿宋" w:hAnsi="Times New Roman" w:cs="Times New Roman"/>
                <w:sz w:val="24"/>
                <w:szCs w:val="24"/>
              </w:rPr>
            </w:pPr>
            <w:r w:rsidRPr="00CE4CF2">
              <w:rPr>
                <w:rFonts w:ascii="Times New Roman" w:eastAsia="仿宋" w:hAnsi="Times New Roman" w:cs="Times New Roman"/>
                <w:sz w:val="24"/>
                <w:szCs w:val="24"/>
              </w:rPr>
              <w:t>质押、标记或冻结情况</w:t>
            </w:r>
          </w:p>
        </w:tc>
      </w:tr>
      <w:tr w:rsidR="007177F6" w:rsidRPr="00CE4CF2" w:rsidTr="00CE4CF2">
        <w:trPr>
          <w:trHeight w:val="240"/>
        </w:trPr>
        <w:tc>
          <w:tcPr>
            <w:tcW w:w="1526" w:type="dxa"/>
            <w:gridSpan w:val="2"/>
            <w:vMerge/>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7177F6" w:rsidP="00CE4CF2">
            <w:pPr>
              <w:rPr>
                <w:rFonts w:ascii="Times New Roman" w:eastAsia="仿宋" w:hAnsi="Times New Roman" w:cs="Times New Roman"/>
                <w:sz w:val="24"/>
                <w:szCs w:val="24"/>
              </w:rPr>
            </w:pPr>
          </w:p>
        </w:tc>
        <w:tc>
          <w:tcPr>
            <w:tcW w:w="12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7177F6" w:rsidP="00CE4CF2">
            <w:pPr>
              <w:rPr>
                <w:rFonts w:ascii="Times New Roman" w:eastAsia="仿宋" w:hAnsi="Times New Roman" w:cs="Times New Roman"/>
                <w:sz w:val="24"/>
                <w:szCs w:val="24"/>
              </w:rPr>
            </w:pPr>
          </w:p>
        </w:tc>
        <w:tc>
          <w:tcPr>
            <w:tcW w:w="1134"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7177F6" w:rsidP="00CE4CF2">
            <w:pPr>
              <w:rPr>
                <w:rFonts w:ascii="Times New Roman" w:eastAsia="仿宋" w:hAnsi="Times New Roman" w:cs="Times New Roman"/>
                <w:sz w:val="24"/>
                <w:szCs w:val="24"/>
              </w:rPr>
            </w:pPr>
          </w:p>
        </w:tc>
        <w:tc>
          <w:tcPr>
            <w:tcW w:w="1842"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7177F6" w:rsidP="00CE4CF2">
            <w:pPr>
              <w:rPr>
                <w:rFonts w:ascii="Times New Roman" w:eastAsia="仿宋" w:hAnsi="Times New Roman" w:cs="Times New Roman"/>
                <w:sz w:val="24"/>
                <w:szCs w:val="24"/>
              </w:rPr>
            </w:pPr>
          </w:p>
        </w:tc>
        <w:tc>
          <w:tcPr>
            <w:tcW w:w="141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7177F6" w:rsidP="00CE4CF2">
            <w:pPr>
              <w:rPr>
                <w:rFonts w:ascii="Times New Roman" w:eastAsia="仿宋" w:hAnsi="Times New Roman" w:cs="Times New Roman"/>
                <w:sz w:val="24"/>
                <w:szCs w:val="24"/>
              </w:rPr>
            </w:pPr>
          </w:p>
        </w:tc>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jc w:val="center"/>
              <w:rPr>
                <w:rFonts w:ascii="Times New Roman" w:eastAsia="仿宋" w:hAnsi="Times New Roman" w:cs="Times New Roman"/>
                <w:sz w:val="24"/>
                <w:szCs w:val="24"/>
              </w:rPr>
            </w:pPr>
            <w:r w:rsidRPr="00CE4CF2">
              <w:rPr>
                <w:rFonts w:ascii="Times New Roman" w:eastAsia="仿宋" w:hAnsi="Times New Roman" w:cs="Times New Roman"/>
                <w:sz w:val="24"/>
                <w:szCs w:val="24"/>
              </w:rPr>
              <w:t>股份状态</w:t>
            </w:r>
          </w:p>
        </w:tc>
        <w:tc>
          <w:tcPr>
            <w:tcW w:w="1309"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jc w:val="center"/>
              <w:rPr>
                <w:rFonts w:ascii="Times New Roman" w:eastAsia="仿宋" w:hAnsi="Times New Roman" w:cs="Times New Roman"/>
                <w:sz w:val="24"/>
                <w:szCs w:val="24"/>
              </w:rPr>
            </w:pPr>
            <w:r w:rsidRPr="00CE4CF2">
              <w:rPr>
                <w:rFonts w:ascii="Times New Roman" w:eastAsia="仿宋" w:hAnsi="Times New Roman" w:cs="Times New Roman"/>
                <w:sz w:val="24"/>
                <w:szCs w:val="24"/>
              </w:rPr>
              <w:t>数量</w:t>
            </w:r>
          </w:p>
        </w:tc>
      </w:tr>
      <w:tr w:rsidR="007177F6" w:rsidRPr="00CE4CF2" w:rsidTr="00CE4CF2">
        <w:trPr>
          <w:trHeight w:val="240"/>
        </w:trPr>
        <w:tc>
          <w:tcPr>
            <w:tcW w:w="1526" w:type="dxa"/>
            <w:gridSpan w:val="2"/>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林明玲</w:t>
            </w:r>
          </w:p>
        </w:tc>
        <w:tc>
          <w:tcPr>
            <w:tcW w:w="1276"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境内自然人</w:t>
            </w:r>
          </w:p>
        </w:tc>
        <w:tc>
          <w:tcPr>
            <w:tcW w:w="1134"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28.80%</w:t>
            </w:r>
          </w:p>
        </w:tc>
        <w:tc>
          <w:tcPr>
            <w:tcW w:w="1842" w:type="dxa"/>
            <w:tcBorders>
              <w:top w:val="single" w:sz="2" w:space="0" w:color="auto"/>
              <w:left w:val="single" w:sz="2" w:space="0" w:color="auto"/>
              <w:bottom w:val="single" w:sz="2" w:space="0" w:color="auto"/>
              <w:right w:val="single" w:sz="2" w:space="0" w:color="auto"/>
            </w:tcBorders>
            <w:vAlign w:val="center"/>
          </w:tcPr>
          <w:p w:rsidR="007177F6" w:rsidRPr="00CE4CF2" w:rsidRDefault="00CE4CF2" w:rsidP="00CE4CF2">
            <w:pPr>
              <w:jc w:val="right"/>
              <w:rPr>
                <w:rFonts w:ascii="Times New Roman" w:eastAsia="仿宋" w:hAnsi="Times New Roman" w:cs="Times New Roman"/>
                <w:sz w:val="24"/>
                <w:szCs w:val="24"/>
              </w:rPr>
            </w:pPr>
            <w:r>
              <w:rPr>
                <w:rFonts w:ascii="Times New Roman" w:eastAsia="仿宋" w:hAnsi="Times New Roman" w:cs="Times New Roman"/>
                <w:sz w:val="24"/>
                <w:szCs w:val="24"/>
              </w:rPr>
              <w:t>19,327,824</w:t>
            </w:r>
          </w:p>
        </w:tc>
        <w:tc>
          <w:tcPr>
            <w:tcW w:w="141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14,495,868</w:t>
            </w:r>
          </w:p>
        </w:tc>
        <w:tc>
          <w:tcPr>
            <w:tcW w:w="1134"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质押</w:t>
            </w:r>
          </w:p>
        </w:tc>
        <w:tc>
          <w:tcPr>
            <w:tcW w:w="1309" w:type="dxa"/>
            <w:gridSpan w:val="2"/>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5,180,000</w:t>
            </w:r>
          </w:p>
        </w:tc>
      </w:tr>
      <w:tr w:rsidR="007177F6" w:rsidRPr="00CE4CF2" w:rsidTr="00CE4CF2">
        <w:trPr>
          <w:trHeight w:val="240"/>
        </w:trPr>
        <w:tc>
          <w:tcPr>
            <w:tcW w:w="1526" w:type="dxa"/>
            <w:gridSpan w:val="2"/>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马学沛</w:t>
            </w:r>
          </w:p>
        </w:tc>
        <w:tc>
          <w:tcPr>
            <w:tcW w:w="1276"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境内自然人</w:t>
            </w:r>
          </w:p>
        </w:tc>
        <w:tc>
          <w:tcPr>
            <w:tcW w:w="1134"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6.23%</w:t>
            </w:r>
          </w:p>
        </w:tc>
        <w:tc>
          <w:tcPr>
            <w:tcW w:w="1842" w:type="dxa"/>
            <w:tcBorders>
              <w:top w:val="single" w:sz="2" w:space="0" w:color="auto"/>
              <w:left w:val="single" w:sz="2" w:space="0" w:color="auto"/>
              <w:bottom w:val="single" w:sz="2" w:space="0" w:color="auto"/>
              <w:right w:val="single" w:sz="2" w:space="0" w:color="auto"/>
            </w:tcBorders>
            <w:vAlign w:val="center"/>
          </w:tcPr>
          <w:p w:rsidR="007177F6" w:rsidRPr="00CE4CF2" w:rsidRDefault="00CE4CF2" w:rsidP="00CE4CF2">
            <w:pPr>
              <w:jc w:val="right"/>
              <w:rPr>
                <w:rFonts w:ascii="Times New Roman" w:eastAsia="仿宋" w:hAnsi="Times New Roman" w:cs="Times New Roman"/>
                <w:sz w:val="24"/>
                <w:szCs w:val="24"/>
              </w:rPr>
            </w:pPr>
            <w:r>
              <w:rPr>
                <w:rFonts w:ascii="Times New Roman" w:eastAsia="仿宋" w:hAnsi="Times New Roman" w:cs="Times New Roman"/>
                <w:sz w:val="24"/>
                <w:szCs w:val="24"/>
              </w:rPr>
              <w:t>4,182,120</w:t>
            </w:r>
          </w:p>
        </w:tc>
        <w:tc>
          <w:tcPr>
            <w:tcW w:w="141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3,136,590</w:t>
            </w:r>
          </w:p>
        </w:tc>
        <w:tc>
          <w:tcPr>
            <w:tcW w:w="1134"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质押</w:t>
            </w:r>
          </w:p>
        </w:tc>
        <w:tc>
          <w:tcPr>
            <w:tcW w:w="1309" w:type="dxa"/>
            <w:gridSpan w:val="2"/>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3,600,000</w:t>
            </w:r>
          </w:p>
        </w:tc>
      </w:tr>
      <w:tr w:rsidR="007177F6" w:rsidRPr="00CE4CF2" w:rsidTr="00CE4CF2">
        <w:trPr>
          <w:trHeight w:val="240"/>
        </w:trPr>
        <w:tc>
          <w:tcPr>
            <w:tcW w:w="1526" w:type="dxa"/>
            <w:gridSpan w:val="2"/>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共青城东兴博元投资中心（有限合伙）</w:t>
            </w:r>
          </w:p>
        </w:tc>
        <w:tc>
          <w:tcPr>
            <w:tcW w:w="1276"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境内非国有法人</w:t>
            </w:r>
          </w:p>
        </w:tc>
        <w:tc>
          <w:tcPr>
            <w:tcW w:w="1134"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3.63%</w:t>
            </w:r>
          </w:p>
        </w:tc>
        <w:tc>
          <w:tcPr>
            <w:tcW w:w="1842" w:type="dxa"/>
            <w:tcBorders>
              <w:top w:val="single" w:sz="2" w:space="0" w:color="auto"/>
              <w:left w:val="single" w:sz="2" w:space="0" w:color="auto"/>
              <w:bottom w:val="single" w:sz="2" w:space="0" w:color="auto"/>
              <w:right w:val="single" w:sz="2" w:space="0" w:color="auto"/>
            </w:tcBorders>
            <w:vAlign w:val="center"/>
          </w:tcPr>
          <w:p w:rsidR="007177F6" w:rsidRPr="00CE4CF2" w:rsidRDefault="00CE4CF2" w:rsidP="00CE4CF2">
            <w:pPr>
              <w:jc w:val="right"/>
              <w:rPr>
                <w:rFonts w:ascii="Times New Roman" w:eastAsia="仿宋" w:hAnsi="Times New Roman" w:cs="Times New Roman"/>
                <w:sz w:val="24"/>
                <w:szCs w:val="24"/>
              </w:rPr>
            </w:pPr>
            <w:r>
              <w:rPr>
                <w:rFonts w:ascii="Times New Roman" w:eastAsia="仿宋" w:hAnsi="Times New Roman" w:cs="Times New Roman"/>
                <w:sz w:val="24"/>
                <w:szCs w:val="24"/>
              </w:rPr>
              <w:t>2,438,401</w:t>
            </w:r>
          </w:p>
        </w:tc>
        <w:tc>
          <w:tcPr>
            <w:tcW w:w="1418" w:type="dxa"/>
            <w:tcBorders>
              <w:top w:val="single" w:sz="2" w:space="0" w:color="auto"/>
              <w:left w:val="single" w:sz="2" w:space="0" w:color="auto"/>
              <w:bottom w:val="single" w:sz="2" w:space="0" w:color="auto"/>
              <w:right w:val="single" w:sz="2" w:space="0" w:color="auto"/>
            </w:tcBorders>
            <w:vAlign w:val="center"/>
          </w:tcPr>
          <w:p w:rsidR="007177F6" w:rsidRPr="00CE4CF2" w:rsidRDefault="00CE4CF2"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0</w:t>
            </w:r>
          </w:p>
        </w:tc>
        <w:tc>
          <w:tcPr>
            <w:tcW w:w="1134"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不适用</w:t>
            </w:r>
          </w:p>
        </w:tc>
        <w:tc>
          <w:tcPr>
            <w:tcW w:w="1309" w:type="dxa"/>
            <w:gridSpan w:val="2"/>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0</w:t>
            </w:r>
          </w:p>
        </w:tc>
      </w:tr>
      <w:tr w:rsidR="007177F6" w:rsidRPr="00CE4CF2" w:rsidTr="00CE4CF2">
        <w:trPr>
          <w:trHeight w:val="240"/>
        </w:trPr>
        <w:tc>
          <w:tcPr>
            <w:tcW w:w="1526" w:type="dxa"/>
            <w:gridSpan w:val="2"/>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南京优志投</w:t>
            </w:r>
            <w:r w:rsidRPr="00CE4CF2">
              <w:rPr>
                <w:rFonts w:ascii="Times New Roman" w:eastAsia="仿宋" w:hAnsi="Times New Roman" w:cs="Times New Roman"/>
                <w:sz w:val="24"/>
                <w:szCs w:val="24"/>
              </w:rPr>
              <w:lastRenderedPageBreak/>
              <w:t>资管理合伙企业（有限合伙）</w:t>
            </w:r>
          </w:p>
        </w:tc>
        <w:tc>
          <w:tcPr>
            <w:tcW w:w="1276"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lastRenderedPageBreak/>
              <w:t>境内非国</w:t>
            </w:r>
            <w:r w:rsidRPr="00CE4CF2">
              <w:rPr>
                <w:rFonts w:ascii="Times New Roman" w:eastAsia="仿宋" w:hAnsi="Times New Roman" w:cs="Times New Roman"/>
                <w:sz w:val="24"/>
                <w:szCs w:val="24"/>
              </w:rPr>
              <w:lastRenderedPageBreak/>
              <w:t>有法人</w:t>
            </w:r>
          </w:p>
        </w:tc>
        <w:tc>
          <w:tcPr>
            <w:tcW w:w="1134"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lastRenderedPageBreak/>
              <w:t>3.01%</w:t>
            </w:r>
          </w:p>
        </w:tc>
        <w:tc>
          <w:tcPr>
            <w:tcW w:w="1842" w:type="dxa"/>
            <w:tcBorders>
              <w:top w:val="single" w:sz="2" w:space="0" w:color="auto"/>
              <w:left w:val="single" w:sz="2" w:space="0" w:color="auto"/>
              <w:bottom w:val="single" w:sz="2" w:space="0" w:color="auto"/>
              <w:right w:val="single" w:sz="2" w:space="0" w:color="auto"/>
            </w:tcBorders>
            <w:vAlign w:val="center"/>
          </w:tcPr>
          <w:p w:rsidR="007177F6" w:rsidRPr="00CE4CF2" w:rsidRDefault="00CE4CF2" w:rsidP="00CE4CF2">
            <w:pPr>
              <w:jc w:val="right"/>
              <w:rPr>
                <w:rFonts w:ascii="Times New Roman" w:eastAsia="仿宋" w:hAnsi="Times New Roman" w:cs="Times New Roman"/>
                <w:sz w:val="24"/>
                <w:szCs w:val="24"/>
              </w:rPr>
            </w:pPr>
            <w:r>
              <w:rPr>
                <w:rFonts w:ascii="Times New Roman" w:eastAsia="仿宋" w:hAnsi="Times New Roman" w:cs="Times New Roman"/>
                <w:sz w:val="24"/>
                <w:szCs w:val="24"/>
              </w:rPr>
              <w:t>2,017,000</w:t>
            </w:r>
          </w:p>
        </w:tc>
        <w:tc>
          <w:tcPr>
            <w:tcW w:w="1418" w:type="dxa"/>
            <w:tcBorders>
              <w:top w:val="single" w:sz="2" w:space="0" w:color="auto"/>
              <w:left w:val="single" w:sz="2" w:space="0" w:color="auto"/>
              <w:bottom w:val="single" w:sz="2" w:space="0" w:color="auto"/>
              <w:right w:val="single" w:sz="2" w:space="0" w:color="auto"/>
            </w:tcBorders>
            <w:vAlign w:val="center"/>
          </w:tcPr>
          <w:p w:rsidR="007177F6" w:rsidRPr="00CE4CF2" w:rsidRDefault="00CE4CF2"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0</w:t>
            </w:r>
          </w:p>
        </w:tc>
        <w:tc>
          <w:tcPr>
            <w:tcW w:w="1134"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质押</w:t>
            </w:r>
          </w:p>
        </w:tc>
        <w:tc>
          <w:tcPr>
            <w:tcW w:w="1309" w:type="dxa"/>
            <w:gridSpan w:val="2"/>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1,500,000</w:t>
            </w:r>
          </w:p>
        </w:tc>
      </w:tr>
      <w:tr w:rsidR="007177F6" w:rsidRPr="00CE4CF2" w:rsidTr="00CE4CF2">
        <w:trPr>
          <w:trHeight w:val="240"/>
        </w:trPr>
        <w:tc>
          <w:tcPr>
            <w:tcW w:w="1526" w:type="dxa"/>
            <w:gridSpan w:val="2"/>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lastRenderedPageBreak/>
              <w:t>前海大唐英加（深圳）基金管理有限公司－英加黑马八十一号私募证券投资基金</w:t>
            </w:r>
          </w:p>
        </w:tc>
        <w:tc>
          <w:tcPr>
            <w:tcW w:w="1276"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其他</w:t>
            </w:r>
          </w:p>
        </w:tc>
        <w:tc>
          <w:tcPr>
            <w:tcW w:w="1134"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1.70%</w:t>
            </w:r>
          </w:p>
        </w:tc>
        <w:tc>
          <w:tcPr>
            <w:tcW w:w="1842"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1,140,000</w:t>
            </w:r>
          </w:p>
        </w:tc>
        <w:tc>
          <w:tcPr>
            <w:tcW w:w="1418" w:type="dxa"/>
            <w:tcBorders>
              <w:top w:val="single" w:sz="2" w:space="0" w:color="auto"/>
              <w:left w:val="single" w:sz="2" w:space="0" w:color="auto"/>
              <w:bottom w:val="single" w:sz="2" w:space="0" w:color="auto"/>
              <w:right w:val="single" w:sz="2" w:space="0" w:color="auto"/>
            </w:tcBorders>
            <w:vAlign w:val="center"/>
          </w:tcPr>
          <w:p w:rsidR="007177F6" w:rsidRPr="00CE4CF2" w:rsidRDefault="00CE4CF2"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0</w:t>
            </w:r>
          </w:p>
        </w:tc>
        <w:tc>
          <w:tcPr>
            <w:tcW w:w="1134"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不适用</w:t>
            </w:r>
          </w:p>
        </w:tc>
        <w:tc>
          <w:tcPr>
            <w:tcW w:w="1309" w:type="dxa"/>
            <w:gridSpan w:val="2"/>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0</w:t>
            </w:r>
          </w:p>
        </w:tc>
      </w:tr>
      <w:tr w:rsidR="007177F6" w:rsidRPr="00CE4CF2" w:rsidTr="00CE4CF2">
        <w:trPr>
          <w:trHeight w:val="240"/>
        </w:trPr>
        <w:tc>
          <w:tcPr>
            <w:tcW w:w="1526" w:type="dxa"/>
            <w:gridSpan w:val="2"/>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南京乐遂信息咨询管理合伙企业（有限合伙）</w:t>
            </w:r>
          </w:p>
        </w:tc>
        <w:tc>
          <w:tcPr>
            <w:tcW w:w="1276"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境内非国有法人</w:t>
            </w:r>
          </w:p>
        </w:tc>
        <w:tc>
          <w:tcPr>
            <w:tcW w:w="1134"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0.98%</w:t>
            </w:r>
          </w:p>
        </w:tc>
        <w:tc>
          <w:tcPr>
            <w:tcW w:w="1842"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658,846</w:t>
            </w:r>
          </w:p>
        </w:tc>
        <w:tc>
          <w:tcPr>
            <w:tcW w:w="141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0</w:t>
            </w:r>
          </w:p>
        </w:tc>
        <w:tc>
          <w:tcPr>
            <w:tcW w:w="1134"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不适用</w:t>
            </w:r>
          </w:p>
        </w:tc>
        <w:tc>
          <w:tcPr>
            <w:tcW w:w="1309" w:type="dxa"/>
            <w:gridSpan w:val="2"/>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0</w:t>
            </w:r>
          </w:p>
        </w:tc>
      </w:tr>
      <w:tr w:rsidR="007177F6" w:rsidRPr="00CE4CF2" w:rsidTr="00CE4CF2">
        <w:trPr>
          <w:trHeight w:val="240"/>
        </w:trPr>
        <w:tc>
          <w:tcPr>
            <w:tcW w:w="1526" w:type="dxa"/>
            <w:gridSpan w:val="2"/>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广东天亿马信息产业股份有限公司－</w:t>
            </w:r>
            <w:r w:rsidRPr="00CE4CF2">
              <w:rPr>
                <w:rFonts w:ascii="Times New Roman" w:eastAsia="仿宋" w:hAnsi="Times New Roman" w:cs="Times New Roman"/>
                <w:sz w:val="24"/>
                <w:szCs w:val="24"/>
              </w:rPr>
              <w:t>2023</w:t>
            </w:r>
            <w:r w:rsidRPr="00CE4CF2">
              <w:rPr>
                <w:rFonts w:ascii="Times New Roman" w:eastAsia="仿宋" w:hAnsi="Times New Roman" w:cs="Times New Roman"/>
                <w:sz w:val="24"/>
                <w:szCs w:val="24"/>
              </w:rPr>
              <w:t>年员工持股计划</w:t>
            </w:r>
          </w:p>
        </w:tc>
        <w:tc>
          <w:tcPr>
            <w:tcW w:w="1276"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其他</w:t>
            </w:r>
          </w:p>
        </w:tc>
        <w:tc>
          <w:tcPr>
            <w:tcW w:w="1134"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0.70%</w:t>
            </w:r>
          </w:p>
        </w:tc>
        <w:tc>
          <w:tcPr>
            <w:tcW w:w="1842"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472,400</w:t>
            </w:r>
          </w:p>
        </w:tc>
        <w:tc>
          <w:tcPr>
            <w:tcW w:w="141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0</w:t>
            </w:r>
          </w:p>
        </w:tc>
        <w:tc>
          <w:tcPr>
            <w:tcW w:w="1134"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不适用</w:t>
            </w:r>
          </w:p>
        </w:tc>
        <w:tc>
          <w:tcPr>
            <w:tcW w:w="1309" w:type="dxa"/>
            <w:gridSpan w:val="2"/>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0</w:t>
            </w:r>
          </w:p>
        </w:tc>
      </w:tr>
      <w:tr w:rsidR="007177F6" w:rsidRPr="00CE4CF2" w:rsidTr="00CE4CF2">
        <w:trPr>
          <w:trHeight w:val="240"/>
        </w:trPr>
        <w:tc>
          <w:tcPr>
            <w:tcW w:w="1526" w:type="dxa"/>
            <w:gridSpan w:val="2"/>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刘晋礼</w:t>
            </w:r>
          </w:p>
        </w:tc>
        <w:tc>
          <w:tcPr>
            <w:tcW w:w="1276"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境内自然人</w:t>
            </w:r>
          </w:p>
        </w:tc>
        <w:tc>
          <w:tcPr>
            <w:tcW w:w="1134"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0.58%</w:t>
            </w:r>
          </w:p>
        </w:tc>
        <w:tc>
          <w:tcPr>
            <w:tcW w:w="1842"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391,100</w:t>
            </w:r>
          </w:p>
        </w:tc>
        <w:tc>
          <w:tcPr>
            <w:tcW w:w="141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0</w:t>
            </w:r>
          </w:p>
        </w:tc>
        <w:tc>
          <w:tcPr>
            <w:tcW w:w="1134"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不适用</w:t>
            </w:r>
          </w:p>
        </w:tc>
        <w:tc>
          <w:tcPr>
            <w:tcW w:w="1309" w:type="dxa"/>
            <w:gridSpan w:val="2"/>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0</w:t>
            </w:r>
          </w:p>
        </w:tc>
      </w:tr>
      <w:tr w:rsidR="007177F6" w:rsidRPr="00CE4CF2" w:rsidTr="00CE4CF2">
        <w:trPr>
          <w:trHeight w:val="240"/>
        </w:trPr>
        <w:tc>
          <w:tcPr>
            <w:tcW w:w="1526" w:type="dxa"/>
            <w:gridSpan w:val="2"/>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张国华</w:t>
            </w:r>
          </w:p>
        </w:tc>
        <w:tc>
          <w:tcPr>
            <w:tcW w:w="1276"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境内自然人</w:t>
            </w:r>
          </w:p>
        </w:tc>
        <w:tc>
          <w:tcPr>
            <w:tcW w:w="1134"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0.57%</w:t>
            </w:r>
          </w:p>
        </w:tc>
        <w:tc>
          <w:tcPr>
            <w:tcW w:w="1842"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380,000</w:t>
            </w:r>
          </w:p>
        </w:tc>
        <w:tc>
          <w:tcPr>
            <w:tcW w:w="141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0</w:t>
            </w:r>
          </w:p>
        </w:tc>
        <w:tc>
          <w:tcPr>
            <w:tcW w:w="1134"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不适用</w:t>
            </w:r>
          </w:p>
        </w:tc>
        <w:tc>
          <w:tcPr>
            <w:tcW w:w="1309" w:type="dxa"/>
            <w:gridSpan w:val="2"/>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0</w:t>
            </w:r>
          </w:p>
        </w:tc>
      </w:tr>
      <w:tr w:rsidR="007177F6" w:rsidRPr="00CE4CF2" w:rsidTr="00CE4CF2">
        <w:trPr>
          <w:trHeight w:val="240"/>
        </w:trPr>
        <w:tc>
          <w:tcPr>
            <w:tcW w:w="1526" w:type="dxa"/>
            <w:gridSpan w:val="2"/>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前海大唐英加（深圳）基金管理有限公司－大唐英加红马八八号私募证券投资基金</w:t>
            </w:r>
          </w:p>
        </w:tc>
        <w:tc>
          <w:tcPr>
            <w:tcW w:w="1276"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其他</w:t>
            </w:r>
          </w:p>
        </w:tc>
        <w:tc>
          <w:tcPr>
            <w:tcW w:w="1134"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0.53%</w:t>
            </w:r>
          </w:p>
        </w:tc>
        <w:tc>
          <w:tcPr>
            <w:tcW w:w="1842" w:type="dxa"/>
            <w:tcBorders>
              <w:top w:val="single" w:sz="2" w:space="0" w:color="auto"/>
              <w:left w:val="single" w:sz="2" w:space="0" w:color="auto"/>
              <w:bottom w:val="single" w:sz="2" w:space="0" w:color="auto"/>
              <w:right w:val="single" w:sz="2" w:space="0" w:color="auto"/>
            </w:tcBorders>
            <w:vAlign w:val="center"/>
          </w:tcPr>
          <w:p w:rsidR="007177F6" w:rsidRPr="00CE4CF2" w:rsidRDefault="00CE4CF2" w:rsidP="00CE4CF2">
            <w:pPr>
              <w:jc w:val="right"/>
              <w:rPr>
                <w:rFonts w:ascii="Times New Roman" w:eastAsia="仿宋" w:hAnsi="Times New Roman" w:cs="Times New Roman"/>
                <w:sz w:val="24"/>
                <w:szCs w:val="24"/>
              </w:rPr>
            </w:pPr>
            <w:r>
              <w:rPr>
                <w:rFonts w:ascii="Times New Roman" w:eastAsia="仿宋" w:hAnsi="Times New Roman" w:cs="Times New Roman"/>
                <w:sz w:val="24"/>
                <w:szCs w:val="24"/>
              </w:rPr>
              <w:t>353,000</w:t>
            </w:r>
          </w:p>
        </w:tc>
        <w:tc>
          <w:tcPr>
            <w:tcW w:w="1418"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0</w:t>
            </w:r>
          </w:p>
        </w:tc>
        <w:tc>
          <w:tcPr>
            <w:tcW w:w="1134" w:type="dxa"/>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rPr>
                <w:rFonts w:ascii="Times New Roman" w:eastAsia="仿宋" w:hAnsi="Times New Roman" w:cs="Times New Roman"/>
                <w:sz w:val="24"/>
                <w:szCs w:val="24"/>
              </w:rPr>
            </w:pPr>
            <w:r w:rsidRPr="00CE4CF2">
              <w:rPr>
                <w:rFonts w:ascii="Times New Roman" w:eastAsia="仿宋" w:hAnsi="Times New Roman" w:cs="Times New Roman"/>
                <w:sz w:val="24"/>
                <w:szCs w:val="24"/>
              </w:rPr>
              <w:t>不适用</w:t>
            </w:r>
          </w:p>
        </w:tc>
        <w:tc>
          <w:tcPr>
            <w:tcW w:w="1309" w:type="dxa"/>
            <w:gridSpan w:val="2"/>
            <w:tcBorders>
              <w:top w:val="single" w:sz="2" w:space="0" w:color="auto"/>
              <w:left w:val="single" w:sz="2" w:space="0" w:color="auto"/>
              <w:bottom w:val="single" w:sz="2" w:space="0" w:color="auto"/>
              <w:right w:val="single" w:sz="2" w:space="0" w:color="auto"/>
            </w:tcBorders>
            <w:vAlign w:val="center"/>
          </w:tcPr>
          <w:p w:rsidR="007177F6" w:rsidRPr="00CE4CF2" w:rsidRDefault="00FB3D8D" w:rsidP="00CE4CF2">
            <w:pPr>
              <w:jc w:val="right"/>
              <w:rPr>
                <w:rFonts w:ascii="Times New Roman" w:eastAsia="仿宋" w:hAnsi="Times New Roman" w:cs="Times New Roman"/>
                <w:sz w:val="24"/>
                <w:szCs w:val="24"/>
              </w:rPr>
            </w:pPr>
            <w:r w:rsidRPr="00CE4CF2">
              <w:rPr>
                <w:rFonts w:ascii="Times New Roman" w:eastAsia="仿宋" w:hAnsi="Times New Roman" w:cs="Times New Roman"/>
                <w:sz w:val="24"/>
                <w:szCs w:val="24"/>
              </w:rPr>
              <w:t>0</w:t>
            </w:r>
          </w:p>
        </w:tc>
      </w:tr>
      <w:tr w:rsidR="007177F6" w:rsidRPr="00CE4CF2" w:rsidTr="00CE4CF2">
        <w:trPr>
          <w:trHeight w:val="240"/>
        </w:trPr>
        <w:tc>
          <w:tcPr>
            <w:tcW w:w="2802"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rPr>
                <w:rFonts w:ascii="Times New Roman" w:eastAsia="仿宋" w:hAnsi="Times New Roman" w:cs="Times New Roman"/>
                <w:sz w:val="24"/>
                <w:szCs w:val="24"/>
              </w:rPr>
            </w:pPr>
            <w:r w:rsidRPr="00CE4CF2">
              <w:rPr>
                <w:rFonts w:ascii="Times New Roman" w:eastAsia="仿宋" w:hAnsi="Times New Roman" w:cs="Times New Roman"/>
                <w:sz w:val="24"/>
                <w:szCs w:val="24"/>
              </w:rPr>
              <w:t>上述股东关联关系或一致行动的说明</w:t>
            </w:r>
          </w:p>
        </w:tc>
        <w:tc>
          <w:tcPr>
            <w:tcW w:w="6837" w:type="dxa"/>
            <w:gridSpan w:val="6"/>
            <w:tcBorders>
              <w:top w:val="single" w:sz="2" w:space="0" w:color="auto"/>
              <w:left w:val="single" w:sz="2" w:space="0" w:color="auto"/>
              <w:bottom w:val="single" w:sz="2" w:space="0" w:color="auto"/>
              <w:right w:val="single" w:sz="2" w:space="0" w:color="auto"/>
            </w:tcBorders>
            <w:vAlign w:val="center"/>
          </w:tcPr>
          <w:p w:rsidR="007177F6" w:rsidRPr="00CE4CF2" w:rsidRDefault="00FB3D8D" w:rsidP="00DA5293">
            <w:pPr>
              <w:ind w:firstLineChars="200" w:firstLine="480"/>
              <w:rPr>
                <w:rFonts w:ascii="Times New Roman" w:eastAsia="仿宋" w:hAnsi="Times New Roman" w:cs="Times New Roman"/>
                <w:sz w:val="24"/>
                <w:szCs w:val="24"/>
              </w:rPr>
            </w:pPr>
            <w:r w:rsidRPr="00CE4CF2">
              <w:rPr>
                <w:rFonts w:ascii="Times New Roman" w:eastAsia="仿宋" w:hAnsi="Times New Roman" w:cs="Times New Roman"/>
                <w:sz w:val="24"/>
                <w:szCs w:val="24"/>
              </w:rPr>
              <w:t>上述股东之间，马学沛与林明玲系夫妻关系，马学沛为南京优志投资管理合伙企业（有限合伙）的有限合伙人。此外，上述其他股东之间未知是否存在关联关系或属于一致行动人。</w:t>
            </w:r>
          </w:p>
        </w:tc>
      </w:tr>
      <w:tr w:rsidR="007177F6" w:rsidRPr="00CE4CF2" w:rsidTr="00CE4CF2">
        <w:trPr>
          <w:trHeight w:val="240"/>
        </w:trPr>
        <w:tc>
          <w:tcPr>
            <w:tcW w:w="2802"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7177F6" w:rsidRPr="00CE4CF2" w:rsidRDefault="00FB3D8D" w:rsidP="00CE4CF2">
            <w:pPr>
              <w:spacing w:before="40" w:after="40"/>
              <w:rPr>
                <w:rFonts w:ascii="Times New Roman" w:eastAsia="仿宋" w:hAnsi="Times New Roman" w:cs="Times New Roman"/>
                <w:sz w:val="24"/>
                <w:szCs w:val="24"/>
              </w:rPr>
            </w:pPr>
            <w:r w:rsidRPr="00CE4CF2">
              <w:rPr>
                <w:rFonts w:ascii="Times New Roman" w:eastAsia="仿宋" w:hAnsi="Times New Roman" w:cs="Times New Roman"/>
                <w:sz w:val="24"/>
                <w:szCs w:val="24"/>
              </w:rPr>
              <w:t>前</w:t>
            </w:r>
            <w:r w:rsidRPr="00CE4CF2">
              <w:rPr>
                <w:rFonts w:ascii="Times New Roman" w:eastAsia="仿宋" w:hAnsi="Times New Roman" w:cs="Times New Roman"/>
                <w:sz w:val="24"/>
                <w:szCs w:val="24"/>
              </w:rPr>
              <w:t>10</w:t>
            </w:r>
            <w:r w:rsidRPr="00CE4CF2">
              <w:rPr>
                <w:rFonts w:ascii="Times New Roman" w:eastAsia="仿宋" w:hAnsi="Times New Roman" w:cs="Times New Roman"/>
                <w:sz w:val="24"/>
                <w:szCs w:val="24"/>
              </w:rPr>
              <w:t>名普通股股东参与融资融券业务股东情况说明（如有）</w:t>
            </w:r>
          </w:p>
        </w:tc>
        <w:tc>
          <w:tcPr>
            <w:tcW w:w="6837" w:type="dxa"/>
            <w:gridSpan w:val="6"/>
            <w:tcBorders>
              <w:top w:val="single" w:sz="2" w:space="0" w:color="auto"/>
              <w:left w:val="single" w:sz="2" w:space="0" w:color="auto"/>
              <w:bottom w:val="single" w:sz="2" w:space="0" w:color="auto"/>
              <w:right w:val="single" w:sz="2" w:space="0" w:color="auto"/>
            </w:tcBorders>
            <w:vAlign w:val="center"/>
          </w:tcPr>
          <w:p w:rsidR="007177F6" w:rsidRPr="00CE4CF2" w:rsidRDefault="00FB3D8D" w:rsidP="00DA5293">
            <w:pPr>
              <w:ind w:firstLineChars="200" w:firstLine="480"/>
              <w:rPr>
                <w:rFonts w:ascii="Times New Roman" w:eastAsia="仿宋" w:hAnsi="Times New Roman" w:cs="Times New Roman"/>
                <w:sz w:val="24"/>
                <w:szCs w:val="24"/>
              </w:rPr>
            </w:pPr>
            <w:r w:rsidRPr="00CE4CF2">
              <w:rPr>
                <w:rFonts w:ascii="宋体" w:eastAsia="宋体" w:hAnsi="宋体" w:cs="宋体" w:hint="eastAsia"/>
                <w:sz w:val="24"/>
                <w:szCs w:val="24"/>
              </w:rPr>
              <w:t>①</w:t>
            </w:r>
            <w:r w:rsidRPr="00CE4CF2">
              <w:rPr>
                <w:rFonts w:ascii="Times New Roman" w:eastAsia="仿宋" w:hAnsi="Times New Roman" w:cs="Times New Roman"/>
                <w:sz w:val="24"/>
                <w:szCs w:val="24"/>
              </w:rPr>
              <w:t>前海大唐英加（深圳）基金管理有限公司－英加黑马八十一号私募证券投资基金通过普通证券账户持有公司股份</w:t>
            </w:r>
            <w:r w:rsidRPr="00CE4CF2">
              <w:rPr>
                <w:rFonts w:ascii="Times New Roman" w:eastAsia="仿宋" w:hAnsi="Times New Roman" w:cs="Times New Roman"/>
                <w:sz w:val="24"/>
                <w:szCs w:val="24"/>
              </w:rPr>
              <w:t>998,000</w:t>
            </w:r>
            <w:r w:rsidRPr="00CE4CF2">
              <w:rPr>
                <w:rFonts w:ascii="Times New Roman" w:eastAsia="仿宋" w:hAnsi="Times New Roman" w:cs="Times New Roman"/>
                <w:sz w:val="24"/>
                <w:szCs w:val="24"/>
              </w:rPr>
              <w:t>股，通过投资者信用证券账户持有公司股份</w:t>
            </w:r>
            <w:r w:rsidRPr="00CE4CF2">
              <w:rPr>
                <w:rFonts w:ascii="Times New Roman" w:eastAsia="仿宋" w:hAnsi="Times New Roman" w:cs="Times New Roman"/>
                <w:sz w:val="24"/>
                <w:szCs w:val="24"/>
              </w:rPr>
              <w:t>142,000</w:t>
            </w:r>
            <w:r w:rsidRPr="00CE4CF2">
              <w:rPr>
                <w:rFonts w:ascii="Times New Roman" w:eastAsia="仿宋" w:hAnsi="Times New Roman" w:cs="Times New Roman"/>
                <w:sz w:val="24"/>
                <w:szCs w:val="24"/>
              </w:rPr>
              <w:t>股，合计持有公司股份</w:t>
            </w:r>
            <w:r w:rsidRPr="00CE4CF2">
              <w:rPr>
                <w:rFonts w:ascii="Times New Roman" w:eastAsia="仿宋" w:hAnsi="Times New Roman" w:cs="Times New Roman"/>
                <w:sz w:val="24"/>
                <w:szCs w:val="24"/>
              </w:rPr>
              <w:t>1,140,000</w:t>
            </w:r>
            <w:r w:rsidRPr="00CE4CF2">
              <w:rPr>
                <w:rFonts w:ascii="Times New Roman" w:eastAsia="仿宋" w:hAnsi="Times New Roman" w:cs="Times New Roman"/>
                <w:sz w:val="24"/>
                <w:szCs w:val="24"/>
              </w:rPr>
              <w:t>股；</w:t>
            </w:r>
          </w:p>
          <w:p w:rsidR="007177F6" w:rsidRPr="00CE4CF2" w:rsidRDefault="00FB3D8D" w:rsidP="00DA5293">
            <w:pPr>
              <w:ind w:firstLineChars="200" w:firstLine="480"/>
              <w:rPr>
                <w:rFonts w:ascii="Times New Roman" w:eastAsia="仿宋" w:hAnsi="Times New Roman" w:cs="Times New Roman"/>
                <w:sz w:val="24"/>
                <w:szCs w:val="24"/>
              </w:rPr>
            </w:pPr>
            <w:r w:rsidRPr="00CE4CF2">
              <w:rPr>
                <w:rFonts w:ascii="宋体" w:eastAsia="宋体" w:hAnsi="宋体" w:cs="宋体" w:hint="eastAsia"/>
                <w:sz w:val="24"/>
                <w:szCs w:val="24"/>
              </w:rPr>
              <w:t>②</w:t>
            </w:r>
            <w:r w:rsidRPr="00CE4CF2">
              <w:rPr>
                <w:rFonts w:ascii="Times New Roman" w:eastAsia="仿宋" w:hAnsi="Times New Roman" w:cs="Times New Roman"/>
                <w:sz w:val="24"/>
                <w:szCs w:val="24"/>
              </w:rPr>
              <w:t>张国华通过普通证券账户持有公司股份</w:t>
            </w:r>
            <w:r w:rsidRPr="00CE4CF2">
              <w:rPr>
                <w:rFonts w:ascii="Times New Roman" w:eastAsia="仿宋" w:hAnsi="Times New Roman" w:cs="Times New Roman"/>
                <w:sz w:val="24"/>
                <w:szCs w:val="24"/>
              </w:rPr>
              <w:t>0</w:t>
            </w:r>
            <w:r w:rsidRPr="00CE4CF2">
              <w:rPr>
                <w:rFonts w:ascii="Times New Roman" w:eastAsia="仿宋" w:hAnsi="Times New Roman" w:cs="Times New Roman"/>
                <w:sz w:val="24"/>
                <w:szCs w:val="24"/>
              </w:rPr>
              <w:t>股，通过投资者信用证券账户持有公司股份</w:t>
            </w:r>
            <w:r w:rsidRPr="00CE4CF2">
              <w:rPr>
                <w:rFonts w:ascii="Times New Roman" w:eastAsia="仿宋" w:hAnsi="Times New Roman" w:cs="Times New Roman"/>
                <w:sz w:val="24"/>
                <w:szCs w:val="24"/>
              </w:rPr>
              <w:t>380,000</w:t>
            </w:r>
            <w:r w:rsidRPr="00CE4CF2">
              <w:rPr>
                <w:rFonts w:ascii="Times New Roman" w:eastAsia="仿宋" w:hAnsi="Times New Roman" w:cs="Times New Roman"/>
                <w:sz w:val="24"/>
                <w:szCs w:val="24"/>
              </w:rPr>
              <w:t>股，合计持有公司股份</w:t>
            </w:r>
            <w:r w:rsidRPr="00CE4CF2">
              <w:rPr>
                <w:rFonts w:ascii="Times New Roman" w:eastAsia="仿宋" w:hAnsi="Times New Roman" w:cs="Times New Roman"/>
                <w:sz w:val="24"/>
                <w:szCs w:val="24"/>
              </w:rPr>
              <w:t>380,000</w:t>
            </w:r>
            <w:r w:rsidRPr="00CE4CF2">
              <w:rPr>
                <w:rFonts w:ascii="Times New Roman" w:eastAsia="仿宋" w:hAnsi="Times New Roman" w:cs="Times New Roman"/>
                <w:sz w:val="24"/>
                <w:szCs w:val="24"/>
              </w:rPr>
              <w:t>股；</w:t>
            </w:r>
          </w:p>
          <w:p w:rsidR="007177F6" w:rsidRPr="00CE4CF2" w:rsidRDefault="00FB3D8D" w:rsidP="00DA5293">
            <w:pPr>
              <w:ind w:firstLineChars="200" w:firstLine="480"/>
              <w:rPr>
                <w:rFonts w:ascii="Times New Roman" w:eastAsia="仿宋" w:hAnsi="Times New Roman" w:cs="Times New Roman"/>
                <w:sz w:val="24"/>
                <w:szCs w:val="24"/>
              </w:rPr>
            </w:pPr>
            <w:r w:rsidRPr="00CE4CF2">
              <w:rPr>
                <w:rFonts w:ascii="宋体" w:eastAsia="宋体" w:hAnsi="宋体" w:cs="宋体" w:hint="eastAsia"/>
                <w:sz w:val="24"/>
                <w:szCs w:val="24"/>
              </w:rPr>
              <w:t>③</w:t>
            </w:r>
            <w:r w:rsidRPr="00CE4CF2">
              <w:rPr>
                <w:rFonts w:ascii="Times New Roman" w:eastAsia="仿宋" w:hAnsi="Times New Roman" w:cs="Times New Roman"/>
                <w:sz w:val="24"/>
                <w:szCs w:val="24"/>
              </w:rPr>
              <w:t>前海大唐英加（深圳）基金管理有限公司－大唐英加红马八八号私募证券投资基金通过普通证券账户持有公司股份</w:t>
            </w:r>
            <w:r w:rsidRPr="00CE4CF2">
              <w:rPr>
                <w:rFonts w:ascii="Times New Roman" w:eastAsia="仿宋" w:hAnsi="Times New Roman" w:cs="Times New Roman"/>
                <w:sz w:val="24"/>
                <w:szCs w:val="24"/>
              </w:rPr>
              <w:t>0</w:t>
            </w:r>
            <w:r w:rsidRPr="00CE4CF2">
              <w:rPr>
                <w:rFonts w:ascii="Times New Roman" w:eastAsia="仿宋" w:hAnsi="Times New Roman" w:cs="Times New Roman"/>
                <w:sz w:val="24"/>
                <w:szCs w:val="24"/>
              </w:rPr>
              <w:lastRenderedPageBreak/>
              <w:t>股，通过投资者信用证券账户持有公司股份</w:t>
            </w:r>
            <w:r w:rsidRPr="00CE4CF2">
              <w:rPr>
                <w:rFonts w:ascii="Times New Roman" w:eastAsia="仿宋" w:hAnsi="Times New Roman" w:cs="Times New Roman"/>
                <w:sz w:val="24"/>
                <w:szCs w:val="24"/>
              </w:rPr>
              <w:t>353,000</w:t>
            </w:r>
            <w:r w:rsidRPr="00CE4CF2">
              <w:rPr>
                <w:rFonts w:ascii="Times New Roman" w:eastAsia="仿宋" w:hAnsi="Times New Roman" w:cs="Times New Roman"/>
                <w:sz w:val="24"/>
                <w:szCs w:val="24"/>
              </w:rPr>
              <w:t>股，合计持有公司股份</w:t>
            </w:r>
            <w:r w:rsidRPr="00CE4CF2">
              <w:rPr>
                <w:rFonts w:ascii="Times New Roman" w:eastAsia="仿宋" w:hAnsi="Times New Roman" w:cs="Times New Roman"/>
                <w:sz w:val="24"/>
                <w:szCs w:val="24"/>
              </w:rPr>
              <w:t>353,000</w:t>
            </w:r>
            <w:r w:rsidRPr="00CE4CF2">
              <w:rPr>
                <w:rFonts w:ascii="Times New Roman" w:eastAsia="仿宋" w:hAnsi="Times New Roman" w:cs="Times New Roman"/>
                <w:sz w:val="24"/>
                <w:szCs w:val="24"/>
              </w:rPr>
              <w:t>股。</w:t>
            </w:r>
          </w:p>
        </w:tc>
      </w:tr>
    </w:tbl>
    <w:p w:rsidR="007177F6" w:rsidRPr="00DA5293" w:rsidRDefault="00FB3D8D" w:rsidP="00DA5293">
      <w:pPr>
        <w:spacing w:beforeLines="50" w:before="156" w:afterLines="50" w:after="156"/>
        <w:rPr>
          <w:rFonts w:ascii="Times New Roman" w:eastAsia="仿宋" w:hAnsi="Times New Roman" w:cs="Times New Roman"/>
          <w:sz w:val="24"/>
          <w:szCs w:val="24"/>
        </w:rPr>
      </w:pPr>
      <w:r w:rsidRPr="00DA5293">
        <w:rPr>
          <w:rFonts w:ascii="Times New Roman" w:eastAsia="仿宋" w:hAnsi="Times New Roman" w:cs="Times New Roman"/>
          <w:sz w:val="24"/>
          <w:szCs w:val="24"/>
        </w:rPr>
        <w:lastRenderedPageBreak/>
        <w:t>持股</w:t>
      </w:r>
      <w:r w:rsidRPr="00DA5293">
        <w:rPr>
          <w:rFonts w:ascii="Times New Roman" w:eastAsia="仿宋" w:hAnsi="Times New Roman" w:cs="Times New Roman"/>
          <w:sz w:val="24"/>
          <w:szCs w:val="24"/>
        </w:rPr>
        <w:t>5%</w:t>
      </w:r>
      <w:r w:rsidRPr="00DA5293">
        <w:rPr>
          <w:rFonts w:ascii="Times New Roman" w:eastAsia="仿宋" w:hAnsi="Times New Roman" w:cs="Times New Roman"/>
          <w:sz w:val="24"/>
          <w:szCs w:val="24"/>
        </w:rPr>
        <w:t>以上股东、前</w:t>
      </w:r>
      <w:r w:rsidRPr="00DA5293">
        <w:rPr>
          <w:rFonts w:ascii="Times New Roman" w:eastAsia="仿宋" w:hAnsi="Times New Roman" w:cs="Times New Roman"/>
          <w:sz w:val="24"/>
          <w:szCs w:val="24"/>
        </w:rPr>
        <w:t>10</w:t>
      </w:r>
      <w:r w:rsidRPr="00DA5293">
        <w:rPr>
          <w:rFonts w:ascii="Times New Roman" w:eastAsia="仿宋" w:hAnsi="Times New Roman" w:cs="Times New Roman"/>
          <w:sz w:val="24"/>
          <w:szCs w:val="24"/>
        </w:rPr>
        <w:t>名股东及前</w:t>
      </w:r>
      <w:r w:rsidRPr="00DA5293">
        <w:rPr>
          <w:rFonts w:ascii="Times New Roman" w:eastAsia="仿宋" w:hAnsi="Times New Roman" w:cs="Times New Roman"/>
          <w:sz w:val="24"/>
          <w:szCs w:val="24"/>
        </w:rPr>
        <w:t>10</w:t>
      </w:r>
      <w:r w:rsidRPr="00DA5293">
        <w:rPr>
          <w:rFonts w:ascii="Times New Roman" w:eastAsia="仿宋" w:hAnsi="Times New Roman" w:cs="Times New Roman"/>
          <w:sz w:val="24"/>
          <w:szCs w:val="24"/>
        </w:rPr>
        <w:t>名无限售流通股股东参与转融通业务出借股份情况</w:t>
      </w:r>
    </w:p>
    <w:p w:rsidR="007177F6" w:rsidRPr="00DA5293" w:rsidRDefault="00FB3D8D" w:rsidP="00DA5293">
      <w:pPr>
        <w:spacing w:beforeLines="50" w:before="156" w:afterLines="50" w:after="156"/>
        <w:rPr>
          <w:rFonts w:ascii="Times New Roman" w:eastAsia="仿宋" w:hAnsi="Times New Roman" w:cs="Times New Roman"/>
          <w:sz w:val="24"/>
          <w:szCs w:val="24"/>
        </w:rPr>
      </w:pPr>
      <w:r w:rsidRPr="00DA5293">
        <w:rPr>
          <w:rFonts w:ascii="Times New Roman" w:eastAsia="仿宋" w:hAnsi="Times New Roman" w:cs="Times New Roman"/>
          <w:sz w:val="24"/>
          <w:szCs w:val="24"/>
        </w:rPr>
        <w:t>□</w:t>
      </w:r>
      <w:r w:rsidRPr="00DA5293">
        <w:rPr>
          <w:rFonts w:ascii="Times New Roman" w:eastAsia="仿宋" w:hAnsi="Times New Roman" w:cs="Times New Roman"/>
          <w:sz w:val="24"/>
          <w:szCs w:val="24"/>
        </w:rPr>
        <w:t>适用</w:t>
      </w:r>
      <w:r w:rsidRPr="00DA5293">
        <w:rPr>
          <w:rFonts w:ascii="Times New Roman" w:eastAsia="仿宋" w:hAnsi="Times New Roman" w:cs="Times New Roman"/>
          <w:sz w:val="24"/>
          <w:szCs w:val="24"/>
        </w:rPr>
        <w:t xml:space="preserve"> </w:t>
      </w:r>
      <w:r w:rsidRPr="00DA5293">
        <w:rPr>
          <w:rFonts w:ascii="Times New Roman" w:eastAsia="仿宋" w:hAnsi="Times New Roman" w:cs="Times New Roman"/>
          <w:sz w:val="24"/>
          <w:szCs w:val="24"/>
        </w:rPr>
        <w:sym w:font="Wingdings 2" w:char="F052"/>
      </w:r>
      <w:r w:rsidRPr="00DA5293">
        <w:rPr>
          <w:rFonts w:ascii="Times New Roman" w:eastAsia="仿宋" w:hAnsi="Times New Roman" w:cs="Times New Roman"/>
          <w:sz w:val="24"/>
          <w:szCs w:val="24"/>
        </w:rPr>
        <w:t>不适用</w:t>
      </w:r>
    </w:p>
    <w:p w:rsidR="007177F6" w:rsidRPr="00DA5293" w:rsidRDefault="00FB3D8D" w:rsidP="00DA5293">
      <w:pPr>
        <w:spacing w:beforeLines="50" w:before="156" w:afterLines="50" w:after="156"/>
        <w:rPr>
          <w:rFonts w:ascii="Times New Roman" w:eastAsia="仿宋" w:hAnsi="Times New Roman" w:cs="Times New Roman"/>
          <w:sz w:val="24"/>
          <w:szCs w:val="24"/>
        </w:rPr>
      </w:pPr>
      <w:r w:rsidRPr="00DA5293">
        <w:rPr>
          <w:rFonts w:ascii="Times New Roman" w:eastAsia="仿宋" w:hAnsi="Times New Roman" w:cs="Times New Roman"/>
          <w:sz w:val="24"/>
          <w:szCs w:val="24"/>
        </w:rPr>
        <w:t>前</w:t>
      </w:r>
      <w:r w:rsidRPr="00DA5293">
        <w:rPr>
          <w:rFonts w:ascii="Times New Roman" w:eastAsia="仿宋" w:hAnsi="Times New Roman" w:cs="Times New Roman"/>
          <w:sz w:val="24"/>
          <w:szCs w:val="24"/>
        </w:rPr>
        <w:t>10</w:t>
      </w:r>
      <w:r w:rsidRPr="00DA5293">
        <w:rPr>
          <w:rFonts w:ascii="Times New Roman" w:eastAsia="仿宋" w:hAnsi="Times New Roman" w:cs="Times New Roman"/>
          <w:sz w:val="24"/>
          <w:szCs w:val="24"/>
        </w:rPr>
        <w:t>名股东及前</w:t>
      </w:r>
      <w:r w:rsidRPr="00DA5293">
        <w:rPr>
          <w:rFonts w:ascii="Times New Roman" w:eastAsia="仿宋" w:hAnsi="Times New Roman" w:cs="Times New Roman"/>
          <w:sz w:val="24"/>
          <w:szCs w:val="24"/>
        </w:rPr>
        <w:t>10</w:t>
      </w:r>
      <w:r w:rsidRPr="00DA5293">
        <w:rPr>
          <w:rFonts w:ascii="Times New Roman" w:eastAsia="仿宋" w:hAnsi="Times New Roman" w:cs="Times New Roman"/>
          <w:sz w:val="24"/>
          <w:szCs w:val="24"/>
        </w:rPr>
        <w:t>名无限售流通股股东因转融通出借</w:t>
      </w:r>
      <w:r w:rsidRPr="00DA5293">
        <w:rPr>
          <w:rFonts w:ascii="Times New Roman" w:eastAsia="仿宋" w:hAnsi="Times New Roman" w:cs="Times New Roman"/>
          <w:sz w:val="24"/>
          <w:szCs w:val="24"/>
        </w:rPr>
        <w:t>/</w:t>
      </w:r>
      <w:r w:rsidRPr="00DA5293">
        <w:rPr>
          <w:rFonts w:ascii="Times New Roman" w:eastAsia="仿宋" w:hAnsi="Times New Roman" w:cs="Times New Roman"/>
          <w:sz w:val="24"/>
          <w:szCs w:val="24"/>
        </w:rPr>
        <w:t>归还原因导致较上期发生变化</w:t>
      </w:r>
    </w:p>
    <w:p w:rsidR="007177F6" w:rsidRPr="00DA5293" w:rsidRDefault="00FB3D8D" w:rsidP="00DA5293">
      <w:pPr>
        <w:spacing w:beforeLines="50" w:before="156" w:afterLines="50" w:after="156"/>
        <w:rPr>
          <w:rFonts w:ascii="Times New Roman" w:eastAsia="仿宋" w:hAnsi="Times New Roman" w:cs="Times New Roman"/>
          <w:sz w:val="24"/>
          <w:szCs w:val="24"/>
        </w:rPr>
      </w:pPr>
      <w:r w:rsidRPr="00DA5293">
        <w:rPr>
          <w:rFonts w:ascii="Times New Roman" w:eastAsia="仿宋" w:hAnsi="Times New Roman" w:cs="Times New Roman"/>
          <w:sz w:val="24"/>
          <w:szCs w:val="24"/>
        </w:rPr>
        <w:t>□</w:t>
      </w:r>
      <w:r w:rsidRPr="00DA5293">
        <w:rPr>
          <w:rFonts w:ascii="Times New Roman" w:eastAsia="仿宋" w:hAnsi="Times New Roman" w:cs="Times New Roman"/>
          <w:sz w:val="24"/>
          <w:szCs w:val="24"/>
        </w:rPr>
        <w:t>适用</w:t>
      </w:r>
      <w:r w:rsidRPr="00DA5293">
        <w:rPr>
          <w:rFonts w:ascii="Times New Roman" w:eastAsia="仿宋" w:hAnsi="Times New Roman" w:cs="Times New Roman"/>
          <w:sz w:val="24"/>
          <w:szCs w:val="24"/>
        </w:rPr>
        <w:t xml:space="preserve"> </w:t>
      </w:r>
      <w:r w:rsidRPr="00DA5293">
        <w:rPr>
          <w:rFonts w:ascii="Times New Roman" w:eastAsia="仿宋" w:hAnsi="Times New Roman" w:cs="Times New Roman"/>
          <w:sz w:val="24"/>
          <w:szCs w:val="24"/>
        </w:rPr>
        <w:sym w:font="Wingdings 2" w:char="F052"/>
      </w:r>
      <w:r w:rsidRPr="00DA5293">
        <w:rPr>
          <w:rFonts w:ascii="Times New Roman" w:eastAsia="仿宋" w:hAnsi="Times New Roman" w:cs="Times New Roman"/>
          <w:sz w:val="24"/>
          <w:szCs w:val="24"/>
        </w:rPr>
        <w:t>不适用</w:t>
      </w:r>
    </w:p>
    <w:p w:rsidR="007177F6" w:rsidRPr="00DA5293" w:rsidRDefault="00FB3D8D" w:rsidP="00DA5293">
      <w:pPr>
        <w:spacing w:beforeLines="50" w:before="156" w:afterLines="50" w:after="156"/>
        <w:rPr>
          <w:rFonts w:ascii="Times New Roman" w:eastAsia="仿宋" w:hAnsi="Times New Roman" w:cs="Times New Roman"/>
          <w:sz w:val="24"/>
          <w:szCs w:val="24"/>
        </w:rPr>
      </w:pPr>
      <w:r w:rsidRPr="00DA5293">
        <w:rPr>
          <w:rFonts w:ascii="Times New Roman" w:eastAsia="仿宋" w:hAnsi="Times New Roman" w:cs="Times New Roman"/>
          <w:sz w:val="24"/>
          <w:szCs w:val="24"/>
        </w:rPr>
        <w:t>公司是否具有表决权差异安排</w:t>
      </w:r>
    </w:p>
    <w:p w:rsidR="007177F6" w:rsidRPr="00DA5293" w:rsidRDefault="00FB3D8D" w:rsidP="00DA5293">
      <w:pPr>
        <w:spacing w:beforeLines="50" w:before="156" w:afterLines="50" w:after="156"/>
        <w:rPr>
          <w:rFonts w:ascii="Times New Roman" w:eastAsia="仿宋" w:hAnsi="Times New Roman" w:cs="Times New Roman"/>
          <w:sz w:val="24"/>
          <w:szCs w:val="24"/>
        </w:rPr>
      </w:pPr>
      <w:r w:rsidRPr="00DA5293">
        <w:rPr>
          <w:rFonts w:ascii="Times New Roman" w:eastAsia="仿宋" w:hAnsi="Times New Roman" w:cs="Times New Roman"/>
          <w:sz w:val="24"/>
          <w:szCs w:val="24"/>
        </w:rPr>
        <w:t>□</w:t>
      </w:r>
      <w:r w:rsidRPr="00DA5293">
        <w:rPr>
          <w:rFonts w:ascii="Times New Roman" w:eastAsia="仿宋" w:hAnsi="Times New Roman" w:cs="Times New Roman"/>
          <w:sz w:val="24"/>
          <w:szCs w:val="24"/>
        </w:rPr>
        <w:t>是</w:t>
      </w:r>
      <w:r w:rsidRPr="00DA5293">
        <w:rPr>
          <w:rFonts w:ascii="Times New Roman" w:eastAsia="仿宋" w:hAnsi="Times New Roman" w:cs="Times New Roman"/>
          <w:sz w:val="24"/>
          <w:szCs w:val="24"/>
        </w:rPr>
        <w:t xml:space="preserve"> </w:t>
      </w:r>
      <w:r w:rsidRPr="00DA5293">
        <w:rPr>
          <w:rFonts w:ascii="Times New Roman" w:eastAsia="仿宋" w:hAnsi="Times New Roman" w:cs="Times New Roman"/>
          <w:sz w:val="24"/>
          <w:szCs w:val="24"/>
        </w:rPr>
        <w:sym w:font="Wingdings 2" w:char="F052"/>
      </w:r>
      <w:r w:rsidRPr="00DA5293">
        <w:rPr>
          <w:rFonts w:ascii="Times New Roman" w:eastAsia="仿宋" w:hAnsi="Times New Roman" w:cs="Times New Roman"/>
          <w:sz w:val="24"/>
          <w:szCs w:val="24"/>
        </w:rPr>
        <w:t>否</w:t>
      </w:r>
    </w:p>
    <w:p w:rsidR="007177F6" w:rsidRPr="00CE4CF2" w:rsidRDefault="00FB3D8D" w:rsidP="00CE4CF2">
      <w:pPr>
        <w:pStyle w:val="2"/>
        <w:spacing w:before="0" w:after="0" w:line="288" w:lineRule="auto"/>
        <w:jc w:val="both"/>
        <w:rPr>
          <w:rFonts w:ascii="Times New Roman" w:eastAsia="仿宋" w:hAnsi="Times New Roman" w:cs="Times New Roman"/>
          <w:b/>
          <w:bCs/>
          <w:kern w:val="0"/>
          <w:sz w:val="28"/>
          <w:szCs w:val="24"/>
        </w:rPr>
      </w:pPr>
      <w:bookmarkStart w:id="5" w:name="_Toc988894"/>
      <w:r w:rsidRPr="00CE4CF2">
        <w:rPr>
          <w:rFonts w:ascii="Times New Roman" w:eastAsia="仿宋" w:hAnsi="Times New Roman" w:cs="Times New Roman"/>
          <w:b/>
          <w:bCs/>
          <w:kern w:val="0"/>
          <w:sz w:val="28"/>
          <w:szCs w:val="24"/>
        </w:rPr>
        <w:t>4</w:t>
      </w:r>
      <w:r w:rsidRPr="00CE4CF2">
        <w:rPr>
          <w:rFonts w:ascii="Times New Roman" w:eastAsia="仿宋" w:hAnsi="Times New Roman" w:cs="Times New Roman"/>
          <w:b/>
          <w:bCs/>
          <w:kern w:val="0"/>
          <w:sz w:val="28"/>
          <w:szCs w:val="24"/>
        </w:rPr>
        <w:t>、控股股东或实际控制人变更情况</w:t>
      </w:r>
      <w:bookmarkEnd w:id="5"/>
    </w:p>
    <w:p w:rsidR="007177F6" w:rsidRPr="00DA5293" w:rsidRDefault="00FB3D8D" w:rsidP="00DA5293">
      <w:pPr>
        <w:spacing w:beforeLines="50" w:before="156" w:afterLines="50" w:after="156"/>
        <w:rPr>
          <w:rFonts w:ascii="Times New Roman" w:eastAsia="仿宋" w:hAnsi="Times New Roman" w:cs="Times New Roman"/>
          <w:sz w:val="24"/>
          <w:szCs w:val="24"/>
        </w:rPr>
      </w:pPr>
      <w:r w:rsidRPr="00DA5293">
        <w:rPr>
          <w:rFonts w:ascii="Times New Roman" w:eastAsia="仿宋" w:hAnsi="Times New Roman" w:cs="Times New Roman"/>
          <w:sz w:val="24"/>
          <w:szCs w:val="24"/>
        </w:rPr>
        <w:t>控股股东报告期内变更</w:t>
      </w:r>
    </w:p>
    <w:p w:rsidR="007177F6" w:rsidRPr="00DA5293" w:rsidRDefault="00FB3D8D" w:rsidP="00DA5293">
      <w:pPr>
        <w:spacing w:beforeLines="50" w:before="156" w:afterLines="50" w:after="156"/>
        <w:rPr>
          <w:rFonts w:ascii="Times New Roman" w:eastAsia="仿宋" w:hAnsi="Times New Roman" w:cs="Times New Roman"/>
          <w:sz w:val="24"/>
          <w:szCs w:val="24"/>
        </w:rPr>
      </w:pPr>
      <w:r w:rsidRPr="00DA5293">
        <w:rPr>
          <w:rFonts w:ascii="Times New Roman" w:eastAsia="仿宋" w:hAnsi="Times New Roman" w:cs="Times New Roman"/>
          <w:sz w:val="24"/>
          <w:szCs w:val="24"/>
        </w:rPr>
        <w:t>□</w:t>
      </w:r>
      <w:r w:rsidRPr="00DA5293">
        <w:rPr>
          <w:rFonts w:ascii="Times New Roman" w:eastAsia="仿宋" w:hAnsi="Times New Roman" w:cs="Times New Roman"/>
          <w:sz w:val="24"/>
          <w:szCs w:val="24"/>
        </w:rPr>
        <w:t>适用</w:t>
      </w:r>
      <w:r w:rsidRPr="00DA5293">
        <w:rPr>
          <w:rFonts w:ascii="Times New Roman" w:eastAsia="仿宋" w:hAnsi="Times New Roman" w:cs="Times New Roman"/>
          <w:sz w:val="24"/>
          <w:szCs w:val="24"/>
        </w:rPr>
        <w:t xml:space="preserve"> </w:t>
      </w:r>
      <w:r w:rsidRPr="00DA5293">
        <w:rPr>
          <w:rFonts w:ascii="Times New Roman" w:eastAsia="仿宋" w:hAnsi="Times New Roman" w:cs="Times New Roman"/>
          <w:sz w:val="24"/>
          <w:szCs w:val="24"/>
        </w:rPr>
        <w:sym w:font="Wingdings 2" w:char="F052"/>
      </w:r>
      <w:r w:rsidRPr="00DA5293">
        <w:rPr>
          <w:rFonts w:ascii="Times New Roman" w:eastAsia="仿宋" w:hAnsi="Times New Roman" w:cs="Times New Roman"/>
          <w:sz w:val="24"/>
          <w:szCs w:val="24"/>
        </w:rPr>
        <w:t>不适用</w:t>
      </w:r>
    </w:p>
    <w:p w:rsidR="007177F6" w:rsidRPr="00DA5293" w:rsidRDefault="00FB3D8D" w:rsidP="00DA5293">
      <w:pPr>
        <w:spacing w:beforeLines="50" w:before="156" w:afterLines="50" w:after="156"/>
        <w:rPr>
          <w:rFonts w:ascii="Times New Roman" w:eastAsia="仿宋" w:hAnsi="Times New Roman" w:cs="Times New Roman"/>
          <w:sz w:val="24"/>
          <w:szCs w:val="24"/>
        </w:rPr>
      </w:pPr>
      <w:r w:rsidRPr="00DA5293">
        <w:rPr>
          <w:rFonts w:ascii="Times New Roman" w:eastAsia="仿宋" w:hAnsi="Times New Roman" w:cs="Times New Roman"/>
          <w:sz w:val="24"/>
          <w:szCs w:val="24"/>
        </w:rPr>
        <w:t>公司报告期控股股东未发生变更。</w:t>
      </w:r>
    </w:p>
    <w:p w:rsidR="007177F6" w:rsidRPr="00DA5293" w:rsidRDefault="00FB3D8D" w:rsidP="00DA5293">
      <w:pPr>
        <w:spacing w:beforeLines="50" w:before="156" w:afterLines="50" w:after="156"/>
        <w:rPr>
          <w:rFonts w:ascii="Times New Roman" w:eastAsia="仿宋" w:hAnsi="Times New Roman" w:cs="Times New Roman"/>
          <w:sz w:val="24"/>
          <w:szCs w:val="24"/>
        </w:rPr>
      </w:pPr>
      <w:r w:rsidRPr="00DA5293">
        <w:rPr>
          <w:rFonts w:ascii="Times New Roman" w:eastAsia="仿宋" w:hAnsi="Times New Roman" w:cs="Times New Roman"/>
          <w:sz w:val="24"/>
          <w:szCs w:val="24"/>
        </w:rPr>
        <w:t>实际控制人报告期内变更</w:t>
      </w:r>
    </w:p>
    <w:p w:rsidR="007177F6" w:rsidRPr="00DA5293" w:rsidRDefault="00FB3D8D" w:rsidP="00DA5293">
      <w:pPr>
        <w:spacing w:beforeLines="50" w:before="156" w:afterLines="50" w:after="156"/>
        <w:rPr>
          <w:rFonts w:ascii="Times New Roman" w:eastAsia="仿宋" w:hAnsi="Times New Roman" w:cs="Times New Roman"/>
          <w:sz w:val="24"/>
          <w:szCs w:val="24"/>
        </w:rPr>
      </w:pPr>
      <w:r w:rsidRPr="00DA5293">
        <w:rPr>
          <w:rFonts w:ascii="Times New Roman" w:eastAsia="仿宋" w:hAnsi="Times New Roman" w:cs="Times New Roman"/>
          <w:sz w:val="24"/>
          <w:szCs w:val="24"/>
        </w:rPr>
        <w:t>□</w:t>
      </w:r>
      <w:r w:rsidRPr="00DA5293">
        <w:rPr>
          <w:rFonts w:ascii="Times New Roman" w:eastAsia="仿宋" w:hAnsi="Times New Roman" w:cs="Times New Roman"/>
          <w:sz w:val="24"/>
          <w:szCs w:val="24"/>
        </w:rPr>
        <w:t>适用</w:t>
      </w:r>
      <w:r w:rsidRPr="00DA5293">
        <w:rPr>
          <w:rFonts w:ascii="Times New Roman" w:eastAsia="仿宋" w:hAnsi="Times New Roman" w:cs="Times New Roman"/>
          <w:sz w:val="24"/>
          <w:szCs w:val="24"/>
        </w:rPr>
        <w:t xml:space="preserve"> </w:t>
      </w:r>
      <w:r w:rsidRPr="00DA5293">
        <w:rPr>
          <w:rFonts w:ascii="Times New Roman" w:eastAsia="仿宋" w:hAnsi="Times New Roman" w:cs="Times New Roman"/>
          <w:sz w:val="24"/>
          <w:szCs w:val="24"/>
        </w:rPr>
        <w:sym w:font="Wingdings 2" w:char="F052"/>
      </w:r>
      <w:r w:rsidRPr="00DA5293">
        <w:rPr>
          <w:rFonts w:ascii="Times New Roman" w:eastAsia="仿宋" w:hAnsi="Times New Roman" w:cs="Times New Roman"/>
          <w:sz w:val="24"/>
          <w:szCs w:val="24"/>
        </w:rPr>
        <w:t>不适用</w:t>
      </w:r>
    </w:p>
    <w:p w:rsidR="007177F6" w:rsidRPr="00DA5293" w:rsidRDefault="00FB3D8D" w:rsidP="00DA5293">
      <w:pPr>
        <w:spacing w:beforeLines="50" w:before="156" w:afterLines="50" w:after="156"/>
        <w:rPr>
          <w:rFonts w:ascii="Times New Roman" w:eastAsia="仿宋" w:hAnsi="Times New Roman" w:cs="Times New Roman"/>
          <w:sz w:val="24"/>
          <w:szCs w:val="24"/>
        </w:rPr>
      </w:pPr>
      <w:r w:rsidRPr="00DA5293">
        <w:rPr>
          <w:rFonts w:ascii="Times New Roman" w:eastAsia="仿宋" w:hAnsi="Times New Roman" w:cs="Times New Roman"/>
          <w:sz w:val="24"/>
          <w:szCs w:val="24"/>
        </w:rPr>
        <w:t>公司报告期实际控制人未发生变更。</w:t>
      </w:r>
    </w:p>
    <w:p w:rsidR="007177F6" w:rsidRPr="00CE4CF2" w:rsidRDefault="00FB3D8D" w:rsidP="00CE4CF2">
      <w:pPr>
        <w:pStyle w:val="2"/>
        <w:spacing w:before="0" w:after="0" w:line="288" w:lineRule="auto"/>
        <w:jc w:val="both"/>
        <w:rPr>
          <w:rFonts w:ascii="Times New Roman" w:eastAsia="仿宋" w:hAnsi="Times New Roman" w:cs="Times New Roman"/>
          <w:b/>
          <w:bCs/>
          <w:kern w:val="0"/>
          <w:sz w:val="28"/>
          <w:szCs w:val="24"/>
        </w:rPr>
      </w:pPr>
      <w:bookmarkStart w:id="6" w:name="_Toc988895"/>
      <w:r w:rsidRPr="00CE4CF2">
        <w:rPr>
          <w:rFonts w:ascii="Times New Roman" w:eastAsia="仿宋" w:hAnsi="Times New Roman" w:cs="Times New Roman"/>
          <w:b/>
          <w:bCs/>
          <w:kern w:val="0"/>
          <w:sz w:val="28"/>
          <w:szCs w:val="24"/>
        </w:rPr>
        <w:t>5</w:t>
      </w:r>
      <w:r w:rsidRPr="00CE4CF2">
        <w:rPr>
          <w:rFonts w:ascii="Times New Roman" w:eastAsia="仿宋" w:hAnsi="Times New Roman" w:cs="Times New Roman"/>
          <w:b/>
          <w:bCs/>
          <w:kern w:val="0"/>
          <w:sz w:val="28"/>
          <w:szCs w:val="24"/>
        </w:rPr>
        <w:t>、公司优先股股东总数及前</w:t>
      </w:r>
      <w:r w:rsidRPr="00CE4CF2">
        <w:rPr>
          <w:rFonts w:ascii="Times New Roman" w:eastAsia="仿宋" w:hAnsi="Times New Roman" w:cs="Times New Roman"/>
          <w:b/>
          <w:bCs/>
          <w:kern w:val="0"/>
          <w:sz w:val="28"/>
          <w:szCs w:val="24"/>
        </w:rPr>
        <w:t>10</w:t>
      </w:r>
      <w:r w:rsidRPr="00CE4CF2">
        <w:rPr>
          <w:rFonts w:ascii="Times New Roman" w:eastAsia="仿宋" w:hAnsi="Times New Roman" w:cs="Times New Roman"/>
          <w:b/>
          <w:bCs/>
          <w:kern w:val="0"/>
          <w:sz w:val="28"/>
          <w:szCs w:val="24"/>
        </w:rPr>
        <w:t>名优先股股东持股情况表</w:t>
      </w:r>
      <w:bookmarkEnd w:id="6"/>
    </w:p>
    <w:p w:rsidR="007177F6" w:rsidRPr="00DA5293" w:rsidRDefault="00FB3D8D" w:rsidP="00DA5293">
      <w:pPr>
        <w:spacing w:beforeLines="50" w:before="156" w:afterLines="50" w:after="156"/>
        <w:rPr>
          <w:rFonts w:ascii="Times New Roman" w:eastAsia="仿宋" w:hAnsi="Times New Roman" w:cs="Times New Roman"/>
          <w:sz w:val="24"/>
          <w:szCs w:val="24"/>
        </w:rPr>
      </w:pPr>
      <w:r w:rsidRPr="00DA5293">
        <w:rPr>
          <w:rFonts w:ascii="Times New Roman" w:eastAsia="仿宋" w:hAnsi="Times New Roman" w:cs="Times New Roman"/>
          <w:sz w:val="24"/>
          <w:szCs w:val="24"/>
        </w:rPr>
        <w:t>公司报告期无优先股股东持股情况。</w:t>
      </w:r>
    </w:p>
    <w:p w:rsidR="007177F6" w:rsidRPr="00CE4CF2" w:rsidRDefault="00FB3D8D" w:rsidP="00CE4CF2">
      <w:pPr>
        <w:pStyle w:val="2"/>
        <w:spacing w:before="0" w:after="0" w:line="288" w:lineRule="auto"/>
        <w:jc w:val="both"/>
        <w:rPr>
          <w:rFonts w:ascii="Times New Roman" w:eastAsia="仿宋" w:hAnsi="Times New Roman" w:cs="Times New Roman"/>
          <w:b/>
          <w:bCs/>
          <w:kern w:val="0"/>
          <w:sz w:val="28"/>
          <w:szCs w:val="24"/>
        </w:rPr>
      </w:pPr>
      <w:bookmarkStart w:id="7" w:name="_Toc988896"/>
      <w:r w:rsidRPr="00CE4CF2">
        <w:rPr>
          <w:rFonts w:ascii="Times New Roman" w:eastAsia="仿宋" w:hAnsi="Times New Roman" w:cs="Times New Roman"/>
          <w:b/>
          <w:bCs/>
          <w:kern w:val="0"/>
          <w:sz w:val="28"/>
          <w:szCs w:val="24"/>
        </w:rPr>
        <w:t>6</w:t>
      </w:r>
      <w:r w:rsidRPr="00CE4CF2">
        <w:rPr>
          <w:rFonts w:ascii="Times New Roman" w:eastAsia="仿宋" w:hAnsi="Times New Roman" w:cs="Times New Roman"/>
          <w:b/>
          <w:bCs/>
          <w:kern w:val="0"/>
          <w:sz w:val="28"/>
          <w:szCs w:val="24"/>
        </w:rPr>
        <w:t>、在半年度报告批准报出日存续的债券情况</w:t>
      </w:r>
      <w:bookmarkEnd w:id="7"/>
    </w:p>
    <w:p w:rsidR="007177F6" w:rsidRPr="00DA5293" w:rsidRDefault="00FB3D8D" w:rsidP="00DA5293">
      <w:pPr>
        <w:spacing w:beforeLines="50" w:before="156" w:afterLines="50" w:after="156"/>
        <w:rPr>
          <w:rFonts w:ascii="Times New Roman" w:eastAsia="仿宋" w:hAnsi="Times New Roman" w:cs="Times New Roman"/>
          <w:sz w:val="24"/>
          <w:szCs w:val="24"/>
        </w:rPr>
      </w:pPr>
      <w:r w:rsidRPr="00DA5293">
        <w:rPr>
          <w:rFonts w:ascii="Times New Roman" w:eastAsia="仿宋" w:hAnsi="Times New Roman" w:cs="Times New Roman"/>
          <w:sz w:val="24"/>
          <w:szCs w:val="24"/>
        </w:rPr>
        <w:t>□</w:t>
      </w:r>
      <w:r w:rsidRPr="00DA5293">
        <w:rPr>
          <w:rFonts w:ascii="Times New Roman" w:eastAsia="仿宋" w:hAnsi="Times New Roman" w:cs="Times New Roman"/>
          <w:sz w:val="24"/>
          <w:szCs w:val="24"/>
        </w:rPr>
        <w:t>适用</w:t>
      </w:r>
      <w:r w:rsidRPr="00DA5293">
        <w:rPr>
          <w:rFonts w:ascii="Times New Roman" w:eastAsia="仿宋" w:hAnsi="Times New Roman" w:cs="Times New Roman"/>
          <w:sz w:val="24"/>
          <w:szCs w:val="24"/>
        </w:rPr>
        <w:t xml:space="preserve"> </w:t>
      </w:r>
      <w:r w:rsidRPr="00DA5293">
        <w:rPr>
          <w:rFonts w:ascii="Times New Roman" w:eastAsia="仿宋" w:hAnsi="Times New Roman" w:cs="Times New Roman"/>
          <w:sz w:val="24"/>
          <w:szCs w:val="24"/>
        </w:rPr>
        <w:sym w:font="Wingdings 2" w:char="F052"/>
      </w:r>
      <w:r w:rsidRPr="00DA5293">
        <w:rPr>
          <w:rFonts w:ascii="Times New Roman" w:eastAsia="仿宋" w:hAnsi="Times New Roman" w:cs="Times New Roman"/>
          <w:sz w:val="24"/>
          <w:szCs w:val="24"/>
        </w:rPr>
        <w:t>不适用</w:t>
      </w:r>
    </w:p>
    <w:p w:rsidR="007177F6" w:rsidRPr="00CE4CF2" w:rsidRDefault="00FB3D8D" w:rsidP="00CE4CF2">
      <w:pPr>
        <w:pStyle w:val="2"/>
        <w:spacing w:before="0" w:after="0" w:line="288" w:lineRule="auto"/>
        <w:jc w:val="both"/>
        <w:rPr>
          <w:rFonts w:ascii="Times New Roman" w:eastAsia="仿宋" w:hAnsi="Times New Roman" w:cs="Times New Roman"/>
          <w:b/>
          <w:bCs/>
          <w:kern w:val="0"/>
          <w:sz w:val="28"/>
          <w:szCs w:val="24"/>
        </w:rPr>
      </w:pPr>
      <w:bookmarkStart w:id="8" w:name="_Toc988897"/>
      <w:r w:rsidRPr="00CE4CF2">
        <w:rPr>
          <w:rFonts w:ascii="Times New Roman" w:eastAsia="仿宋" w:hAnsi="Times New Roman" w:cs="Times New Roman"/>
          <w:b/>
          <w:bCs/>
          <w:kern w:val="0"/>
          <w:sz w:val="28"/>
          <w:szCs w:val="24"/>
        </w:rPr>
        <w:t>三、重要事项</w:t>
      </w:r>
      <w:bookmarkEnd w:id="8"/>
    </w:p>
    <w:p w:rsidR="00444E10" w:rsidRPr="00DA5293" w:rsidRDefault="00FB3D8D" w:rsidP="00DA5293">
      <w:pPr>
        <w:spacing w:beforeLines="50" w:before="156" w:afterLines="50" w:after="156"/>
        <w:ind w:firstLineChars="200" w:firstLine="480"/>
        <w:divId w:val="1739742985"/>
        <w:rPr>
          <w:rFonts w:ascii="Times New Roman" w:eastAsia="仿宋" w:hAnsi="Times New Roman" w:cs="Times New Roman"/>
          <w:sz w:val="24"/>
          <w:szCs w:val="24"/>
        </w:rPr>
      </w:pPr>
      <w:r w:rsidRPr="00DA5293">
        <w:rPr>
          <w:rFonts w:ascii="Times New Roman" w:eastAsia="仿宋" w:hAnsi="Times New Roman" w:cs="Times New Roman"/>
          <w:sz w:val="24"/>
          <w:szCs w:val="24"/>
        </w:rPr>
        <w:t>（一）关于发行股份及支付现金购买资产并募集配套资金暨关联交易事项</w:t>
      </w:r>
    </w:p>
    <w:p w:rsidR="00444E10" w:rsidRPr="00DA5293" w:rsidRDefault="00FB3D8D" w:rsidP="00DA5293">
      <w:pPr>
        <w:spacing w:beforeLines="50" w:before="156" w:afterLines="50" w:after="156"/>
        <w:ind w:firstLineChars="200" w:firstLine="480"/>
        <w:divId w:val="1739742985"/>
        <w:rPr>
          <w:rFonts w:ascii="Times New Roman" w:eastAsia="仿宋" w:hAnsi="Times New Roman" w:cs="Times New Roman"/>
          <w:sz w:val="24"/>
          <w:szCs w:val="24"/>
        </w:rPr>
      </w:pPr>
      <w:r w:rsidRPr="00DA5293">
        <w:rPr>
          <w:rFonts w:ascii="Times New Roman" w:eastAsia="仿宋" w:hAnsi="Times New Roman" w:cs="Times New Roman"/>
          <w:sz w:val="24"/>
          <w:szCs w:val="24"/>
        </w:rPr>
        <w:t>天亿马拟以发行股份及支付现金的方式向陈耿豪、南通成为常青股权投资合伙企业（有限合伙）等共</w:t>
      </w:r>
      <w:r w:rsidRPr="00DA5293">
        <w:rPr>
          <w:rFonts w:ascii="Times New Roman" w:eastAsia="仿宋" w:hAnsi="Times New Roman" w:cs="Times New Roman"/>
          <w:sz w:val="24"/>
          <w:szCs w:val="24"/>
        </w:rPr>
        <w:t>22</w:t>
      </w:r>
      <w:r w:rsidRPr="00DA5293">
        <w:rPr>
          <w:rFonts w:ascii="Times New Roman" w:eastAsia="仿宋" w:hAnsi="Times New Roman" w:cs="Times New Roman"/>
          <w:sz w:val="24"/>
          <w:szCs w:val="24"/>
        </w:rPr>
        <w:t>名交易对方购买其合计持有的星云开物</w:t>
      </w:r>
      <w:r w:rsidRPr="00DA5293">
        <w:rPr>
          <w:rFonts w:ascii="Times New Roman" w:eastAsia="仿宋" w:hAnsi="Times New Roman" w:cs="Times New Roman"/>
          <w:sz w:val="24"/>
          <w:szCs w:val="24"/>
        </w:rPr>
        <w:t>100%</w:t>
      </w:r>
      <w:r w:rsidRPr="00DA5293">
        <w:rPr>
          <w:rFonts w:ascii="Times New Roman" w:eastAsia="仿宋" w:hAnsi="Times New Roman" w:cs="Times New Roman"/>
          <w:sz w:val="24"/>
          <w:szCs w:val="24"/>
        </w:rPr>
        <w:t>的股权。其中，天亿马以支付现金方式购买交易对方合法持有的星云开物</w:t>
      </w:r>
      <w:r w:rsidRPr="00DA5293">
        <w:rPr>
          <w:rFonts w:ascii="Times New Roman" w:eastAsia="仿宋" w:hAnsi="Times New Roman" w:cs="Times New Roman"/>
          <w:sz w:val="24"/>
          <w:szCs w:val="24"/>
        </w:rPr>
        <w:t>51%</w:t>
      </w:r>
      <w:r w:rsidRPr="00DA5293">
        <w:rPr>
          <w:rFonts w:ascii="Times New Roman" w:eastAsia="仿宋" w:hAnsi="Times New Roman" w:cs="Times New Roman"/>
          <w:sz w:val="24"/>
          <w:szCs w:val="24"/>
        </w:rPr>
        <w:t>股权；以发行股份方式购买交易对方合法持有的星云开物</w:t>
      </w:r>
      <w:r w:rsidRPr="00DA5293">
        <w:rPr>
          <w:rFonts w:ascii="Times New Roman" w:eastAsia="仿宋" w:hAnsi="Times New Roman" w:cs="Times New Roman"/>
          <w:sz w:val="24"/>
          <w:szCs w:val="24"/>
        </w:rPr>
        <w:t>49%</w:t>
      </w:r>
      <w:r w:rsidRPr="00DA5293">
        <w:rPr>
          <w:rFonts w:ascii="Times New Roman" w:eastAsia="仿宋" w:hAnsi="Times New Roman" w:cs="Times New Roman"/>
          <w:sz w:val="24"/>
          <w:szCs w:val="24"/>
        </w:rPr>
        <w:t>股权。本次交易前，天亿马未持有星云开物股权；本次交易完成后，星云开物将成为天亿马的全资子公司，纳入天亿马合并财务报表范围。</w:t>
      </w:r>
    </w:p>
    <w:p w:rsidR="00444E10" w:rsidRDefault="00FB3D8D" w:rsidP="00DA5293">
      <w:pPr>
        <w:spacing w:beforeLines="50" w:before="156" w:afterLines="50" w:after="156"/>
        <w:ind w:firstLineChars="200" w:firstLine="480"/>
        <w:divId w:val="1739742985"/>
        <w:rPr>
          <w:rFonts w:ascii="Times New Roman" w:eastAsia="仿宋" w:hAnsi="Times New Roman" w:cs="Times New Roman"/>
          <w:sz w:val="24"/>
          <w:szCs w:val="24"/>
        </w:rPr>
      </w:pPr>
      <w:r w:rsidRPr="00DA5293">
        <w:rPr>
          <w:rFonts w:ascii="Times New Roman" w:eastAsia="仿宋" w:hAnsi="Times New Roman" w:cs="Times New Roman"/>
          <w:sz w:val="24"/>
          <w:szCs w:val="24"/>
        </w:rPr>
        <w:t>本次交易预案已经公司第三届董事会第三十二次会议、第三届监事会第二十八次会议审议通过。待审计、评估及尽职调查等工作完成后，公司将再次召开董事会审议本次交易相关的议案，提交公司股东会审议通过，并经深圳证券交易所审核同意及中国证监会注册</w:t>
      </w:r>
      <w:r w:rsidRPr="00DA5293">
        <w:rPr>
          <w:rFonts w:ascii="Times New Roman" w:eastAsia="仿宋" w:hAnsi="Times New Roman" w:cs="Times New Roman"/>
          <w:sz w:val="24"/>
          <w:szCs w:val="24"/>
        </w:rPr>
        <w:lastRenderedPageBreak/>
        <w:t>后方可正式实施。</w:t>
      </w:r>
      <w:r w:rsidR="00573D75" w:rsidRPr="00573D75">
        <w:rPr>
          <w:rFonts w:ascii="Times New Roman" w:eastAsia="仿宋" w:hAnsi="Times New Roman" w:cs="Times New Roman" w:hint="eastAsia"/>
          <w:sz w:val="24"/>
          <w:szCs w:val="24"/>
        </w:rPr>
        <w:t>该事项尚</w:t>
      </w:r>
      <w:bookmarkStart w:id="9" w:name="_GoBack"/>
      <w:bookmarkEnd w:id="9"/>
      <w:r w:rsidR="00573D75" w:rsidRPr="00573D75">
        <w:rPr>
          <w:rFonts w:ascii="Times New Roman" w:eastAsia="仿宋" w:hAnsi="Times New Roman" w:cs="Times New Roman" w:hint="eastAsia"/>
          <w:sz w:val="24"/>
          <w:szCs w:val="24"/>
        </w:rPr>
        <w:t>存在不确定性，请投资者注意投资风险。</w:t>
      </w:r>
    </w:p>
    <w:p w:rsidR="00450E59" w:rsidRDefault="00450E59" w:rsidP="00450E59">
      <w:pPr>
        <w:pStyle w:val="a3"/>
        <w:spacing w:before="120" w:beforeAutospacing="0" w:after="120" w:afterAutospacing="0" w:line="288" w:lineRule="auto"/>
        <w:ind w:firstLine="480"/>
        <w:jc w:val="right"/>
        <w:divId w:val="1739742985"/>
        <w:rPr>
          <w:rFonts w:ascii="仿宋" w:eastAsia="仿宋" w:hAnsi="仿宋" w:cs="仿宋"/>
          <w:color w:val="000000"/>
        </w:rPr>
      </w:pPr>
      <w:r w:rsidRPr="003B4DCF">
        <w:rPr>
          <w:rFonts w:ascii="仿宋" w:eastAsia="仿宋" w:hAnsi="仿宋" w:cs="仿宋" w:hint="eastAsia"/>
          <w:color w:val="000000"/>
        </w:rPr>
        <w:t>广东天亿马信息产业股份有限公司</w:t>
      </w:r>
    </w:p>
    <w:p w:rsidR="00450E59" w:rsidRPr="003B4DCF" w:rsidRDefault="00450E59" w:rsidP="00450E59">
      <w:pPr>
        <w:pStyle w:val="a3"/>
        <w:spacing w:before="120" w:beforeAutospacing="0" w:after="120" w:afterAutospacing="0" w:line="288" w:lineRule="auto"/>
        <w:ind w:right="480" w:firstLine="480"/>
        <w:jc w:val="right"/>
        <w:divId w:val="1739742985"/>
        <w:rPr>
          <w:rFonts w:ascii="仿宋" w:eastAsia="仿宋" w:hAnsi="仿宋" w:cs="仿宋"/>
          <w:color w:val="000000"/>
        </w:rPr>
      </w:pPr>
      <w:r>
        <w:rPr>
          <w:rFonts w:ascii="仿宋" w:eastAsia="仿宋" w:hAnsi="仿宋" w:cs="仿宋" w:hint="eastAsia"/>
          <w:color w:val="000000"/>
        </w:rPr>
        <w:t>董事会</w:t>
      </w:r>
    </w:p>
    <w:p w:rsidR="00450E59" w:rsidRPr="003B4DCF" w:rsidRDefault="00450E59" w:rsidP="00450E59">
      <w:pPr>
        <w:pStyle w:val="a3"/>
        <w:spacing w:before="120" w:beforeAutospacing="0" w:after="120" w:afterAutospacing="0" w:line="288" w:lineRule="auto"/>
        <w:ind w:firstLine="480"/>
        <w:jc w:val="right"/>
        <w:divId w:val="1739742985"/>
        <w:rPr>
          <w:rFonts w:ascii="仿宋" w:eastAsia="仿宋" w:hAnsi="仿宋" w:cs="仿宋"/>
          <w:color w:val="000000"/>
        </w:rPr>
      </w:pPr>
      <w:r w:rsidRPr="003B4DCF">
        <w:rPr>
          <w:rFonts w:ascii="仿宋" w:eastAsia="仿宋" w:hAnsi="仿宋" w:cs="仿宋" w:hint="eastAsia"/>
          <w:color w:val="000000"/>
        </w:rPr>
        <w:t>2025年</w:t>
      </w:r>
      <w:r w:rsidR="005535F1">
        <w:rPr>
          <w:rFonts w:ascii="仿宋" w:eastAsia="仿宋" w:hAnsi="仿宋" w:cs="仿宋" w:hint="eastAsia"/>
          <w:color w:val="000000"/>
        </w:rPr>
        <w:t>8</w:t>
      </w:r>
      <w:r w:rsidRPr="003B4DCF">
        <w:rPr>
          <w:rFonts w:ascii="仿宋" w:eastAsia="仿宋" w:hAnsi="仿宋" w:cs="仿宋" w:hint="eastAsia"/>
          <w:color w:val="000000"/>
        </w:rPr>
        <w:t>月2</w:t>
      </w:r>
      <w:r w:rsidR="005535F1">
        <w:rPr>
          <w:rFonts w:ascii="仿宋" w:eastAsia="仿宋" w:hAnsi="仿宋" w:cs="仿宋" w:hint="eastAsia"/>
          <w:color w:val="000000"/>
        </w:rPr>
        <w:t>9</w:t>
      </w:r>
      <w:r w:rsidRPr="003B4DCF">
        <w:rPr>
          <w:rFonts w:ascii="仿宋" w:eastAsia="仿宋" w:hAnsi="仿宋" w:cs="仿宋" w:hint="eastAsia"/>
          <w:color w:val="000000"/>
        </w:rPr>
        <w:t>日</w:t>
      </w:r>
    </w:p>
    <w:p w:rsidR="00450E59" w:rsidRPr="00DA5293" w:rsidRDefault="00450E59" w:rsidP="00DA5293">
      <w:pPr>
        <w:spacing w:beforeLines="50" w:before="156" w:afterLines="50" w:after="156"/>
        <w:ind w:firstLineChars="200" w:firstLine="480"/>
        <w:divId w:val="1739742985"/>
        <w:rPr>
          <w:rFonts w:ascii="Times New Roman" w:eastAsia="仿宋" w:hAnsi="Times New Roman" w:cs="Times New Roman"/>
          <w:sz w:val="24"/>
          <w:szCs w:val="24"/>
        </w:rPr>
      </w:pPr>
    </w:p>
    <w:sectPr w:rsidR="00450E59" w:rsidRPr="00DA5293">
      <w:headerReference w:type="default" r:id="rId7"/>
      <w:footerReference w:type="default" r:id="rId8"/>
      <w:pgSz w:w="11905" w:h="16840"/>
      <w:pgMar w:top="1440" w:right="1134" w:bottom="1440" w:left="1134" w:header="850"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3B87" w:rsidRDefault="002F3B87">
      <w:r>
        <w:separator/>
      </w:r>
    </w:p>
  </w:endnote>
  <w:endnote w:type="continuationSeparator" w:id="0">
    <w:p w:rsidR="002F3B87" w:rsidRDefault="002F3B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77F6" w:rsidRDefault="00FB3D8D">
    <w:pPr>
      <w:pStyle w:val="fotter1"/>
    </w:pPr>
    <w:r>
      <w:fldChar w:fldCharType="begin"/>
    </w:r>
    <w:r>
      <w:instrText>PAGE   \* MERGEFORMAT</w:instrText>
    </w:r>
    <w:r>
      <w:fldChar w:fldCharType="separate"/>
    </w:r>
    <w:r w:rsidR="00DA0D38">
      <w:rPr>
        <w:noProof/>
      </w:rPr>
      <w:t>4</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3B87" w:rsidRDefault="002F3B87">
      <w:r>
        <w:separator/>
      </w:r>
    </w:p>
  </w:footnote>
  <w:footnote w:type="continuationSeparator" w:id="0">
    <w:p w:rsidR="002F3B87" w:rsidRDefault="002F3B8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77F6" w:rsidRDefault="00FB3D8D">
    <w:pPr>
      <w:pStyle w:val="Header1"/>
      <w:pBdr>
        <w:bottom w:val="single" w:sz="6" w:space="1" w:color="auto"/>
      </w:pBdr>
    </w:pPr>
    <w:r>
      <w:t>广东天亿马信息产业股份有限公司2025年半年度报告摘要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7177F6"/>
    <w:rsid w:val="002F3B87"/>
    <w:rsid w:val="00444E10"/>
    <w:rsid w:val="00450E59"/>
    <w:rsid w:val="005535F1"/>
    <w:rsid w:val="00573D75"/>
    <w:rsid w:val="00600797"/>
    <w:rsid w:val="007177F6"/>
    <w:rsid w:val="00CE4CF2"/>
    <w:rsid w:val="00DA0D38"/>
    <w:rsid w:val="00DA5293"/>
    <w:rsid w:val="00FB3D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2">
    <w:name w:val="heading 2"/>
    <w:basedOn w:val="a"/>
    <w:next w:val="a"/>
    <w:uiPriority w:val="9"/>
    <w:unhideWhenUsed/>
    <w:qFormat/>
    <w:pPr>
      <w:keepNext/>
      <w:keepLines/>
      <w:spacing w:before="156" w:after="156"/>
      <w:outlineLvl w:val="1"/>
    </w:pPr>
    <w:rPr>
      <w:szCs w:val="21"/>
    </w:rPr>
  </w:style>
  <w:style w:type="paragraph" w:styleId="3">
    <w:name w:val="heading 3"/>
    <w:basedOn w:val="a"/>
    <w:next w:val="a"/>
    <w:uiPriority w:val="99"/>
    <w:qFormat/>
    <w:rsid w:val="00B74129"/>
    <w:pPr>
      <w:keepNext/>
      <w:keepLines/>
      <w:spacing w:before="300" w:after="300" w:line="241" w:lineRule="auto"/>
      <w:jc w:val="both"/>
      <w:outlineLvl w:val="2"/>
    </w:pPr>
    <w:rPr>
      <w:rFonts w:eastAsia="宋体"/>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er1">
    <w:name w:val="Header 1"/>
    <w:pPr>
      <w:jc w:val="right"/>
    </w:pPr>
    <w:rPr>
      <w:rFonts w:ascii="宋体" w:eastAsia="宋体"/>
      <w:sz w:val="18"/>
      <w:szCs w:val="18"/>
    </w:rPr>
  </w:style>
  <w:style w:type="paragraph" w:customStyle="1" w:styleId="headingh1">
    <w:name w:val="heading h1"/>
    <w:basedOn w:val="a"/>
    <w:next w:val="a"/>
    <w:uiPriority w:val="9"/>
    <w:qFormat/>
    <w:pPr>
      <w:keepNext/>
      <w:keepLines/>
      <w:spacing w:before="240" w:after="240" w:line="578" w:lineRule="auto"/>
      <w:outlineLvl w:val="0"/>
    </w:pPr>
    <w:rPr>
      <w:kern w:val="44"/>
      <w:sz w:val="44"/>
      <w:szCs w:val="44"/>
    </w:rPr>
  </w:style>
  <w:style w:type="paragraph" w:customStyle="1" w:styleId="fotter1">
    <w:name w:val="fotter 1"/>
    <w:pPr>
      <w:jc w:val="right"/>
    </w:pPr>
    <w:rPr>
      <w:rFonts w:ascii="宋体" w:eastAsia="宋体"/>
      <w:sz w:val="18"/>
      <w:szCs w:val="18"/>
    </w:rPr>
  </w:style>
  <w:style w:type="paragraph" w:styleId="1">
    <w:name w:val="toc 1"/>
    <w:basedOn w:val="a"/>
    <w:next w:val="a"/>
    <w:autoRedefine/>
    <w:uiPriority w:val="39"/>
  </w:style>
  <w:style w:type="paragraph" w:styleId="20">
    <w:name w:val="toc 2"/>
    <w:basedOn w:val="a"/>
    <w:next w:val="a"/>
    <w:autoRedefine/>
    <w:uiPriority w:val="39"/>
    <w:unhideWhenUsed/>
    <w:pPr>
      <w:ind w:leftChars="200" w:left="420"/>
    </w:pPr>
  </w:style>
  <w:style w:type="paragraph" w:styleId="a3">
    <w:name w:val="Normal (Web)"/>
    <w:basedOn w:val="a"/>
    <w:unhideWhenUsed/>
    <w:pPr>
      <w:widowControl/>
      <w:spacing w:before="100" w:beforeAutospacing="1" w:after="100" w:afterAutospacing="1"/>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2">
    <w:name w:val="heading 2"/>
    <w:basedOn w:val="a"/>
    <w:next w:val="a"/>
    <w:uiPriority w:val="9"/>
    <w:unhideWhenUsed/>
    <w:qFormat/>
    <w:pPr>
      <w:keepNext/>
      <w:keepLines/>
      <w:spacing w:before="156" w:after="156"/>
      <w:outlineLvl w:val="1"/>
    </w:pPr>
    <w:rPr>
      <w:szCs w:val="21"/>
    </w:rPr>
  </w:style>
  <w:style w:type="paragraph" w:styleId="3">
    <w:name w:val="heading 3"/>
    <w:basedOn w:val="a"/>
    <w:next w:val="a"/>
    <w:uiPriority w:val="99"/>
    <w:qFormat/>
    <w:rsid w:val="00B74129"/>
    <w:pPr>
      <w:keepNext/>
      <w:keepLines/>
      <w:spacing w:before="300" w:after="300" w:line="241" w:lineRule="auto"/>
      <w:jc w:val="both"/>
      <w:outlineLvl w:val="2"/>
    </w:pPr>
    <w:rPr>
      <w:rFonts w:eastAsia="宋体"/>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er1">
    <w:name w:val="Header 1"/>
    <w:pPr>
      <w:jc w:val="right"/>
    </w:pPr>
    <w:rPr>
      <w:rFonts w:ascii="宋体" w:eastAsia="宋体"/>
      <w:sz w:val="18"/>
      <w:szCs w:val="18"/>
    </w:rPr>
  </w:style>
  <w:style w:type="paragraph" w:customStyle="1" w:styleId="headingh1">
    <w:name w:val="heading h1"/>
    <w:basedOn w:val="a"/>
    <w:next w:val="a"/>
    <w:uiPriority w:val="9"/>
    <w:qFormat/>
    <w:pPr>
      <w:keepNext/>
      <w:keepLines/>
      <w:spacing w:before="240" w:after="240" w:line="578" w:lineRule="auto"/>
      <w:outlineLvl w:val="0"/>
    </w:pPr>
    <w:rPr>
      <w:kern w:val="44"/>
      <w:sz w:val="44"/>
      <w:szCs w:val="44"/>
    </w:rPr>
  </w:style>
  <w:style w:type="paragraph" w:customStyle="1" w:styleId="fotter1">
    <w:name w:val="fotter 1"/>
    <w:pPr>
      <w:jc w:val="right"/>
    </w:pPr>
    <w:rPr>
      <w:rFonts w:ascii="宋体" w:eastAsia="宋体"/>
      <w:sz w:val="18"/>
      <w:szCs w:val="18"/>
    </w:rPr>
  </w:style>
  <w:style w:type="paragraph" w:styleId="1">
    <w:name w:val="toc 1"/>
    <w:basedOn w:val="a"/>
    <w:next w:val="a"/>
    <w:autoRedefine/>
    <w:uiPriority w:val="39"/>
  </w:style>
  <w:style w:type="paragraph" w:styleId="20">
    <w:name w:val="toc 2"/>
    <w:basedOn w:val="a"/>
    <w:next w:val="a"/>
    <w:autoRedefine/>
    <w:uiPriority w:val="39"/>
    <w:unhideWhenUsed/>
    <w:pPr>
      <w:ind w:leftChars="200" w:left="420"/>
    </w:pPr>
  </w:style>
  <w:style w:type="paragraph" w:styleId="a3">
    <w:name w:val="Normal (Web)"/>
    <w:basedOn w:val="a"/>
    <w:unhideWhenUsed/>
    <w:pPr>
      <w:widowControl/>
      <w:spacing w:before="100" w:beforeAutospacing="1" w:after="100" w:afterAutospacing="1"/>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97429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5</Pages>
  <Words>422</Words>
  <Characters>2408</Characters>
  <Application>Microsoft Office Word</Application>
  <DocSecurity>0</DocSecurity>
  <Lines>20</Lines>
  <Paragraphs>5</Paragraphs>
  <ScaleCrop>false</ScaleCrop>
  <Company>Microsoft</Company>
  <LinksUpToDate>false</LinksUpToDate>
  <CharactersWithSpaces>2825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hsq</cp:lastModifiedBy>
  <cp:revision>8</cp:revision>
  <dcterms:created xsi:type="dcterms:W3CDTF">2025-08-27T13:06:00Z</dcterms:created>
  <dcterms:modified xsi:type="dcterms:W3CDTF">2025-08-28T02:12:00Z</dcterms:modified>
</cp:coreProperties>
</file>