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3ECC61" w14:textId="5376BB49" w:rsidR="000F5022" w:rsidRDefault="00EE225D">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公告编号：2025-0</w:t>
      </w:r>
      <w:r w:rsidR="00F66EB5">
        <w:rPr>
          <w:rFonts w:ascii="仿宋" w:eastAsia="仿宋" w:hAnsi="仿宋" w:cs="Times New Roman" w:hint="eastAsia"/>
          <w:sz w:val="28"/>
          <w:szCs w:val="20"/>
          <w:lang w:eastAsia="zh-CN"/>
        </w:rPr>
        <w:t>85</w:t>
      </w:r>
    </w:p>
    <w:p w14:paraId="41339C99" w14:textId="77777777" w:rsidR="000F5022" w:rsidRDefault="00EE225D">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77777777" w:rsidR="000F5022" w:rsidRDefault="00EE225D">
      <w:pPr>
        <w:widowControl w:val="0"/>
        <w:kinsoku/>
        <w:snapToGrid/>
        <w:spacing w:line="360" w:lineRule="auto"/>
        <w:jc w:val="center"/>
        <w:textAlignment w:val="auto"/>
        <w:rPr>
          <w:rFonts w:ascii="宋体" w:eastAsia="宋体" w:hAnsi="宋体" w:cs="宋体"/>
          <w:sz w:val="30"/>
          <w:szCs w:val="30"/>
        </w:rPr>
      </w:pPr>
      <w:r>
        <w:rPr>
          <w:rFonts w:ascii="黑体" w:eastAsia="黑体" w:hAnsi="黑体" w:cs="Times New Roman" w:hint="eastAsia"/>
          <w:snapToGrid/>
          <w:kern w:val="2"/>
          <w:sz w:val="36"/>
          <w:szCs w:val="36"/>
          <w:lang w:eastAsia="zh-CN"/>
        </w:rPr>
        <w:t>关于重大资产重组事项的进展公告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0F5022" w14:paraId="5A9F8D6B" w14:textId="77777777">
        <w:trPr>
          <w:trHeight w:val="776"/>
        </w:trPr>
        <w:tc>
          <w:tcPr>
            <w:tcW w:w="7962" w:type="dxa"/>
          </w:tcPr>
          <w:p w14:paraId="138E715C" w14:textId="77777777" w:rsidR="000F5022" w:rsidRDefault="00EE225D">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0F5022" w:rsidRDefault="000F5022">
      <w:pPr>
        <w:spacing w:line="360" w:lineRule="auto"/>
        <w:rPr>
          <w:rFonts w:ascii="宋体" w:eastAsia="宋体" w:hAnsi="宋体" w:cs="宋体"/>
          <w:sz w:val="24"/>
          <w:szCs w:val="24"/>
          <w:lang w:eastAsia="zh-CN"/>
        </w:rPr>
      </w:pPr>
    </w:p>
    <w:p w14:paraId="656E115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特别提示：</w:t>
      </w:r>
    </w:p>
    <w:p w14:paraId="0F9BB55E" w14:textId="77777777" w:rsidR="000F5022" w:rsidRDefault="00EE225D">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（以下简称“公司”）</w:t>
      </w:r>
      <w:r>
        <w:rPr>
          <w:rFonts w:ascii="仿宋" w:eastAsia="仿宋" w:hAnsi="仿宋" w:cs="仿宋" w:hint="eastAsia"/>
          <w:snapToGrid/>
          <w:kern w:val="2"/>
          <w:sz w:val="28"/>
          <w:szCs w:val="28"/>
          <w:lang w:eastAsia="zh-CN"/>
        </w:rPr>
        <w:t>于2025年6月24日披露的《广东天亿马信息产业股份有限公司发行股份及支付现金购买资产并募集配套资金暨关联交易预案》（下称“本次交易预案”）“重大风险提示”及“第七节 风险因素”中，详细披露了本次交易可能存在的风险因素及尚需履行的其他程序，敬请广大投资者注意投资风险。</w:t>
      </w:r>
    </w:p>
    <w:p w14:paraId="660D9BC8" w14:textId="229DB959" w:rsidR="000F5022" w:rsidRDefault="007D1D40" w:rsidP="007D1D40">
      <w:pPr>
        <w:widowControl w:val="0"/>
        <w:numPr>
          <w:ilvl w:val="0"/>
          <w:numId w:val="1"/>
        </w:numPr>
        <w:kinsoku/>
        <w:autoSpaceDE/>
        <w:autoSpaceDN/>
        <w:adjustRightInd/>
        <w:snapToGrid/>
        <w:spacing w:line="360" w:lineRule="auto"/>
        <w:ind w:firstLine="560"/>
        <w:jc w:val="both"/>
        <w:textAlignment w:val="auto"/>
        <w:rPr>
          <w:rFonts w:ascii="仿宋" w:eastAsia="仿宋" w:hAnsi="仿宋" w:cs="仿宋"/>
          <w:snapToGrid/>
          <w:kern w:val="2"/>
          <w:sz w:val="28"/>
          <w:szCs w:val="28"/>
          <w:lang w:eastAsia="zh-CN"/>
        </w:rPr>
      </w:pPr>
      <w:r w:rsidRPr="007D1D40">
        <w:rPr>
          <w:rFonts w:ascii="仿宋" w:eastAsia="仿宋" w:hAnsi="仿宋" w:cs="仿宋" w:hint="eastAsia"/>
          <w:snapToGrid/>
          <w:kern w:val="2"/>
          <w:sz w:val="28"/>
          <w:szCs w:val="28"/>
          <w:lang w:eastAsia="zh-CN"/>
        </w:rPr>
        <w:t>本次交易处于筹划阶段，尚需经公司董事会再次审议及公司股东会审议通过，并经深圳证券交易所审核同意及中国证监会注册后方可正式实施，存在未能通过有关决策、审批程序的风险。</w:t>
      </w:r>
      <w:r w:rsidR="00EE225D">
        <w:rPr>
          <w:rFonts w:ascii="仿宋" w:eastAsia="仿宋" w:hAnsi="仿宋" w:cs="仿宋" w:hint="eastAsia"/>
          <w:snapToGrid/>
          <w:kern w:val="2"/>
          <w:sz w:val="28"/>
          <w:szCs w:val="28"/>
          <w:lang w:eastAsia="zh-CN"/>
        </w:rPr>
        <w:t>公司将继续推进相关工作，严格按照法律、行政法规和要求及时履行信息披露义务。敬请广大投资者关注后续公告并注意投资风险。</w:t>
      </w:r>
    </w:p>
    <w:p w14:paraId="4456F7D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一、本次重大资产重组的基本情况</w:t>
      </w:r>
    </w:p>
    <w:p w14:paraId="6BA68617"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的方式购买广东星云开物科技股份有限公司（以下简称“星云开物”）100%股权，并募集配套资金。本次交易完成后，星云开物将成为公司全资子公司，纳入公司合并财务报表范围。</w:t>
      </w:r>
    </w:p>
    <w:p w14:paraId="1797FC60"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本次交易的交易价格尚未最终确定。根据交易各方对评估作价的初步预期和估计，本次交易将构成公司重大资产重组但不构成重组上市。</w:t>
      </w:r>
    </w:p>
    <w:p w14:paraId="276B283D"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鉴于本次交易部分交易对方为公司潜在关联方，且本次发行股份募集配套资金的发行对象马学沛先生为公司实际控制人，本次交易构成关联交易。</w:t>
      </w:r>
    </w:p>
    <w:p w14:paraId="157536A9"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二、本次交易历史披露情况</w:t>
      </w:r>
    </w:p>
    <w:p w14:paraId="20410E49" w14:textId="451B9EE0"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经向深圳证券交易所申请，公司股票（证券简称:天亿马，证券代码:301178)自2025年6月10日开市时起开始停牌，具体内容详见公司于2025年6月10日披露的《广东天亿马信息产业股份有限公司关于筹划发行股份及支付现金购买资产并募集配套资金事项的停牌公告》(公告编号</w:t>
      </w:r>
      <w:r w:rsidR="00E854E3">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2025-046)。</w:t>
      </w:r>
    </w:p>
    <w:p w14:paraId="59A9F58C" w14:textId="51E12D4F"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公司于2025年6月23日召开第三届董事会第三十二次会议</w:t>
      </w:r>
      <w:r w:rsidR="00073C86">
        <w:rPr>
          <w:rFonts w:ascii="仿宋" w:eastAsia="仿宋" w:hAnsi="仿宋" w:cs="仿宋" w:hint="eastAsia"/>
          <w:snapToGrid/>
          <w:kern w:val="2"/>
          <w:sz w:val="28"/>
          <w:szCs w:val="28"/>
          <w:lang w:eastAsia="zh-CN"/>
        </w:rPr>
        <w:t>，</w:t>
      </w:r>
      <w:bookmarkStart w:id="0" w:name="_GoBack"/>
      <w:bookmarkEnd w:id="0"/>
      <w:r>
        <w:rPr>
          <w:rFonts w:ascii="仿宋" w:eastAsia="仿宋" w:hAnsi="仿宋" w:cs="仿宋" w:hint="eastAsia"/>
          <w:snapToGrid/>
          <w:kern w:val="2"/>
          <w:sz w:val="28"/>
          <w:szCs w:val="28"/>
          <w:lang w:eastAsia="zh-CN"/>
        </w:rPr>
        <w:t>审议通过了《关于&lt;广东天亿马信息产业股份有限公司发行股份及支付现金购买资产并募集配套资金暨关联交易预案&gt;及其摘要的议案》等与本次交易相关的议案，并于同日与交易对方签署附条件生效的发行股份及支付现金购买资产协议。经向深圳证券交易所申请，公司股票于2025年6月24日(星期二)开市起复牌。</w:t>
      </w:r>
    </w:p>
    <w:p w14:paraId="2B8EF0B8" w14:textId="477BF5AB" w:rsidR="00690732" w:rsidRDefault="00690732">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公司于2025年7月24日</w:t>
      </w:r>
      <w:r w:rsidR="00C94A1E">
        <w:rPr>
          <w:rFonts w:ascii="仿宋" w:eastAsia="仿宋" w:hAnsi="仿宋" w:cs="仿宋" w:hint="eastAsia"/>
          <w:snapToGrid/>
          <w:kern w:val="2"/>
          <w:sz w:val="28"/>
          <w:szCs w:val="28"/>
          <w:lang w:eastAsia="zh-CN"/>
        </w:rPr>
        <w:t>、2025年8月23日</w:t>
      </w:r>
      <w:r>
        <w:rPr>
          <w:rFonts w:ascii="仿宋" w:eastAsia="仿宋" w:hAnsi="仿宋" w:cs="仿宋" w:hint="eastAsia"/>
          <w:snapToGrid/>
          <w:kern w:val="2"/>
          <w:sz w:val="28"/>
          <w:szCs w:val="28"/>
          <w:lang w:eastAsia="zh-CN"/>
        </w:rPr>
        <w:t>披露了《广东天亿马信息产业股份有限公司</w:t>
      </w:r>
      <w:r w:rsidRPr="00690732">
        <w:rPr>
          <w:rFonts w:ascii="仿宋" w:eastAsia="仿宋" w:hAnsi="仿宋" w:cs="仿宋" w:hint="eastAsia"/>
          <w:snapToGrid/>
          <w:kern w:val="2"/>
          <w:sz w:val="28"/>
          <w:szCs w:val="28"/>
          <w:lang w:eastAsia="zh-CN"/>
        </w:rPr>
        <w:t>关于重大资产重组事项的进展公告</w:t>
      </w:r>
      <w:r>
        <w:rPr>
          <w:rFonts w:ascii="仿宋" w:eastAsia="仿宋" w:hAnsi="仿宋" w:cs="仿宋" w:hint="eastAsia"/>
          <w:snapToGrid/>
          <w:kern w:val="2"/>
          <w:sz w:val="28"/>
          <w:szCs w:val="28"/>
          <w:lang w:eastAsia="zh-CN"/>
        </w:rPr>
        <w:t>》（公告编号：2025-058</w:t>
      </w:r>
      <w:r w:rsidR="00C94A1E">
        <w:rPr>
          <w:rFonts w:ascii="仿宋" w:eastAsia="仿宋" w:hAnsi="仿宋" w:cs="仿宋" w:hint="eastAsia"/>
          <w:snapToGrid/>
          <w:kern w:val="2"/>
          <w:sz w:val="28"/>
          <w:szCs w:val="28"/>
          <w:lang w:eastAsia="zh-CN"/>
        </w:rPr>
        <w:t>、2025-067</w:t>
      </w:r>
      <w:r>
        <w:rPr>
          <w:rFonts w:ascii="仿宋" w:eastAsia="仿宋" w:hAnsi="仿宋" w:cs="仿宋" w:hint="eastAsia"/>
          <w:snapToGrid/>
          <w:kern w:val="2"/>
          <w:sz w:val="28"/>
          <w:szCs w:val="28"/>
          <w:lang w:eastAsia="zh-CN"/>
        </w:rPr>
        <w:t>）</w:t>
      </w:r>
      <w:r w:rsidR="00241CA1">
        <w:rPr>
          <w:rFonts w:ascii="仿宋" w:eastAsia="仿宋" w:hAnsi="仿宋" w:cs="仿宋" w:hint="eastAsia"/>
          <w:snapToGrid/>
          <w:kern w:val="2"/>
          <w:sz w:val="28"/>
          <w:szCs w:val="28"/>
          <w:lang w:eastAsia="zh-CN"/>
        </w:rPr>
        <w:t>。</w:t>
      </w:r>
    </w:p>
    <w:p w14:paraId="34D4D6C9" w14:textId="77777777" w:rsidR="00241CA1" w:rsidRDefault="00241CA1" w:rsidP="00241CA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具体内容详见同日在巨潮资讯网(http://www.cninfo.com.cn)上披露的相关公告及文件。</w:t>
      </w:r>
    </w:p>
    <w:p w14:paraId="6802A90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三、本次交易进展情况</w:t>
      </w:r>
    </w:p>
    <w:p w14:paraId="1B8F21C8" w14:textId="1EBFE6B9" w:rsidR="008D5B5D" w:rsidRPr="00230176"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sidRPr="00230176">
        <w:rPr>
          <w:rFonts w:ascii="仿宋" w:eastAsia="仿宋" w:hAnsi="仿宋" w:cs="仿宋" w:hint="eastAsia"/>
          <w:snapToGrid/>
          <w:kern w:val="2"/>
          <w:sz w:val="28"/>
          <w:szCs w:val="28"/>
          <w:lang w:eastAsia="zh-CN"/>
        </w:rPr>
        <w:t>自本次交易预案披露以来，公司及相关各方积极</w:t>
      </w:r>
      <w:r w:rsidR="004628C4" w:rsidRPr="00230176">
        <w:rPr>
          <w:rFonts w:ascii="仿宋" w:eastAsia="仿宋" w:hAnsi="仿宋" w:cs="仿宋" w:hint="eastAsia"/>
          <w:snapToGrid/>
          <w:kern w:val="2"/>
          <w:sz w:val="28"/>
          <w:szCs w:val="28"/>
          <w:lang w:eastAsia="zh-CN"/>
        </w:rPr>
        <w:t>地</w:t>
      </w:r>
      <w:r w:rsidRPr="00230176">
        <w:rPr>
          <w:rFonts w:ascii="仿宋" w:eastAsia="仿宋" w:hAnsi="仿宋" w:cs="仿宋" w:hint="eastAsia"/>
          <w:snapToGrid/>
          <w:kern w:val="2"/>
          <w:sz w:val="28"/>
          <w:szCs w:val="28"/>
          <w:lang w:eastAsia="zh-CN"/>
        </w:rPr>
        <w:t>推进本次交易各项工作。</w:t>
      </w:r>
      <w:r w:rsidR="004628C4" w:rsidRPr="00230176">
        <w:rPr>
          <w:rFonts w:ascii="仿宋" w:eastAsia="仿宋" w:hAnsi="仿宋" w:cs="仿宋" w:hint="eastAsia"/>
          <w:snapToGrid/>
          <w:kern w:val="2"/>
          <w:sz w:val="28"/>
          <w:szCs w:val="28"/>
          <w:lang w:eastAsia="zh-CN"/>
        </w:rPr>
        <w:t>截至本公告披露日，本次交易涉及资产的审计、评估及尽职调查等各项工作正在有序推进</w:t>
      </w:r>
      <w:r w:rsidR="00206F7F" w:rsidRPr="00230176">
        <w:rPr>
          <w:rFonts w:ascii="仿宋" w:eastAsia="仿宋" w:hAnsi="仿宋" w:cs="仿宋" w:hint="eastAsia"/>
          <w:snapToGrid/>
          <w:kern w:val="2"/>
          <w:sz w:val="28"/>
          <w:szCs w:val="28"/>
          <w:lang w:eastAsia="zh-CN"/>
        </w:rPr>
        <w:t>，同时各方就交易细节、协议条款等事项持续进行磋商及论证，交易相关方尚未签署正式交易文件</w:t>
      </w:r>
      <w:r w:rsidR="008D5B5D" w:rsidRPr="00230176">
        <w:rPr>
          <w:rFonts w:ascii="仿宋" w:eastAsia="仿宋" w:hAnsi="仿宋" w:cs="仿宋" w:hint="eastAsia"/>
          <w:snapToGrid/>
          <w:kern w:val="2"/>
          <w:sz w:val="28"/>
          <w:szCs w:val="28"/>
          <w:lang w:eastAsia="zh-CN"/>
        </w:rPr>
        <w:t>。</w:t>
      </w:r>
    </w:p>
    <w:p w14:paraId="03B396C8" w14:textId="67A62D49" w:rsidR="000F5022" w:rsidRPr="00230176"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sidRPr="00230176">
        <w:rPr>
          <w:rFonts w:ascii="仿宋" w:eastAsia="仿宋" w:hAnsi="仿宋" w:cs="仿宋" w:hint="eastAsia"/>
          <w:snapToGrid/>
          <w:kern w:val="2"/>
          <w:sz w:val="28"/>
          <w:szCs w:val="28"/>
          <w:lang w:eastAsia="zh-CN"/>
        </w:rPr>
        <w:lastRenderedPageBreak/>
        <w:t>公司将继续推进本次交易的相关工作</w:t>
      </w:r>
      <w:r w:rsidR="001C5CF4" w:rsidRPr="00230176">
        <w:rPr>
          <w:rFonts w:ascii="仿宋" w:eastAsia="仿宋" w:hAnsi="仿宋" w:cs="仿宋" w:hint="eastAsia"/>
          <w:snapToGrid/>
          <w:kern w:val="2"/>
          <w:sz w:val="28"/>
          <w:szCs w:val="28"/>
          <w:lang w:eastAsia="zh-CN"/>
        </w:rPr>
        <w:t>，并</w:t>
      </w:r>
      <w:r w:rsidR="00730F3B" w:rsidRPr="00230176">
        <w:rPr>
          <w:rFonts w:ascii="仿宋" w:eastAsia="仿宋" w:hAnsi="仿宋" w:cs="仿宋" w:hint="eastAsia"/>
          <w:snapToGrid/>
          <w:kern w:val="2"/>
          <w:sz w:val="28"/>
          <w:szCs w:val="28"/>
          <w:lang w:eastAsia="zh-CN"/>
        </w:rPr>
        <w:t>将</w:t>
      </w:r>
      <w:r w:rsidR="001C5CF4" w:rsidRPr="00230176">
        <w:rPr>
          <w:rFonts w:ascii="仿宋" w:eastAsia="仿宋" w:hAnsi="仿宋" w:cs="仿宋" w:hint="eastAsia"/>
          <w:snapToGrid/>
          <w:kern w:val="2"/>
          <w:sz w:val="28"/>
          <w:szCs w:val="28"/>
          <w:lang w:eastAsia="zh-CN"/>
        </w:rPr>
        <w:t>根据本次交易的进展情况，</w:t>
      </w:r>
      <w:r w:rsidR="00730F3B" w:rsidRPr="00230176">
        <w:rPr>
          <w:rFonts w:ascii="仿宋" w:eastAsia="仿宋" w:hAnsi="仿宋" w:cs="仿宋" w:hint="eastAsia"/>
          <w:snapToGrid/>
          <w:kern w:val="2"/>
          <w:sz w:val="28"/>
          <w:szCs w:val="28"/>
          <w:lang w:eastAsia="zh-CN"/>
        </w:rPr>
        <w:t>再次召开董事会审议本次交易相关的议案，</w:t>
      </w:r>
      <w:r w:rsidRPr="00230176">
        <w:rPr>
          <w:rFonts w:ascii="仿宋" w:eastAsia="仿宋" w:hAnsi="仿宋" w:cs="仿宋" w:hint="eastAsia"/>
          <w:snapToGrid/>
          <w:kern w:val="2"/>
          <w:sz w:val="28"/>
          <w:szCs w:val="28"/>
          <w:lang w:eastAsia="zh-CN"/>
        </w:rPr>
        <w:t>并严格按照相关法律法规的规定和要求履行信息披露义务。</w:t>
      </w:r>
    </w:p>
    <w:p w14:paraId="09C1218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sidRPr="00230176">
        <w:rPr>
          <w:rFonts w:ascii="仿宋" w:eastAsia="仿宋" w:hAnsi="仿宋" w:cs="仿宋" w:hint="eastAsia"/>
          <w:b/>
          <w:bCs/>
          <w:snapToGrid/>
          <w:kern w:val="2"/>
          <w:sz w:val="28"/>
          <w:szCs w:val="28"/>
          <w:lang w:eastAsia="zh-CN"/>
        </w:rPr>
        <w:t>四、风险提示</w:t>
      </w:r>
    </w:p>
    <w:p w14:paraId="1A86E03C" w14:textId="315E1B80"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w:t>
      </w:r>
      <w:r w:rsidR="00C659F9">
        <w:rPr>
          <w:rFonts w:ascii="仿宋" w:eastAsia="仿宋" w:hAnsi="仿宋" w:cs="仿宋" w:hint="eastAsia"/>
          <w:snapToGrid/>
          <w:kern w:val="2"/>
          <w:sz w:val="28"/>
          <w:szCs w:val="28"/>
          <w:lang w:eastAsia="zh-CN"/>
        </w:rPr>
        <w:t>处于筹划阶段，</w:t>
      </w:r>
      <w:r>
        <w:rPr>
          <w:rFonts w:ascii="仿宋" w:eastAsia="仿宋" w:hAnsi="仿宋" w:cs="仿宋" w:hint="eastAsia"/>
          <w:snapToGrid/>
          <w:kern w:val="2"/>
          <w:sz w:val="28"/>
          <w:szCs w:val="28"/>
          <w:lang w:eastAsia="zh-CN"/>
        </w:rPr>
        <w:t>尚需</w:t>
      </w:r>
      <w:r w:rsidR="00C659F9">
        <w:rPr>
          <w:rFonts w:ascii="仿宋" w:eastAsia="仿宋" w:hAnsi="仿宋" w:cs="仿宋" w:hint="eastAsia"/>
          <w:snapToGrid/>
          <w:kern w:val="2"/>
          <w:sz w:val="28"/>
          <w:szCs w:val="28"/>
          <w:lang w:eastAsia="zh-CN"/>
        </w:rPr>
        <w:t>经</w:t>
      </w:r>
      <w:r>
        <w:rPr>
          <w:rFonts w:ascii="仿宋" w:eastAsia="仿宋" w:hAnsi="仿宋" w:cs="仿宋" w:hint="eastAsia"/>
          <w:snapToGrid/>
          <w:kern w:val="2"/>
          <w:sz w:val="28"/>
          <w:szCs w:val="28"/>
          <w:lang w:eastAsia="zh-CN"/>
        </w:rPr>
        <w:t>公司董事会再次审议及公司股东会审议通过，并经深圳证券交易所审核同意及中国证监会注册后方可正式实施</w:t>
      </w:r>
      <w:r w:rsidR="00C659F9">
        <w:rPr>
          <w:rFonts w:ascii="仿宋" w:eastAsia="仿宋" w:hAnsi="仿宋" w:cs="仿宋" w:hint="eastAsia"/>
          <w:snapToGrid/>
          <w:kern w:val="2"/>
          <w:sz w:val="28"/>
          <w:szCs w:val="28"/>
          <w:lang w:eastAsia="zh-CN"/>
        </w:rPr>
        <w:t>，存在未能通过有关决策、审批程序的风险</w:t>
      </w:r>
      <w:r>
        <w:rPr>
          <w:rFonts w:ascii="仿宋" w:eastAsia="仿宋" w:hAnsi="仿宋" w:cs="仿宋" w:hint="eastAsia"/>
          <w:snapToGrid/>
          <w:kern w:val="2"/>
          <w:sz w:val="28"/>
          <w:szCs w:val="28"/>
          <w:lang w:eastAsia="zh-CN"/>
        </w:rPr>
        <w:t>。本次交易能否取得上述批准或注册，以及最终取得批准或注册的时间都存在不确定性。</w:t>
      </w:r>
    </w:p>
    <w:p w14:paraId="2D02D800" w14:textId="3E88DA48" w:rsidR="00B51A05" w:rsidRDefault="00B51A05">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公司已就本次交易的风险因素进行了充分阐述，具体内容详见《广东天亿马信息产业股份有限公司发行股份及支付现金购买资产并募集配套资金暨关联交易预案》中“重大风险提示”及“第七节 风险因素”。</w:t>
      </w:r>
    </w:p>
    <w:p w14:paraId="11851B79" w14:textId="4F63FDCD" w:rsidR="00C85C9E" w:rsidRDefault="00EE225D" w:rsidP="00C85C9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公司将根据相关事项的进展情况，严格按照相关法律法规的规定履行有关审批程序和信息披露义务，有关信息均以在指定信息披露媒体发布的公告为准。</w:t>
      </w:r>
      <w:r w:rsidR="00C85C9E">
        <w:rPr>
          <w:rFonts w:ascii="仿宋" w:eastAsia="仿宋" w:hAnsi="仿宋" w:cs="仿宋" w:hint="eastAsia"/>
          <w:snapToGrid/>
          <w:kern w:val="2"/>
          <w:sz w:val="28"/>
          <w:szCs w:val="28"/>
          <w:lang w:eastAsia="zh-CN"/>
        </w:rPr>
        <w:t>敬请广大投资者关注后续公告并注意投资风险。</w:t>
      </w:r>
    </w:p>
    <w:p w14:paraId="0AAC58B3"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07B0B393"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2025年</w:t>
      </w:r>
      <w:r w:rsidR="00496B69">
        <w:rPr>
          <w:rFonts w:ascii="仿宋" w:eastAsia="仿宋" w:hAnsi="仿宋" w:cs="仿宋" w:hint="eastAsia"/>
          <w:snapToGrid/>
          <w:kern w:val="2"/>
          <w:sz w:val="28"/>
          <w:szCs w:val="28"/>
          <w:lang w:eastAsia="zh-CN"/>
        </w:rPr>
        <w:t>9</w:t>
      </w:r>
      <w:r>
        <w:rPr>
          <w:rFonts w:ascii="仿宋" w:eastAsia="仿宋" w:hAnsi="仿宋" w:cs="仿宋" w:hint="eastAsia"/>
          <w:snapToGrid/>
          <w:kern w:val="2"/>
          <w:sz w:val="28"/>
          <w:szCs w:val="28"/>
          <w:lang w:eastAsia="zh-CN"/>
        </w:rPr>
        <w:t>月2</w:t>
      </w:r>
      <w:r w:rsidR="00862E56">
        <w:rPr>
          <w:rFonts w:ascii="仿宋" w:eastAsia="仿宋" w:hAnsi="仿宋" w:cs="仿宋" w:hint="eastAsia"/>
          <w:snapToGrid/>
          <w:kern w:val="2"/>
          <w:sz w:val="28"/>
          <w:szCs w:val="28"/>
          <w:lang w:eastAsia="zh-CN"/>
        </w:rPr>
        <w:t>3</w:t>
      </w:r>
      <w:r>
        <w:rPr>
          <w:rFonts w:ascii="仿宋" w:eastAsia="仿宋" w:hAnsi="仿宋" w:cs="仿宋" w:hint="eastAsia"/>
          <w:snapToGrid/>
          <w:kern w:val="2"/>
          <w:sz w:val="28"/>
          <w:szCs w:val="28"/>
          <w:lang w:eastAsia="zh-CN"/>
        </w:rPr>
        <w:t>日</w:t>
      </w:r>
    </w:p>
    <w:sectPr w:rsidR="000F5022">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6B845C" w14:textId="77777777" w:rsidR="005F6ED5" w:rsidRDefault="005F6ED5">
      <w:r>
        <w:separator/>
      </w:r>
    </w:p>
  </w:endnote>
  <w:endnote w:type="continuationSeparator" w:id="0">
    <w:p w14:paraId="134DC89A" w14:textId="77777777" w:rsidR="005F6ED5" w:rsidRDefault="005F6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7408522"/>
      <w:docPartObj>
        <w:docPartGallery w:val="AutoText"/>
      </w:docPartObj>
    </w:sdtPr>
    <w:sdtEndPr/>
    <w:sdtContent>
      <w:p w14:paraId="20E9BB6C" w14:textId="77777777" w:rsidR="000F5022" w:rsidRDefault="00EE225D">
        <w:pPr>
          <w:pStyle w:val="a5"/>
          <w:jc w:val="center"/>
        </w:pPr>
        <w:r>
          <w:fldChar w:fldCharType="begin"/>
        </w:r>
        <w:r>
          <w:instrText>PAGE   \* MERGEFORMAT</w:instrText>
        </w:r>
        <w:r>
          <w:fldChar w:fldCharType="separate"/>
        </w:r>
        <w:r w:rsidR="00073C86" w:rsidRPr="00073C86">
          <w:rPr>
            <w:noProof/>
            <w:lang w:val="zh-CN" w:eastAsia="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FF8F9E" w14:textId="77777777" w:rsidR="005F6ED5" w:rsidRDefault="005F6ED5">
      <w:r>
        <w:separator/>
      </w:r>
    </w:p>
  </w:footnote>
  <w:footnote w:type="continuationSeparator" w:id="0">
    <w:p w14:paraId="5F7CC962" w14:textId="77777777" w:rsidR="005F6ED5" w:rsidRDefault="005F6E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297B6"/>
    <w:multiLevelType w:val="singleLevel"/>
    <w:tmpl w:val="41E297B6"/>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displayBackgroundShape/>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
  <w:rsids>
    <w:rsidRoot w:val="007B6D87"/>
    <w:rsid w:val="95FFBBE4"/>
    <w:rsid w:val="E7338B51"/>
    <w:rsid w:val="00035185"/>
    <w:rsid w:val="000545F9"/>
    <w:rsid w:val="00073C86"/>
    <w:rsid w:val="000B39B1"/>
    <w:rsid w:val="000C6707"/>
    <w:rsid w:val="000F5022"/>
    <w:rsid w:val="001657AA"/>
    <w:rsid w:val="001C5CF4"/>
    <w:rsid w:val="00206F7F"/>
    <w:rsid w:val="00230176"/>
    <w:rsid w:val="00241CA1"/>
    <w:rsid w:val="00255063"/>
    <w:rsid w:val="00266E17"/>
    <w:rsid w:val="0028307F"/>
    <w:rsid w:val="002C1A3E"/>
    <w:rsid w:val="002F3A15"/>
    <w:rsid w:val="003775C6"/>
    <w:rsid w:val="003C262E"/>
    <w:rsid w:val="0040027B"/>
    <w:rsid w:val="00436AE7"/>
    <w:rsid w:val="004538CB"/>
    <w:rsid w:val="004628C4"/>
    <w:rsid w:val="00496B69"/>
    <w:rsid w:val="005720C3"/>
    <w:rsid w:val="005955D6"/>
    <w:rsid w:val="005F6ED5"/>
    <w:rsid w:val="00600F50"/>
    <w:rsid w:val="00690732"/>
    <w:rsid w:val="006D63DE"/>
    <w:rsid w:val="006E7721"/>
    <w:rsid w:val="00710893"/>
    <w:rsid w:val="00730F3B"/>
    <w:rsid w:val="00777CDD"/>
    <w:rsid w:val="0078768E"/>
    <w:rsid w:val="007B2A95"/>
    <w:rsid w:val="007B6D87"/>
    <w:rsid w:val="007C1A77"/>
    <w:rsid w:val="007D1D40"/>
    <w:rsid w:val="00862E56"/>
    <w:rsid w:val="008640FC"/>
    <w:rsid w:val="008D5B5D"/>
    <w:rsid w:val="00A72C40"/>
    <w:rsid w:val="00A73A5D"/>
    <w:rsid w:val="00A7605E"/>
    <w:rsid w:val="00A84D76"/>
    <w:rsid w:val="00A97940"/>
    <w:rsid w:val="00B14C75"/>
    <w:rsid w:val="00B51A05"/>
    <w:rsid w:val="00B84B19"/>
    <w:rsid w:val="00C659F9"/>
    <w:rsid w:val="00C85C9E"/>
    <w:rsid w:val="00C94A1E"/>
    <w:rsid w:val="00CB6784"/>
    <w:rsid w:val="00CB6869"/>
    <w:rsid w:val="00CD5187"/>
    <w:rsid w:val="00DC4545"/>
    <w:rsid w:val="00E20A76"/>
    <w:rsid w:val="00E53B68"/>
    <w:rsid w:val="00E72BF9"/>
    <w:rsid w:val="00E854E3"/>
    <w:rsid w:val="00EE225D"/>
    <w:rsid w:val="00F66EB5"/>
    <w:rsid w:val="00FA459B"/>
    <w:rsid w:val="01086C64"/>
    <w:rsid w:val="016D588F"/>
    <w:rsid w:val="02900CBF"/>
    <w:rsid w:val="08053EFD"/>
    <w:rsid w:val="084047E3"/>
    <w:rsid w:val="085E53BC"/>
    <w:rsid w:val="0B2C0449"/>
    <w:rsid w:val="125D0492"/>
    <w:rsid w:val="135402A2"/>
    <w:rsid w:val="136F66CF"/>
    <w:rsid w:val="15D43E1B"/>
    <w:rsid w:val="16E90E79"/>
    <w:rsid w:val="1853036D"/>
    <w:rsid w:val="1908080B"/>
    <w:rsid w:val="1A3F5464"/>
    <w:rsid w:val="1CAE2016"/>
    <w:rsid w:val="1E0477E8"/>
    <w:rsid w:val="20DD55C0"/>
    <w:rsid w:val="234147C3"/>
    <w:rsid w:val="24360604"/>
    <w:rsid w:val="24523BCF"/>
    <w:rsid w:val="261D7268"/>
    <w:rsid w:val="26B75849"/>
    <w:rsid w:val="27072EEB"/>
    <w:rsid w:val="2B8A61C7"/>
    <w:rsid w:val="2B920D55"/>
    <w:rsid w:val="2BFC063C"/>
    <w:rsid w:val="318555E4"/>
    <w:rsid w:val="3AA72347"/>
    <w:rsid w:val="3F170C27"/>
    <w:rsid w:val="41F278B3"/>
    <w:rsid w:val="43755A74"/>
    <w:rsid w:val="44572601"/>
    <w:rsid w:val="4DA2439C"/>
    <w:rsid w:val="50355FCF"/>
    <w:rsid w:val="521C7446"/>
    <w:rsid w:val="552C79A0"/>
    <w:rsid w:val="56A65531"/>
    <w:rsid w:val="57F64296"/>
    <w:rsid w:val="5A9B74F7"/>
    <w:rsid w:val="5EFE6E0A"/>
    <w:rsid w:val="62856942"/>
    <w:rsid w:val="62C202DE"/>
    <w:rsid w:val="63AB76CB"/>
    <w:rsid w:val="641937E6"/>
    <w:rsid w:val="64F354E7"/>
    <w:rsid w:val="652B0805"/>
    <w:rsid w:val="6B9F6CC6"/>
    <w:rsid w:val="6C9C1458"/>
    <w:rsid w:val="6F4C607D"/>
    <w:rsid w:val="6F90296F"/>
    <w:rsid w:val="70643A4D"/>
    <w:rsid w:val="70BB40F3"/>
    <w:rsid w:val="714733C7"/>
    <w:rsid w:val="726B0EA3"/>
    <w:rsid w:val="7771789F"/>
    <w:rsid w:val="798E3ED6"/>
    <w:rsid w:val="79DBC11F"/>
    <w:rsid w:val="7BED8E92"/>
    <w:rsid w:val="7BFE1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252</Words>
  <Characters>1438</Characters>
  <Application>Microsoft Office Word</Application>
  <DocSecurity>0</DocSecurity>
  <Lines>11</Lines>
  <Paragraphs>3</Paragraphs>
  <ScaleCrop>false</ScaleCrop>
  <Company>Microsoft</Company>
  <LinksUpToDate>false</LinksUpToDate>
  <CharactersWithSpaces>1687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48</cp:revision>
  <dcterms:created xsi:type="dcterms:W3CDTF">2025-06-06T22:36:00Z</dcterms:created>
  <dcterms:modified xsi:type="dcterms:W3CDTF">2025-09-23T06:15:00Z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2052-12.1.0.21915</vt:lpwstr>
  </property>
  <property fmtid="{D5CDD505-2E9C-101B-9397-08002B2CF9AE}" pid="5" name="ICV">
    <vt:lpwstr>8462723751178D370EE04B68E7A3C690_42</vt:lpwstr>
  </property>
  <property fmtid="{D5CDD505-2E9C-101B-9397-08002B2CF9AE}" pid="6" name="KSOTemplateDocerSaveRecord">
    <vt:lpwstr>eyJoZGlkIjoiYjc3NTVmODk5OWI4YTU0YmU5MTlhYzJjMjBkNzFlNmEiLCJ1c2VySWQiOiIyNDMwNTgyMjAifQ==</vt:lpwstr>
  </property>
</Properties>
</file>