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7B567F" w14:textId="77777777" w:rsidR="00FA1E95" w:rsidRDefault="00AF2A31">
      <w:pPr>
        <w:spacing w:line="360" w:lineRule="auto"/>
        <w:jc w:val="center"/>
        <w:rPr>
          <w:rFonts w:ascii="仿宋" w:eastAsia="仿宋" w:hAnsi="仿宋" w:cs="Times New Roman"/>
          <w:sz w:val="28"/>
          <w:szCs w:val="20"/>
          <w:lang w:eastAsia="zh-CN"/>
        </w:rPr>
      </w:pPr>
      <w:r>
        <w:rPr>
          <w:rFonts w:ascii="仿宋" w:eastAsia="仿宋" w:hAnsi="仿宋" w:cs="Times New Roman" w:hint="eastAsia"/>
          <w:sz w:val="28"/>
          <w:szCs w:val="20"/>
          <w:lang w:eastAsia="zh-CN"/>
        </w:rPr>
        <w:t>证券代码：</w:t>
      </w:r>
      <w:r>
        <w:rPr>
          <w:rFonts w:ascii="仿宋" w:eastAsia="仿宋" w:hAnsi="仿宋" w:cs="Times New Roman" w:hint="eastAsia"/>
          <w:sz w:val="28"/>
          <w:szCs w:val="20"/>
          <w:lang w:eastAsia="zh-CN"/>
        </w:rPr>
        <w:t xml:space="preserve">301178    </w:t>
      </w:r>
      <w:r>
        <w:rPr>
          <w:rFonts w:ascii="仿宋" w:eastAsia="仿宋" w:hAnsi="仿宋" w:cs="Times New Roman" w:hint="eastAsia"/>
          <w:sz w:val="28"/>
          <w:szCs w:val="20"/>
          <w:lang w:eastAsia="zh-CN"/>
        </w:rPr>
        <w:t>证券简称：天亿马</w:t>
      </w:r>
      <w:r>
        <w:rPr>
          <w:rFonts w:ascii="仿宋" w:eastAsia="仿宋" w:hAnsi="仿宋" w:cs="Times New Roman" w:hint="eastAsia"/>
          <w:sz w:val="28"/>
          <w:szCs w:val="20"/>
          <w:lang w:eastAsia="zh-CN"/>
        </w:rPr>
        <w:t xml:space="preserve">    </w:t>
      </w:r>
      <w:r>
        <w:rPr>
          <w:rFonts w:ascii="仿宋" w:eastAsia="仿宋" w:hAnsi="仿宋" w:cs="Times New Roman" w:hint="eastAsia"/>
          <w:sz w:val="28"/>
          <w:szCs w:val="20"/>
          <w:lang w:eastAsia="zh-CN"/>
        </w:rPr>
        <w:t>公告编号：</w:t>
      </w:r>
      <w:r>
        <w:rPr>
          <w:rFonts w:ascii="仿宋" w:eastAsia="仿宋" w:hAnsi="仿宋" w:cs="Times New Roman" w:hint="eastAsia"/>
          <w:sz w:val="28"/>
          <w:szCs w:val="20"/>
          <w:lang w:eastAsia="zh-CN"/>
        </w:rPr>
        <w:t>2025-0</w:t>
      </w:r>
      <w:r>
        <w:rPr>
          <w:rFonts w:ascii="仿宋" w:eastAsia="仿宋" w:hAnsi="仿宋" w:cs="Times New Roman" w:hint="eastAsia"/>
          <w:sz w:val="28"/>
          <w:szCs w:val="20"/>
          <w:lang w:eastAsia="zh-CN"/>
        </w:rPr>
        <w:t>90</w:t>
      </w:r>
    </w:p>
    <w:p w14:paraId="41339C99" w14:textId="77777777" w:rsidR="00FA1E95" w:rsidRDefault="00AF2A31">
      <w:pPr>
        <w:widowControl w:val="0"/>
        <w:kinsoku/>
        <w:snapToGrid/>
        <w:spacing w:line="360" w:lineRule="auto"/>
        <w:jc w:val="center"/>
        <w:textAlignment w:val="auto"/>
        <w:rPr>
          <w:rFonts w:ascii="黑体" w:eastAsia="黑体" w:hAnsi="黑体" w:cs="Times New Roman"/>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1865C6F5" w14:textId="77777777" w:rsidR="00FA1E95" w:rsidRDefault="00AF2A31">
      <w:pPr>
        <w:widowControl w:val="0"/>
        <w:kinsoku/>
        <w:snapToGrid/>
        <w:spacing w:line="360" w:lineRule="auto"/>
        <w:jc w:val="center"/>
        <w:textAlignment w:val="auto"/>
        <w:rPr>
          <w:rFonts w:ascii="宋体" w:eastAsia="宋体" w:hAnsi="宋体" w:cs="宋体"/>
          <w:sz w:val="30"/>
          <w:szCs w:val="30"/>
        </w:rPr>
      </w:pPr>
      <w:r>
        <w:rPr>
          <w:rFonts w:ascii="黑体" w:eastAsia="黑体" w:hAnsi="黑体" w:cs="Times New Roman" w:hint="eastAsia"/>
          <w:snapToGrid/>
          <w:kern w:val="2"/>
          <w:sz w:val="36"/>
          <w:szCs w:val="36"/>
          <w:lang w:eastAsia="zh-CN"/>
        </w:rPr>
        <w:t>关于重大资产重组事项的进展公告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FA1E95" w14:paraId="5A9F8D6B" w14:textId="77777777">
        <w:trPr>
          <w:trHeight w:val="776"/>
        </w:trPr>
        <w:tc>
          <w:tcPr>
            <w:tcW w:w="7962" w:type="dxa"/>
          </w:tcPr>
          <w:p w14:paraId="138E715C" w14:textId="77777777" w:rsidR="00FA1E95" w:rsidRDefault="00AF2A31">
            <w:pPr>
              <w:kinsoku/>
              <w:autoSpaceDE/>
              <w:autoSpaceDN/>
              <w:adjustRightInd/>
              <w:snapToGrid/>
              <w:spacing w:line="440" w:lineRule="exact"/>
              <w:ind w:firstLineChars="200" w:firstLine="560"/>
              <w:jc w:val="both"/>
              <w:textAlignment w:val="auto"/>
              <w:rPr>
                <w:rFonts w:ascii="楷体" w:eastAsia="楷体" w:hAnsi="楷体" w:cs="宋体"/>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6012826" w14:textId="77777777" w:rsidR="00FA1E95" w:rsidRDefault="00FA1E95">
      <w:pPr>
        <w:spacing w:line="360" w:lineRule="auto"/>
        <w:rPr>
          <w:rFonts w:ascii="宋体" w:eastAsia="宋体" w:hAnsi="宋体" w:cs="宋体"/>
          <w:sz w:val="24"/>
          <w:szCs w:val="24"/>
          <w:lang w:eastAsia="zh-CN"/>
        </w:rPr>
      </w:pPr>
    </w:p>
    <w:p w14:paraId="656E1152" w14:textId="77777777" w:rsidR="00FA1E95" w:rsidRDefault="00AF2A31">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特别提示：</w:t>
      </w:r>
    </w:p>
    <w:p w14:paraId="0F9BB55E" w14:textId="77777777" w:rsidR="00FA1E95" w:rsidRDefault="00AF2A31">
      <w:pPr>
        <w:widowControl w:val="0"/>
        <w:numPr>
          <w:ilvl w:val="0"/>
          <w:numId w:val="1"/>
        </w:numPr>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r>
        <w:rPr>
          <w:rFonts w:ascii="仿宋" w:eastAsia="仿宋" w:hAnsi="仿宋" w:cs="仿宋"/>
          <w:snapToGrid/>
          <w:kern w:val="2"/>
          <w:sz w:val="28"/>
          <w:szCs w:val="28"/>
          <w:lang w:eastAsia="zh-CN"/>
        </w:rPr>
        <w:t>（以下简称</w:t>
      </w:r>
      <w:r>
        <w:rPr>
          <w:rFonts w:ascii="仿宋" w:eastAsia="仿宋" w:hAnsi="仿宋" w:cs="仿宋"/>
          <w:snapToGrid/>
          <w:kern w:val="2"/>
          <w:sz w:val="28"/>
          <w:szCs w:val="28"/>
          <w:lang w:eastAsia="zh-CN"/>
        </w:rPr>
        <w:t>“</w:t>
      </w:r>
      <w:r>
        <w:rPr>
          <w:rFonts w:ascii="仿宋" w:eastAsia="仿宋" w:hAnsi="仿宋" w:cs="仿宋"/>
          <w:snapToGrid/>
          <w:kern w:val="2"/>
          <w:sz w:val="28"/>
          <w:szCs w:val="28"/>
          <w:lang w:eastAsia="zh-CN"/>
        </w:rPr>
        <w:t>公司</w:t>
      </w:r>
      <w:r>
        <w:rPr>
          <w:rFonts w:ascii="仿宋" w:eastAsia="仿宋" w:hAnsi="仿宋" w:cs="仿宋"/>
          <w:snapToGrid/>
          <w:kern w:val="2"/>
          <w:sz w:val="28"/>
          <w:szCs w:val="28"/>
          <w:lang w:eastAsia="zh-CN"/>
        </w:rPr>
        <w:t>”</w:t>
      </w:r>
      <w:r>
        <w:rPr>
          <w:rFonts w:ascii="仿宋" w:eastAsia="仿宋" w:hAnsi="仿宋" w:cs="仿宋"/>
          <w:snapToGrid/>
          <w:kern w:val="2"/>
          <w:sz w:val="28"/>
          <w:szCs w:val="28"/>
          <w:lang w:eastAsia="zh-CN"/>
        </w:rPr>
        <w:t>）</w:t>
      </w:r>
      <w:r>
        <w:rPr>
          <w:rFonts w:ascii="仿宋" w:eastAsia="仿宋" w:hAnsi="仿宋" w:cs="仿宋" w:hint="eastAsia"/>
          <w:snapToGrid/>
          <w:kern w:val="2"/>
          <w:sz w:val="28"/>
          <w:szCs w:val="28"/>
          <w:lang w:eastAsia="zh-CN"/>
        </w:rPr>
        <w:t>于</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24</w:t>
      </w:r>
      <w:r>
        <w:rPr>
          <w:rFonts w:ascii="仿宋" w:eastAsia="仿宋" w:hAnsi="仿宋" w:cs="仿宋" w:hint="eastAsia"/>
          <w:snapToGrid/>
          <w:kern w:val="2"/>
          <w:sz w:val="28"/>
          <w:szCs w:val="28"/>
          <w:lang w:eastAsia="zh-CN"/>
        </w:rPr>
        <w:t>日披露的《广东天亿马信息产业股份有限公司发行股份及支付现金购买资产并募集配套资金暨关联交易预案》（下称“本次交易预案”）“重大风险提示”及“第七节</w:t>
      </w:r>
      <w:r>
        <w:rPr>
          <w:rFonts w:ascii="仿宋" w:eastAsia="仿宋" w:hAnsi="仿宋" w:cs="仿宋" w:hint="eastAsia"/>
          <w:snapToGrid/>
          <w:kern w:val="2"/>
          <w:sz w:val="28"/>
          <w:szCs w:val="28"/>
          <w:lang w:eastAsia="zh-CN"/>
        </w:rPr>
        <w:t xml:space="preserve"> </w:t>
      </w:r>
      <w:r>
        <w:rPr>
          <w:rFonts w:ascii="仿宋" w:eastAsia="仿宋" w:hAnsi="仿宋" w:cs="仿宋" w:hint="eastAsia"/>
          <w:snapToGrid/>
          <w:kern w:val="2"/>
          <w:sz w:val="28"/>
          <w:szCs w:val="28"/>
          <w:lang w:eastAsia="zh-CN"/>
        </w:rPr>
        <w:t>风险因素”中，详细披露了本次交易可能存在的风险因素及尚需履行的其他程序，敬请广大投资者注意投资风险。</w:t>
      </w:r>
    </w:p>
    <w:p w14:paraId="660D9BC8" w14:textId="77777777" w:rsidR="00FA1E95" w:rsidRDefault="00AF2A31">
      <w:pPr>
        <w:widowControl w:val="0"/>
        <w:numPr>
          <w:ilvl w:val="0"/>
          <w:numId w:val="1"/>
        </w:numPr>
        <w:kinsoku/>
        <w:autoSpaceDE/>
        <w:autoSpaceDN/>
        <w:adjustRightInd/>
        <w:snapToGrid/>
        <w:spacing w:line="360" w:lineRule="auto"/>
        <w:ind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本次交易处于筹划阶段，尚需经公司董事会再次审议及公司股东会审议通过，并经深圳证券交易所审核同意及中国证监会注册后方可正式实施，存在未能通过有关决策、审批程序的风险。公司将继续推进相关工作，严格按照法律、行政法规和要求及时履行信息披露义务。敬请广大投资者关注后续公告并注意投资风险。</w:t>
      </w:r>
    </w:p>
    <w:p w14:paraId="4456F7D0" w14:textId="77777777" w:rsidR="00FA1E95" w:rsidRDefault="00AF2A31">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一、本次重大资产重组的基本情况</w:t>
      </w:r>
    </w:p>
    <w:p w14:paraId="6BA68617"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公司拟以</w:t>
      </w:r>
      <w:r>
        <w:rPr>
          <w:rFonts w:ascii="仿宋" w:eastAsia="仿宋" w:hAnsi="仿宋" w:cs="仿宋"/>
          <w:snapToGrid/>
          <w:kern w:val="2"/>
          <w:sz w:val="28"/>
          <w:szCs w:val="28"/>
          <w:lang w:eastAsia="zh-CN"/>
        </w:rPr>
        <w:t>发行股份及支付现金</w:t>
      </w:r>
      <w:r>
        <w:rPr>
          <w:rFonts w:ascii="仿宋" w:eastAsia="仿宋" w:hAnsi="仿宋" w:cs="仿宋" w:hint="eastAsia"/>
          <w:snapToGrid/>
          <w:kern w:val="2"/>
          <w:sz w:val="28"/>
          <w:szCs w:val="28"/>
          <w:lang w:eastAsia="zh-CN"/>
        </w:rPr>
        <w:t>的方式购买广东星云开物科技股份有限公司（以下简称“星云开物”）</w:t>
      </w:r>
      <w:r>
        <w:rPr>
          <w:rFonts w:ascii="仿宋" w:eastAsia="仿宋" w:hAnsi="仿宋" w:cs="仿宋" w:hint="eastAsia"/>
          <w:snapToGrid/>
          <w:kern w:val="2"/>
          <w:sz w:val="28"/>
          <w:szCs w:val="28"/>
          <w:lang w:eastAsia="zh-CN"/>
        </w:rPr>
        <w:t>100%</w:t>
      </w:r>
      <w:r>
        <w:rPr>
          <w:rFonts w:ascii="仿宋" w:eastAsia="仿宋" w:hAnsi="仿宋" w:cs="仿宋" w:hint="eastAsia"/>
          <w:snapToGrid/>
          <w:kern w:val="2"/>
          <w:sz w:val="28"/>
          <w:szCs w:val="28"/>
          <w:lang w:eastAsia="zh-CN"/>
        </w:rPr>
        <w:t>股权，并募集配套资金。本次交易完成后，星云开物将成为公司全资子公司，纳入公司合并财务报表范围。</w:t>
      </w:r>
    </w:p>
    <w:p w14:paraId="1797FC60"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本次交易的交易价格尚未最终确定。根据交易各方对评估作价的初步预期和估计，本次交易将构成公司重大资产重组但不构成重组上市。</w:t>
      </w:r>
    </w:p>
    <w:p w14:paraId="276B283D" w14:textId="480858AD"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lastRenderedPageBreak/>
        <w:t>鉴于本次交易部分交易对方为公司潜在关联方，且本次发行股份募集配套资金的发行对象马学沛先生为公司实际控制人</w:t>
      </w:r>
      <w:r w:rsidR="003D516C">
        <w:rPr>
          <w:rFonts w:ascii="仿宋" w:eastAsia="仿宋" w:hAnsi="仿宋" w:cs="仿宋" w:hint="eastAsia"/>
          <w:snapToGrid/>
          <w:kern w:val="2"/>
          <w:sz w:val="28"/>
          <w:szCs w:val="28"/>
          <w:lang w:eastAsia="zh-CN"/>
        </w:rPr>
        <w:t>之一</w:t>
      </w:r>
      <w:bookmarkStart w:id="0" w:name="_GoBack"/>
      <w:bookmarkEnd w:id="0"/>
      <w:r>
        <w:rPr>
          <w:rFonts w:ascii="仿宋" w:eastAsia="仿宋" w:hAnsi="仿宋" w:cs="仿宋" w:hint="eastAsia"/>
          <w:snapToGrid/>
          <w:kern w:val="2"/>
          <w:sz w:val="28"/>
          <w:szCs w:val="28"/>
          <w:lang w:eastAsia="zh-CN"/>
        </w:rPr>
        <w:t>，本次交易构成关联交易。</w:t>
      </w:r>
    </w:p>
    <w:p w14:paraId="157536A9" w14:textId="77777777" w:rsidR="00FA1E95" w:rsidRDefault="00AF2A31">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二、本次交易历史披露情况</w:t>
      </w:r>
    </w:p>
    <w:p w14:paraId="20410E49"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经向深圳证券交易所申请，公司股票（证券简称</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天亿马，证券代码</w:t>
      </w:r>
      <w:r>
        <w:rPr>
          <w:rFonts w:ascii="仿宋" w:eastAsia="仿宋" w:hAnsi="仿宋" w:cs="仿宋" w:hint="eastAsia"/>
          <w:snapToGrid/>
          <w:kern w:val="2"/>
          <w:sz w:val="28"/>
          <w:szCs w:val="28"/>
          <w:lang w:eastAsia="zh-CN"/>
        </w:rPr>
        <w:t>:301</w:t>
      </w:r>
      <w:r>
        <w:rPr>
          <w:rFonts w:ascii="仿宋" w:eastAsia="仿宋" w:hAnsi="仿宋" w:cs="仿宋" w:hint="eastAsia"/>
          <w:snapToGrid/>
          <w:kern w:val="2"/>
          <w:sz w:val="28"/>
          <w:szCs w:val="28"/>
          <w:lang w:eastAsia="zh-CN"/>
        </w:rPr>
        <w:t>178)</w:t>
      </w:r>
      <w:r>
        <w:rPr>
          <w:rFonts w:ascii="仿宋" w:eastAsia="仿宋" w:hAnsi="仿宋" w:cs="仿宋" w:hint="eastAsia"/>
          <w:snapToGrid/>
          <w:kern w:val="2"/>
          <w:sz w:val="28"/>
          <w:szCs w:val="28"/>
          <w:lang w:eastAsia="zh-CN"/>
        </w:rPr>
        <w:t>自</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10</w:t>
      </w:r>
      <w:r>
        <w:rPr>
          <w:rFonts w:ascii="仿宋" w:eastAsia="仿宋" w:hAnsi="仿宋" w:cs="仿宋" w:hint="eastAsia"/>
          <w:snapToGrid/>
          <w:kern w:val="2"/>
          <w:sz w:val="28"/>
          <w:szCs w:val="28"/>
          <w:lang w:eastAsia="zh-CN"/>
        </w:rPr>
        <w:t>日开市时起开始停牌，具体内容详见公司于</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10</w:t>
      </w:r>
      <w:r>
        <w:rPr>
          <w:rFonts w:ascii="仿宋" w:eastAsia="仿宋" w:hAnsi="仿宋" w:cs="仿宋" w:hint="eastAsia"/>
          <w:snapToGrid/>
          <w:kern w:val="2"/>
          <w:sz w:val="28"/>
          <w:szCs w:val="28"/>
          <w:lang w:eastAsia="zh-CN"/>
        </w:rPr>
        <w:t>日披露的《广东天亿马信息产业股份有限公司关于筹划发行股份及支付现金购买资产并募集配套资金事项的停牌公告》</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公告编号：</w:t>
      </w:r>
      <w:r>
        <w:rPr>
          <w:rFonts w:ascii="仿宋" w:eastAsia="仿宋" w:hAnsi="仿宋" w:cs="仿宋" w:hint="eastAsia"/>
          <w:snapToGrid/>
          <w:kern w:val="2"/>
          <w:sz w:val="28"/>
          <w:szCs w:val="28"/>
          <w:lang w:eastAsia="zh-CN"/>
        </w:rPr>
        <w:t>2025-046)</w:t>
      </w:r>
      <w:r>
        <w:rPr>
          <w:rFonts w:ascii="仿宋" w:eastAsia="仿宋" w:hAnsi="仿宋" w:cs="仿宋" w:hint="eastAsia"/>
          <w:snapToGrid/>
          <w:kern w:val="2"/>
          <w:sz w:val="28"/>
          <w:szCs w:val="28"/>
          <w:lang w:eastAsia="zh-CN"/>
        </w:rPr>
        <w:t>。</w:t>
      </w:r>
    </w:p>
    <w:p w14:paraId="59A9F58C"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公司于</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23</w:t>
      </w:r>
      <w:r>
        <w:rPr>
          <w:rFonts w:ascii="仿宋" w:eastAsia="仿宋" w:hAnsi="仿宋" w:cs="仿宋" w:hint="eastAsia"/>
          <w:snapToGrid/>
          <w:kern w:val="2"/>
          <w:sz w:val="28"/>
          <w:szCs w:val="28"/>
          <w:lang w:eastAsia="zh-CN"/>
        </w:rPr>
        <w:t>日召开第三届董事会第三十二次会议，审议通过了《关于</w:t>
      </w:r>
      <w:r>
        <w:rPr>
          <w:rFonts w:ascii="仿宋" w:eastAsia="仿宋" w:hAnsi="仿宋" w:cs="仿宋" w:hint="eastAsia"/>
          <w:snapToGrid/>
          <w:kern w:val="2"/>
          <w:sz w:val="28"/>
          <w:szCs w:val="28"/>
          <w:lang w:eastAsia="zh-CN"/>
        </w:rPr>
        <w:t>&lt;</w:t>
      </w:r>
      <w:r>
        <w:rPr>
          <w:rFonts w:ascii="仿宋" w:eastAsia="仿宋" w:hAnsi="仿宋" w:cs="仿宋" w:hint="eastAsia"/>
          <w:snapToGrid/>
          <w:kern w:val="2"/>
          <w:sz w:val="28"/>
          <w:szCs w:val="28"/>
          <w:lang w:eastAsia="zh-CN"/>
        </w:rPr>
        <w:t>广东天亿马信息产业股份有限公司发行股份及支付现金购买资产并募集配套资金暨关联交易预案</w:t>
      </w:r>
      <w:r>
        <w:rPr>
          <w:rFonts w:ascii="仿宋" w:eastAsia="仿宋" w:hAnsi="仿宋" w:cs="仿宋" w:hint="eastAsia"/>
          <w:snapToGrid/>
          <w:kern w:val="2"/>
          <w:sz w:val="28"/>
          <w:szCs w:val="28"/>
          <w:lang w:eastAsia="zh-CN"/>
        </w:rPr>
        <w:t>&gt;</w:t>
      </w:r>
      <w:r>
        <w:rPr>
          <w:rFonts w:ascii="仿宋" w:eastAsia="仿宋" w:hAnsi="仿宋" w:cs="仿宋" w:hint="eastAsia"/>
          <w:snapToGrid/>
          <w:kern w:val="2"/>
          <w:sz w:val="28"/>
          <w:szCs w:val="28"/>
          <w:lang w:eastAsia="zh-CN"/>
        </w:rPr>
        <w:t>及其摘要的议案》等与本次交易相关的议案，并于同日与交易对方签署附条件生效的发行股份及支付现金购买资产协议。经向深圳证券交易所申请</w:t>
      </w:r>
      <w:r>
        <w:rPr>
          <w:rFonts w:ascii="仿宋" w:eastAsia="仿宋" w:hAnsi="仿宋" w:cs="仿宋" w:hint="eastAsia"/>
          <w:snapToGrid/>
          <w:kern w:val="2"/>
          <w:sz w:val="28"/>
          <w:szCs w:val="28"/>
          <w:lang w:eastAsia="zh-CN"/>
        </w:rPr>
        <w:t>，公司股票于</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6</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24</w:t>
      </w:r>
      <w:r>
        <w:rPr>
          <w:rFonts w:ascii="仿宋" w:eastAsia="仿宋" w:hAnsi="仿宋" w:cs="仿宋" w:hint="eastAsia"/>
          <w:snapToGrid/>
          <w:kern w:val="2"/>
          <w:sz w:val="28"/>
          <w:szCs w:val="28"/>
          <w:lang w:eastAsia="zh-CN"/>
        </w:rPr>
        <w:t>日</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星期二</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开市起复牌。</w:t>
      </w:r>
    </w:p>
    <w:p w14:paraId="2B8EF0B8"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公司于</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7</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24</w:t>
      </w:r>
      <w:r>
        <w:rPr>
          <w:rFonts w:ascii="仿宋" w:eastAsia="仿宋" w:hAnsi="仿宋" w:cs="仿宋" w:hint="eastAsia"/>
          <w:snapToGrid/>
          <w:kern w:val="2"/>
          <w:sz w:val="28"/>
          <w:szCs w:val="28"/>
          <w:lang w:eastAsia="zh-CN"/>
        </w:rPr>
        <w:t>日、</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8</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23</w:t>
      </w:r>
      <w:r>
        <w:rPr>
          <w:rFonts w:ascii="仿宋" w:eastAsia="仿宋" w:hAnsi="仿宋" w:cs="仿宋" w:hint="eastAsia"/>
          <w:snapToGrid/>
          <w:kern w:val="2"/>
          <w:sz w:val="28"/>
          <w:szCs w:val="28"/>
          <w:lang w:eastAsia="zh-CN"/>
        </w:rPr>
        <w:t>日、</w:t>
      </w: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9</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23</w:t>
      </w:r>
      <w:r>
        <w:rPr>
          <w:rFonts w:ascii="仿宋" w:eastAsia="仿宋" w:hAnsi="仿宋" w:cs="仿宋" w:hint="eastAsia"/>
          <w:snapToGrid/>
          <w:kern w:val="2"/>
          <w:sz w:val="28"/>
          <w:szCs w:val="28"/>
          <w:lang w:eastAsia="zh-CN"/>
        </w:rPr>
        <w:t>日</w:t>
      </w:r>
      <w:r>
        <w:rPr>
          <w:rFonts w:ascii="仿宋" w:eastAsia="仿宋" w:hAnsi="仿宋" w:cs="仿宋" w:hint="eastAsia"/>
          <w:snapToGrid/>
          <w:kern w:val="2"/>
          <w:sz w:val="28"/>
          <w:szCs w:val="28"/>
          <w:lang w:eastAsia="zh-CN"/>
        </w:rPr>
        <w:t>披露了《广东天亿马信息产业股份有限公司关于重大资产重组事项的进展公告》（公告编号：</w:t>
      </w:r>
      <w:r>
        <w:rPr>
          <w:rFonts w:ascii="仿宋" w:eastAsia="仿宋" w:hAnsi="仿宋" w:cs="仿宋" w:hint="eastAsia"/>
          <w:snapToGrid/>
          <w:kern w:val="2"/>
          <w:sz w:val="28"/>
          <w:szCs w:val="28"/>
          <w:lang w:eastAsia="zh-CN"/>
        </w:rPr>
        <w:t>2025-058</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2025-067</w:t>
      </w:r>
      <w:r>
        <w:rPr>
          <w:rFonts w:ascii="仿宋" w:eastAsia="仿宋" w:hAnsi="仿宋" w:cs="仿宋" w:hint="eastAsia"/>
          <w:snapToGrid/>
          <w:kern w:val="2"/>
          <w:sz w:val="28"/>
          <w:szCs w:val="28"/>
          <w:lang w:eastAsia="zh-CN"/>
        </w:rPr>
        <w:t>、</w:t>
      </w:r>
      <w:r>
        <w:rPr>
          <w:rFonts w:ascii="仿宋" w:eastAsia="仿宋" w:hAnsi="仿宋" w:cs="仿宋" w:hint="eastAsia"/>
          <w:snapToGrid/>
          <w:kern w:val="2"/>
          <w:sz w:val="28"/>
          <w:szCs w:val="28"/>
          <w:lang w:eastAsia="zh-CN"/>
        </w:rPr>
        <w:t>2025-085</w:t>
      </w:r>
      <w:r>
        <w:rPr>
          <w:rFonts w:ascii="仿宋" w:eastAsia="仿宋" w:hAnsi="仿宋" w:cs="仿宋" w:hint="eastAsia"/>
          <w:snapToGrid/>
          <w:kern w:val="2"/>
          <w:sz w:val="28"/>
          <w:szCs w:val="28"/>
          <w:lang w:eastAsia="zh-CN"/>
        </w:rPr>
        <w:t>）。</w:t>
      </w:r>
    </w:p>
    <w:p w14:paraId="34D4D6C9"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具体内容详见同日在巨潮资讯网</w:t>
      </w:r>
      <w:r>
        <w:rPr>
          <w:rFonts w:ascii="仿宋" w:eastAsia="仿宋" w:hAnsi="仿宋" w:cs="仿宋" w:hint="eastAsia"/>
          <w:snapToGrid/>
          <w:kern w:val="2"/>
          <w:sz w:val="28"/>
          <w:szCs w:val="28"/>
          <w:lang w:eastAsia="zh-CN"/>
        </w:rPr>
        <w:t>(http://www.cninfo.com.cn)</w:t>
      </w:r>
      <w:r>
        <w:rPr>
          <w:rFonts w:ascii="仿宋" w:eastAsia="仿宋" w:hAnsi="仿宋" w:cs="仿宋" w:hint="eastAsia"/>
          <w:snapToGrid/>
          <w:kern w:val="2"/>
          <w:sz w:val="28"/>
          <w:szCs w:val="28"/>
          <w:lang w:eastAsia="zh-CN"/>
        </w:rPr>
        <w:t>上披露的相关公告及文件。</w:t>
      </w:r>
    </w:p>
    <w:p w14:paraId="6802A900" w14:textId="77777777" w:rsidR="00FA1E95" w:rsidRDefault="00AF2A31">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三、本次交易进展情况</w:t>
      </w:r>
    </w:p>
    <w:p w14:paraId="1B8F21C8"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自本次交易预案披露以来，公司及相关各方积极地推进本次交易各项工作。截至本公告披露日，本次交易涉及资产的审计、评估及尽职</w:t>
      </w:r>
      <w:r>
        <w:rPr>
          <w:rFonts w:ascii="仿宋" w:eastAsia="仿宋" w:hAnsi="仿宋" w:cs="仿宋" w:hint="eastAsia"/>
          <w:snapToGrid/>
          <w:kern w:val="2"/>
          <w:sz w:val="28"/>
          <w:szCs w:val="28"/>
          <w:lang w:eastAsia="zh-CN"/>
        </w:rPr>
        <w:t>调查等各项工作正在有序推进，同时各方就交易细节、协议条款等事项持续进行磋商及论证，交易相关方尚未签署正式交易文件。</w:t>
      </w:r>
    </w:p>
    <w:p w14:paraId="03B396C8"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lastRenderedPageBreak/>
        <w:t>公司将继续推进本次交易的相关工作，并将根据本次交易的进展情况，再次召开董事会审议本次交易相关的议案，并严格按照相关法律法规的规定和要求履行信息披露义务。</w:t>
      </w:r>
    </w:p>
    <w:p w14:paraId="09C12182" w14:textId="77777777" w:rsidR="00FA1E95" w:rsidRDefault="00AF2A31">
      <w:pPr>
        <w:widowControl w:val="0"/>
        <w:kinsoku/>
        <w:autoSpaceDE/>
        <w:autoSpaceDN/>
        <w:adjustRightInd/>
        <w:snapToGrid/>
        <w:spacing w:line="360" w:lineRule="auto"/>
        <w:ind w:firstLineChars="200" w:firstLine="562"/>
        <w:jc w:val="both"/>
        <w:textAlignment w:val="auto"/>
        <w:outlineLvl w:val="0"/>
        <w:rPr>
          <w:rFonts w:ascii="仿宋" w:eastAsia="仿宋" w:hAnsi="仿宋" w:cs="仿宋"/>
          <w:b/>
          <w:bCs/>
          <w:snapToGrid/>
          <w:kern w:val="2"/>
          <w:sz w:val="28"/>
          <w:szCs w:val="28"/>
          <w:lang w:eastAsia="zh-CN"/>
        </w:rPr>
      </w:pPr>
      <w:r>
        <w:rPr>
          <w:rFonts w:ascii="仿宋" w:eastAsia="仿宋" w:hAnsi="仿宋" w:cs="仿宋" w:hint="eastAsia"/>
          <w:b/>
          <w:bCs/>
          <w:snapToGrid/>
          <w:kern w:val="2"/>
          <w:sz w:val="28"/>
          <w:szCs w:val="28"/>
          <w:lang w:eastAsia="zh-CN"/>
        </w:rPr>
        <w:t>四、风险提示</w:t>
      </w:r>
    </w:p>
    <w:p w14:paraId="1A86E03C"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本次交易处于筹划阶段，尚需经公司董事会再次审议及公司股东会审议通过，并经深圳证券交易所审核同意及中国证监会注册后方可正式实施，存在未能通过有关决策、审批程序的风险。本次交易能否取得上述批准或注册，以及最终取得批准或注册的时间都存</w:t>
      </w:r>
      <w:r>
        <w:rPr>
          <w:rFonts w:ascii="仿宋" w:eastAsia="仿宋" w:hAnsi="仿宋" w:cs="仿宋" w:hint="eastAsia"/>
          <w:snapToGrid/>
          <w:kern w:val="2"/>
          <w:sz w:val="28"/>
          <w:szCs w:val="28"/>
          <w:lang w:eastAsia="zh-CN"/>
        </w:rPr>
        <w:t>在不确定性。</w:t>
      </w:r>
    </w:p>
    <w:p w14:paraId="2D02D800"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公司已就本次交易的风险因素进行了充分阐述，具体内容详见《广东天亿马信息产业股份有限公司发行股份及支付现金购买资产并募集配套资金暨关联交易预案》中“重大风险提示”及“第七节</w:t>
      </w:r>
      <w:r>
        <w:rPr>
          <w:rFonts w:ascii="仿宋" w:eastAsia="仿宋" w:hAnsi="仿宋" w:cs="仿宋" w:hint="eastAsia"/>
          <w:snapToGrid/>
          <w:kern w:val="2"/>
          <w:sz w:val="28"/>
          <w:szCs w:val="28"/>
          <w:lang w:eastAsia="zh-CN"/>
        </w:rPr>
        <w:t xml:space="preserve"> </w:t>
      </w:r>
      <w:r>
        <w:rPr>
          <w:rFonts w:ascii="仿宋" w:eastAsia="仿宋" w:hAnsi="仿宋" w:cs="仿宋" w:hint="eastAsia"/>
          <w:snapToGrid/>
          <w:kern w:val="2"/>
          <w:sz w:val="28"/>
          <w:szCs w:val="28"/>
          <w:lang w:eastAsia="zh-CN"/>
        </w:rPr>
        <w:t>风险因素”。</w:t>
      </w:r>
    </w:p>
    <w:p w14:paraId="11851B79"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公司将根据相关事项的进展情况，严格按照相关法律法规的规定履行有关审批程序和信息披露义务，有关信息均以在指定信息披露媒体发布的公告为准。敬请广大投资者关注后续公告并注意投资风险。</w:t>
      </w:r>
    </w:p>
    <w:p w14:paraId="0AAC58B3" w14:textId="77777777" w:rsidR="00FA1E95" w:rsidRDefault="00AF2A31">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特此公告。</w:t>
      </w:r>
    </w:p>
    <w:p w14:paraId="10D3778A" w14:textId="77777777" w:rsidR="00FA1E95" w:rsidRDefault="00AF2A31">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1B9D9891" w14:textId="77777777" w:rsidR="00FA1E95" w:rsidRDefault="00AF2A31">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董事会</w:t>
      </w:r>
    </w:p>
    <w:p w14:paraId="07F2A555" w14:textId="77777777" w:rsidR="00FA1E95" w:rsidRDefault="00AF2A31">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2025</w:t>
      </w:r>
      <w:r>
        <w:rPr>
          <w:rFonts w:ascii="仿宋" w:eastAsia="仿宋" w:hAnsi="仿宋" w:cs="仿宋" w:hint="eastAsia"/>
          <w:snapToGrid/>
          <w:kern w:val="2"/>
          <w:sz w:val="28"/>
          <w:szCs w:val="28"/>
          <w:lang w:eastAsia="zh-CN"/>
        </w:rPr>
        <w:t>年</w:t>
      </w:r>
      <w:r>
        <w:rPr>
          <w:rFonts w:ascii="仿宋" w:eastAsia="仿宋" w:hAnsi="仿宋" w:cs="仿宋" w:hint="eastAsia"/>
          <w:snapToGrid/>
          <w:kern w:val="2"/>
          <w:sz w:val="28"/>
          <w:szCs w:val="28"/>
          <w:lang w:eastAsia="zh-CN"/>
        </w:rPr>
        <w:t>10</w:t>
      </w:r>
      <w:r>
        <w:rPr>
          <w:rFonts w:ascii="仿宋" w:eastAsia="仿宋" w:hAnsi="仿宋" w:cs="仿宋" w:hint="eastAsia"/>
          <w:snapToGrid/>
          <w:kern w:val="2"/>
          <w:sz w:val="28"/>
          <w:szCs w:val="28"/>
          <w:lang w:eastAsia="zh-CN"/>
        </w:rPr>
        <w:t>月</w:t>
      </w:r>
      <w:r>
        <w:rPr>
          <w:rFonts w:ascii="仿宋" w:eastAsia="仿宋" w:hAnsi="仿宋" w:cs="仿宋" w:hint="eastAsia"/>
          <w:snapToGrid/>
          <w:kern w:val="2"/>
          <w:sz w:val="28"/>
          <w:szCs w:val="28"/>
          <w:lang w:eastAsia="zh-CN"/>
        </w:rPr>
        <w:t>23</w:t>
      </w:r>
      <w:r>
        <w:rPr>
          <w:rFonts w:ascii="仿宋" w:eastAsia="仿宋" w:hAnsi="仿宋" w:cs="仿宋" w:hint="eastAsia"/>
          <w:snapToGrid/>
          <w:kern w:val="2"/>
          <w:sz w:val="28"/>
          <w:szCs w:val="28"/>
          <w:lang w:eastAsia="zh-CN"/>
        </w:rPr>
        <w:t>日</w:t>
      </w:r>
    </w:p>
    <w:sectPr w:rsidR="00FA1E95">
      <w:footerReference w:type="default" r:id="rId8"/>
      <w:pgSz w:w="11907" w:h="16839"/>
      <w:pgMar w:top="1431" w:right="1730" w:bottom="1202" w:left="1785" w:header="0" w:footer="97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0DE142" w14:textId="77777777" w:rsidR="00AF2A31" w:rsidRDefault="00AF2A31">
      <w:r>
        <w:separator/>
      </w:r>
    </w:p>
  </w:endnote>
  <w:endnote w:type="continuationSeparator" w:id="0">
    <w:p w14:paraId="632379BC" w14:textId="77777777" w:rsidR="00AF2A31" w:rsidRDefault="00AF2A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PingFang SC">
    <w:charset w:val="86"/>
    <w:family w:val="auto"/>
    <w:pitch w:val="default"/>
    <w:sig w:usb0="A00002FF" w:usb1="7ACFFDFB" w:usb2="00000017" w:usb3="00000000" w:csb0="00040001"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altName w:val="汉仪楷体KW"/>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
    </w:sdtPr>
    <w:sdtEndPr/>
    <w:sdtContent>
      <w:p w14:paraId="20E9BB6C" w14:textId="77777777" w:rsidR="00FA1E95" w:rsidRDefault="00AF2A31">
        <w:pPr>
          <w:pStyle w:val="a5"/>
          <w:jc w:val="center"/>
        </w:pPr>
        <w:r>
          <w:fldChar w:fldCharType="begin"/>
        </w:r>
        <w:r>
          <w:instrText>PAGE   \* MERGEFORMAT</w:instrText>
        </w:r>
        <w:r>
          <w:fldChar w:fldCharType="separate"/>
        </w:r>
        <w:r w:rsidR="003D516C" w:rsidRPr="003D516C">
          <w:rPr>
            <w:noProof/>
            <w:lang w:val="zh-CN" w:eastAsia="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DE4879" w14:textId="77777777" w:rsidR="00AF2A31" w:rsidRDefault="00AF2A31">
      <w:r>
        <w:separator/>
      </w:r>
    </w:p>
  </w:footnote>
  <w:footnote w:type="continuationSeparator" w:id="0">
    <w:p w14:paraId="1648A4AB" w14:textId="77777777" w:rsidR="00AF2A31" w:rsidRDefault="00AF2A3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E297B6"/>
    <w:multiLevelType w:val="singleLevel"/>
    <w:tmpl w:val="41E297B6"/>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displayBackgroundShape/>
  <w:bordersDoNotSurroundHeader/>
  <w:bordersDoNotSurroundFooter/>
  <w:defaultTabStop w:val="420"/>
  <w:noPunctuationKerning/>
  <w:characterSpacingControl w:val="doNotCompres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
  <w:rsids>
    <w:rsidRoot w:val="007B6D87"/>
    <w:rsid w:val="95FFBBE4"/>
    <w:rsid w:val="E7338B51"/>
    <w:rsid w:val="FD3F508F"/>
    <w:rsid w:val="00035185"/>
    <w:rsid w:val="000545F9"/>
    <w:rsid w:val="00073C86"/>
    <w:rsid w:val="000B39B1"/>
    <w:rsid w:val="000C6707"/>
    <w:rsid w:val="000F5022"/>
    <w:rsid w:val="001657AA"/>
    <w:rsid w:val="001C5CF4"/>
    <w:rsid w:val="00206F7F"/>
    <w:rsid w:val="00230176"/>
    <w:rsid w:val="00241CA1"/>
    <w:rsid w:val="00255063"/>
    <w:rsid w:val="00266E17"/>
    <w:rsid w:val="0028307F"/>
    <w:rsid w:val="002C1A3E"/>
    <w:rsid w:val="002F3A15"/>
    <w:rsid w:val="003775C6"/>
    <w:rsid w:val="003C262E"/>
    <w:rsid w:val="003D516C"/>
    <w:rsid w:val="0040027B"/>
    <w:rsid w:val="00436AE7"/>
    <w:rsid w:val="004538CB"/>
    <w:rsid w:val="004628C4"/>
    <w:rsid w:val="00496B69"/>
    <w:rsid w:val="005720C3"/>
    <w:rsid w:val="005955D6"/>
    <w:rsid w:val="005F6ED5"/>
    <w:rsid w:val="00600F50"/>
    <w:rsid w:val="00690732"/>
    <w:rsid w:val="006D63DE"/>
    <w:rsid w:val="006E7721"/>
    <w:rsid w:val="00710893"/>
    <w:rsid w:val="00730F3B"/>
    <w:rsid w:val="00777CDD"/>
    <w:rsid w:val="0078768E"/>
    <w:rsid w:val="007B2A95"/>
    <w:rsid w:val="007B6D87"/>
    <w:rsid w:val="007C1A77"/>
    <w:rsid w:val="007D1D40"/>
    <w:rsid w:val="00862E56"/>
    <w:rsid w:val="008640FC"/>
    <w:rsid w:val="008D5B5D"/>
    <w:rsid w:val="00A72C40"/>
    <w:rsid w:val="00A73A5D"/>
    <w:rsid w:val="00A7605E"/>
    <w:rsid w:val="00A84D76"/>
    <w:rsid w:val="00A97940"/>
    <w:rsid w:val="00AF2A31"/>
    <w:rsid w:val="00B14C75"/>
    <w:rsid w:val="00B51A05"/>
    <w:rsid w:val="00B84B19"/>
    <w:rsid w:val="00C659F9"/>
    <w:rsid w:val="00C85C9E"/>
    <w:rsid w:val="00C94A1E"/>
    <w:rsid w:val="00CB6784"/>
    <w:rsid w:val="00CB6869"/>
    <w:rsid w:val="00CD5187"/>
    <w:rsid w:val="00DC4545"/>
    <w:rsid w:val="00E20A76"/>
    <w:rsid w:val="00E53B68"/>
    <w:rsid w:val="00E72BF9"/>
    <w:rsid w:val="00E854E3"/>
    <w:rsid w:val="00EE225D"/>
    <w:rsid w:val="00F66EB5"/>
    <w:rsid w:val="00FA1E95"/>
    <w:rsid w:val="00FA459B"/>
    <w:rsid w:val="01086C64"/>
    <w:rsid w:val="016D588F"/>
    <w:rsid w:val="02900CBF"/>
    <w:rsid w:val="08053EFD"/>
    <w:rsid w:val="084047E3"/>
    <w:rsid w:val="085E53BC"/>
    <w:rsid w:val="0B2C0449"/>
    <w:rsid w:val="125D0492"/>
    <w:rsid w:val="135402A2"/>
    <w:rsid w:val="136F66CF"/>
    <w:rsid w:val="15D43E1B"/>
    <w:rsid w:val="16E90E79"/>
    <w:rsid w:val="1853036D"/>
    <w:rsid w:val="1908080B"/>
    <w:rsid w:val="1A3F5464"/>
    <w:rsid w:val="1CAE2016"/>
    <w:rsid w:val="1E0477E8"/>
    <w:rsid w:val="20DD55C0"/>
    <w:rsid w:val="234147C3"/>
    <w:rsid w:val="24360604"/>
    <w:rsid w:val="24523BCF"/>
    <w:rsid w:val="261D7268"/>
    <w:rsid w:val="26B75849"/>
    <w:rsid w:val="27072EEB"/>
    <w:rsid w:val="2B8A61C7"/>
    <w:rsid w:val="2B920D55"/>
    <w:rsid w:val="2BFC063C"/>
    <w:rsid w:val="318555E4"/>
    <w:rsid w:val="3AA72347"/>
    <w:rsid w:val="3F170C27"/>
    <w:rsid w:val="41F278B3"/>
    <w:rsid w:val="43755A74"/>
    <w:rsid w:val="44572601"/>
    <w:rsid w:val="4DA2439C"/>
    <w:rsid w:val="50355FCF"/>
    <w:rsid w:val="521C7446"/>
    <w:rsid w:val="552C79A0"/>
    <w:rsid w:val="56A65531"/>
    <w:rsid w:val="57F64296"/>
    <w:rsid w:val="5A9B74F7"/>
    <w:rsid w:val="5EFE6E0A"/>
    <w:rsid w:val="62856942"/>
    <w:rsid w:val="62C202DE"/>
    <w:rsid w:val="63AB76CB"/>
    <w:rsid w:val="641937E6"/>
    <w:rsid w:val="64F354E7"/>
    <w:rsid w:val="652B0805"/>
    <w:rsid w:val="6B677A5F"/>
    <w:rsid w:val="6B9F6CC6"/>
    <w:rsid w:val="6C9C1458"/>
    <w:rsid w:val="6F4C607D"/>
    <w:rsid w:val="6F90296F"/>
    <w:rsid w:val="70643A4D"/>
    <w:rsid w:val="70BB40F3"/>
    <w:rsid w:val="714733C7"/>
    <w:rsid w:val="726B0EA3"/>
    <w:rsid w:val="75FDE3BB"/>
    <w:rsid w:val="7771789F"/>
    <w:rsid w:val="798E3ED6"/>
    <w:rsid w:val="79DBC11F"/>
    <w:rsid w:val="7BED8E92"/>
    <w:rsid w:val="7BFE1C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Char"/>
    <w:uiPriority w:val="99"/>
    <w:pPr>
      <w:tabs>
        <w:tab w:val="center" w:pos="4153"/>
        <w:tab w:val="right" w:pos="8306"/>
      </w:tabs>
    </w:pPr>
    <w:rPr>
      <w:sz w:val="18"/>
      <w:szCs w:val="18"/>
    </w:rPr>
  </w:style>
  <w:style w:type="paragraph" w:styleId="a6">
    <w:name w:val="header"/>
    <w:basedOn w:val="a"/>
    <w:link w:val="Char0"/>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rPr>
      <w:rFonts w:ascii="Arial" w:eastAsia="Arial" w:hAnsi="Arial" w:cs="Arial"/>
      <w:snapToGrid w:val="0"/>
      <w:color w:val="000000"/>
      <w:sz w:val="21"/>
      <w:szCs w:val="21"/>
      <w:lang w:eastAsia="en-US"/>
    </w:rPr>
  </w:style>
  <w:style w:type="character" w:customStyle="1" w:styleId="Char0">
    <w:name w:val="页眉 Char"/>
    <w:basedOn w:val="a0"/>
    <w:link w:val="a6"/>
    <w:rPr>
      <w:rFonts w:eastAsia="Arial"/>
      <w:snapToGrid w:val="0"/>
      <w:color w:val="000000"/>
      <w:sz w:val="18"/>
      <w:szCs w:val="18"/>
      <w:lang w:eastAsia="en-US"/>
    </w:rPr>
  </w:style>
  <w:style w:type="character" w:customStyle="1" w:styleId="Char">
    <w:name w:val="页脚 Char"/>
    <w:basedOn w:val="a0"/>
    <w:link w:val="a5"/>
    <w:uiPriority w:val="99"/>
    <w:rPr>
      <w:rFonts w:eastAsia="Arial"/>
      <w:snapToGrid w:val="0"/>
      <w:color w:val="00000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footer" w:uiPriority="99"/>
    <w:lsdException w:name="caption" w:semiHidden="1" w:unhideWhenUsed="1" w:qFormat="1"/>
    <w:lsdException w:name="Title" w:qFormat="1"/>
    <w:lsdException w:name="Default Paragraph Font" w:semiHidden="1" w:uiPriority="1" w:unhideWhenUsed="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footer"/>
    <w:basedOn w:val="a"/>
    <w:link w:val="Char"/>
    <w:uiPriority w:val="99"/>
    <w:pPr>
      <w:tabs>
        <w:tab w:val="center" w:pos="4153"/>
        <w:tab w:val="right" w:pos="8306"/>
      </w:tabs>
    </w:pPr>
    <w:rPr>
      <w:sz w:val="18"/>
      <w:szCs w:val="18"/>
    </w:rPr>
  </w:style>
  <w:style w:type="paragraph" w:styleId="a6">
    <w:name w:val="header"/>
    <w:basedOn w:val="a"/>
    <w:link w:val="Char0"/>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rPr>
      <w:rFonts w:ascii="Arial" w:eastAsia="Arial" w:hAnsi="Arial" w:cs="Arial"/>
      <w:snapToGrid w:val="0"/>
      <w:color w:val="000000"/>
      <w:sz w:val="21"/>
      <w:szCs w:val="21"/>
      <w:lang w:eastAsia="en-US"/>
    </w:rPr>
  </w:style>
  <w:style w:type="character" w:customStyle="1" w:styleId="Char0">
    <w:name w:val="页眉 Char"/>
    <w:basedOn w:val="a0"/>
    <w:link w:val="a6"/>
    <w:rPr>
      <w:rFonts w:eastAsia="Arial"/>
      <w:snapToGrid w:val="0"/>
      <w:color w:val="000000"/>
      <w:sz w:val="18"/>
      <w:szCs w:val="18"/>
      <w:lang w:eastAsia="en-US"/>
    </w:rPr>
  </w:style>
  <w:style w:type="character" w:customStyle="1" w:styleId="Char">
    <w:name w:val="页脚 Char"/>
    <w:basedOn w:val="a0"/>
    <w:link w:val="a5"/>
    <w:uiPriority w:val="99"/>
    <w:rPr>
      <w:rFonts w:eastAsia="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TotalTime>
  <Pages>3</Pages>
  <Words>255</Words>
  <Characters>1458</Characters>
  <Application>Microsoft Office Word</Application>
  <DocSecurity>0</DocSecurity>
  <Lines>12</Lines>
  <Paragraphs>3</Paragraphs>
  <ScaleCrop>false</ScaleCrop>
  <Company>Microsoft</Company>
  <LinksUpToDate>false</LinksUpToDate>
  <CharactersWithSpaces>1710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hsq</cp:lastModifiedBy>
  <cp:revision>49</cp:revision>
  <dcterms:created xsi:type="dcterms:W3CDTF">2025-06-07T14:36:00Z</dcterms:created>
  <dcterms:modified xsi:type="dcterms:W3CDTF">2025-10-23T06:18:00Z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2052-6.14.0.8924</vt:lpwstr>
  </property>
  <property fmtid="{D5CDD505-2E9C-101B-9397-08002B2CF9AE}" pid="5" name="ICV">
    <vt:lpwstr>B78580700D6063D51E7FF96841AC9A72_43</vt:lpwstr>
  </property>
  <property fmtid="{D5CDD505-2E9C-101B-9397-08002B2CF9AE}" pid="6" name="KSOTemplateDocerSaveRecord">
    <vt:lpwstr>eyJoZGlkIjoiYjc3NTVmODk5OWI4YTU0YmU5MTlhYzJjMjBkNzFlNmEiLCJ1c2VySWQiOiIyNDMwNTgyMjAifQ==</vt:lpwstr>
  </property>
</Properties>
</file>