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CDACB" w14:textId="77777777" w:rsidR="00F24175" w:rsidRDefault="00000000">
      <w:pPr>
        <w:spacing w:line="360" w:lineRule="auto"/>
        <w:jc w:val="both"/>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公告编号：2025-093</w:t>
      </w:r>
    </w:p>
    <w:p w14:paraId="25EE0326" w14:textId="77777777" w:rsidR="00F24175"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48DD06F3" w14:textId="77777777" w:rsidR="00F24175" w:rsidRDefault="00000000">
      <w:pPr>
        <w:widowControl w:val="0"/>
        <w:kinsoku/>
        <w:snapToGrid/>
        <w:spacing w:line="360" w:lineRule="auto"/>
        <w:jc w:val="center"/>
        <w:textAlignment w:val="auto"/>
        <w:rPr>
          <w:rFonts w:ascii="宋体" w:eastAsia="宋体" w:hAnsi="宋体" w:cs="宋体" w:hint="eastAsia"/>
          <w:b/>
          <w:bCs/>
          <w:sz w:val="30"/>
          <w:szCs w:val="30"/>
          <w:lang w:eastAsia="zh-CN"/>
        </w:rPr>
      </w:pPr>
      <w:r>
        <w:rPr>
          <w:rFonts w:ascii="黑体" w:eastAsia="黑体" w:hAnsi="黑体" w:cs="Times New Roman" w:hint="eastAsia"/>
          <w:snapToGrid/>
          <w:kern w:val="2"/>
          <w:sz w:val="36"/>
          <w:szCs w:val="36"/>
          <w:lang w:eastAsia="zh-CN"/>
        </w:rPr>
        <w:t>第四届董事会第三次会议决议公告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F24175" w14:paraId="3E8A0A93" w14:textId="77777777">
        <w:trPr>
          <w:trHeight w:val="776"/>
        </w:trPr>
        <w:tc>
          <w:tcPr>
            <w:tcW w:w="7962" w:type="dxa"/>
          </w:tcPr>
          <w:p w14:paraId="4AB097D8" w14:textId="77777777" w:rsidR="00F24175"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CF305D0" w14:textId="77777777" w:rsidR="00F24175" w:rsidRDefault="00F24175">
      <w:pPr>
        <w:spacing w:line="360" w:lineRule="auto"/>
        <w:jc w:val="both"/>
        <w:rPr>
          <w:rFonts w:ascii="宋体" w:eastAsia="宋体" w:hAnsi="宋体" w:cs="宋体" w:hint="eastAsia"/>
          <w:b/>
          <w:bCs/>
          <w:sz w:val="24"/>
          <w:szCs w:val="24"/>
          <w:lang w:eastAsia="zh-CN"/>
        </w:rPr>
      </w:pPr>
    </w:p>
    <w:p w14:paraId="37D87B4C" w14:textId="77777777" w:rsidR="00F24175"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一、董事会会议召开情况</w:t>
      </w:r>
    </w:p>
    <w:p w14:paraId="77022798" w14:textId="7E0ED791"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广东天亿马信息产业股份有限公司（以下简称“公司”“上市公司”）第四届董事会第三次会议于2025年11月18日10时在深圳市南山区</w:t>
      </w:r>
      <w:r>
        <w:rPr>
          <w:rFonts w:ascii="仿宋" w:eastAsia="仿宋" w:hAnsi="仿宋" w:cs="Times New Roman" w:hint="eastAsia"/>
          <w:sz w:val="28"/>
          <w:szCs w:val="28"/>
          <w:lang w:eastAsia="zh-CN"/>
        </w:rPr>
        <w:t>侨城一号广场大厦</w:t>
      </w:r>
      <w:r>
        <w:rPr>
          <w:rFonts w:ascii="仿宋" w:eastAsia="仿宋" w:hAnsi="仿宋" w:cs="Times New Roman"/>
          <w:sz w:val="28"/>
          <w:szCs w:val="28"/>
          <w:lang w:eastAsia="zh-CN"/>
        </w:rPr>
        <w:t>27层</w:t>
      </w:r>
      <w:r>
        <w:rPr>
          <w:rFonts w:ascii="仿宋" w:eastAsia="仿宋" w:hAnsi="仿宋" w:cs="仿宋" w:hint="eastAsia"/>
          <w:snapToGrid/>
          <w:kern w:val="2"/>
          <w:sz w:val="28"/>
          <w:szCs w:val="28"/>
          <w:lang w:eastAsia="zh-CN"/>
        </w:rPr>
        <w:t>公司办公室召开，此前公司于2025年11月15日以电子邮件形式向全体董事发出会议通知。本次会议应到董事为8人，实到人数8人，本人现场出席本次会议的董事有2名，为董事长林明玲女士、副董事长马学沛先生，通过通讯方式参加会议的董事有董事马翊珽先生、刘楚境先生、郭树荣先生和独立董事曹丽梅女士、滕丽秋女士、石洁芝女士。会议由董事长林明玲女士召集并主持，公司高级管理人员列席本次会议。会议的召集及召开程序符合《中华人民共和国公司法》《</w:t>
      </w:r>
      <w:bookmarkStart w:id="0" w:name="OLE_LINK2"/>
      <w:r>
        <w:rPr>
          <w:rFonts w:ascii="仿宋" w:eastAsia="仿宋" w:hAnsi="仿宋" w:cs="仿宋" w:hint="eastAsia"/>
          <w:snapToGrid/>
          <w:kern w:val="2"/>
          <w:sz w:val="28"/>
          <w:szCs w:val="28"/>
          <w:lang w:eastAsia="zh-CN"/>
        </w:rPr>
        <w:t>广东天亿马信息产业股份有限公司</w:t>
      </w:r>
      <w:bookmarkEnd w:id="0"/>
      <w:r>
        <w:rPr>
          <w:rFonts w:ascii="仿宋" w:eastAsia="仿宋" w:hAnsi="仿宋" w:cs="仿宋" w:hint="eastAsia"/>
          <w:snapToGrid/>
          <w:kern w:val="2"/>
          <w:sz w:val="28"/>
          <w:szCs w:val="28"/>
          <w:lang w:eastAsia="zh-CN"/>
        </w:rPr>
        <w:t>章程》（以下简称《公司章程》）及《广东天亿马信息产业股份有限公司董事会议事规则》的规定。</w:t>
      </w:r>
    </w:p>
    <w:p w14:paraId="30DB14A9" w14:textId="77777777" w:rsidR="00F24175" w:rsidRDefault="00000000">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二、董事会会议审议情况</w:t>
      </w:r>
    </w:p>
    <w:p w14:paraId="35219AB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会议审议并表决通过了以下决议：</w:t>
      </w:r>
    </w:p>
    <w:p w14:paraId="616D1797"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（一）</w:t>
      </w:r>
      <w:r>
        <w:rPr>
          <w:rFonts w:ascii="仿宋" w:eastAsia="仿宋" w:hAnsi="仿宋" w:cs="仿宋"/>
          <w:b/>
          <w:bCs/>
          <w:snapToGrid/>
          <w:kern w:val="2"/>
          <w:sz w:val="28"/>
          <w:szCs w:val="28"/>
          <w:lang w:eastAsia="zh-CN"/>
        </w:rPr>
        <w:t>审议通过《关于公司符合发行股份及支付现金购买资产并募集配套资金暨关联交易相关法律法规规定条件的议案》，具体情况如下：</w:t>
      </w:r>
    </w:p>
    <w:p w14:paraId="657F8EE1" w14:textId="77777777" w:rsidR="00F24175" w:rsidRDefault="00000000">
      <w:pPr>
        <w:spacing w:beforeLines="50" w:before="120" w:line="360" w:lineRule="auto"/>
        <w:ind w:firstLineChars="200" w:firstLine="560"/>
        <w:jc w:val="both"/>
        <w:rPr>
          <w:rFonts w:ascii="仿宋" w:eastAsia="仿宋" w:hAnsi="仿宋" w:hint="eastAsia"/>
          <w:sz w:val="28"/>
          <w:lang w:eastAsia="zh-CN"/>
        </w:rPr>
      </w:pPr>
      <w:r>
        <w:rPr>
          <w:rFonts w:ascii="仿宋" w:eastAsia="仿宋" w:hAnsi="仿宋" w:hint="eastAsia"/>
          <w:sz w:val="28"/>
          <w:lang w:eastAsia="zh-CN"/>
        </w:rPr>
        <w:t>公司拟以发行股份及支付现金的方式购买陈耿豪等21名交易对方合计持有的广东星云开物科技股份有限公司（以下简称“星云开</w:t>
      </w:r>
      <w:r>
        <w:rPr>
          <w:rFonts w:ascii="仿宋" w:eastAsia="仿宋" w:hAnsi="仿宋" w:hint="eastAsia"/>
          <w:sz w:val="28"/>
          <w:lang w:eastAsia="zh-CN"/>
        </w:rPr>
        <w:lastRenderedPageBreak/>
        <w:t>物</w:t>
      </w:r>
      <w:proofErr w:type="gramStart"/>
      <w:r>
        <w:rPr>
          <w:rFonts w:ascii="仿宋" w:eastAsia="仿宋" w:hAnsi="仿宋" w:hint="eastAsia"/>
          <w:sz w:val="28"/>
          <w:lang w:eastAsia="zh-CN"/>
        </w:rPr>
        <w:t>”</w:t>
      </w:r>
      <w:proofErr w:type="gramEnd"/>
      <w:r>
        <w:rPr>
          <w:rFonts w:ascii="仿宋" w:eastAsia="仿宋" w:hAnsi="仿宋" w:hint="eastAsia"/>
          <w:sz w:val="28"/>
          <w:lang w:eastAsia="zh-CN"/>
        </w:rPr>
        <w:t>或“标的公司”）</w:t>
      </w:r>
      <w:r>
        <w:rPr>
          <w:rFonts w:ascii="仿宋" w:eastAsia="仿宋" w:hAnsi="仿宋"/>
          <w:sz w:val="28"/>
          <w:lang w:eastAsia="zh-CN"/>
        </w:rPr>
        <w:t>98.5632</w:t>
      </w:r>
      <w:r>
        <w:rPr>
          <w:rFonts w:ascii="仿宋" w:eastAsia="仿宋" w:hAnsi="仿宋" w:hint="eastAsia"/>
          <w:sz w:val="28"/>
          <w:lang w:eastAsia="zh-CN"/>
        </w:rPr>
        <w:t>%股权（以下简称“标的资产”），并向实际控制人之一马学沛先生发行股份募集配套资金（以下简称“本次交易”）。</w:t>
      </w:r>
    </w:p>
    <w:p w14:paraId="26F20538" w14:textId="77777777" w:rsidR="00F24175" w:rsidRDefault="00000000">
      <w:pPr>
        <w:spacing w:beforeLines="50" w:before="120" w:line="360" w:lineRule="auto"/>
        <w:ind w:firstLineChars="200" w:firstLine="560"/>
        <w:jc w:val="both"/>
        <w:rPr>
          <w:rFonts w:ascii="仿宋" w:eastAsia="仿宋" w:hAnsi="仿宋" w:hint="eastAsia"/>
          <w:sz w:val="28"/>
          <w:lang w:eastAsia="zh-CN"/>
        </w:rPr>
      </w:pPr>
      <w:r>
        <w:rPr>
          <w:rFonts w:ascii="仿宋" w:eastAsia="仿宋" w:hAnsi="仿宋" w:hint="eastAsia"/>
          <w:sz w:val="28"/>
          <w:lang w:eastAsia="zh-CN"/>
        </w:rPr>
        <w:t>根据《中华人民共和国公司法》《中华人民共和国证券法》《上市公司重大资产重组管理办法》《上市公司证券发行注册管理办法》《上市公司监管指引第9号—上市公司筹划和实施重大资产重组的监管要求》《深圳证券交易所上市公司自律监管指引第8号—重大资产重组》等法律法规、规章及其他规范性文件的有关规定，并经对公司实际情况及相关事项进行充分自查论证，董事会认为公司符合上述法律法规规定的本次发行股份及支付现金购买资产并募集配套资金的要求和各项条件。</w:t>
      </w:r>
    </w:p>
    <w:p w14:paraId="3DBBD344" w14:textId="77777777" w:rsidR="00F24175" w:rsidRDefault="00000000">
      <w:pPr>
        <w:spacing w:beforeLines="50" w:before="120" w:line="360" w:lineRule="auto"/>
        <w:ind w:firstLineChars="200" w:firstLine="560"/>
        <w:jc w:val="both"/>
        <w:rPr>
          <w:rFonts w:ascii="仿宋" w:eastAsia="仿宋" w:hAnsi="仿宋" w:hint="eastAsia"/>
          <w:sz w:val="28"/>
          <w:lang w:eastAsia="zh-CN"/>
        </w:rPr>
      </w:pPr>
      <w:bookmarkStart w:id="1" w:name="OLE_LINK21"/>
      <w:r>
        <w:rPr>
          <w:rFonts w:ascii="仿宋" w:eastAsia="仿宋" w:hAnsi="仿宋" w:hint="eastAsia"/>
          <w:sz w:val="28"/>
          <w:lang w:eastAsia="zh-CN"/>
        </w:rPr>
        <w:t>本议案已经公司第四届董事会第一次独立董事专门会议审议通过。</w:t>
      </w:r>
    </w:p>
    <w:bookmarkEnd w:id="1"/>
    <w:p w14:paraId="47A19340"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，反对0票，弃权0票。</w:t>
      </w:r>
    </w:p>
    <w:p w14:paraId="5B05335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2FF84907"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72B83E06"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w:t>
      </w:r>
      <w:proofErr w:type="gramStart"/>
      <w:r>
        <w:rPr>
          <w:rFonts w:ascii="仿宋" w:eastAsia="仿宋" w:hAnsi="仿宋" w:cs="仿宋" w:hint="eastAsia"/>
          <w:b/>
          <w:bCs/>
          <w:snapToGrid/>
          <w:kern w:val="2"/>
          <w:sz w:val="28"/>
          <w:szCs w:val="28"/>
          <w:lang w:eastAsia="zh-CN"/>
        </w:rPr>
        <w:t>逐项</w:t>
      </w:r>
      <w:r>
        <w:rPr>
          <w:rFonts w:ascii="仿宋" w:eastAsia="仿宋" w:hAnsi="仿宋" w:cs="仿宋"/>
          <w:b/>
          <w:bCs/>
          <w:snapToGrid/>
          <w:kern w:val="2"/>
          <w:sz w:val="28"/>
          <w:szCs w:val="28"/>
          <w:lang w:eastAsia="zh-CN"/>
        </w:rPr>
        <w:t>审议</w:t>
      </w:r>
      <w:proofErr w:type="gramEnd"/>
      <w:r>
        <w:rPr>
          <w:rFonts w:ascii="仿宋" w:eastAsia="仿宋" w:hAnsi="仿宋" w:cs="仿宋"/>
          <w:b/>
          <w:bCs/>
          <w:snapToGrid/>
          <w:kern w:val="2"/>
          <w:sz w:val="28"/>
          <w:szCs w:val="28"/>
          <w:lang w:eastAsia="zh-CN"/>
        </w:rPr>
        <w:t>通过《关于公司发行股份及支付现金购买资产并募集配套</w:t>
      </w:r>
      <w:r>
        <w:rPr>
          <w:rFonts w:ascii="仿宋" w:eastAsia="仿宋" w:hAnsi="仿宋" w:cs="仿宋" w:hint="eastAsia"/>
          <w:b/>
          <w:bCs/>
          <w:snapToGrid/>
          <w:kern w:val="2"/>
          <w:sz w:val="28"/>
          <w:szCs w:val="28"/>
          <w:lang w:eastAsia="zh-CN"/>
        </w:rPr>
        <w:t>资金</w:t>
      </w:r>
      <w:r>
        <w:rPr>
          <w:rFonts w:ascii="仿宋" w:eastAsia="仿宋" w:hAnsi="仿宋" w:cs="仿宋"/>
          <w:b/>
          <w:bCs/>
          <w:snapToGrid/>
          <w:kern w:val="2"/>
          <w:sz w:val="28"/>
          <w:szCs w:val="28"/>
          <w:lang w:eastAsia="zh-CN"/>
        </w:rPr>
        <w:t>暨关联交易</w:t>
      </w:r>
      <w:r>
        <w:rPr>
          <w:rFonts w:ascii="仿宋" w:eastAsia="仿宋" w:hAnsi="仿宋" w:cs="仿宋" w:hint="eastAsia"/>
          <w:b/>
          <w:bCs/>
          <w:snapToGrid/>
          <w:kern w:val="2"/>
          <w:sz w:val="28"/>
          <w:szCs w:val="28"/>
          <w:lang w:eastAsia="zh-CN"/>
        </w:rPr>
        <w:t>方案</w:t>
      </w:r>
      <w:r>
        <w:rPr>
          <w:rFonts w:ascii="仿宋" w:eastAsia="仿宋" w:hAnsi="仿宋" w:cs="仿宋"/>
          <w:b/>
          <w:bCs/>
          <w:snapToGrid/>
          <w:kern w:val="2"/>
          <w:sz w:val="28"/>
          <w:szCs w:val="28"/>
          <w:lang w:eastAsia="zh-CN"/>
        </w:rPr>
        <w:t>的议案》，具体情况如下：</w:t>
      </w:r>
    </w:p>
    <w:p w14:paraId="0AF43A0B"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1.审议通过（一）本次交易方案概述</w:t>
      </w:r>
    </w:p>
    <w:p w14:paraId="0639BD1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本次交易方案包括：（一）公司拟以发行股份及支付现金方式购买星云开物的</w:t>
      </w:r>
      <w:r>
        <w:rPr>
          <w:rFonts w:ascii="仿宋" w:eastAsia="仿宋" w:hAnsi="仿宋"/>
          <w:sz w:val="28"/>
          <w:szCs w:val="28"/>
          <w:lang w:eastAsia="zh-CN"/>
        </w:rPr>
        <w:t>98.5632</w:t>
      </w:r>
      <w:r>
        <w:rPr>
          <w:rFonts w:ascii="仿宋" w:eastAsia="仿宋" w:hAnsi="仿宋" w:hint="eastAsia"/>
          <w:sz w:val="28"/>
          <w:szCs w:val="28"/>
          <w:lang w:eastAsia="zh-CN"/>
        </w:rPr>
        <w:t>%股权（以下简称“本次发行股份及支付现金购买资产”）；（二）公司拟向公司</w:t>
      </w:r>
      <w:r>
        <w:rPr>
          <w:rFonts w:ascii="仿宋" w:eastAsia="仿宋" w:hAnsi="仿宋" w:hint="eastAsia"/>
          <w:sz w:val="28"/>
          <w:lang w:eastAsia="zh-CN"/>
        </w:rPr>
        <w:t>实际控制人之一马学沛先生</w:t>
      </w:r>
      <w:r>
        <w:rPr>
          <w:rFonts w:ascii="仿宋" w:eastAsia="仿宋" w:hAnsi="仿宋" w:hint="eastAsia"/>
          <w:sz w:val="28"/>
          <w:szCs w:val="28"/>
          <w:lang w:eastAsia="zh-CN"/>
        </w:rPr>
        <w:t>发行股票募集配套资金（以下简称“本次募集配套资金”）。</w:t>
      </w:r>
    </w:p>
    <w:p w14:paraId="64F32E3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本次发行股份及支付现金购买资产不以募集配套资金的成功实施为前提，最终募集配套资金发行成功与否不影响本次发行股份及支付现金购买资产的实施。</w:t>
      </w:r>
    </w:p>
    <w:p w14:paraId="19AD9B5F"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议案表决结果：同意5票，反对票0票，弃权0票。</w:t>
      </w:r>
    </w:p>
    <w:p w14:paraId="31F5B46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回避表决情况：3票回避，关联董事林明玲、马学沛、马翊珽回避表决。</w:t>
      </w:r>
    </w:p>
    <w:p w14:paraId="34F11F26"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2.审议通过（二）本次交易的具体方案的“1、本次发行股份及支付现金购买资产的具体方案”的（1）交易资产及交易对方，具体情况如下：</w:t>
      </w:r>
    </w:p>
    <w:p w14:paraId="21F7E08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本次发行股份及支付现金购买资产的交易标的为星云开物的</w:t>
      </w:r>
      <w:r>
        <w:rPr>
          <w:rFonts w:ascii="仿宋" w:eastAsia="仿宋" w:hAnsi="仿宋"/>
          <w:sz w:val="28"/>
          <w:szCs w:val="28"/>
          <w:lang w:eastAsia="zh-CN"/>
        </w:rPr>
        <w:t>98.6532</w:t>
      </w:r>
      <w:r>
        <w:rPr>
          <w:rFonts w:ascii="仿宋" w:eastAsia="仿宋" w:hAnsi="仿宋" w:hint="eastAsia"/>
          <w:sz w:val="28"/>
          <w:szCs w:val="28"/>
          <w:lang w:eastAsia="zh-CN"/>
        </w:rPr>
        <w:t>%股权。本次发行股份及支付现金购买资产的交易对方为陈耿豪、南通成为常青股权投资合伙企业（有限合伙）（以下简称“</w:t>
      </w:r>
      <w:r>
        <w:rPr>
          <w:rFonts w:ascii="仿宋" w:eastAsia="仿宋" w:hAnsi="仿宋"/>
          <w:sz w:val="28"/>
          <w:szCs w:val="28"/>
          <w:lang w:eastAsia="zh-CN"/>
        </w:rPr>
        <w:t>南通成为常青</w:t>
      </w:r>
      <w:r>
        <w:rPr>
          <w:rFonts w:ascii="仿宋" w:eastAsia="仿宋" w:hAnsi="仿宋" w:hint="eastAsia"/>
          <w:sz w:val="28"/>
          <w:szCs w:val="28"/>
          <w:lang w:eastAsia="zh-CN"/>
        </w:rPr>
        <w:t>”）、珠海广发信德科文创业投资基金（有限合伙）（以下简称“广发信德科文”）、苏州市德同合心创业投资合伙企业（有限合伙）（以下简称“苏州市德同合心”）、泰安乐陶陶投资服务合伙企业（有限合伙）（以下简称“乐陶陶”）、林芝利新信息技术有限公司（以下简称“林芝利新”）、杨凯然、张杰波、璀璨远见（深圳）企业管理合伙企业（有限合伙）（以下简称“璀璨远见”）、泰安乐熙熙投资服务合伙企业（有限合伙）（以下简称“乐熙熙”）、泰安乐腾腾投资服务合伙企业（有限合伙）（以下简称“乐腾腾”）、深圳市前海千</w:t>
      </w:r>
      <w:proofErr w:type="gramStart"/>
      <w:r>
        <w:rPr>
          <w:rFonts w:ascii="仿宋" w:eastAsia="仿宋" w:hAnsi="仿宋" w:hint="eastAsia"/>
          <w:sz w:val="28"/>
          <w:szCs w:val="28"/>
          <w:lang w:eastAsia="zh-CN"/>
        </w:rPr>
        <w:t>意智合三期</w:t>
      </w:r>
      <w:proofErr w:type="gramEnd"/>
      <w:r>
        <w:rPr>
          <w:rFonts w:ascii="仿宋" w:eastAsia="仿宋" w:hAnsi="仿宋" w:hint="eastAsia"/>
          <w:sz w:val="28"/>
          <w:szCs w:val="28"/>
          <w:lang w:eastAsia="zh-CN"/>
        </w:rPr>
        <w:t>投资合伙企业（有限合伙）（以下简称“深圳市前海千意”）、胡俊、王佳、泰安乐哈哈投资服务合伙企业（有限合伙）（以下简称“乐哈哈”）、广州广发信德二期创业投资合伙企业（有限合伙）（以下简称“广州广发信德二期”）、</w:t>
      </w:r>
      <w:proofErr w:type="gramStart"/>
      <w:r>
        <w:rPr>
          <w:rFonts w:ascii="仿宋" w:eastAsia="仿宋" w:hAnsi="仿宋" w:hint="eastAsia"/>
          <w:sz w:val="28"/>
          <w:szCs w:val="28"/>
          <w:lang w:eastAsia="zh-CN"/>
        </w:rPr>
        <w:t>璀璨德</w:t>
      </w:r>
      <w:proofErr w:type="gramEnd"/>
      <w:r>
        <w:rPr>
          <w:rFonts w:ascii="仿宋" w:eastAsia="仿宋" w:hAnsi="仿宋" w:hint="eastAsia"/>
          <w:sz w:val="28"/>
          <w:szCs w:val="28"/>
          <w:lang w:eastAsia="zh-CN"/>
        </w:rPr>
        <w:t>商（深圳）创业投资中心（有限合伙）</w:t>
      </w:r>
      <w:r>
        <w:rPr>
          <w:rFonts w:ascii="仿宋" w:eastAsia="仿宋" w:hAnsi="仿宋" w:hint="eastAsia"/>
          <w:sz w:val="28"/>
          <w:szCs w:val="28"/>
          <w:lang w:eastAsia="zh-CN"/>
        </w:rPr>
        <w:lastRenderedPageBreak/>
        <w:t>（以下简称“璀璨德商”）、广州信</w:t>
      </w:r>
      <w:proofErr w:type="gramStart"/>
      <w:r>
        <w:rPr>
          <w:rFonts w:ascii="仿宋" w:eastAsia="仿宋" w:hAnsi="仿宋" w:hint="eastAsia"/>
          <w:sz w:val="28"/>
          <w:szCs w:val="28"/>
          <w:lang w:eastAsia="zh-CN"/>
        </w:rPr>
        <w:t>德创业营</w:t>
      </w:r>
      <w:proofErr w:type="gramEnd"/>
      <w:r>
        <w:rPr>
          <w:rFonts w:ascii="仿宋" w:eastAsia="仿宋" w:hAnsi="仿宋" w:hint="eastAsia"/>
          <w:sz w:val="28"/>
          <w:szCs w:val="28"/>
          <w:lang w:eastAsia="zh-CN"/>
        </w:rPr>
        <w:t>股权投资合伙企业（有限合伙）（以下简称“广州信德创业营”）、泰安</w:t>
      </w:r>
      <w:proofErr w:type="gramStart"/>
      <w:r>
        <w:rPr>
          <w:rFonts w:ascii="仿宋" w:eastAsia="仿宋" w:hAnsi="仿宋" w:hint="eastAsia"/>
          <w:sz w:val="28"/>
          <w:szCs w:val="28"/>
          <w:lang w:eastAsia="zh-CN"/>
        </w:rPr>
        <w:t>乐摇投资</w:t>
      </w:r>
      <w:proofErr w:type="gramEnd"/>
      <w:r>
        <w:rPr>
          <w:rFonts w:ascii="仿宋" w:eastAsia="仿宋" w:hAnsi="仿宋" w:hint="eastAsia"/>
          <w:sz w:val="28"/>
          <w:szCs w:val="28"/>
          <w:lang w:eastAsia="zh-CN"/>
        </w:rPr>
        <w:t>服务合伙企业（有限合伙）（以下简称“乐摇”）、珠海康</w:t>
      </w:r>
      <w:proofErr w:type="gramStart"/>
      <w:r>
        <w:rPr>
          <w:rFonts w:ascii="仿宋" w:eastAsia="仿宋" w:hAnsi="仿宋" w:hint="eastAsia"/>
          <w:sz w:val="28"/>
          <w:szCs w:val="28"/>
          <w:lang w:eastAsia="zh-CN"/>
        </w:rPr>
        <w:t>远投资</w:t>
      </w:r>
      <w:proofErr w:type="gramEnd"/>
      <w:r>
        <w:rPr>
          <w:rFonts w:ascii="仿宋" w:eastAsia="仿宋" w:hAnsi="仿宋" w:hint="eastAsia"/>
          <w:sz w:val="28"/>
          <w:szCs w:val="28"/>
          <w:lang w:eastAsia="zh-CN"/>
        </w:rPr>
        <w:t>企业（有限合伙）（以下简称“珠海康远”）、上海德盾企业管理合伙企业（有限合伙）（以下简称“上海德盾”）。</w:t>
      </w:r>
    </w:p>
    <w:p w14:paraId="2E5F05A5"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bookmarkStart w:id="2" w:name="OLE_LINK33"/>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3567C7F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bookmarkEnd w:id="2"/>
    <w:p w14:paraId="7DA8EE91"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3.审议通过（二）本次交易的具体方案的“1、本次发行股份及支付现金购买资产的具体方案”的（2）交易价格及定价依据，具体情况如下：</w:t>
      </w:r>
    </w:p>
    <w:p w14:paraId="58C9AF0C"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根据金证（上海）资产评估有限公司（以下简称“金证评估”）出具的金证评报字（</w:t>
      </w:r>
      <w:r>
        <w:rPr>
          <w:rFonts w:ascii="仿宋" w:eastAsia="仿宋" w:hAnsi="仿宋"/>
          <w:sz w:val="28"/>
          <w:szCs w:val="28"/>
          <w:lang w:eastAsia="zh-CN"/>
        </w:rPr>
        <w:t>2025</w:t>
      </w:r>
      <w:r>
        <w:rPr>
          <w:rFonts w:ascii="仿宋" w:eastAsia="仿宋" w:hAnsi="仿宋" w:hint="eastAsia"/>
          <w:sz w:val="28"/>
          <w:szCs w:val="28"/>
          <w:lang w:eastAsia="zh-CN"/>
        </w:rPr>
        <w:t>）第0586号《广东天亿马信息产业股份有限公司拟发行股份及支付现金购买资产所涉及的广东星云开物科技股份有限公司股东全部权益价值资产评估报告》（以下简称《资产评估报告》），以</w:t>
      </w:r>
      <w:r>
        <w:rPr>
          <w:rFonts w:ascii="仿宋" w:eastAsia="仿宋" w:hAnsi="仿宋"/>
          <w:sz w:val="28"/>
          <w:szCs w:val="28"/>
          <w:lang w:eastAsia="zh-CN"/>
        </w:rPr>
        <w:t>2025</w:t>
      </w:r>
      <w:r>
        <w:rPr>
          <w:rFonts w:ascii="仿宋" w:eastAsia="仿宋" w:hAnsi="仿宋" w:hint="eastAsia"/>
          <w:sz w:val="28"/>
          <w:szCs w:val="28"/>
          <w:lang w:eastAsia="zh-CN"/>
        </w:rPr>
        <w:t>年</w:t>
      </w:r>
      <w:r>
        <w:rPr>
          <w:rFonts w:ascii="仿宋" w:eastAsia="仿宋" w:hAnsi="仿宋"/>
          <w:sz w:val="28"/>
          <w:szCs w:val="28"/>
          <w:lang w:eastAsia="zh-CN"/>
        </w:rPr>
        <w:t>6</w:t>
      </w:r>
      <w:r>
        <w:rPr>
          <w:rFonts w:ascii="仿宋" w:eastAsia="仿宋" w:hAnsi="仿宋" w:hint="eastAsia"/>
          <w:sz w:val="28"/>
          <w:szCs w:val="28"/>
          <w:lang w:eastAsia="zh-CN"/>
        </w:rPr>
        <w:t>月</w:t>
      </w:r>
      <w:r>
        <w:rPr>
          <w:rFonts w:ascii="仿宋" w:eastAsia="仿宋" w:hAnsi="仿宋"/>
          <w:sz w:val="28"/>
          <w:szCs w:val="28"/>
          <w:lang w:eastAsia="zh-CN"/>
        </w:rPr>
        <w:t>30</w:t>
      </w:r>
      <w:r>
        <w:rPr>
          <w:rFonts w:ascii="仿宋" w:eastAsia="仿宋" w:hAnsi="仿宋" w:hint="eastAsia"/>
          <w:sz w:val="28"/>
          <w:szCs w:val="28"/>
          <w:lang w:eastAsia="zh-CN"/>
        </w:rPr>
        <w:t>日作为评估基准日，星云开物</w:t>
      </w:r>
      <w:r>
        <w:rPr>
          <w:rFonts w:ascii="仿宋" w:eastAsia="仿宋" w:hAnsi="仿宋"/>
          <w:sz w:val="28"/>
          <w:szCs w:val="28"/>
          <w:lang w:eastAsia="zh-CN"/>
        </w:rPr>
        <w:t>100%</w:t>
      </w:r>
      <w:r>
        <w:rPr>
          <w:rFonts w:ascii="仿宋" w:eastAsia="仿宋" w:hAnsi="仿宋" w:hint="eastAsia"/>
          <w:sz w:val="28"/>
          <w:szCs w:val="28"/>
          <w:lang w:eastAsia="zh-CN"/>
        </w:rPr>
        <w:t>股权采用收益法得出的评估结果为</w:t>
      </w:r>
      <w:r>
        <w:rPr>
          <w:rFonts w:ascii="仿宋" w:eastAsia="仿宋" w:hAnsi="仿宋"/>
          <w:sz w:val="28"/>
          <w:szCs w:val="28"/>
          <w:lang w:eastAsia="zh-CN"/>
        </w:rPr>
        <w:t>121,000.00</w:t>
      </w:r>
      <w:r>
        <w:rPr>
          <w:rFonts w:ascii="仿宋" w:eastAsia="仿宋" w:hAnsi="仿宋" w:hint="eastAsia"/>
          <w:sz w:val="28"/>
          <w:szCs w:val="28"/>
          <w:lang w:eastAsia="zh-CN"/>
        </w:rPr>
        <w:t>万元。参考该评估值，经各方协商一致后，星云开物</w:t>
      </w:r>
      <w:r>
        <w:rPr>
          <w:rFonts w:ascii="仿宋" w:eastAsia="仿宋" w:hAnsi="仿宋"/>
          <w:sz w:val="28"/>
          <w:szCs w:val="28"/>
          <w:lang w:eastAsia="zh-CN"/>
        </w:rPr>
        <w:t>98.5632%</w:t>
      </w:r>
      <w:r>
        <w:rPr>
          <w:rFonts w:ascii="仿宋" w:eastAsia="仿宋" w:hAnsi="仿宋" w:hint="eastAsia"/>
          <w:sz w:val="28"/>
          <w:szCs w:val="28"/>
          <w:lang w:eastAsia="zh-CN"/>
        </w:rPr>
        <w:t>股权交易作价确定为</w:t>
      </w:r>
      <w:r>
        <w:rPr>
          <w:rFonts w:ascii="仿宋" w:eastAsia="仿宋" w:hAnsi="仿宋"/>
          <w:sz w:val="28"/>
          <w:szCs w:val="28"/>
          <w:lang w:eastAsia="zh-CN"/>
        </w:rPr>
        <w:t>118,850.53</w:t>
      </w:r>
      <w:r>
        <w:rPr>
          <w:rFonts w:ascii="仿宋" w:eastAsia="仿宋" w:hAnsi="仿宋" w:hint="eastAsia"/>
          <w:sz w:val="28"/>
          <w:szCs w:val="28"/>
          <w:lang w:eastAsia="zh-CN"/>
        </w:rPr>
        <w:t>万元。</w:t>
      </w:r>
    </w:p>
    <w:p w14:paraId="6192B0B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公司以发行股份及支付现金相结合的方式购买标的资产，其中以发行股份、现金方式支付对价的金额分别为</w:t>
      </w:r>
      <w:r>
        <w:rPr>
          <w:rFonts w:ascii="仿宋" w:eastAsia="仿宋" w:hAnsi="仿宋"/>
          <w:sz w:val="28"/>
          <w:szCs w:val="28"/>
          <w:lang w:eastAsia="zh-CN"/>
        </w:rPr>
        <w:t>58,236.76</w:t>
      </w:r>
      <w:r>
        <w:rPr>
          <w:rFonts w:ascii="仿宋" w:eastAsia="仿宋" w:hAnsi="仿宋" w:hint="eastAsia"/>
          <w:sz w:val="28"/>
          <w:szCs w:val="28"/>
          <w:lang w:eastAsia="zh-CN"/>
        </w:rPr>
        <w:t>万元和</w:t>
      </w:r>
      <w:r>
        <w:rPr>
          <w:rFonts w:ascii="仿宋" w:eastAsia="仿宋" w:hAnsi="仿宋"/>
          <w:sz w:val="28"/>
          <w:szCs w:val="28"/>
          <w:lang w:eastAsia="zh-CN"/>
        </w:rPr>
        <w:t>60,613.77</w:t>
      </w:r>
      <w:r>
        <w:rPr>
          <w:rFonts w:ascii="仿宋" w:eastAsia="仿宋" w:hAnsi="仿宋" w:hint="eastAsia"/>
          <w:sz w:val="28"/>
          <w:szCs w:val="28"/>
          <w:lang w:eastAsia="zh-CN"/>
        </w:rPr>
        <w:t>万元。</w:t>
      </w:r>
    </w:p>
    <w:p w14:paraId="2B33D64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bookmarkStart w:id="3" w:name="OLE_LINK16"/>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4076A01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56502DEB"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bookmarkStart w:id="4" w:name="OLE_LINK3"/>
      <w:bookmarkEnd w:id="3"/>
      <w:r>
        <w:rPr>
          <w:rFonts w:ascii="仿宋" w:eastAsia="仿宋" w:hAnsi="仿宋" w:hint="eastAsia"/>
          <w:b/>
          <w:bCs/>
          <w:sz w:val="28"/>
          <w:szCs w:val="28"/>
          <w:lang w:eastAsia="zh-CN"/>
        </w:rPr>
        <w:lastRenderedPageBreak/>
        <w:t>4.审议通过（二）本次交易的具体方案的“1、本次发行股份及支付现金购买资产的具体方案”的（3)发行股份的种类、面值和上市地点，具体情况如下：</w:t>
      </w:r>
      <w:bookmarkEnd w:id="4"/>
    </w:p>
    <w:p w14:paraId="1E48CDA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本次发行股份及支付现金购买资产所发行股份为境内上市的人民币</w:t>
      </w:r>
      <w:r>
        <w:rPr>
          <w:rFonts w:ascii="仿宋" w:eastAsia="仿宋" w:hAnsi="仿宋"/>
          <w:sz w:val="28"/>
          <w:szCs w:val="28"/>
          <w:lang w:eastAsia="zh-CN"/>
        </w:rPr>
        <w:t>A</w:t>
      </w:r>
      <w:r>
        <w:rPr>
          <w:rFonts w:ascii="仿宋" w:eastAsia="仿宋" w:hAnsi="仿宋" w:hint="eastAsia"/>
          <w:sz w:val="28"/>
          <w:szCs w:val="28"/>
          <w:lang w:eastAsia="zh-CN"/>
        </w:rPr>
        <w:t>股普通股，每股面值</w:t>
      </w:r>
      <w:r>
        <w:rPr>
          <w:rFonts w:ascii="仿宋" w:eastAsia="仿宋" w:hAnsi="仿宋"/>
          <w:sz w:val="28"/>
          <w:szCs w:val="28"/>
          <w:lang w:eastAsia="zh-CN"/>
        </w:rPr>
        <w:t>1.00</w:t>
      </w:r>
      <w:r>
        <w:rPr>
          <w:rFonts w:ascii="仿宋" w:eastAsia="仿宋" w:hAnsi="仿宋" w:hint="eastAsia"/>
          <w:sz w:val="28"/>
          <w:szCs w:val="28"/>
          <w:lang w:eastAsia="zh-CN"/>
        </w:rPr>
        <w:t>元，上市地点为深圳证券交易所。</w:t>
      </w:r>
    </w:p>
    <w:p w14:paraId="302D824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bookmarkStart w:id="5" w:name="OLE_LINK17"/>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7A2DA05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r>
        <w:rPr>
          <w:rFonts w:ascii="仿宋" w:eastAsia="仿宋" w:hAnsi="仿宋" w:hint="eastAsia"/>
          <w:sz w:val="28"/>
          <w:szCs w:val="28"/>
          <w:lang w:eastAsia="zh-CN"/>
        </w:rPr>
        <w:t>。</w:t>
      </w:r>
    </w:p>
    <w:bookmarkEnd w:id="5"/>
    <w:p w14:paraId="08ED6873"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5.审议通过（二）本次交易的具体方案的“1、本次发行股份及支付现金购买资产的具体方案”的（4）发行方式和发行对象，具体情况如下：</w:t>
      </w:r>
    </w:p>
    <w:p w14:paraId="77AE85F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本次发行股份及支付现金购买资产采用向特定对象发行股票的方式，</w:t>
      </w:r>
      <w:r>
        <w:rPr>
          <w:rFonts w:ascii="仿宋" w:eastAsia="仿宋" w:hAnsi="仿宋" w:hint="eastAsia"/>
          <w:sz w:val="28"/>
          <w:szCs w:val="28"/>
          <w:lang w:eastAsia="zh-CN"/>
        </w:rPr>
        <w:t>发行对象</w:t>
      </w:r>
      <w:r>
        <w:rPr>
          <w:rFonts w:ascii="仿宋" w:eastAsia="仿宋" w:hAnsi="仿宋"/>
          <w:sz w:val="28"/>
          <w:szCs w:val="28"/>
          <w:lang w:eastAsia="zh-CN"/>
        </w:rPr>
        <w:t>为陈耿豪、南通成为常青、广发信德科文、苏州市德同合心、乐陶陶、林芝利新、杨凯然、张杰波、璀璨远见、乐熙熙、乐腾腾、深圳市前海千意、胡俊、王佳、乐哈哈、广州广发信德二期、</w:t>
      </w:r>
      <w:proofErr w:type="gramStart"/>
      <w:r>
        <w:rPr>
          <w:rFonts w:ascii="仿宋" w:eastAsia="仿宋" w:hAnsi="仿宋"/>
          <w:sz w:val="28"/>
          <w:szCs w:val="28"/>
          <w:lang w:eastAsia="zh-CN"/>
        </w:rPr>
        <w:t>璀璨德</w:t>
      </w:r>
      <w:proofErr w:type="gramEnd"/>
      <w:r>
        <w:rPr>
          <w:rFonts w:ascii="仿宋" w:eastAsia="仿宋" w:hAnsi="仿宋"/>
          <w:sz w:val="28"/>
          <w:szCs w:val="28"/>
          <w:lang w:eastAsia="zh-CN"/>
        </w:rPr>
        <w:t>商、广州信</w:t>
      </w:r>
      <w:proofErr w:type="gramStart"/>
      <w:r>
        <w:rPr>
          <w:rFonts w:ascii="仿宋" w:eastAsia="仿宋" w:hAnsi="仿宋"/>
          <w:sz w:val="28"/>
          <w:szCs w:val="28"/>
          <w:lang w:eastAsia="zh-CN"/>
        </w:rPr>
        <w:t>德创业营</w:t>
      </w:r>
      <w:proofErr w:type="gramEnd"/>
      <w:r>
        <w:rPr>
          <w:rFonts w:ascii="仿宋" w:eastAsia="仿宋" w:hAnsi="仿宋"/>
          <w:sz w:val="28"/>
          <w:szCs w:val="28"/>
          <w:lang w:eastAsia="zh-CN"/>
        </w:rPr>
        <w:t>、乐摇、珠海康远、上海德盾</w:t>
      </w:r>
      <w:r>
        <w:rPr>
          <w:rFonts w:ascii="仿宋" w:eastAsia="仿宋" w:hAnsi="仿宋" w:hint="eastAsia"/>
          <w:sz w:val="28"/>
          <w:szCs w:val="28"/>
          <w:lang w:eastAsia="zh-CN"/>
        </w:rPr>
        <w:t>，</w:t>
      </w:r>
      <w:r>
        <w:rPr>
          <w:rFonts w:ascii="仿宋" w:eastAsia="仿宋" w:hAnsi="仿宋"/>
          <w:sz w:val="28"/>
          <w:szCs w:val="28"/>
          <w:lang w:eastAsia="zh-CN"/>
        </w:rPr>
        <w:t>共计21名交易对方。</w:t>
      </w:r>
    </w:p>
    <w:p w14:paraId="4656FBE8"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505A35C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38ADE4EE"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6.审议通过（二）本次交易的具体方案的“1、本次发行股份及支付现金购买资产的具体方案”的（5）发行股份的定价依据、定价基准日和发行价格，具体情况如下：</w:t>
      </w:r>
    </w:p>
    <w:p w14:paraId="2F580A71"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根据《重组管理办法》，上市公司发行股份购买资产的发行股份价格不得低于市场参考价的</w:t>
      </w:r>
      <w:r>
        <w:rPr>
          <w:rFonts w:ascii="仿宋" w:eastAsia="仿宋" w:hAnsi="仿宋"/>
          <w:sz w:val="28"/>
          <w:szCs w:val="28"/>
          <w:lang w:eastAsia="zh-CN"/>
        </w:rPr>
        <w:t>80%</w:t>
      </w:r>
      <w:r>
        <w:rPr>
          <w:rFonts w:ascii="仿宋" w:eastAsia="仿宋" w:hAnsi="仿宋" w:hint="eastAsia"/>
          <w:sz w:val="28"/>
          <w:szCs w:val="28"/>
          <w:lang w:eastAsia="zh-CN"/>
        </w:rPr>
        <w:t>。市场参考价为本次发行股份购买资产的董事会决议公告日前</w:t>
      </w:r>
      <w:r>
        <w:rPr>
          <w:rFonts w:ascii="仿宋" w:eastAsia="仿宋" w:hAnsi="仿宋"/>
          <w:sz w:val="28"/>
          <w:szCs w:val="28"/>
          <w:lang w:eastAsia="zh-CN"/>
        </w:rPr>
        <w:t>20</w:t>
      </w:r>
      <w:r>
        <w:rPr>
          <w:rFonts w:ascii="仿宋" w:eastAsia="仿宋" w:hAnsi="仿宋" w:hint="eastAsia"/>
          <w:sz w:val="28"/>
          <w:szCs w:val="28"/>
          <w:lang w:eastAsia="zh-CN"/>
        </w:rPr>
        <w:t>个交易日、</w:t>
      </w:r>
      <w:r>
        <w:rPr>
          <w:rFonts w:ascii="仿宋" w:eastAsia="仿宋" w:hAnsi="仿宋"/>
          <w:sz w:val="28"/>
          <w:szCs w:val="28"/>
          <w:lang w:eastAsia="zh-CN"/>
        </w:rPr>
        <w:t>60</w:t>
      </w:r>
      <w:r>
        <w:rPr>
          <w:rFonts w:ascii="仿宋" w:eastAsia="仿宋" w:hAnsi="仿宋" w:hint="eastAsia"/>
          <w:sz w:val="28"/>
          <w:szCs w:val="28"/>
          <w:lang w:eastAsia="zh-CN"/>
        </w:rPr>
        <w:t>个交易日或者</w:t>
      </w:r>
      <w:r>
        <w:rPr>
          <w:rFonts w:ascii="仿宋" w:eastAsia="仿宋" w:hAnsi="仿宋"/>
          <w:sz w:val="28"/>
          <w:szCs w:val="28"/>
          <w:lang w:eastAsia="zh-CN"/>
        </w:rPr>
        <w:t>120</w:t>
      </w:r>
      <w:r>
        <w:rPr>
          <w:rFonts w:ascii="仿宋" w:eastAsia="仿宋" w:hAnsi="仿宋" w:hint="eastAsia"/>
          <w:sz w:val="28"/>
          <w:szCs w:val="28"/>
          <w:lang w:eastAsia="zh-CN"/>
        </w:rPr>
        <w:t>个交易日的公司股票交易均价之一，交易均价的计算公式为：董事会决议公告日前若干个交易日公司股票交易均价＝决议公告日前若干个交易日公司股票交易总额</w:t>
      </w:r>
      <w:r>
        <w:rPr>
          <w:rFonts w:ascii="仿宋" w:eastAsia="仿宋" w:hAnsi="仿宋"/>
          <w:sz w:val="28"/>
          <w:szCs w:val="28"/>
          <w:lang w:eastAsia="zh-CN"/>
        </w:rPr>
        <w:t>/</w:t>
      </w:r>
      <w:r>
        <w:rPr>
          <w:rFonts w:ascii="仿宋" w:eastAsia="仿宋" w:hAnsi="仿宋" w:hint="eastAsia"/>
          <w:sz w:val="28"/>
          <w:szCs w:val="28"/>
          <w:lang w:eastAsia="zh-CN"/>
        </w:rPr>
        <w:t>决议公告日前若干个交易日公司股票交易总量。</w:t>
      </w:r>
    </w:p>
    <w:p w14:paraId="4532349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本次交易中，发行股份及支付现金购买资产涉及的发行股份定价基准日为公司审议本次交易相关事项的第三届董事会第三十二次会议决议公告日。公司定价基准日前</w:t>
      </w:r>
      <w:r>
        <w:rPr>
          <w:rFonts w:ascii="仿宋" w:eastAsia="仿宋" w:hAnsi="仿宋"/>
          <w:sz w:val="28"/>
          <w:szCs w:val="28"/>
          <w:lang w:eastAsia="zh-CN"/>
        </w:rPr>
        <w:t>20</w:t>
      </w:r>
      <w:r>
        <w:rPr>
          <w:rFonts w:ascii="仿宋" w:eastAsia="仿宋" w:hAnsi="仿宋" w:hint="eastAsia"/>
          <w:sz w:val="28"/>
          <w:szCs w:val="28"/>
          <w:lang w:eastAsia="zh-CN"/>
        </w:rPr>
        <w:t>个交易日、</w:t>
      </w:r>
      <w:r>
        <w:rPr>
          <w:rFonts w:ascii="仿宋" w:eastAsia="仿宋" w:hAnsi="仿宋"/>
          <w:sz w:val="28"/>
          <w:szCs w:val="28"/>
          <w:lang w:eastAsia="zh-CN"/>
        </w:rPr>
        <w:t>60</w:t>
      </w:r>
      <w:r>
        <w:rPr>
          <w:rFonts w:ascii="仿宋" w:eastAsia="仿宋" w:hAnsi="仿宋" w:hint="eastAsia"/>
          <w:sz w:val="28"/>
          <w:szCs w:val="28"/>
          <w:lang w:eastAsia="zh-CN"/>
        </w:rPr>
        <w:t>个交易日、</w:t>
      </w:r>
      <w:r>
        <w:rPr>
          <w:rFonts w:ascii="仿宋" w:eastAsia="仿宋" w:hAnsi="仿宋"/>
          <w:sz w:val="28"/>
          <w:szCs w:val="28"/>
          <w:lang w:eastAsia="zh-CN"/>
        </w:rPr>
        <w:t>120</w:t>
      </w:r>
      <w:r>
        <w:rPr>
          <w:rFonts w:ascii="仿宋" w:eastAsia="仿宋" w:hAnsi="仿宋" w:hint="eastAsia"/>
          <w:sz w:val="28"/>
          <w:szCs w:val="28"/>
          <w:lang w:eastAsia="zh-CN"/>
        </w:rPr>
        <w:t>个交易日股票交易均价具体情况如下：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602"/>
        <w:gridCol w:w="2107"/>
        <w:gridCol w:w="2899"/>
      </w:tblGrid>
      <w:tr w:rsidR="00F24175" w14:paraId="64B37C69" w14:textId="77777777">
        <w:trPr>
          <w:trHeight w:val="397"/>
          <w:jc w:val="center"/>
        </w:trPr>
        <w:tc>
          <w:tcPr>
            <w:tcW w:w="3602" w:type="dxa"/>
            <w:tcBorders>
              <w:top w:val="single" w:sz="12" w:space="0" w:color="auto"/>
              <w:left w:val="single" w:sz="12" w:space="0" w:color="auto"/>
              <w:bottom w:val="single" w:sz="4" w:space="0" w:color="auto"/>
              <w:right w:val="single" w:sz="4" w:space="0" w:color="auto"/>
            </w:tcBorders>
            <w:shd w:val="clear" w:color="auto" w:fill="FFFFFF"/>
            <w:vAlign w:val="center"/>
          </w:tcPr>
          <w:p w14:paraId="17379E9C" w14:textId="77777777" w:rsidR="00F24175" w:rsidRDefault="00000000">
            <w:pPr>
              <w:keepNext/>
              <w:keepLines/>
              <w:jc w:val="both"/>
              <w:rPr>
                <w:rFonts w:ascii="仿宋" w:eastAsia="仿宋" w:hAnsi="仿宋" w:hint="eastAsia"/>
                <w:b/>
                <w:bCs/>
                <w:snapToGrid/>
                <w:lang w:eastAsia="zh-CN"/>
              </w:rPr>
            </w:pPr>
            <w:r>
              <w:rPr>
                <w:rFonts w:ascii="仿宋" w:eastAsia="仿宋" w:hAnsi="仿宋"/>
                <w:b/>
                <w:bCs/>
                <w:lang w:eastAsia="zh-CN"/>
              </w:rPr>
              <w:t>股票交易均价计算区间</w:t>
            </w:r>
          </w:p>
        </w:tc>
        <w:tc>
          <w:tcPr>
            <w:tcW w:w="2107" w:type="dxa"/>
            <w:tcBorders>
              <w:top w:val="single" w:sz="12" w:space="0" w:color="auto"/>
              <w:left w:val="single" w:sz="4" w:space="0" w:color="auto"/>
              <w:bottom w:val="single" w:sz="4" w:space="0" w:color="auto"/>
              <w:right w:val="single" w:sz="4" w:space="0" w:color="auto"/>
            </w:tcBorders>
            <w:shd w:val="clear" w:color="auto" w:fill="FFFFFF"/>
            <w:vAlign w:val="center"/>
          </w:tcPr>
          <w:p w14:paraId="2DD58B17" w14:textId="77777777" w:rsidR="00F24175" w:rsidRDefault="00000000">
            <w:pPr>
              <w:keepNext/>
              <w:keepLines/>
              <w:jc w:val="both"/>
              <w:rPr>
                <w:rFonts w:ascii="仿宋" w:eastAsia="仿宋" w:hAnsi="仿宋" w:hint="eastAsia"/>
                <w:b/>
                <w:bCs/>
              </w:rPr>
            </w:pPr>
            <w:r>
              <w:rPr>
                <w:rFonts w:ascii="仿宋" w:eastAsia="仿宋" w:hAnsi="仿宋"/>
                <w:b/>
                <w:bCs/>
              </w:rPr>
              <w:t>交易均价（元/股）</w:t>
            </w:r>
          </w:p>
        </w:tc>
        <w:tc>
          <w:tcPr>
            <w:tcW w:w="2899" w:type="dxa"/>
            <w:tcBorders>
              <w:top w:val="single" w:sz="12" w:space="0" w:color="auto"/>
              <w:left w:val="single" w:sz="4" w:space="0" w:color="auto"/>
              <w:bottom w:val="single" w:sz="4" w:space="0" w:color="auto"/>
              <w:right w:val="single" w:sz="12" w:space="0" w:color="auto"/>
            </w:tcBorders>
            <w:shd w:val="clear" w:color="auto" w:fill="FFFFFF"/>
            <w:vAlign w:val="center"/>
          </w:tcPr>
          <w:p w14:paraId="11465872" w14:textId="77777777" w:rsidR="00F24175" w:rsidRDefault="00000000">
            <w:pPr>
              <w:keepNext/>
              <w:keepLines/>
              <w:jc w:val="both"/>
              <w:rPr>
                <w:rFonts w:ascii="仿宋" w:eastAsia="仿宋" w:hAnsi="仿宋" w:hint="eastAsia"/>
                <w:b/>
                <w:bCs/>
              </w:rPr>
            </w:pPr>
            <w:r>
              <w:rPr>
                <w:rFonts w:ascii="仿宋" w:eastAsia="仿宋" w:hAnsi="仿宋"/>
                <w:b/>
                <w:bCs/>
              </w:rPr>
              <w:t>交易均价的80%（元/股）</w:t>
            </w:r>
          </w:p>
        </w:tc>
      </w:tr>
      <w:tr w:rsidR="00F24175" w14:paraId="5E15D12E" w14:textId="77777777">
        <w:trPr>
          <w:trHeight w:val="397"/>
          <w:jc w:val="center"/>
        </w:trPr>
        <w:tc>
          <w:tcPr>
            <w:tcW w:w="3602" w:type="dxa"/>
            <w:tcBorders>
              <w:top w:val="single" w:sz="4" w:space="0" w:color="auto"/>
              <w:left w:val="single" w:sz="12" w:space="0" w:color="auto"/>
              <w:bottom w:val="single" w:sz="4" w:space="0" w:color="auto"/>
              <w:right w:val="single" w:sz="4" w:space="0" w:color="auto"/>
            </w:tcBorders>
            <w:shd w:val="clear" w:color="auto" w:fill="FFFFFF"/>
            <w:vAlign w:val="center"/>
          </w:tcPr>
          <w:p w14:paraId="767D2BF4"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定价基准日前</w:t>
            </w:r>
            <w:r>
              <w:rPr>
                <w:rFonts w:ascii="仿宋" w:eastAsia="仿宋" w:hAnsi="仿宋"/>
                <w:lang w:eastAsia="zh-CN"/>
              </w:rPr>
              <w:t>20</w:t>
            </w:r>
            <w:r>
              <w:rPr>
                <w:rFonts w:ascii="仿宋" w:eastAsia="仿宋" w:hAnsi="仿宋" w:cs="宋体" w:hint="eastAsia"/>
                <w:lang w:eastAsia="zh-CN"/>
              </w:rPr>
              <w:t>个交易日</w:t>
            </w:r>
          </w:p>
        </w:tc>
        <w:tc>
          <w:tcPr>
            <w:tcW w:w="2107" w:type="dxa"/>
            <w:tcBorders>
              <w:top w:val="single" w:sz="4" w:space="0" w:color="auto"/>
              <w:left w:val="single" w:sz="4" w:space="0" w:color="auto"/>
              <w:bottom w:val="single" w:sz="4" w:space="0" w:color="auto"/>
              <w:right w:val="single" w:sz="4" w:space="0" w:color="auto"/>
            </w:tcBorders>
            <w:shd w:val="clear" w:color="auto" w:fill="FFFFFF"/>
            <w:vAlign w:val="center"/>
          </w:tcPr>
          <w:p w14:paraId="7D05E32F" w14:textId="77777777" w:rsidR="00F24175" w:rsidRDefault="00000000">
            <w:pPr>
              <w:jc w:val="both"/>
              <w:textAlignment w:val="center"/>
              <w:rPr>
                <w:rFonts w:ascii="仿宋" w:eastAsia="仿宋" w:hAnsi="仿宋" w:hint="eastAsia"/>
              </w:rPr>
            </w:pPr>
            <w:r>
              <w:rPr>
                <w:rFonts w:ascii="仿宋" w:eastAsia="仿宋" w:hAnsi="仿宋"/>
              </w:rPr>
              <w:t>40.91</w:t>
            </w:r>
          </w:p>
        </w:tc>
        <w:tc>
          <w:tcPr>
            <w:tcW w:w="2899" w:type="dxa"/>
            <w:tcBorders>
              <w:top w:val="single" w:sz="4" w:space="0" w:color="auto"/>
              <w:left w:val="single" w:sz="4" w:space="0" w:color="auto"/>
              <w:bottom w:val="single" w:sz="4" w:space="0" w:color="auto"/>
              <w:right w:val="single" w:sz="12" w:space="0" w:color="auto"/>
            </w:tcBorders>
            <w:shd w:val="clear" w:color="auto" w:fill="FFFFFF"/>
            <w:vAlign w:val="center"/>
          </w:tcPr>
          <w:p w14:paraId="25690D3B" w14:textId="77777777" w:rsidR="00F24175" w:rsidRDefault="00000000">
            <w:pPr>
              <w:jc w:val="both"/>
              <w:textAlignment w:val="center"/>
              <w:rPr>
                <w:rFonts w:ascii="仿宋" w:eastAsia="仿宋" w:hAnsi="仿宋" w:hint="eastAsia"/>
              </w:rPr>
            </w:pPr>
            <w:r>
              <w:rPr>
                <w:rFonts w:ascii="仿宋" w:eastAsia="仿宋" w:hAnsi="仿宋"/>
              </w:rPr>
              <w:t>32.74</w:t>
            </w:r>
          </w:p>
        </w:tc>
      </w:tr>
      <w:tr w:rsidR="00F24175" w14:paraId="188E42D2" w14:textId="77777777">
        <w:trPr>
          <w:trHeight w:val="397"/>
          <w:jc w:val="center"/>
        </w:trPr>
        <w:tc>
          <w:tcPr>
            <w:tcW w:w="3602" w:type="dxa"/>
            <w:tcBorders>
              <w:top w:val="single" w:sz="4" w:space="0" w:color="auto"/>
              <w:left w:val="single" w:sz="12" w:space="0" w:color="auto"/>
              <w:bottom w:val="single" w:sz="4" w:space="0" w:color="auto"/>
              <w:right w:val="single" w:sz="4" w:space="0" w:color="auto"/>
            </w:tcBorders>
            <w:shd w:val="clear" w:color="auto" w:fill="FFFFFF"/>
            <w:vAlign w:val="center"/>
          </w:tcPr>
          <w:p w14:paraId="3F567B37"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定价基准日前</w:t>
            </w:r>
            <w:r>
              <w:rPr>
                <w:rFonts w:ascii="仿宋" w:eastAsia="仿宋" w:hAnsi="仿宋"/>
                <w:lang w:eastAsia="zh-CN"/>
              </w:rPr>
              <w:t>60</w:t>
            </w:r>
            <w:r>
              <w:rPr>
                <w:rFonts w:ascii="仿宋" w:eastAsia="仿宋" w:hAnsi="仿宋" w:cs="宋体" w:hint="eastAsia"/>
                <w:lang w:eastAsia="zh-CN"/>
              </w:rPr>
              <w:t>个交易日</w:t>
            </w:r>
          </w:p>
        </w:tc>
        <w:tc>
          <w:tcPr>
            <w:tcW w:w="2107" w:type="dxa"/>
            <w:tcBorders>
              <w:top w:val="single" w:sz="4" w:space="0" w:color="auto"/>
              <w:left w:val="single" w:sz="4" w:space="0" w:color="auto"/>
              <w:bottom w:val="single" w:sz="4" w:space="0" w:color="auto"/>
              <w:right w:val="single" w:sz="4" w:space="0" w:color="auto"/>
            </w:tcBorders>
            <w:shd w:val="clear" w:color="auto" w:fill="FFFFFF"/>
            <w:vAlign w:val="center"/>
          </w:tcPr>
          <w:p w14:paraId="6BDA95FF" w14:textId="77777777" w:rsidR="00F24175" w:rsidRDefault="00000000">
            <w:pPr>
              <w:jc w:val="both"/>
              <w:textAlignment w:val="center"/>
              <w:rPr>
                <w:rFonts w:ascii="仿宋" w:eastAsia="仿宋" w:hAnsi="仿宋" w:hint="eastAsia"/>
              </w:rPr>
            </w:pPr>
            <w:r>
              <w:rPr>
                <w:rFonts w:ascii="仿宋" w:eastAsia="仿宋" w:hAnsi="仿宋"/>
              </w:rPr>
              <w:t>36.39</w:t>
            </w:r>
          </w:p>
        </w:tc>
        <w:tc>
          <w:tcPr>
            <w:tcW w:w="2899" w:type="dxa"/>
            <w:tcBorders>
              <w:top w:val="single" w:sz="4" w:space="0" w:color="auto"/>
              <w:left w:val="single" w:sz="4" w:space="0" w:color="auto"/>
              <w:bottom w:val="single" w:sz="4" w:space="0" w:color="auto"/>
              <w:right w:val="single" w:sz="12" w:space="0" w:color="auto"/>
            </w:tcBorders>
            <w:shd w:val="clear" w:color="auto" w:fill="FFFFFF"/>
            <w:vAlign w:val="center"/>
          </w:tcPr>
          <w:p w14:paraId="4D2E8BCD" w14:textId="77777777" w:rsidR="00F24175" w:rsidRDefault="00000000">
            <w:pPr>
              <w:jc w:val="both"/>
              <w:textAlignment w:val="center"/>
              <w:rPr>
                <w:rFonts w:ascii="仿宋" w:eastAsia="仿宋" w:hAnsi="仿宋" w:hint="eastAsia"/>
              </w:rPr>
            </w:pPr>
            <w:r>
              <w:rPr>
                <w:rFonts w:ascii="仿宋" w:eastAsia="仿宋" w:hAnsi="仿宋"/>
              </w:rPr>
              <w:t>29.12</w:t>
            </w:r>
          </w:p>
        </w:tc>
      </w:tr>
      <w:tr w:rsidR="00F24175" w14:paraId="29F14351" w14:textId="77777777">
        <w:trPr>
          <w:trHeight w:val="397"/>
          <w:jc w:val="center"/>
        </w:trPr>
        <w:tc>
          <w:tcPr>
            <w:tcW w:w="3602" w:type="dxa"/>
            <w:tcBorders>
              <w:top w:val="single" w:sz="4" w:space="0" w:color="auto"/>
              <w:left w:val="single" w:sz="12" w:space="0" w:color="auto"/>
              <w:bottom w:val="single" w:sz="12" w:space="0" w:color="auto"/>
              <w:right w:val="single" w:sz="4" w:space="0" w:color="auto"/>
            </w:tcBorders>
            <w:shd w:val="clear" w:color="auto" w:fill="FFFFFF"/>
            <w:vAlign w:val="center"/>
          </w:tcPr>
          <w:p w14:paraId="429FA7C3"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定价基准日前</w:t>
            </w:r>
            <w:r>
              <w:rPr>
                <w:rFonts w:ascii="仿宋" w:eastAsia="仿宋" w:hAnsi="仿宋"/>
                <w:lang w:eastAsia="zh-CN"/>
              </w:rPr>
              <w:t>120</w:t>
            </w:r>
            <w:r>
              <w:rPr>
                <w:rFonts w:ascii="仿宋" w:eastAsia="仿宋" w:hAnsi="仿宋" w:cs="宋体" w:hint="eastAsia"/>
                <w:lang w:eastAsia="zh-CN"/>
              </w:rPr>
              <w:t>个交易日</w:t>
            </w:r>
          </w:p>
        </w:tc>
        <w:tc>
          <w:tcPr>
            <w:tcW w:w="2107" w:type="dxa"/>
            <w:tcBorders>
              <w:top w:val="single" w:sz="4" w:space="0" w:color="auto"/>
              <w:left w:val="single" w:sz="4" w:space="0" w:color="auto"/>
              <w:bottom w:val="single" w:sz="12" w:space="0" w:color="auto"/>
              <w:right w:val="single" w:sz="4" w:space="0" w:color="auto"/>
            </w:tcBorders>
            <w:shd w:val="clear" w:color="auto" w:fill="FFFFFF"/>
            <w:vAlign w:val="center"/>
          </w:tcPr>
          <w:p w14:paraId="0AF16EB4" w14:textId="77777777" w:rsidR="00F24175" w:rsidRDefault="00000000">
            <w:pPr>
              <w:jc w:val="both"/>
              <w:textAlignment w:val="center"/>
              <w:rPr>
                <w:rFonts w:ascii="仿宋" w:eastAsia="仿宋" w:hAnsi="仿宋" w:hint="eastAsia"/>
              </w:rPr>
            </w:pPr>
            <w:r>
              <w:rPr>
                <w:rFonts w:ascii="仿宋" w:eastAsia="仿宋" w:hAnsi="仿宋"/>
              </w:rPr>
              <w:t>33.45</w:t>
            </w:r>
          </w:p>
        </w:tc>
        <w:tc>
          <w:tcPr>
            <w:tcW w:w="2899" w:type="dxa"/>
            <w:tcBorders>
              <w:top w:val="single" w:sz="4" w:space="0" w:color="auto"/>
              <w:left w:val="single" w:sz="4" w:space="0" w:color="auto"/>
              <w:bottom w:val="single" w:sz="12" w:space="0" w:color="auto"/>
              <w:right w:val="single" w:sz="12" w:space="0" w:color="auto"/>
            </w:tcBorders>
            <w:shd w:val="clear" w:color="auto" w:fill="FFFFFF"/>
            <w:vAlign w:val="center"/>
          </w:tcPr>
          <w:p w14:paraId="21D2F6A8" w14:textId="77777777" w:rsidR="00F24175" w:rsidRDefault="00000000">
            <w:pPr>
              <w:jc w:val="both"/>
              <w:textAlignment w:val="center"/>
              <w:rPr>
                <w:rFonts w:ascii="仿宋" w:eastAsia="仿宋" w:hAnsi="仿宋" w:hint="eastAsia"/>
              </w:rPr>
            </w:pPr>
            <w:r>
              <w:rPr>
                <w:rFonts w:ascii="仿宋" w:eastAsia="仿宋" w:hAnsi="仿宋"/>
              </w:rPr>
              <w:t>26.76</w:t>
            </w:r>
          </w:p>
        </w:tc>
      </w:tr>
    </w:tbl>
    <w:p w14:paraId="407FA50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经交易各方商议决定，本次发行股份购买资产的发行价格选择本次重组首次董事会决议公告日前120个交易日股票交易均价作为市场参考价，最终确定为26.76元/股，发行价格不低于市场参考价的80%。</w:t>
      </w:r>
    </w:p>
    <w:p w14:paraId="499DEE5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自本次发行的定价基准日至发行日期间，公司如有派息、送股、资本公积金转增股本等除权、除息事项，则上述发行价格将根据中国证监会及深圳证券交易所的相关规则进行相应调整。</w:t>
      </w:r>
    </w:p>
    <w:p w14:paraId="0E7FA41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130D02AD"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56833D95"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7.审议通过（二）本次交易的具体方案的“1、本次发行股份及支付</w:t>
      </w:r>
      <w:r>
        <w:rPr>
          <w:rFonts w:ascii="仿宋" w:eastAsia="仿宋" w:hAnsi="仿宋" w:hint="eastAsia"/>
          <w:b/>
          <w:bCs/>
          <w:sz w:val="28"/>
          <w:szCs w:val="28"/>
          <w:lang w:eastAsia="zh-CN"/>
        </w:rPr>
        <w:lastRenderedPageBreak/>
        <w:t>现金购买资产的具体方案”的（6）发行股份的数量，具体情况如下：</w:t>
      </w:r>
    </w:p>
    <w:p w14:paraId="1DA938C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本次交易中以发行股份方式支付的对价为58,236.76万元。发行股份数量将通过以下公式计算得出：</w:t>
      </w:r>
    </w:p>
    <w:p w14:paraId="26C04EE6"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发行股份数量=公司以发行股份方式支付的标的资产对</w:t>
      </w:r>
      <w:proofErr w:type="gramStart"/>
      <w:r>
        <w:rPr>
          <w:rFonts w:ascii="仿宋" w:eastAsia="仿宋" w:hAnsi="仿宋" w:hint="eastAsia"/>
          <w:sz w:val="28"/>
          <w:szCs w:val="28"/>
          <w:lang w:eastAsia="zh-CN"/>
        </w:rPr>
        <w:t>价金额</w:t>
      </w:r>
      <w:proofErr w:type="gramEnd"/>
      <w:r>
        <w:rPr>
          <w:rFonts w:ascii="仿宋" w:eastAsia="仿宋" w:hAnsi="仿宋" w:hint="eastAsia"/>
          <w:sz w:val="28"/>
          <w:szCs w:val="28"/>
          <w:lang w:eastAsia="zh-CN"/>
        </w:rPr>
        <w:t>÷本次发行价格（如有调价，则按调整后确定的发行价格，不足一股的舍去尾数取整）</w:t>
      </w:r>
    </w:p>
    <w:p w14:paraId="46D388D1"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按照上述计算方法，本次发行股份及支付现金购买资产的股份发行数量为2,176.26万股，具体如下：</w:t>
      </w:r>
    </w:p>
    <w:tbl>
      <w:tblPr>
        <w:tblW w:w="538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8"/>
        <w:gridCol w:w="1576"/>
        <w:gridCol w:w="2124"/>
        <w:gridCol w:w="1416"/>
        <w:gridCol w:w="1275"/>
        <w:gridCol w:w="1182"/>
        <w:gridCol w:w="1275"/>
      </w:tblGrid>
      <w:tr w:rsidR="00F24175" w14:paraId="779B5935" w14:textId="77777777">
        <w:trPr>
          <w:trHeight w:val="397"/>
          <w:tblHeader/>
          <w:jc w:val="center"/>
        </w:trPr>
        <w:tc>
          <w:tcPr>
            <w:tcW w:w="230" w:type="pct"/>
            <w:vMerge w:val="restart"/>
            <w:tcBorders>
              <w:top w:val="single" w:sz="12" w:space="0" w:color="auto"/>
              <w:left w:val="single" w:sz="12" w:space="0" w:color="auto"/>
              <w:bottom w:val="single" w:sz="4" w:space="0" w:color="auto"/>
              <w:right w:val="single" w:sz="4" w:space="0" w:color="auto"/>
            </w:tcBorders>
            <w:shd w:val="clear" w:color="auto" w:fill="FFFFFF"/>
            <w:vAlign w:val="center"/>
          </w:tcPr>
          <w:p w14:paraId="3BF959EF" w14:textId="77777777" w:rsidR="00F24175" w:rsidRDefault="00000000">
            <w:pPr>
              <w:jc w:val="both"/>
              <w:rPr>
                <w:rFonts w:ascii="仿宋" w:eastAsia="仿宋" w:hAnsi="仿宋" w:hint="eastAsia"/>
                <w:b/>
                <w:bCs/>
                <w:snapToGrid/>
              </w:rPr>
            </w:pPr>
            <w:r>
              <w:rPr>
                <w:rFonts w:ascii="仿宋" w:eastAsia="仿宋" w:hAnsi="仿宋"/>
                <w:b/>
                <w:bCs/>
              </w:rPr>
              <w:t>序号</w:t>
            </w:r>
          </w:p>
        </w:tc>
        <w:tc>
          <w:tcPr>
            <w:tcW w:w="849" w:type="pct"/>
            <w:vMerge w:val="restart"/>
            <w:tcBorders>
              <w:top w:val="single" w:sz="12" w:space="0" w:color="auto"/>
              <w:left w:val="single" w:sz="4" w:space="0" w:color="auto"/>
              <w:bottom w:val="single" w:sz="4" w:space="0" w:color="auto"/>
              <w:right w:val="single" w:sz="4" w:space="0" w:color="auto"/>
            </w:tcBorders>
            <w:shd w:val="clear" w:color="auto" w:fill="FFFFFF"/>
            <w:vAlign w:val="center"/>
          </w:tcPr>
          <w:p w14:paraId="06B58F2A" w14:textId="77777777" w:rsidR="00F24175" w:rsidRDefault="00000000">
            <w:pPr>
              <w:jc w:val="both"/>
              <w:rPr>
                <w:rFonts w:ascii="仿宋" w:eastAsia="仿宋" w:hAnsi="仿宋" w:hint="eastAsia"/>
                <w:b/>
                <w:bCs/>
              </w:rPr>
            </w:pPr>
            <w:r>
              <w:rPr>
                <w:rFonts w:ascii="仿宋" w:eastAsia="仿宋" w:hAnsi="仿宋"/>
                <w:b/>
                <w:bCs/>
              </w:rPr>
              <w:t>交易对方</w:t>
            </w:r>
          </w:p>
        </w:tc>
        <w:tc>
          <w:tcPr>
            <w:tcW w:w="1145" w:type="pct"/>
            <w:vMerge w:val="restart"/>
            <w:tcBorders>
              <w:top w:val="single" w:sz="12" w:space="0" w:color="auto"/>
              <w:left w:val="single" w:sz="4" w:space="0" w:color="auto"/>
              <w:bottom w:val="single" w:sz="4" w:space="0" w:color="auto"/>
              <w:right w:val="single" w:sz="4" w:space="0" w:color="auto"/>
            </w:tcBorders>
            <w:shd w:val="clear" w:color="auto" w:fill="FFFFFF"/>
            <w:vAlign w:val="center"/>
          </w:tcPr>
          <w:p w14:paraId="0814F567" w14:textId="77777777" w:rsidR="00F24175" w:rsidRDefault="00000000">
            <w:pPr>
              <w:jc w:val="both"/>
              <w:rPr>
                <w:rFonts w:ascii="仿宋" w:eastAsia="仿宋" w:hAnsi="仿宋" w:hint="eastAsia"/>
                <w:b/>
                <w:bCs/>
                <w:lang w:eastAsia="zh-CN"/>
              </w:rPr>
            </w:pPr>
            <w:r>
              <w:rPr>
                <w:rFonts w:ascii="仿宋" w:eastAsia="仿宋" w:hAnsi="仿宋"/>
                <w:b/>
                <w:bCs/>
                <w:lang w:eastAsia="zh-CN"/>
              </w:rPr>
              <w:t>交易标的名称及权益比例</w:t>
            </w:r>
          </w:p>
        </w:tc>
        <w:tc>
          <w:tcPr>
            <w:tcW w:w="2087" w:type="pct"/>
            <w:gridSpan w:val="3"/>
            <w:tcBorders>
              <w:top w:val="single" w:sz="12" w:space="0" w:color="auto"/>
              <w:left w:val="single" w:sz="4" w:space="0" w:color="auto"/>
              <w:bottom w:val="single" w:sz="4" w:space="0" w:color="auto"/>
              <w:right w:val="single" w:sz="4" w:space="0" w:color="auto"/>
            </w:tcBorders>
            <w:shd w:val="clear" w:color="auto" w:fill="FFFFFF"/>
            <w:vAlign w:val="center"/>
          </w:tcPr>
          <w:p w14:paraId="5C88574E" w14:textId="77777777" w:rsidR="00F24175" w:rsidRDefault="00000000">
            <w:pPr>
              <w:jc w:val="center"/>
              <w:rPr>
                <w:rFonts w:ascii="仿宋" w:eastAsia="仿宋" w:hAnsi="仿宋" w:hint="eastAsia"/>
                <w:b/>
                <w:bCs/>
              </w:rPr>
            </w:pPr>
            <w:r>
              <w:rPr>
                <w:rFonts w:ascii="仿宋" w:eastAsia="仿宋" w:hAnsi="仿宋"/>
                <w:b/>
                <w:bCs/>
              </w:rPr>
              <w:t>支付方式</w:t>
            </w:r>
          </w:p>
        </w:tc>
        <w:tc>
          <w:tcPr>
            <w:tcW w:w="687" w:type="pct"/>
            <w:vMerge w:val="restart"/>
            <w:tcBorders>
              <w:top w:val="single" w:sz="12" w:space="0" w:color="auto"/>
              <w:left w:val="single" w:sz="4" w:space="0" w:color="auto"/>
              <w:bottom w:val="single" w:sz="4" w:space="0" w:color="auto"/>
              <w:right w:val="single" w:sz="12" w:space="0" w:color="auto"/>
            </w:tcBorders>
            <w:shd w:val="clear" w:color="auto" w:fill="FFFFFF"/>
            <w:vAlign w:val="center"/>
          </w:tcPr>
          <w:p w14:paraId="70D40115" w14:textId="77777777" w:rsidR="00F24175" w:rsidRDefault="00000000">
            <w:pPr>
              <w:jc w:val="both"/>
              <w:rPr>
                <w:rFonts w:ascii="仿宋" w:eastAsia="仿宋" w:hAnsi="仿宋" w:hint="eastAsia"/>
                <w:b/>
                <w:bCs/>
                <w:lang w:eastAsia="zh-CN"/>
              </w:rPr>
            </w:pPr>
            <w:r>
              <w:rPr>
                <w:rFonts w:ascii="仿宋" w:eastAsia="仿宋" w:hAnsi="仿宋"/>
                <w:b/>
                <w:bCs/>
                <w:lang w:eastAsia="zh-CN"/>
              </w:rPr>
              <w:t>向该交易对方支付的总对价（万元）</w:t>
            </w:r>
          </w:p>
        </w:tc>
      </w:tr>
      <w:tr w:rsidR="00F24175" w14:paraId="0FC188EF" w14:textId="77777777">
        <w:trPr>
          <w:trHeight w:val="397"/>
          <w:tblHeader/>
          <w:jc w:val="center"/>
        </w:trPr>
        <w:tc>
          <w:tcPr>
            <w:tcW w:w="0" w:type="auto"/>
            <w:vMerge/>
            <w:tcBorders>
              <w:top w:val="single" w:sz="12" w:space="0" w:color="auto"/>
              <w:left w:val="single" w:sz="12" w:space="0" w:color="auto"/>
              <w:bottom w:val="single" w:sz="4" w:space="0" w:color="auto"/>
              <w:right w:val="single" w:sz="4" w:space="0" w:color="auto"/>
            </w:tcBorders>
            <w:vAlign w:val="center"/>
          </w:tcPr>
          <w:p w14:paraId="130C9803" w14:textId="77777777" w:rsidR="00F24175" w:rsidRDefault="00F24175">
            <w:pPr>
              <w:jc w:val="both"/>
              <w:rPr>
                <w:rFonts w:ascii="仿宋" w:eastAsia="仿宋" w:hAnsi="仿宋" w:hint="eastAsia"/>
                <w:b/>
                <w:bCs/>
                <w:snapToGrid/>
                <w:lang w:eastAsia="zh-CN"/>
              </w:rPr>
            </w:pPr>
          </w:p>
        </w:tc>
        <w:tc>
          <w:tcPr>
            <w:tcW w:w="849" w:type="pct"/>
            <w:vMerge/>
            <w:tcBorders>
              <w:top w:val="single" w:sz="12" w:space="0" w:color="auto"/>
              <w:left w:val="single" w:sz="4" w:space="0" w:color="auto"/>
              <w:bottom w:val="single" w:sz="4" w:space="0" w:color="auto"/>
              <w:right w:val="single" w:sz="4" w:space="0" w:color="auto"/>
            </w:tcBorders>
            <w:vAlign w:val="center"/>
          </w:tcPr>
          <w:p w14:paraId="6B10E094" w14:textId="77777777" w:rsidR="00F24175" w:rsidRDefault="00F24175">
            <w:pPr>
              <w:jc w:val="both"/>
              <w:rPr>
                <w:rFonts w:ascii="仿宋" w:eastAsia="仿宋" w:hAnsi="仿宋" w:hint="eastAsia"/>
                <w:b/>
                <w:bCs/>
                <w:snapToGrid/>
                <w:lang w:eastAsia="zh-CN"/>
              </w:rPr>
            </w:pPr>
          </w:p>
        </w:tc>
        <w:tc>
          <w:tcPr>
            <w:tcW w:w="1145" w:type="pct"/>
            <w:vMerge/>
            <w:tcBorders>
              <w:top w:val="single" w:sz="12" w:space="0" w:color="auto"/>
              <w:left w:val="single" w:sz="4" w:space="0" w:color="auto"/>
              <w:bottom w:val="single" w:sz="4" w:space="0" w:color="auto"/>
              <w:right w:val="single" w:sz="4" w:space="0" w:color="auto"/>
            </w:tcBorders>
            <w:vAlign w:val="center"/>
          </w:tcPr>
          <w:p w14:paraId="530D6819" w14:textId="77777777" w:rsidR="00F24175" w:rsidRDefault="00F24175">
            <w:pPr>
              <w:jc w:val="both"/>
              <w:rPr>
                <w:rFonts w:ascii="仿宋" w:eastAsia="仿宋" w:hAnsi="仿宋" w:hint="eastAsia"/>
                <w:b/>
                <w:bCs/>
                <w:snapToGrid/>
                <w:lang w:eastAsia="zh-CN"/>
              </w:rPr>
            </w:pP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67E93611" w14:textId="77777777" w:rsidR="00F24175" w:rsidRDefault="00000000">
            <w:pPr>
              <w:jc w:val="center"/>
              <w:rPr>
                <w:rFonts w:ascii="仿宋" w:eastAsia="仿宋" w:hAnsi="仿宋" w:hint="eastAsia"/>
                <w:b/>
                <w:bCs/>
              </w:rPr>
            </w:pPr>
            <w:r>
              <w:rPr>
                <w:rFonts w:ascii="仿宋" w:eastAsia="仿宋" w:hAnsi="仿宋"/>
                <w:b/>
                <w:bCs/>
              </w:rPr>
              <w:t>现金对价</w:t>
            </w:r>
          </w:p>
          <w:p w14:paraId="0A27C1EA" w14:textId="77777777" w:rsidR="00F24175" w:rsidRDefault="00000000">
            <w:pPr>
              <w:jc w:val="center"/>
              <w:rPr>
                <w:rFonts w:ascii="仿宋" w:eastAsia="仿宋" w:hAnsi="仿宋" w:hint="eastAsia"/>
                <w:b/>
                <w:bCs/>
              </w:rPr>
            </w:pPr>
            <w:r>
              <w:rPr>
                <w:rFonts w:ascii="仿宋" w:eastAsia="仿宋" w:hAnsi="仿宋"/>
                <w:b/>
                <w:bCs/>
              </w:rPr>
              <w:t>（万元）</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4CC55A81" w14:textId="77777777" w:rsidR="00F24175" w:rsidRDefault="00000000">
            <w:pPr>
              <w:jc w:val="center"/>
              <w:rPr>
                <w:rFonts w:ascii="仿宋" w:eastAsia="仿宋" w:hAnsi="仿宋" w:hint="eastAsia"/>
                <w:b/>
                <w:bCs/>
              </w:rPr>
            </w:pPr>
            <w:r>
              <w:rPr>
                <w:rFonts w:ascii="仿宋" w:eastAsia="仿宋" w:hAnsi="仿宋"/>
                <w:b/>
                <w:bCs/>
              </w:rPr>
              <w:t>股份对价</w:t>
            </w:r>
          </w:p>
          <w:p w14:paraId="7652C961" w14:textId="77777777" w:rsidR="00F24175" w:rsidRDefault="00000000">
            <w:pPr>
              <w:jc w:val="center"/>
              <w:rPr>
                <w:rFonts w:ascii="仿宋" w:eastAsia="仿宋" w:hAnsi="仿宋" w:hint="eastAsia"/>
                <w:b/>
                <w:bCs/>
              </w:rPr>
            </w:pPr>
            <w:r>
              <w:rPr>
                <w:rFonts w:ascii="仿宋" w:eastAsia="仿宋" w:hAnsi="仿宋"/>
                <w:b/>
                <w:bCs/>
              </w:rPr>
              <w:t>（万元）</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2625DA5F" w14:textId="77777777" w:rsidR="00F24175" w:rsidRDefault="00000000">
            <w:pPr>
              <w:jc w:val="center"/>
              <w:rPr>
                <w:rFonts w:ascii="仿宋" w:eastAsia="仿宋" w:hAnsi="仿宋" w:hint="eastAsia"/>
                <w:b/>
                <w:bCs/>
              </w:rPr>
            </w:pPr>
            <w:r>
              <w:rPr>
                <w:rFonts w:ascii="仿宋" w:eastAsia="仿宋" w:hAnsi="仿宋"/>
                <w:b/>
                <w:bCs/>
              </w:rPr>
              <w:t>股份数量</w:t>
            </w:r>
          </w:p>
          <w:p w14:paraId="36168531" w14:textId="77777777" w:rsidR="00F24175" w:rsidRDefault="00000000">
            <w:pPr>
              <w:jc w:val="center"/>
              <w:rPr>
                <w:rFonts w:ascii="仿宋" w:eastAsia="仿宋" w:hAnsi="仿宋" w:hint="eastAsia"/>
                <w:b/>
                <w:bCs/>
              </w:rPr>
            </w:pPr>
            <w:r>
              <w:rPr>
                <w:rFonts w:ascii="仿宋" w:eastAsia="仿宋" w:hAnsi="仿宋"/>
                <w:b/>
                <w:bCs/>
              </w:rPr>
              <w:t>（万股）</w:t>
            </w:r>
          </w:p>
        </w:tc>
        <w:tc>
          <w:tcPr>
            <w:tcW w:w="687" w:type="pct"/>
            <w:vMerge/>
            <w:tcBorders>
              <w:top w:val="single" w:sz="12" w:space="0" w:color="auto"/>
              <w:left w:val="single" w:sz="4" w:space="0" w:color="auto"/>
              <w:bottom w:val="single" w:sz="4" w:space="0" w:color="auto"/>
              <w:right w:val="single" w:sz="12" w:space="0" w:color="auto"/>
            </w:tcBorders>
            <w:vAlign w:val="center"/>
          </w:tcPr>
          <w:p w14:paraId="37334976" w14:textId="77777777" w:rsidR="00F24175" w:rsidRDefault="00F24175">
            <w:pPr>
              <w:jc w:val="both"/>
              <w:rPr>
                <w:rFonts w:ascii="仿宋" w:eastAsia="仿宋" w:hAnsi="仿宋" w:hint="eastAsia"/>
                <w:b/>
                <w:bCs/>
                <w:snapToGrid/>
              </w:rPr>
            </w:pPr>
          </w:p>
        </w:tc>
      </w:tr>
      <w:tr w:rsidR="00F24175" w14:paraId="1C86CC98"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42A256FF" w14:textId="77777777" w:rsidR="00F24175" w:rsidRDefault="00000000">
            <w:pPr>
              <w:jc w:val="both"/>
              <w:rPr>
                <w:rFonts w:ascii="仿宋" w:eastAsia="仿宋" w:hAnsi="仿宋" w:hint="eastAsia"/>
              </w:rPr>
            </w:pPr>
            <w:r>
              <w:rPr>
                <w:rFonts w:ascii="仿宋" w:eastAsia="仿宋" w:hAnsi="仿宋"/>
              </w:rPr>
              <w:t>1</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18C2A937" w14:textId="77777777" w:rsidR="00F24175" w:rsidRDefault="00000000">
            <w:pPr>
              <w:jc w:val="both"/>
              <w:textAlignment w:val="center"/>
              <w:rPr>
                <w:rFonts w:ascii="仿宋" w:eastAsia="仿宋" w:hAnsi="仿宋" w:hint="eastAsia"/>
              </w:rPr>
            </w:pPr>
            <w:r>
              <w:rPr>
                <w:rFonts w:ascii="仿宋" w:eastAsia="仿宋" w:hAnsi="仿宋" w:cs="宋体" w:hint="eastAsia"/>
              </w:rPr>
              <w:t>陈耿豪</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1CCD35FF"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22.43%</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0A68727C" w14:textId="77777777" w:rsidR="00F24175" w:rsidRDefault="00000000">
            <w:pPr>
              <w:jc w:val="center"/>
              <w:textAlignment w:val="center"/>
              <w:rPr>
                <w:rFonts w:ascii="仿宋" w:eastAsia="仿宋" w:hAnsi="仿宋" w:hint="eastAsia"/>
              </w:rPr>
            </w:pPr>
            <w:r>
              <w:rPr>
                <w:rFonts w:ascii="Times New Roman" w:eastAsia="楷体" w:hAnsi="Times New Roman" w:cs="Times New Roman"/>
              </w:rPr>
              <w:t>26,418.4</w:t>
            </w:r>
            <w:r>
              <w:rPr>
                <w:rFonts w:ascii="Times New Roman" w:eastAsia="楷体" w:hAnsi="Times New Roman" w:cs="Times New Roman" w:hint="eastAsia"/>
                <w:lang w:eastAsia="zh-CN"/>
              </w:rPr>
              <w:t>1</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0654FEE8" w14:textId="77777777" w:rsidR="00F24175" w:rsidRDefault="00000000">
            <w:pPr>
              <w:jc w:val="center"/>
              <w:textAlignment w:val="center"/>
              <w:rPr>
                <w:rFonts w:ascii="仿宋" w:eastAsia="仿宋" w:hAnsi="仿宋" w:hint="eastAsia"/>
              </w:rPr>
            </w:pPr>
            <w:r>
              <w:rPr>
                <w:rFonts w:ascii="Times New Roman" w:hAnsi="Times New Roman" w:cs="Times New Roman"/>
              </w:rPr>
              <w:t>11,613.84</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2D734A27" w14:textId="77777777" w:rsidR="00F24175" w:rsidRDefault="00000000">
            <w:pPr>
              <w:jc w:val="center"/>
              <w:textAlignment w:val="center"/>
              <w:rPr>
                <w:rFonts w:ascii="仿宋" w:eastAsia="仿宋" w:hAnsi="仿宋" w:hint="eastAsia"/>
              </w:rPr>
            </w:pPr>
            <w:r>
              <w:rPr>
                <w:rFonts w:ascii="Times New Roman" w:hAnsi="Times New Roman" w:cs="Times New Roman"/>
              </w:rPr>
              <w:t>434</w:t>
            </w:r>
            <w:r>
              <w:rPr>
                <w:rFonts w:ascii="Times New Roman" w:hAnsi="Times New Roman" w:cs="Times New Roman"/>
                <w:lang w:eastAsia="zh-CN"/>
              </w:rPr>
              <w:t>.</w:t>
            </w:r>
            <w:r>
              <w:rPr>
                <w:rFonts w:ascii="Times New Roman" w:hAnsi="Times New Roman" w:cs="Times New Roman"/>
              </w:rPr>
              <w:t>00</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697DF699" w14:textId="77777777" w:rsidR="00F24175" w:rsidRDefault="00000000">
            <w:pPr>
              <w:jc w:val="center"/>
              <w:textAlignment w:val="center"/>
              <w:rPr>
                <w:rFonts w:ascii="仿宋" w:eastAsia="仿宋" w:hAnsi="仿宋" w:hint="eastAsia"/>
              </w:rPr>
            </w:pPr>
            <w:r>
              <w:rPr>
                <w:rFonts w:ascii="仿宋" w:eastAsia="仿宋" w:hAnsi="仿宋"/>
              </w:rPr>
              <w:t>38,032.25</w:t>
            </w:r>
          </w:p>
        </w:tc>
      </w:tr>
      <w:tr w:rsidR="00F24175" w14:paraId="0AB04761"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20EDEFF1" w14:textId="77777777" w:rsidR="00F24175" w:rsidRDefault="00000000">
            <w:pPr>
              <w:jc w:val="both"/>
              <w:rPr>
                <w:rFonts w:ascii="仿宋" w:eastAsia="仿宋" w:hAnsi="仿宋" w:hint="eastAsia"/>
              </w:rPr>
            </w:pPr>
            <w:r>
              <w:rPr>
                <w:rFonts w:ascii="仿宋" w:eastAsia="仿宋" w:hAnsi="仿宋"/>
              </w:rPr>
              <w:t>2</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0C82919B" w14:textId="77777777" w:rsidR="00F24175" w:rsidRDefault="00000000">
            <w:pPr>
              <w:jc w:val="both"/>
              <w:textAlignment w:val="center"/>
              <w:rPr>
                <w:rFonts w:ascii="仿宋" w:eastAsia="仿宋" w:hAnsi="仿宋" w:hint="eastAsia"/>
              </w:rPr>
            </w:pPr>
            <w:r>
              <w:rPr>
                <w:rFonts w:ascii="仿宋" w:eastAsia="仿宋" w:hAnsi="仿宋" w:cs="宋体" w:hint="eastAsia"/>
              </w:rPr>
              <w:t>南通成为常青</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11FC41CC"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19.06%</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3D3B5DE8" w14:textId="77777777" w:rsidR="00F24175" w:rsidRDefault="00000000">
            <w:pPr>
              <w:jc w:val="center"/>
              <w:textAlignment w:val="center"/>
              <w:rPr>
                <w:rFonts w:ascii="仿宋" w:eastAsia="仿宋" w:hAnsi="仿宋" w:hint="eastAsia"/>
              </w:rPr>
            </w:pPr>
            <w:r>
              <w:rPr>
                <w:rFonts w:ascii="仿宋" w:eastAsia="仿宋" w:hAnsi="仿宋"/>
              </w:rPr>
              <w:t>7,777.91</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0AF380ED" w14:textId="77777777" w:rsidR="00F24175" w:rsidRDefault="00000000">
            <w:pPr>
              <w:jc w:val="center"/>
              <w:textAlignment w:val="center"/>
              <w:rPr>
                <w:rFonts w:ascii="仿宋" w:eastAsia="仿宋" w:hAnsi="仿宋" w:hint="eastAsia"/>
              </w:rPr>
            </w:pPr>
            <w:r>
              <w:rPr>
                <w:rFonts w:ascii="仿宋" w:eastAsia="仿宋" w:hAnsi="仿宋"/>
              </w:rPr>
              <w:t>7,472.90</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0C3A22B6" w14:textId="77777777" w:rsidR="00F24175" w:rsidRDefault="00000000">
            <w:pPr>
              <w:jc w:val="center"/>
              <w:textAlignment w:val="center"/>
              <w:rPr>
                <w:rFonts w:ascii="仿宋" w:eastAsia="仿宋" w:hAnsi="仿宋" w:hint="eastAsia"/>
              </w:rPr>
            </w:pPr>
            <w:r>
              <w:rPr>
                <w:rFonts w:ascii="仿宋" w:eastAsia="仿宋" w:hAnsi="仿宋"/>
              </w:rPr>
              <w:t>279.26</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5245294A" w14:textId="77777777" w:rsidR="00F24175" w:rsidRDefault="00000000">
            <w:pPr>
              <w:jc w:val="center"/>
              <w:textAlignment w:val="center"/>
              <w:rPr>
                <w:rFonts w:ascii="仿宋" w:eastAsia="仿宋" w:hAnsi="仿宋" w:hint="eastAsia"/>
              </w:rPr>
            </w:pPr>
            <w:r>
              <w:rPr>
                <w:rFonts w:ascii="仿宋" w:eastAsia="仿宋" w:hAnsi="仿宋"/>
              </w:rPr>
              <w:t>15,250.81</w:t>
            </w:r>
          </w:p>
        </w:tc>
      </w:tr>
      <w:tr w:rsidR="00F24175" w14:paraId="66058644"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22C5D094" w14:textId="77777777" w:rsidR="00F24175" w:rsidRDefault="00000000">
            <w:pPr>
              <w:jc w:val="both"/>
              <w:rPr>
                <w:rFonts w:ascii="仿宋" w:eastAsia="仿宋" w:hAnsi="仿宋" w:hint="eastAsia"/>
              </w:rPr>
            </w:pPr>
            <w:r>
              <w:rPr>
                <w:rFonts w:ascii="仿宋" w:eastAsia="仿宋" w:hAnsi="仿宋"/>
              </w:rPr>
              <w:t>3</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346F5258" w14:textId="77777777" w:rsidR="00F24175" w:rsidRDefault="00000000">
            <w:pPr>
              <w:jc w:val="both"/>
              <w:textAlignment w:val="center"/>
              <w:rPr>
                <w:rFonts w:ascii="仿宋" w:eastAsia="仿宋" w:hAnsi="仿宋" w:hint="eastAsia"/>
              </w:rPr>
            </w:pPr>
            <w:r>
              <w:rPr>
                <w:rFonts w:ascii="仿宋" w:eastAsia="仿宋" w:hAnsi="仿宋" w:cs="宋体" w:hint="eastAsia"/>
              </w:rPr>
              <w:t>广发信德科文</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707DAD7E"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13.33%</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F68F8DF" w14:textId="77777777" w:rsidR="00F24175" w:rsidRDefault="00000000">
            <w:pPr>
              <w:jc w:val="center"/>
              <w:textAlignment w:val="center"/>
              <w:rPr>
                <w:rFonts w:ascii="仿宋" w:eastAsia="仿宋" w:hAnsi="仿宋" w:hint="eastAsia"/>
              </w:rPr>
            </w:pPr>
            <w:r>
              <w:rPr>
                <w:rFonts w:ascii="仿宋" w:eastAsia="仿宋" w:hAnsi="仿宋"/>
              </w:rPr>
              <w:t>5,437.33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25CC9FFA" w14:textId="77777777" w:rsidR="00F24175" w:rsidRDefault="00000000">
            <w:pPr>
              <w:jc w:val="center"/>
              <w:textAlignment w:val="center"/>
              <w:rPr>
                <w:rFonts w:ascii="仿宋" w:eastAsia="仿宋" w:hAnsi="仿宋" w:hint="eastAsia"/>
              </w:rPr>
            </w:pPr>
            <w:r>
              <w:rPr>
                <w:rFonts w:ascii="仿宋" w:eastAsia="仿宋" w:hAnsi="仿宋"/>
              </w:rPr>
              <w:t>5,224.10</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6CCF2694" w14:textId="77777777" w:rsidR="00F24175" w:rsidRDefault="00000000">
            <w:pPr>
              <w:jc w:val="center"/>
              <w:textAlignment w:val="center"/>
              <w:rPr>
                <w:rFonts w:ascii="仿宋" w:eastAsia="仿宋" w:hAnsi="仿宋" w:hint="eastAsia"/>
              </w:rPr>
            </w:pPr>
            <w:r>
              <w:rPr>
                <w:rFonts w:ascii="仿宋" w:eastAsia="仿宋" w:hAnsi="仿宋"/>
              </w:rPr>
              <w:t>195.22</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29BEF26D" w14:textId="77777777" w:rsidR="00F24175" w:rsidRDefault="00000000">
            <w:pPr>
              <w:jc w:val="center"/>
              <w:textAlignment w:val="center"/>
              <w:rPr>
                <w:rFonts w:ascii="仿宋" w:eastAsia="仿宋" w:hAnsi="仿宋" w:hint="eastAsia"/>
              </w:rPr>
            </w:pPr>
            <w:r>
              <w:rPr>
                <w:rFonts w:ascii="仿宋" w:eastAsia="仿宋" w:hAnsi="仿宋"/>
              </w:rPr>
              <w:t>10,661.43</w:t>
            </w:r>
          </w:p>
        </w:tc>
      </w:tr>
      <w:tr w:rsidR="00F24175" w14:paraId="3566975D"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1500EBEC" w14:textId="77777777" w:rsidR="00F24175" w:rsidRDefault="00000000">
            <w:pPr>
              <w:jc w:val="both"/>
              <w:rPr>
                <w:rFonts w:ascii="仿宋" w:eastAsia="仿宋" w:hAnsi="仿宋" w:hint="eastAsia"/>
              </w:rPr>
            </w:pPr>
            <w:r>
              <w:rPr>
                <w:rFonts w:ascii="仿宋" w:eastAsia="仿宋" w:hAnsi="仿宋"/>
              </w:rPr>
              <w:t>4</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516690F7" w14:textId="77777777" w:rsidR="00F24175" w:rsidRDefault="00000000">
            <w:pPr>
              <w:jc w:val="both"/>
              <w:textAlignment w:val="center"/>
              <w:rPr>
                <w:rFonts w:ascii="仿宋" w:eastAsia="仿宋" w:hAnsi="仿宋" w:hint="eastAsia"/>
              </w:rPr>
            </w:pPr>
            <w:r>
              <w:rPr>
                <w:rFonts w:ascii="仿宋" w:eastAsia="仿宋" w:hAnsi="仿宋" w:cs="宋体" w:hint="eastAsia"/>
              </w:rPr>
              <w:t>苏州市德同合心</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2CE29A39"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5.97%</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671AF94" w14:textId="77777777" w:rsidR="00F24175" w:rsidRDefault="00000000">
            <w:pPr>
              <w:jc w:val="center"/>
              <w:textAlignment w:val="center"/>
              <w:rPr>
                <w:rFonts w:ascii="仿宋" w:eastAsia="仿宋" w:hAnsi="仿宋" w:hint="eastAsia"/>
              </w:rPr>
            </w:pPr>
            <w:r>
              <w:rPr>
                <w:rFonts w:ascii="仿宋" w:eastAsia="仿宋" w:hAnsi="仿宋"/>
              </w:rPr>
              <w:t>2,436.18</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043B3C18" w14:textId="77777777" w:rsidR="00F24175" w:rsidRDefault="00000000">
            <w:pPr>
              <w:jc w:val="center"/>
              <w:textAlignment w:val="center"/>
              <w:rPr>
                <w:rFonts w:ascii="仿宋" w:eastAsia="仿宋" w:hAnsi="仿宋" w:hint="eastAsia"/>
              </w:rPr>
            </w:pPr>
            <w:r>
              <w:rPr>
                <w:rFonts w:ascii="仿宋" w:eastAsia="仿宋" w:hAnsi="仿宋"/>
              </w:rPr>
              <w:t>2,340.65</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0F9508A7" w14:textId="77777777" w:rsidR="00F24175" w:rsidRDefault="00000000">
            <w:pPr>
              <w:jc w:val="center"/>
              <w:textAlignment w:val="center"/>
              <w:rPr>
                <w:rFonts w:ascii="仿宋" w:eastAsia="仿宋" w:hAnsi="仿宋" w:hint="eastAsia"/>
              </w:rPr>
            </w:pPr>
            <w:r>
              <w:rPr>
                <w:rFonts w:ascii="仿宋" w:eastAsia="仿宋" w:hAnsi="仿宋"/>
              </w:rPr>
              <w:t>87.47</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0E2BC3A3" w14:textId="77777777" w:rsidR="00F24175" w:rsidRDefault="00000000">
            <w:pPr>
              <w:jc w:val="center"/>
              <w:textAlignment w:val="center"/>
              <w:rPr>
                <w:rFonts w:ascii="仿宋" w:eastAsia="仿宋" w:hAnsi="仿宋" w:hint="eastAsia"/>
              </w:rPr>
            </w:pPr>
            <w:r>
              <w:rPr>
                <w:rFonts w:ascii="仿宋" w:eastAsia="仿宋" w:hAnsi="仿宋"/>
              </w:rPr>
              <w:t>4,776.83</w:t>
            </w:r>
          </w:p>
        </w:tc>
      </w:tr>
      <w:tr w:rsidR="00F24175" w14:paraId="02643614"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1C18DE5F" w14:textId="77777777" w:rsidR="00F24175" w:rsidRDefault="00000000">
            <w:pPr>
              <w:jc w:val="both"/>
              <w:rPr>
                <w:rFonts w:ascii="仿宋" w:eastAsia="仿宋" w:hAnsi="仿宋" w:hint="eastAsia"/>
              </w:rPr>
            </w:pPr>
            <w:r>
              <w:rPr>
                <w:rFonts w:ascii="仿宋" w:eastAsia="仿宋" w:hAnsi="仿宋"/>
              </w:rPr>
              <w:t>5</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1FE1F04B" w14:textId="77777777" w:rsidR="00F24175" w:rsidRDefault="00000000">
            <w:pPr>
              <w:jc w:val="both"/>
              <w:textAlignment w:val="center"/>
              <w:rPr>
                <w:rFonts w:ascii="仿宋" w:eastAsia="仿宋" w:hAnsi="仿宋" w:hint="eastAsia"/>
              </w:rPr>
            </w:pPr>
            <w:r>
              <w:rPr>
                <w:rFonts w:ascii="仿宋" w:eastAsia="仿宋" w:hAnsi="仿宋" w:cs="宋体" w:hint="eastAsia"/>
              </w:rPr>
              <w:t>乐陶陶</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5A27566A"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5.97%</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708BD3B3" w14:textId="77777777" w:rsidR="00F24175" w:rsidRDefault="00000000">
            <w:pPr>
              <w:jc w:val="center"/>
              <w:textAlignment w:val="center"/>
              <w:rPr>
                <w:rFonts w:ascii="仿宋" w:eastAsia="仿宋" w:hAnsi="仿宋" w:hint="eastAsia"/>
              </w:rPr>
            </w:pPr>
            <w:r>
              <w:rPr>
                <w:rFonts w:ascii="仿宋" w:eastAsia="仿宋" w:hAnsi="仿宋"/>
              </w:rPr>
              <w:t>2,435.63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7FC1571B" w14:textId="77777777" w:rsidR="00F24175" w:rsidRDefault="00000000">
            <w:pPr>
              <w:jc w:val="center"/>
              <w:textAlignment w:val="center"/>
              <w:rPr>
                <w:rFonts w:ascii="仿宋" w:eastAsia="仿宋" w:hAnsi="仿宋" w:hint="eastAsia"/>
              </w:rPr>
            </w:pPr>
            <w:r>
              <w:rPr>
                <w:rFonts w:ascii="仿宋" w:eastAsia="仿宋" w:hAnsi="仿宋"/>
              </w:rPr>
              <w:t>2,340.11</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3FF94608" w14:textId="77777777" w:rsidR="00F24175" w:rsidRDefault="00000000">
            <w:pPr>
              <w:jc w:val="center"/>
              <w:textAlignment w:val="center"/>
              <w:rPr>
                <w:rFonts w:ascii="仿宋" w:eastAsia="仿宋" w:hAnsi="仿宋" w:hint="eastAsia"/>
              </w:rPr>
            </w:pPr>
            <w:r>
              <w:rPr>
                <w:rFonts w:ascii="仿宋" w:eastAsia="仿宋" w:hAnsi="仿宋"/>
              </w:rPr>
              <w:t>87.45</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316E9C6E" w14:textId="77777777" w:rsidR="00F24175" w:rsidRDefault="00000000">
            <w:pPr>
              <w:jc w:val="center"/>
              <w:textAlignment w:val="center"/>
              <w:rPr>
                <w:rFonts w:ascii="仿宋" w:eastAsia="仿宋" w:hAnsi="仿宋" w:hint="eastAsia"/>
              </w:rPr>
            </w:pPr>
            <w:r>
              <w:rPr>
                <w:rFonts w:ascii="仿宋" w:eastAsia="仿宋" w:hAnsi="仿宋"/>
              </w:rPr>
              <w:t>4,775.74</w:t>
            </w:r>
          </w:p>
        </w:tc>
      </w:tr>
      <w:tr w:rsidR="00F24175" w14:paraId="3FC8A13F"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59513740" w14:textId="77777777" w:rsidR="00F24175" w:rsidRDefault="00000000">
            <w:pPr>
              <w:jc w:val="both"/>
              <w:rPr>
                <w:rFonts w:ascii="仿宋" w:eastAsia="仿宋" w:hAnsi="仿宋" w:hint="eastAsia"/>
              </w:rPr>
            </w:pPr>
            <w:r>
              <w:rPr>
                <w:rFonts w:ascii="仿宋" w:eastAsia="仿宋" w:hAnsi="仿宋"/>
              </w:rPr>
              <w:t>6</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5206E17E" w14:textId="77777777" w:rsidR="00F24175" w:rsidRDefault="00000000">
            <w:pPr>
              <w:jc w:val="both"/>
              <w:textAlignment w:val="center"/>
              <w:rPr>
                <w:rFonts w:ascii="仿宋" w:eastAsia="仿宋" w:hAnsi="仿宋" w:hint="eastAsia"/>
              </w:rPr>
            </w:pPr>
            <w:r>
              <w:rPr>
                <w:rFonts w:ascii="仿宋" w:eastAsia="仿宋" w:hAnsi="仿宋" w:cs="宋体" w:hint="eastAsia"/>
              </w:rPr>
              <w:t>林芝利新</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568CB7E0"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5.08%</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662783FD" w14:textId="77777777" w:rsidR="00F24175" w:rsidRDefault="00000000">
            <w:pPr>
              <w:jc w:val="center"/>
              <w:textAlignment w:val="center"/>
              <w:rPr>
                <w:rFonts w:ascii="仿宋" w:eastAsia="仿宋" w:hAnsi="仿宋" w:hint="eastAsia"/>
              </w:rPr>
            </w:pPr>
            <w:r>
              <w:rPr>
                <w:rFonts w:ascii="仿宋" w:eastAsia="仿宋" w:hAnsi="仿宋"/>
              </w:rPr>
              <w:t>3,109.62</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1CCCC260" w14:textId="77777777" w:rsidR="00F24175" w:rsidRDefault="00000000">
            <w:pPr>
              <w:jc w:val="center"/>
              <w:textAlignment w:val="center"/>
              <w:rPr>
                <w:rFonts w:ascii="仿宋" w:eastAsia="仿宋" w:hAnsi="仿宋" w:hint="eastAsia"/>
              </w:rPr>
            </w:pPr>
            <w:r>
              <w:rPr>
                <w:rFonts w:ascii="仿宋" w:eastAsia="仿宋" w:hAnsi="仿宋"/>
              </w:rPr>
              <w:t>2,987.67</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3AAD5103" w14:textId="77777777" w:rsidR="00F24175" w:rsidRDefault="00000000">
            <w:pPr>
              <w:jc w:val="center"/>
              <w:textAlignment w:val="center"/>
              <w:rPr>
                <w:rFonts w:ascii="仿宋" w:eastAsia="仿宋" w:hAnsi="仿宋" w:hint="eastAsia"/>
              </w:rPr>
            </w:pPr>
            <w:r>
              <w:rPr>
                <w:rFonts w:ascii="仿宋" w:eastAsia="仿宋" w:hAnsi="仿宋"/>
              </w:rPr>
              <w:t>111.65</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29BDB307" w14:textId="77777777" w:rsidR="00F24175" w:rsidRDefault="00000000">
            <w:pPr>
              <w:jc w:val="center"/>
              <w:textAlignment w:val="center"/>
              <w:rPr>
                <w:rFonts w:ascii="仿宋" w:eastAsia="仿宋" w:hAnsi="仿宋" w:hint="eastAsia"/>
              </w:rPr>
            </w:pPr>
            <w:r>
              <w:rPr>
                <w:rFonts w:ascii="仿宋" w:eastAsia="仿宋" w:hAnsi="仿宋"/>
              </w:rPr>
              <w:t>6,097.29</w:t>
            </w:r>
          </w:p>
        </w:tc>
      </w:tr>
      <w:tr w:rsidR="00F24175" w14:paraId="01BA5D87"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0E49293D" w14:textId="77777777" w:rsidR="00F24175" w:rsidRDefault="00000000">
            <w:pPr>
              <w:jc w:val="both"/>
              <w:rPr>
                <w:rFonts w:ascii="仿宋" w:eastAsia="仿宋" w:hAnsi="仿宋" w:hint="eastAsia"/>
              </w:rPr>
            </w:pPr>
            <w:r>
              <w:rPr>
                <w:rFonts w:ascii="仿宋" w:eastAsia="仿宋" w:hAnsi="仿宋"/>
              </w:rPr>
              <w:t>7</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57CD79F0" w14:textId="77777777" w:rsidR="00F24175" w:rsidRDefault="00000000">
            <w:pPr>
              <w:jc w:val="both"/>
              <w:textAlignment w:val="center"/>
              <w:rPr>
                <w:rFonts w:ascii="仿宋" w:eastAsia="仿宋" w:hAnsi="仿宋" w:hint="eastAsia"/>
              </w:rPr>
            </w:pPr>
            <w:r>
              <w:rPr>
                <w:rFonts w:ascii="仿宋" w:eastAsia="仿宋" w:hAnsi="仿宋" w:cs="宋体" w:hint="eastAsia"/>
              </w:rPr>
              <w:t>杨凯然</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006F7166"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4.35%</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2FEFDC8D" w14:textId="77777777" w:rsidR="00F24175" w:rsidRDefault="00000000">
            <w:pPr>
              <w:jc w:val="center"/>
              <w:textAlignment w:val="center"/>
              <w:rPr>
                <w:rFonts w:ascii="仿宋" w:eastAsia="仿宋" w:hAnsi="仿宋" w:hint="eastAsia"/>
              </w:rPr>
            </w:pPr>
            <w:r>
              <w:rPr>
                <w:rFonts w:ascii="Times New Roman" w:hAnsi="Times New Roman" w:cs="Times New Roman"/>
              </w:rPr>
              <w:t>1,151.8</w:t>
            </w:r>
            <w:r>
              <w:rPr>
                <w:rFonts w:ascii="Times New Roman" w:eastAsia="宋体" w:hAnsi="Times New Roman" w:cs="Times New Roman" w:hint="eastAsia"/>
                <w:lang w:eastAsia="zh-CN"/>
              </w:rPr>
              <w:t>4</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609D2082" w14:textId="77777777" w:rsidR="00F24175" w:rsidRDefault="00000000">
            <w:pPr>
              <w:jc w:val="center"/>
              <w:rPr>
                <w:rFonts w:ascii="Times New Roman" w:hAnsi="Times New Roman" w:cs="Times New Roman"/>
              </w:rPr>
            </w:pPr>
            <w:r>
              <w:rPr>
                <w:rFonts w:ascii="Times New Roman" w:hAnsi="Times New Roman" w:cs="Times New Roman"/>
              </w:rPr>
              <w:t>6,223.4</w:t>
            </w:r>
            <w:r>
              <w:rPr>
                <w:rFonts w:ascii="Times New Roman" w:eastAsia="宋体" w:hAnsi="Times New Roman" w:cs="Times New Roman" w:hint="eastAsia"/>
                <w:lang w:eastAsia="zh-CN"/>
              </w:rPr>
              <w:t>1</w:t>
            </w:r>
            <w:r>
              <w:rPr>
                <w:rFonts w:ascii="Times New Roman" w:hAnsi="Times New Roman" w:cs="Times New Roman"/>
              </w:rPr>
              <w:t xml:space="preserve"> </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030A9C0B" w14:textId="77777777" w:rsidR="00F24175" w:rsidRDefault="00000000">
            <w:pPr>
              <w:jc w:val="center"/>
              <w:textAlignment w:val="center"/>
              <w:rPr>
                <w:rFonts w:ascii="仿宋" w:eastAsia="仿宋" w:hAnsi="仿宋" w:hint="eastAsia"/>
              </w:rPr>
            </w:pPr>
            <w:r>
              <w:rPr>
                <w:rFonts w:ascii="Times New Roman" w:hAnsi="Times New Roman" w:cs="Times New Roman"/>
              </w:rPr>
              <w:t>232</w:t>
            </w:r>
            <w:r>
              <w:rPr>
                <w:rFonts w:ascii="Times New Roman" w:eastAsia="宋体" w:hAnsi="Times New Roman" w:cs="Times New Roman" w:hint="eastAsia"/>
                <w:lang w:eastAsia="zh-CN"/>
              </w:rPr>
              <w:t>.</w:t>
            </w:r>
            <w:r>
              <w:rPr>
                <w:rFonts w:ascii="Times New Roman" w:hAnsi="Times New Roman" w:cs="Times New Roman"/>
              </w:rPr>
              <w:t>56</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5A5A548C" w14:textId="77777777" w:rsidR="00F24175" w:rsidRDefault="00000000">
            <w:pPr>
              <w:jc w:val="center"/>
              <w:textAlignment w:val="center"/>
              <w:rPr>
                <w:rFonts w:ascii="仿宋" w:eastAsia="仿宋" w:hAnsi="仿宋" w:hint="eastAsia"/>
              </w:rPr>
            </w:pPr>
            <w:r>
              <w:rPr>
                <w:rFonts w:ascii="仿宋" w:eastAsia="仿宋" w:hAnsi="仿宋"/>
              </w:rPr>
              <w:t>7,375.24</w:t>
            </w:r>
          </w:p>
        </w:tc>
      </w:tr>
      <w:tr w:rsidR="00F24175" w14:paraId="1013984D"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737C04BF" w14:textId="77777777" w:rsidR="00F24175" w:rsidRDefault="00000000">
            <w:pPr>
              <w:jc w:val="both"/>
              <w:rPr>
                <w:rFonts w:ascii="仿宋" w:eastAsia="仿宋" w:hAnsi="仿宋" w:hint="eastAsia"/>
              </w:rPr>
            </w:pPr>
            <w:r>
              <w:rPr>
                <w:rFonts w:ascii="仿宋" w:eastAsia="仿宋" w:hAnsi="仿宋"/>
              </w:rPr>
              <w:t>8</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13DEF031" w14:textId="77777777" w:rsidR="00F24175" w:rsidRDefault="00000000">
            <w:pPr>
              <w:jc w:val="both"/>
              <w:textAlignment w:val="center"/>
              <w:rPr>
                <w:rFonts w:ascii="仿宋" w:eastAsia="仿宋" w:hAnsi="仿宋" w:hint="eastAsia"/>
              </w:rPr>
            </w:pPr>
            <w:r>
              <w:rPr>
                <w:rFonts w:ascii="仿宋" w:eastAsia="仿宋" w:hAnsi="仿宋" w:cs="宋体" w:hint="eastAsia"/>
              </w:rPr>
              <w:t>张杰波</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0A2885A4"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4.01%</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6789B99D" w14:textId="77777777" w:rsidR="00F24175" w:rsidRDefault="00000000">
            <w:pPr>
              <w:jc w:val="center"/>
              <w:textAlignment w:val="center"/>
              <w:rPr>
                <w:rFonts w:ascii="仿宋" w:eastAsia="仿宋" w:hAnsi="仿宋" w:hint="eastAsia"/>
              </w:rPr>
            </w:pPr>
            <w:r>
              <w:rPr>
                <w:rFonts w:ascii="Times New Roman" w:hAnsi="Times New Roman" w:cs="Times New Roman"/>
              </w:rPr>
              <w:t xml:space="preserve">1,060.81 </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207C4F4A" w14:textId="77777777" w:rsidR="00F24175" w:rsidRDefault="00000000">
            <w:pPr>
              <w:jc w:val="center"/>
              <w:rPr>
                <w:rFonts w:ascii="Times New Roman" w:hAnsi="Times New Roman" w:cs="Times New Roman"/>
              </w:rPr>
            </w:pPr>
            <w:r>
              <w:rPr>
                <w:rFonts w:ascii="Times New Roman" w:hAnsi="Times New Roman" w:cs="Times New Roman"/>
              </w:rPr>
              <w:t>5,731.6</w:t>
            </w:r>
            <w:r>
              <w:rPr>
                <w:rFonts w:ascii="Times New Roman" w:eastAsia="宋体" w:hAnsi="Times New Roman" w:cs="Times New Roman" w:hint="eastAsia"/>
                <w:lang w:eastAsia="zh-CN"/>
              </w:rPr>
              <w:t>2</w:t>
            </w:r>
            <w:r>
              <w:rPr>
                <w:rFonts w:ascii="Times New Roman" w:hAnsi="Times New Roman" w:cs="Times New Roman"/>
              </w:rPr>
              <w:t xml:space="preserve"> </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1C7525F5" w14:textId="77777777" w:rsidR="00F24175" w:rsidRDefault="00000000">
            <w:pPr>
              <w:jc w:val="center"/>
              <w:textAlignment w:val="center"/>
              <w:rPr>
                <w:rFonts w:ascii="仿宋" w:eastAsia="仿宋" w:hAnsi="仿宋" w:hint="eastAsia"/>
              </w:rPr>
            </w:pPr>
            <w:r>
              <w:rPr>
                <w:rFonts w:ascii="Times New Roman" w:eastAsia="宋体" w:hAnsi="Times New Roman" w:cs="Times New Roman" w:hint="eastAsia"/>
                <w:lang w:eastAsia="zh-CN"/>
              </w:rPr>
              <w:t>214.19</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60F97540" w14:textId="77777777" w:rsidR="00F24175" w:rsidRDefault="00000000">
            <w:pPr>
              <w:jc w:val="center"/>
              <w:textAlignment w:val="center"/>
              <w:rPr>
                <w:rFonts w:ascii="仿宋" w:eastAsia="仿宋" w:hAnsi="仿宋" w:hint="eastAsia"/>
              </w:rPr>
            </w:pPr>
            <w:r>
              <w:rPr>
                <w:rFonts w:ascii="仿宋" w:eastAsia="仿宋" w:hAnsi="仿宋"/>
              </w:rPr>
              <w:t>6,792.43</w:t>
            </w:r>
          </w:p>
        </w:tc>
      </w:tr>
      <w:tr w:rsidR="00F24175" w14:paraId="06806A95"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4CE77428" w14:textId="77777777" w:rsidR="00F24175" w:rsidRDefault="00000000">
            <w:pPr>
              <w:jc w:val="both"/>
              <w:rPr>
                <w:rFonts w:ascii="仿宋" w:eastAsia="仿宋" w:hAnsi="仿宋" w:hint="eastAsia"/>
              </w:rPr>
            </w:pPr>
            <w:r>
              <w:rPr>
                <w:rFonts w:ascii="仿宋" w:eastAsia="仿宋" w:hAnsi="仿宋"/>
              </w:rPr>
              <w:t>9</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3BC1AB1A" w14:textId="77777777" w:rsidR="00F24175" w:rsidRDefault="00000000">
            <w:pPr>
              <w:jc w:val="both"/>
              <w:textAlignment w:val="center"/>
              <w:rPr>
                <w:rFonts w:ascii="仿宋" w:eastAsia="仿宋" w:hAnsi="仿宋" w:hint="eastAsia"/>
              </w:rPr>
            </w:pPr>
            <w:r>
              <w:rPr>
                <w:rFonts w:ascii="仿宋" w:eastAsia="仿宋" w:hAnsi="仿宋" w:cs="宋体" w:hint="eastAsia"/>
              </w:rPr>
              <w:t>璀璨远见</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613B588C"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2.82%</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5FF75B9" w14:textId="77777777" w:rsidR="00F24175" w:rsidRDefault="00000000">
            <w:pPr>
              <w:jc w:val="center"/>
              <w:textAlignment w:val="center"/>
              <w:rPr>
                <w:rFonts w:ascii="仿宋" w:eastAsia="仿宋" w:hAnsi="仿宋" w:hint="eastAsia"/>
              </w:rPr>
            </w:pPr>
            <w:r>
              <w:rPr>
                <w:rFonts w:ascii="仿宋" w:eastAsia="仿宋" w:hAnsi="仿宋"/>
              </w:rPr>
              <w:t>1,386.06</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2217BB97" w14:textId="77777777" w:rsidR="00F24175" w:rsidRDefault="00000000">
            <w:pPr>
              <w:jc w:val="center"/>
              <w:textAlignment w:val="center"/>
              <w:rPr>
                <w:rFonts w:ascii="仿宋" w:eastAsia="仿宋" w:hAnsi="仿宋" w:hint="eastAsia"/>
              </w:rPr>
            </w:pPr>
            <w:r>
              <w:rPr>
                <w:rFonts w:ascii="仿宋" w:eastAsia="仿宋" w:hAnsi="仿宋"/>
              </w:rPr>
              <w:t>1,331.70</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7ED67D79" w14:textId="77777777" w:rsidR="00F24175" w:rsidRDefault="00000000">
            <w:pPr>
              <w:jc w:val="center"/>
              <w:textAlignment w:val="center"/>
              <w:rPr>
                <w:rFonts w:ascii="仿宋" w:eastAsia="仿宋" w:hAnsi="仿宋" w:hint="eastAsia"/>
              </w:rPr>
            </w:pPr>
            <w:r>
              <w:rPr>
                <w:rFonts w:ascii="仿宋" w:eastAsia="仿宋" w:hAnsi="仿宋"/>
              </w:rPr>
              <w:t>49.76</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29770EED" w14:textId="77777777" w:rsidR="00F24175" w:rsidRDefault="00000000">
            <w:pPr>
              <w:jc w:val="center"/>
              <w:textAlignment w:val="center"/>
              <w:rPr>
                <w:rFonts w:ascii="仿宋" w:eastAsia="仿宋" w:hAnsi="仿宋" w:hint="eastAsia"/>
              </w:rPr>
            </w:pPr>
            <w:r>
              <w:rPr>
                <w:rFonts w:ascii="仿宋" w:eastAsia="仿宋" w:hAnsi="仿宋"/>
              </w:rPr>
              <w:t>2,717.76</w:t>
            </w:r>
          </w:p>
        </w:tc>
      </w:tr>
      <w:tr w:rsidR="00F24175" w14:paraId="2EAC3A54"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3D87AB13" w14:textId="77777777" w:rsidR="00F24175" w:rsidRDefault="00000000">
            <w:pPr>
              <w:jc w:val="both"/>
              <w:rPr>
                <w:rFonts w:ascii="仿宋" w:eastAsia="仿宋" w:hAnsi="仿宋" w:hint="eastAsia"/>
              </w:rPr>
            </w:pPr>
            <w:r>
              <w:rPr>
                <w:rFonts w:ascii="仿宋" w:eastAsia="仿宋" w:hAnsi="仿宋"/>
              </w:rPr>
              <w:t>10</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557B973D" w14:textId="77777777" w:rsidR="00F24175" w:rsidRDefault="00000000">
            <w:pPr>
              <w:jc w:val="both"/>
              <w:textAlignment w:val="center"/>
              <w:rPr>
                <w:rFonts w:ascii="仿宋" w:eastAsia="仿宋" w:hAnsi="仿宋" w:hint="eastAsia"/>
              </w:rPr>
            </w:pPr>
            <w:r>
              <w:rPr>
                <w:rFonts w:ascii="仿宋" w:eastAsia="仿宋" w:hAnsi="仿宋" w:cs="宋体" w:hint="eastAsia"/>
              </w:rPr>
              <w:t>乐熙熙</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68BAA652"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2.51%</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78392A0C" w14:textId="77777777" w:rsidR="00F24175" w:rsidRDefault="00000000">
            <w:pPr>
              <w:jc w:val="center"/>
              <w:textAlignment w:val="center"/>
              <w:rPr>
                <w:rFonts w:ascii="仿宋" w:eastAsia="仿宋" w:hAnsi="仿宋" w:hint="eastAsia"/>
              </w:rPr>
            </w:pPr>
            <w:r>
              <w:rPr>
                <w:rFonts w:ascii="仿宋" w:eastAsia="仿宋" w:hAnsi="仿宋"/>
              </w:rPr>
              <w:t>2,172.24</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68A46D2C" w14:textId="77777777" w:rsidR="00F24175" w:rsidRDefault="00000000">
            <w:pPr>
              <w:jc w:val="center"/>
              <w:textAlignment w:val="center"/>
              <w:rPr>
                <w:rFonts w:ascii="仿宋" w:eastAsia="仿宋" w:hAnsi="仿宋" w:hint="eastAsia"/>
              </w:rPr>
            </w:pPr>
            <w:r>
              <w:rPr>
                <w:rFonts w:ascii="仿宋" w:eastAsia="仿宋" w:hAnsi="仿宋"/>
              </w:rPr>
              <w:t>2,087.06</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7D3CDA79" w14:textId="77777777" w:rsidR="00F24175" w:rsidRDefault="00000000">
            <w:pPr>
              <w:jc w:val="center"/>
              <w:textAlignment w:val="center"/>
              <w:rPr>
                <w:rFonts w:ascii="仿宋" w:eastAsia="仿宋" w:hAnsi="仿宋" w:hint="eastAsia"/>
              </w:rPr>
            </w:pPr>
            <w:r>
              <w:rPr>
                <w:rFonts w:ascii="仿宋" w:eastAsia="仿宋" w:hAnsi="仿宋"/>
              </w:rPr>
              <w:t>77.99</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0DD3CA30" w14:textId="77777777" w:rsidR="00F24175" w:rsidRDefault="00000000">
            <w:pPr>
              <w:jc w:val="center"/>
              <w:textAlignment w:val="center"/>
              <w:rPr>
                <w:rFonts w:ascii="仿宋" w:eastAsia="仿宋" w:hAnsi="仿宋" w:hint="eastAsia"/>
              </w:rPr>
            </w:pPr>
            <w:r>
              <w:rPr>
                <w:rFonts w:ascii="仿宋" w:eastAsia="仿宋" w:hAnsi="仿宋"/>
              </w:rPr>
              <w:t>4,259.30</w:t>
            </w:r>
          </w:p>
        </w:tc>
      </w:tr>
      <w:tr w:rsidR="00F24175" w14:paraId="30767C64"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63B088FE" w14:textId="77777777" w:rsidR="00F24175" w:rsidRDefault="00000000">
            <w:pPr>
              <w:jc w:val="both"/>
              <w:rPr>
                <w:rFonts w:ascii="仿宋" w:eastAsia="仿宋" w:hAnsi="仿宋" w:hint="eastAsia"/>
              </w:rPr>
            </w:pPr>
            <w:r>
              <w:rPr>
                <w:rFonts w:ascii="仿宋" w:eastAsia="仿宋" w:hAnsi="仿宋"/>
              </w:rPr>
              <w:t>11</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3559930C" w14:textId="77777777" w:rsidR="00F24175" w:rsidRDefault="00000000">
            <w:pPr>
              <w:jc w:val="both"/>
              <w:textAlignment w:val="center"/>
              <w:rPr>
                <w:rFonts w:ascii="仿宋" w:eastAsia="仿宋" w:hAnsi="仿宋" w:hint="eastAsia"/>
              </w:rPr>
            </w:pPr>
            <w:r>
              <w:rPr>
                <w:rFonts w:ascii="仿宋" w:eastAsia="仿宋" w:hAnsi="仿宋" w:cs="宋体" w:hint="eastAsia"/>
              </w:rPr>
              <w:t>乐腾腾</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069F90E1"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2.27%</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7DC027B0" w14:textId="77777777" w:rsidR="00F24175" w:rsidRDefault="00000000">
            <w:pPr>
              <w:jc w:val="center"/>
              <w:textAlignment w:val="center"/>
              <w:rPr>
                <w:rFonts w:ascii="仿宋" w:eastAsia="仿宋" w:hAnsi="仿宋" w:hint="eastAsia"/>
              </w:rPr>
            </w:pPr>
            <w:r>
              <w:rPr>
                <w:rFonts w:ascii="仿宋" w:eastAsia="仿宋" w:hAnsi="仿宋"/>
              </w:rPr>
              <w:t>1,959.03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18A77BC1" w14:textId="77777777" w:rsidR="00F24175" w:rsidRDefault="00000000">
            <w:pPr>
              <w:jc w:val="center"/>
              <w:textAlignment w:val="center"/>
              <w:rPr>
                <w:rFonts w:ascii="仿宋" w:eastAsia="仿宋" w:hAnsi="仿宋" w:hint="eastAsia"/>
              </w:rPr>
            </w:pPr>
            <w:r>
              <w:rPr>
                <w:rFonts w:ascii="仿宋" w:eastAsia="仿宋" w:hAnsi="仿宋"/>
              </w:rPr>
              <w:t>1,882.21</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2904A4FA" w14:textId="77777777" w:rsidR="00F24175" w:rsidRDefault="00000000">
            <w:pPr>
              <w:jc w:val="center"/>
              <w:textAlignment w:val="center"/>
              <w:rPr>
                <w:rFonts w:ascii="仿宋" w:eastAsia="仿宋" w:hAnsi="仿宋" w:hint="eastAsia"/>
              </w:rPr>
            </w:pPr>
            <w:r>
              <w:rPr>
                <w:rFonts w:ascii="仿宋" w:eastAsia="仿宋" w:hAnsi="仿宋"/>
              </w:rPr>
              <w:t>70.34</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35F96B14" w14:textId="77777777" w:rsidR="00F24175" w:rsidRDefault="00000000">
            <w:pPr>
              <w:jc w:val="center"/>
              <w:textAlignment w:val="center"/>
              <w:rPr>
                <w:rFonts w:ascii="仿宋" w:eastAsia="仿宋" w:hAnsi="仿宋" w:hint="eastAsia"/>
              </w:rPr>
            </w:pPr>
            <w:r>
              <w:rPr>
                <w:rFonts w:ascii="仿宋" w:eastAsia="仿宋" w:hAnsi="仿宋"/>
              </w:rPr>
              <w:t>3,841.24</w:t>
            </w:r>
          </w:p>
        </w:tc>
      </w:tr>
      <w:tr w:rsidR="00F24175" w14:paraId="0FF34DED"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585BD5F3" w14:textId="77777777" w:rsidR="00F24175" w:rsidRDefault="00000000">
            <w:pPr>
              <w:jc w:val="both"/>
              <w:rPr>
                <w:rFonts w:ascii="仿宋" w:eastAsia="仿宋" w:hAnsi="仿宋" w:hint="eastAsia"/>
              </w:rPr>
            </w:pPr>
            <w:r>
              <w:rPr>
                <w:rFonts w:ascii="仿宋" w:eastAsia="仿宋" w:hAnsi="仿宋"/>
              </w:rPr>
              <w:t>12</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60AAD508" w14:textId="77777777" w:rsidR="00F24175" w:rsidRDefault="00000000">
            <w:pPr>
              <w:jc w:val="both"/>
              <w:textAlignment w:val="center"/>
              <w:rPr>
                <w:rFonts w:ascii="仿宋" w:eastAsia="仿宋" w:hAnsi="仿宋" w:hint="eastAsia"/>
              </w:rPr>
            </w:pPr>
            <w:r>
              <w:rPr>
                <w:rFonts w:ascii="仿宋" w:eastAsia="仿宋" w:hAnsi="仿宋" w:cs="宋体" w:hint="eastAsia"/>
              </w:rPr>
              <w:t>深圳市前海千意智合三期</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050D2540"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2.13%</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9480885" w14:textId="77777777" w:rsidR="00F24175" w:rsidRDefault="00000000">
            <w:pPr>
              <w:jc w:val="center"/>
              <w:textAlignment w:val="center"/>
              <w:rPr>
                <w:rFonts w:ascii="仿宋" w:eastAsia="仿宋" w:hAnsi="仿宋" w:hint="eastAsia"/>
              </w:rPr>
            </w:pPr>
            <w:r>
              <w:rPr>
                <w:rFonts w:ascii="仿宋" w:eastAsia="仿宋" w:hAnsi="仿宋"/>
              </w:rPr>
              <w:t>869.53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779C887E" w14:textId="77777777" w:rsidR="00F24175" w:rsidRDefault="00000000">
            <w:pPr>
              <w:jc w:val="center"/>
              <w:textAlignment w:val="center"/>
              <w:rPr>
                <w:rFonts w:ascii="仿宋" w:eastAsia="仿宋" w:hAnsi="仿宋" w:hint="eastAsia"/>
              </w:rPr>
            </w:pPr>
            <w:r>
              <w:rPr>
                <w:rFonts w:ascii="仿宋" w:eastAsia="仿宋" w:hAnsi="仿宋"/>
              </w:rPr>
              <w:t>835.43</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59D3A623" w14:textId="77777777" w:rsidR="00F24175" w:rsidRDefault="00000000">
            <w:pPr>
              <w:jc w:val="center"/>
              <w:textAlignment w:val="center"/>
              <w:rPr>
                <w:rFonts w:ascii="仿宋" w:eastAsia="仿宋" w:hAnsi="仿宋" w:hint="eastAsia"/>
              </w:rPr>
            </w:pPr>
            <w:r>
              <w:rPr>
                <w:rFonts w:ascii="仿宋" w:eastAsia="仿宋" w:hAnsi="仿宋"/>
              </w:rPr>
              <w:t>31.22</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0BB356C2" w14:textId="77777777" w:rsidR="00F24175" w:rsidRDefault="00000000">
            <w:pPr>
              <w:jc w:val="center"/>
              <w:textAlignment w:val="center"/>
              <w:rPr>
                <w:rFonts w:ascii="仿宋" w:eastAsia="仿宋" w:hAnsi="仿宋" w:hint="eastAsia"/>
              </w:rPr>
            </w:pPr>
            <w:r>
              <w:rPr>
                <w:rFonts w:ascii="仿宋" w:eastAsia="仿宋" w:hAnsi="仿宋"/>
              </w:rPr>
              <w:t>1,704.95</w:t>
            </w:r>
          </w:p>
        </w:tc>
      </w:tr>
      <w:tr w:rsidR="00F24175" w14:paraId="03F3759E"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0087ED40" w14:textId="77777777" w:rsidR="00F24175" w:rsidRDefault="00000000">
            <w:pPr>
              <w:jc w:val="both"/>
              <w:rPr>
                <w:rFonts w:ascii="仿宋" w:eastAsia="仿宋" w:hAnsi="仿宋" w:hint="eastAsia"/>
              </w:rPr>
            </w:pPr>
            <w:r>
              <w:rPr>
                <w:rFonts w:ascii="仿宋" w:eastAsia="仿宋" w:hAnsi="仿宋"/>
              </w:rPr>
              <w:t>13</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4A2890FE" w14:textId="77777777" w:rsidR="00F24175" w:rsidRDefault="00000000">
            <w:pPr>
              <w:jc w:val="both"/>
              <w:textAlignment w:val="center"/>
              <w:rPr>
                <w:rFonts w:ascii="仿宋" w:eastAsia="仿宋" w:hAnsi="仿宋" w:hint="eastAsia"/>
              </w:rPr>
            </w:pPr>
            <w:r>
              <w:rPr>
                <w:rFonts w:ascii="仿宋" w:eastAsia="仿宋" w:hAnsi="仿宋" w:cs="宋体" w:hint="eastAsia"/>
              </w:rPr>
              <w:t>胡俊</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63B1CAC8"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1.77%</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2C25E34F" w14:textId="77777777" w:rsidR="00F24175" w:rsidRDefault="00000000">
            <w:pPr>
              <w:jc w:val="center"/>
              <w:rPr>
                <w:rFonts w:ascii="仿宋" w:eastAsia="仿宋" w:hAnsi="仿宋" w:hint="eastAsia"/>
              </w:rPr>
            </w:pPr>
            <w:r>
              <w:rPr>
                <w:rFonts w:ascii="仿宋" w:eastAsia="仿宋" w:hAnsi="仿宋"/>
              </w:rPr>
              <w:t>467.5</w:t>
            </w:r>
            <w:r>
              <w:rPr>
                <w:rFonts w:ascii="仿宋" w:eastAsia="仿宋" w:hAnsi="仿宋" w:hint="eastAsia"/>
                <w:lang w:eastAsia="zh-CN"/>
              </w:rPr>
              <w:t>5</w:t>
            </w:r>
            <w:r>
              <w:rPr>
                <w:rFonts w:ascii="仿宋" w:eastAsia="仿宋" w:hAnsi="仿宋"/>
              </w:rPr>
              <w:t xml:space="preserve"> </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16B11332" w14:textId="77777777" w:rsidR="00F24175" w:rsidRDefault="00000000">
            <w:pPr>
              <w:jc w:val="center"/>
              <w:rPr>
                <w:rFonts w:ascii="仿宋" w:eastAsia="仿宋" w:hAnsi="仿宋" w:hint="eastAsia"/>
              </w:rPr>
            </w:pPr>
            <w:r>
              <w:rPr>
                <w:rFonts w:ascii="仿宋" w:eastAsia="仿宋" w:hAnsi="仿宋"/>
              </w:rPr>
              <w:t>2,526.1</w:t>
            </w:r>
            <w:r>
              <w:rPr>
                <w:rFonts w:ascii="仿宋" w:eastAsia="仿宋" w:hAnsi="仿宋" w:hint="eastAsia"/>
                <w:lang w:eastAsia="zh-CN"/>
              </w:rPr>
              <w:t>7</w:t>
            </w:r>
            <w:r>
              <w:rPr>
                <w:rFonts w:ascii="仿宋" w:eastAsia="仿宋" w:hAnsi="仿宋"/>
              </w:rPr>
              <w:t xml:space="preserve"> </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6EFC6F73" w14:textId="77777777" w:rsidR="00F24175" w:rsidRDefault="00000000">
            <w:pPr>
              <w:jc w:val="center"/>
              <w:textAlignment w:val="auto"/>
              <w:rPr>
                <w:rFonts w:ascii="仿宋" w:eastAsia="仿宋" w:hAnsi="仿宋" w:hint="eastAsia"/>
              </w:rPr>
            </w:pPr>
            <w:r>
              <w:rPr>
                <w:rFonts w:ascii="仿宋" w:eastAsia="仿宋" w:hAnsi="仿宋"/>
              </w:rPr>
              <w:t>94</w:t>
            </w:r>
            <w:r>
              <w:rPr>
                <w:rFonts w:ascii="仿宋" w:eastAsia="仿宋" w:hAnsi="仿宋" w:hint="eastAsia"/>
                <w:lang w:eastAsia="zh-CN"/>
              </w:rPr>
              <w:t>.</w:t>
            </w:r>
            <w:r>
              <w:rPr>
                <w:rFonts w:ascii="仿宋" w:eastAsia="仿宋" w:hAnsi="仿宋"/>
              </w:rPr>
              <w:t>40</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2F3E718A" w14:textId="77777777" w:rsidR="00F24175" w:rsidRDefault="00000000">
            <w:pPr>
              <w:jc w:val="center"/>
              <w:textAlignment w:val="center"/>
              <w:rPr>
                <w:rFonts w:ascii="仿宋" w:eastAsia="仿宋" w:hAnsi="仿宋" w:hint="eastAsia"/>
              </w:rPr>
            </w:pPr>
            <w:r>
              <w:rPr>
                <w:rFonts w:ascii="仿宋" w:eastAsia="仿宋" w:hAnsi="仿宋"/>
              </w:rPr>
              <w:t>2,993.71</w:t>
            </w:r>
          </w:p>
        </w:tc>
      </w:tr>
      <w:tr w:rsidR="00F24175" w14:paraId="6066DB45"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05870FAA" w14:textId="77777777" w:rsidR="00F24175" w:rsidRDefault="00000000">
            <w:pPr>
              <w:jc w:val="both"/>
              <w:rPr>
                <w:rFonts w:ascii="仿宋" w:eastAsia="仿宋" w:hAnsi="仿宋" w:hint="eastAsia"/>
              </w:rPr>
            </w:pPr>
            <w:r>
              <w:rPr>
                <w:rFonts w:ascii="仿宋" w:eastAsia="仿宋" w:hAnsi="仿宋"/>
              </w:rPr>
              <w:t>14</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0E1C1CFA" w14:textId="77777777" w:rsidR="00F24175" w:rsidRDefault="00000000">
            <w:pPr>
              <w:jc w:val="both"/>
              <w:textAlignment w:val="center"/>
              <w:rPr>
                <w:rFonts w:ascii="仿宋" w:eastAsia="仿宋" w:hAnsi="仿宋" w:hint="eastAsia"/>
              </w:rPr>
            </w:pPr>
            <w:r>
              <w:rPr>
                <w:rFonts w:ascii="仿宋" w:eastAsia="仿宋" w:hAnsi="仿宋" w:cs="宋体" w:hint="eastAsia"/>
              </w:rPr>
              <w:t>王佳</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1BB39E80"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1.58%</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C44707C" w14:textId="77777777" w:rsidR="00F24175" w:rsidRDefault="00000000">
            <w:pPr>
              <w:jc w:val="center"/>
              <w:rPr>
                <w:rFonts w:ascii="仿宋" w:eastAsia="仿宋" w:hAnsi="仿宋" w:hint="eastAsia"/>
              </w:rPr>
            </w:pPr>
            <w:r>
              <w:rPr>
                <w:rFonts w:ascii="仿宋" w:eastAsia="仿宋" w:hAnsi="仿宋"/>
              </w:rPr>
              <w:t>419.2</w:t>
            </w:r>
            <w:r>
              <w:rPr>
                <w:rFonts w:ascii="仿宋" w:eastAsia="仿宋" w:hAnsi="仿宋" w:hint="eastAsia"/>
                <w:lang w:eastAsia="zh-CN"/>
              </w:rPr>
              <w:t>6</w:t>
            </w:r>
            <w:r>
              <w:rPr>
                <w:rFonts w:ascii="仿宋" w:eastAsia="仿宋" w:hAnsi="仿宋"/>
              </w:rPr>
              <w:t xml:space="preserve"> </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75A1C986" w14:textId="77777777" w:rsidR="00F24175" w:rsidRDefault="00000000">
            <w:pPr>
              <w:jc w:val="center"/>
              <w:rPr>
                <w:rFonts w:ascii="仿宋" w:eastAsia="仿宋" w:hAnsi="仿宋" w:hint="eastAsia"/>
              </w:rPr>
            </w:pPr>
            <w:r>
              <w:rPr>
                <w:rFonts w:ascii="仿宋" w:eastAsia="仿宋" w:hAnsi="仿宋"/>
              </w:rPr>
              <w:t xml:space="preserve">2,265.26 </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57B95148" w14:textId="77777777" w:rsidR="00F24175" w:rsidRDefault="00000000">
            <w:pPr>
              <w:jc w:val="center"/>
              <w:textAlignment w:val="auto"/>
              <w:rPr>
                <w:rFonts w:ascii="仿宋" w:eastAsia="仿宋" w:hAnsi="仿宋" w:hint="eastAsia"/>
              </w:rPr>
            </w:pPr>
            <w:r>
              <w:rPr>
                <w:rFonts w:ascii="仿宋" w:eastAsia="仿宋" w:hAnsi="仿宋"/>
              </w:rPr>
              <w:t>84</w:t>
            </w:r>
            <w:r>
              <w:rPr>
                <w:rFonts w:ascii="仿宋" w:eastAsia="仿宋" w:hAnsi="仿宋" w:hint="eastAsia"/>
                <w:lang w:eastAsia="zh-CN"/>
              </w:rPr>
              <w:t>.</w:t>
            </w:r>
            <w:r>
              <w:rPr>
                <w:rFonts w:ascii="仿宋" w:eastAsia="仿宋" w:hAnsi="仿宋"/>
              </w:rPr>
              <w:t>65</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04CDEA0E" w14:textId="77777777" w:rsidR="00F24175" w:rsidRDefault="00000000">
            <w:pPr>
              <w:jc w:val="center"/>
              <w:textAlignment w:val="center"/>
              <w:rPr>
                <w:rFonts w:ascii="仿宋" w:eastAsia="仿宋" w:hAnsi="仿宋" w:hint="eastAsia"/>
              </w:rPr>
            </w:pPr>
            <w:r>
              <w:rPr>
                <w:rFonts w:ascii="仿宋" w:eastAsia="仿宋" w:hAnsi="仿宋"/>
              </w:rPr>
              <w:t>2,684.52</w:t>
            </w:r>
          </w:p>
        </w:tc>
      </w:tr>
      <w:tr w:rsidR="00F24175" w14:paraId="002E5AA2"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6F5FB15B" w14:textId="77777777" w:rsidR="00F24175" w:rsidRDefault="00000000">
            <w:pPr>
              <w:jc w:val="both"/>
              <w:rPr>
                <w:rFonts w:ascii="仿宋" w:eastAsia="仿宋" w:hAnsi="仿宋" w:hint="eastAsia"/>
              </w:rPr>
            </w:pPr>
            <w:r>
              <w:rPr>
                <w:rFonts w:ascii="仿宋" w:eastAsia="仿宋" w:hAnsi="仿宋"/>
              </w:rPr>
              <w:t>15</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2BC263FA" w14:textId="77777777" w:rsidR="00F24175" w:rsidRDefault="00000000">
            <w:pPr>
              <w:jc w:val="both"/>
              <w:textAlignment w:val="center"/>
              <w:rPr>
                <w:rFonts w:ascii="仿宋" w:eastAsia="仿宋" w:hAnsi="仿宋" w:hint="eastAsia"/>
              </w:rPr>
            </w:pPr>
            <w:r>
              <w:rPr>
                <w:rFonts w:ascii="仿宋" w:eastAsia="仿宋" w:hAnsi="仿宋" w:cs="宋体" w:hint="eastAsia"/>
              </w:rPr>
              <w:t>乐哈哈</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79D7B94F"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1.38%</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F2C2548" w14:textId="77777777" w:rsidR="00F24175" w:rsidRDefault="00000000">
            <w:pPr>
              <w:jc w:val="center"/>
              <w:textAlignment w:val="center"/>
              <w:rPr>
                <w:rFonts w:ascii="仿宋" w:eastAsia="仿宋" w:hAnsi="仿宋" w:hint="eastAsia"/>
              </w:rPr>
            </w:pPr>
            <w:r>
              <w:rPr>
                <w:rFonts w:ascii="仿宋" w:eastAsia="仿宋" w:hAnsi="仿宋"/>
              </w:rPr>
              <w:t>1,194.09</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6806215B" w14:textId="77777777" w:rsidR="00F24175" w:rsidRDefault="00000000">
            <w:pPr>
              <w:jc w:val="center"/>
              <w:textAlignment w:val="center"/>
              <w:rPr>
                <w:rFonts w:ascii="仿宋" w:eastAsia="仿宋" w:hAnsi="仿宋" w:hint="eastAsia"/>
              </w:rPr>
            </w:pPr>
            <w:r>
              <w:rPr>
                <w:rFonts w:ascii="仿宋" w:eastAsia="仿宋" w:hAnsi="仿宋"/>
              </w:rPr>
              <w:t>1,147.26</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27B561B9" w14:textId="77777777" w:rsidR="00F24175" w:rsidRDefault="00000000">
            <w:pPr>
              <w:jc w:val="center"/>
              <w:textAlignment w:val="center"/>
              <w:rPr>
                <w:rFonts w:ascii="仿宋" w:eastAsia="仿宋" w:hAnsi="仿宋" w:hint="eastAsia"/>
              </w:rPr>
            </w:pPr>
            <w:r>
              <w:rPr>
                <w:rFonts w:ascii="仿宋" w:eastAsia="仿宋" w:hAnsi="仿宋"/>
              </w:rPr>
              <w:t>42.87</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5072E1DB" w14:textId="77777777" w:rsidR="00F24175" w:rsidRDefault="00000000">
            <w:pPr>
              <w:jc w:val="center"/>
              <w:textAlignment w:val="center"/>
              <w:rPr>
                <w:rFonts w:ascii="仿宋" w:eastAsia="仿宋" w:hAnsi="仿宋" w:hint="eastAsia"/>
              </w:rPr>
            </w:pPr>
            <w:r>
              <w:rPr>
                <w:rFonts w:ascii="仿宋" w:eastAsia="仿宋" w:hAnsi="仿宋"/>
              </w:rPr>
              <w:t>2,341.35</w:t>
            </w:r>
          </w:p>
        </w:tc>
      </w:tr>
      <w:tr w:rsidR="00F24175" w14:paraId="451A8137"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00A127F0" w14:textId="77777777" w:rsidR="00F24175" w:rsidRDefault="00000000">
            <w:pPr>
              <w:jc w:val="both"/>
              <w:rPr>
                <w:rFonts w:ascii="仿宋" w:eastAsia="仿宋" w:hAnsi="仿宋" w:hint="eastAsia"/>
              </w:rPr>
            </w:pPr>
            <w:r>
              <w:rPr>
                <w:rFonts w:ascii="仿宋" w:eastAsia="仿宋" w:hAnsi="仿宋"/>
              </w:rPr>
              <w:t>16</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7BB500C0" w14:textId="77777777" w:rsidR="00F24175" w:rsidRDefault="00000000">
            <w:pPr>
              <w:jc w:val="both"/>
              <w:textAlignment w:val="center"/>
              <w:rPr>
                <w:rFonts w:ascii="仿宋" w:eastAsia="仿宋" w:hAnsi="仿宋" w:hint="eastAsia"/>
              </w:rPr>
            </w:pPr>
            <w:r>
              <w:rPr>
                <w:rFonts w:ascii="仿宋" w:eastAsia="仿宋" w:hAnsi="仿宋" w:cs="宋体" w:hint="eastAsia"/>
              </w:rPr>
              <w:t>广发信德二期</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6E192EFE"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1.25%</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0B1052FC" w14:textId="77777777" w:rsidR="00F24175" w:rsidRDefault="00000000">
            <w:pPr>
              <w:jc w:val="center"/>
              <w:textAlignment w:val="center"/>
              <w:rPr>
                <w:rFonts w:ascii="仿宋" w:eastAsia="仿宋" w:hAnsi="仿宋" w:hint="eastAsia"/>
              </w:rPr>
            </w:pPr>
            <w:r>
              <w:rPr>
                <w:rFonts w:ascii="仿宋" w:eastAsia="仿宋" w:hAnsi="仿宋"/>
              </w:rPr>
              <w:t>762.37</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54E3CFB4" w14:textId="77777777" w:rsidR="00F24175" w:rsidRDefault="00000000">
            <w:pPr>
              <w:jc w:val="center"/>
              <w:textAlignment w:val="center"/>
              <w:rPr>
                <w:rFonts w:ascii="仿宋" w:eastAsia="仿宋" w:hAnsi="仿宋" w:hint="eastAsia"/>
              </w:rPr>
            </w:pPr>
            <w:r>
              <w:rPr>
                <w:rFonts w:ascii="仿宋" w:eastAsia="仿宋" w:hAnsi="仿宋"/>
              </w:rPr>
              <w:t>732.47</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3C03614C" w14:textId="77777777" w:rsidR="00F24175" w:rsidRDefault="00000000">
            <w:pPr>
              <w:jc w:val="center"/>
              <w:textAlignment w:val="center"/>
              <w:rPr>
                <w:rFonts w:ascii="仿宋" w:eastAsia="仿宋" w:hAnsi="仿宋" w:hint="eastAsia"/>
              </w:rPr>
            </w:pPr>
            <w:r>
              <w:rPr>
                <w:rFonts w:ascii="仿宋" w:eastAsia="仿宋" w:hAnsi="仿宋"/>
              </w:rPr>
              <w:t>27.37</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0A380BAC" w14:textId="77777777" w:rsidR="00F24175" w:rsidRDefault="00000000">
            <w:pPr>
              <w:jc w:val="center"/>
              <w:textAlignment w:val="center"/>
              <w:rPr>
                <w:rFonts w:ascii="仿宋" w:eastAsia="仿宋" w:hAnsi="仿宋" w:hint="eastAsia"/>
              </w:rPr>
            </w:pPr>
            <w:r>
              <w:rPr>
                <w:rFonts w:ascii="仿宋" w:eastAsia="仿宋" w:hAnsi="仿宋"/>
              </w:rPr>
              <w:t>1,494.85</w:t>
            </w:r>
          </w:p>
        </w:tc>
      </w:tr>
      <w:tr w:rsidR="00F24175" w14:paraId="66B02364"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54FB3504" w14:textId="77777777" w:rsidR="00F24175" w:rsidRDefault="00000000">
            <w:pPr>
              <w:jc w:val="both"/>
              <w:rPr>
                <w:rFonts w:ascii="仿宋" w:eastAsia="仿宋" w:hAnsi="仿宋" w:hint="eastAsia"/>
              </w:rPr>
            </w:pPr>
            <w:r>
              <w:rPr>
                <w:rFonts w:ascii="仿宋" w:eastAsia="仿宋" w:hAnsi="仿宋"/>
              </w:rPr>
              <w:t>17</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00AD19AF" w14:textId="77777777" w:rsidR="00F24175" w:rsidRDefault="00000000">
            <w:pPr>
              <w:jc w:val="both"/>
              <w:textAlignment w:val="center"/>
              <w:rPr>
                <w:rFonts w:ascii="仿宋" w:eastAsia="仿宋" w:hAnsi="仿宋" w:hint="eastAsia"/>
              </w:rPr>
            </w:pPr>
            <w:r>
              <w:rPr>
                <w:rFonts w:ascii="仿宋" w:eastAsia="仿宋" w:hAnsi="仿宋" w:cs="宋体" w:hint="eastAsia"/>
              </w:rPr>
              <w:t>璀璨德商</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3DEFEFF7"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0.89%</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378FC8AA" w14:textId="77777777" w:rsidR="00F24175" w:rsidRDefault="00000000">
            <w:pPr>
              <w:jc w:val="center"/>
              <w:textAlignment w:val="center"/>
              <w:rPr>
                <w:rFonts w:ascii="仿宋" w:eastAsia="仿宋" w:hAnsi="仿宋" w:hint="eastAsia"/>
              </w:rPr>
            </w:pPr>
            <w:r>
              <w:rPr>
                <w:rFonts w:ascii="仿宋" w:eastAsia="仿宋" w:hAnsi="仿宋"/>
              </w:rPr>
              <w:t>437.71</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20A0B476" w14:textId="77777777" w:rsidR="00F24175" w:rsidRDefault="00000000">
            <w:pPr>
              <w:jc w:val="center"/>
              <w:textAlignment w:val="center"/>
              <w:rPr>
                <w:rFonts w:ascii="仿宋" w:eastAsia="仿宋" w:hAnsi="仿宋" w:hint="eastAsia"/>
              </w:rPr>
            </w:pPr>
            <w:r>
              <w:rPr>
                <w:rFonts w:ascii="仿宋" w:eastAsia="仿宋" w:hAnsi="仿宋"/>
              </w:rPr>
              <w:t>420.54</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69594686" w14:textId="77777777" w:rsidR="00F24175" w:rsidRDefault="00000000">
            <w:pPr>
              <w:jc w:val="center"/>
              <w:textAlignment w:val="center"/>
              <w:rPr>
                <w:rFonts w:ascii="仿宋" w:eastAsia="仿宋" w:hAnsi="仿宋" w:hint="eastAsia"/>
              </w:rPr>
            </w:pPr>
            <w:r>
              <w:rPr>
                <w:rFonts w:ascii="仿宋" w:eastAsia="仿宋" w:hAnsi="仿宋"/>
              </w:rPr>
              <w:t>15.72</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4419D452" w14:textId="77777777" w:rsidR="00F24175" w:rsidRDefault="00000000">
            <w:pPr>
              <w:jc w:val="center"/>
              <w:textAlignment w:val="center"/>
              <w:rPr>
                <w:rFonts w:ascii="仿宋" w:eastAsia="仿宋" w:hAnsi="仿宋" w:hint="eastAsia"/>
              </w:rPr>
            </w:pPr>
            <w:r>
              <w:rPr>
                <w:rFonts w:ascii="仿宋" w:eastAsia="仿宋" w:hAnsi="仿宋"/>
              </w:rPr>
              <w:t>858.25</w:t>
            </w:r>
          </w:p>
        </w:tc>
      </w:tr>
      <w:tr w:rsidR="00F24175" w14:paraId="7FB1FDCC"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08C63EEF" w14:textId="77777777" w:rsidR="00F24175" w:rsidRDefault="00000000">
            <w:pPr>
              <w:jc w:val="both"/>
              <w:rPr>
                <w:rFonts w:ascii="仿宋" w:eastAsia="仿宋" w:hAnsi="仿宋" w:hint="eastAsia"/>
              </w:rPr>
            </w:pPr>
            <w:r>
              <w:rPr>
                <w:rFonts w:ascii="仿宋" w:eastAsia="仿宋" w:hAnsi="仿宋"/>
              </w:rPr>
              <w:t>18</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7D92DDB8" w14:textId="77777777" w:rsidR="00F24175" w:rsidRDefault="00000000">
            <w:pPr>
              <w:jc w:val="both"/>
              <w:textAlignment w:val="center"/>
              <w:rPr>
                <w:rFonts w:ascii="仿宋" w:eastAsia="仿宋" w:hAnsi="仿宋" w:hint="eastAsia"/>
              </w:rPr>
            </w:pPr>
            <w:r>
              <w:rPr>
                <w:rFonts w:ascii="仿宋" w:eastAsia="仿宋" w:hAnsi="仿宋" w:cs="宋体" w:hint="eastAsia"/>
              </w:rPr>
              <w:t>广州信德创业营</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3B58C2D6"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0.87%</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67993510" w14:textId="77777777" w:rsidR="00F24175" w:rsidRDefault="00000000">
            <w:pPr>
              <w:jc w:val="center"/>
              <w:textAlignment w:val="center"/>
              <w:rPr>
                <w:rFonts w:ascii="仿宋" w:eastAsia="仿宋" w:hAnsi="仿宋" w:hint="eastAsia"/>
              </w:rPr>
            </w:pPr>
            <w:r>
              <w:rPr>
                <w:rFonts w:ascii="仿宋" w:eastAsia="仿宋" w:hAnsi="仿宋"/>
              </w:rPr>
              <w:t>532.52</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0046D22A" w14:textId="77777777" w:rsidR="00F24175" w:rsidRDefault="00000000">
            <w:pPr>
              <w:jc w:val="center"/>
              <w:textAlignment w:val="center"/>
              <w:rPr>
                <w:rFonts w:ascii="仿宋" w:eastAsia="仿宋" w:hAnsi="仿宋" w:hint="eastAsia"/>
              </w:rPr>
            </w:pPr>
            <w:r>
              <w:rPr>
                <w:rFonts w:ascii="仿宋" w:eastAsia="仿宋" w:hAnsi="仿宋"/>
              </w:rPr>
              <w:t>511.64</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0C1B16BC" w14:textId="77777777" w:rsidR="00F24175" w:rsidRDefault="00000000">
            <w:pPr>
              <w:jc w:val="center"/>
              <w:textAlignment w:val="center"/>
              <w:rPr>
                <w:rFonts w:ascii="仿宋" w:eastAsia="仿宋" w:hAnsi="仿宋" w:hint="eastAsia"/>
              </w:rPr>
            </w:pPr>
            <w:r>
              <w:rPr>
                <w:rFonts w:ascii="仿宋" w:eastAsia="仿宋" w:hAnsi="仿宋"/>
              </w:rPr>
              <w:t>19.12</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4447B542" w14:textId="77777777" w:rsidR="00F24175" w:rsidRDefault="00000000">
            <w:pPr>
              <w:jc w:val="center"/>
              <w:textAlignment w:val="center"/>
              <w:rPr>
                <w:rFonts w:ascii="仿宋" w:eastAsia="仿宋" w:hAnsi="仿宋" w:hint="eastAsia"/>
              </w:rPr>
            </w:pPr>
            <w:r>
              <w:rPr>
                <w:rFonts w:ascii="仿宋" w:eastAsia="仿宋" w:hAnsi="仿宋"/>
              </w:rPr>
              <w:t>1,044.16</w:t>
            </w:r>
          </w:p>
        </w:tc>
      </w:tr>
      <w:tr w:rsidR="00F24175" w14:paraId="62FF59B8"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0468392D" w14:textId="77777777" w:rsidR="00F24175" w:rsidRDefault="00000000">
            <w:pPr>
              <w:jc w:val="both"/>
              <w:rPr>
                <w:rFonts w:ascii="仿宋" w:eastAsia="仿宋" w:hAnsi="仿宋" w:hint="eastAsia"/>
              </w:rPr>
            </w:pPr>
            <w:r>
              <w:rPr>
                <w:rFonts w:ascii="仿宋" w:eastAsia="仿宋" w:hAnsi="仿宋"/>
              </w:rPr>
              <w:t>19</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29640032" w14:textId="77777777" w:rsidR="00F24175" w:rsidRDefault="00000000">
            <w:pPr>
              <w:jc w:val="both"/>
              <w:textAlignment w:val="center"/>
              <w:rPr>
                <w:rFonts w:ascii="仿宋" w:eastAsia="仿宋" w:hAnsi="仿宋" w:hint="eastAsia"/>
              </w:rPr>
            </w:pPr>
            <w:r>
              <w:rPr>
                <w:rFonts w:ascii="仿宋" w:eastAsia="仿宋" w:hAnsi="仿宋" w:cs="宋体" w:hint="eastAsia"/>
              </w:rPr>
              <w:t>乐摇</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321F14AB"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0.45%</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180CC010" w14:textId="77777777" w:rsidR="00F24175" w:rsidRDefault="00000000">
            <w:pPr>
              <w:jc w:val="center"/>
              <w:textAlignment w:val="center"/>
              <w:rPr>
                <w:rFonts w:ascii="仿宋" w:eastAsia="仿宋" w:hAnsi="仿宋" w:hint="eastAsia"/>
              </w:rPr>
            </w:pPr>
            <w:r>
              <w:rPr>
                <w:rFonts w:ascii="仿宋" w:eastAsia="仿宋" w:hAnsi="仿宋"/>
              </w:rPr>
              <w:t>386.93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1742706D" w14:textId="77777777" w:rsidR="00F24175" w:rsidRDefault="00000000">
            <w:pPr>
              <w:jc w:val="center"/>
              <w:textAlignment w:val="center"/>
              <w:rPr>
                <w:rFonts w:ascii="仿宋" w:eastAsia="仿宋" w:hAnsi="仿宋" w:hint="eastAsia"/>
              </w:rPr>
            </w:pPr>
            <w:r>
              <w:rPr>
                <w:rFonts w:ascii="仿宋" w:eastAsia="仿宋" w:hAnsi="仿宋"/>
              </w:rPr>
              <w:t>371.76</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13F1B0B1" w14:textId="77777777" w:rsidR="00F24175" w:rsidRDefault="00000000">
            <w:pPr>
              <w:jc w:val="center"/>
              <w:textAlignment w:val="center"/>
              <w:rPr>
                <w:rFonts w:ascii="仿宋" w:eastAsia="仿宋" w:hAnsi="仿宋" w:hint="eastAsia"/>
              </w:rPr>
            </w:pPr>
            <w:r>
              <w:rPr>
                <w:rFonts w:ascii="仿宋" w:eastAsia="仿宋" w:hAnsi="仿宋"/>
              </w:rPr>
              <w:t>13.89</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1A6FEAAA" w14:textId="77777777" w:rsidR="00F24175" w:rsidRDefault="00000000">
            <w:pPr>
              <w:jc w:val="center"/>
              <w:textAlignment w:val="center"/>
              <w:rPr>
                <w:rFonts w:ascii="仿宋" w:eastAsia="仿宋" w:hAnsi="仿宋" w:hint="eastAsia"/>
              </w:rPr>
            </w:pPr>
            <w:r>
              <w:rPr>
                <w:rFonts w:ascii="仿宋" w:eastAsia="仿宋" w:hAnsi="仿宋"/>
              </w:rPr>
              <w:t>758.69</w:t>
            </w:r>
          </w:p>
        </w:tc>
      </w:tr>
      <w:tr w:rsidR="00F24175" w14:paraId="0AB3821B"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7625F761" w14:textId="77777777" w:rsidR="00F24175" w:rsidRDefault="00000000">
            <w:pPr>
              <w:jc w:val="both"/>
              <w:rPr>
                <w:rFonts w:ascii="仿宋" w:eastAsia="仿宋" w:hAnsi="仿宋" w:hint="eastAsia"/>
              </w:rPr>
            </w:pPr>
            <w:r>
              <w:rPr>
                <w:rFonts w:ascii="仿宋" w:eastAsia="仿宋" w:hAnsi="仿宋"/>
              </w:rPr>
              <w:lastRenderedPageBreak/>
              <w:t>20</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220A2E2A" w14:textId="77777777" w:rsidR="00F24175" w:rsidRDefault="00000000">
            <w:pPr>
              <w:jc w:val="both"/>
              <w:textAlignment w:val="center"/>
              <w:rPr>
                <w:rFonts w:ascii="仿宋" w:eastAsia="仿宋" w:hAnsi="仿宋" w:hint="eastAsia"/>
              </w:rPr>
            </w:pPr>
            <w:r>
              <w:rPr>
                <w:rFonts w:ascii="仿宋" w:eastAsia="仿宋" w:hAnsi="仿宋" w:cs="宋体" w:hint="eastAsia"/>
              </w:rPr>
              <w:t>珠海康远</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57E7BDB9"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0.42%</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35AF7D9F" w14:textId="77777777" w:rsidR="00F24175" w:rsidRDefault="00000000">
            <w:pPr>
              <w:jc w:val="center"/>
              <w:textAlignment w:val="center"/>
              <w:rPr>
                <w:rFonts w:ascii="仿宋" w:eastAsia="仿宋" w:hAnsi="仿宋" w:hint="eastAsia"/>
              </w:rPr>
            </w:pPr>
            <w:r>
              <w:rPr>
                <w:rFonts w:ascii="仿宋" w:eastAsia="仿宋" w:hAnsi="仿宋"/>
              </w:rPr>
              <w:t>186.53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49DD1BC0" w14:textId="77777777" w:rsidR="00F24175" w:rsidRDefault="00000000">
            <w:pPr>
              <w:jc w:val="center"/>
              <w:textAlignment w:val="center"/>
              <w:rPr>
                <w:rFonts w:ascii="仿宋" w:eastAsia="仿宋" w:hAnsi="仿宋" w:hint="eastAsia"/>
              </w:rPr>
            </w:pPr>
            <w:r>
              <w:rPr>
                <w:rFonts w:ascii="仿宋" w:eastAsia="仿宋" w:hAnsi="仿宋"/>
              </w:rPr>
              <w:t>179.22</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65C8EC19" w14:textId="77777777" w:rsidR="00F24175" w:rsidRDefault="00000000">
            <w:pPr>
              <w:jc w:val="center"/>
              <w:textAlignment w:val="center"/>
              <w:rPr>
                <w:rFonts w:ascii="仿宋" w:eastAsia="仿宋" w:hAnsi="仿宋" w:hint="eastAsia"/>
              </w:rPr>
            </w:pPr>
            <w:r>
              <w:rPr>
                <w:rFonts w:ascii="仿宋" w:eastAsia="仿宋" w:hAnsi="仿宋"/>
              </w:rPr>
              <w:t>6.70</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14E8786A" w14:textId="77777777" w:rsidR="00F24175" w:rsidRDefault="00000000">
            <w:pPr>
              <w:jc w:val="center"/>
              <w:textAlignment w:val="center"/>
              <w:rPr>
                <w:rFonts w:ascii="仿宋" w:eastAsia="仿宋" w:hAnsi="仿宋" w:hint="eastAsia"/>
                <w:kern w:val="2"/>
              </w:rPr>
            </w:pPr>
            <w:r>
              <w:rPr>
                <w:rFonts w:ascii="仿宋" w:eastAsia="仿宋" w:hAnsi="仿宋"/>
              </w:rPr>
              <w:t>365.75</w:t>
            </w:r>
          </w:p>
        </w:tc>
      </w:tr>
      <w:tr w:rsidR="00F24175" w14:paraId="5B7897A6" w14:textId="77777777">
        <w:trPr>
          <w:trHeight w:val="397"/>
          <w:jc w:val="center"/>
        </w:trPr>
        <w:tc>
          <w:tcPr>
            <w:tcW w:w="230" w:type="pct"/>
            <w:tcBorders>
              <w:top w:val="single" w:sz="4" w:space="0" w:color="auto"/>
              <w:left w:val="single" w:sz="12" w:space="0" w:color="auto"/>
              <w:bottom w:val="single" w:sz="4" w:space="0" w:color="auto"/>
              <w:right w:val="single" w:sz="4" w:space="0" w:color="auto"/>
            </w:tcBorders>
            <w:shd w:val="clear" w:color="auto" w:fill="FFFFFF"/>
            <w:vAlign w:val="center"/>
          </w:tcPr>
          <w:p w14:paraId="571439CE" w14:textId="77777777" w:rsidR="00F24175" w:rsidRDefault="00000000">
            <w:pPr>
              <w:jc w:val="both"/>
              <w:rPr>
                <w:rFonts w:ascii="仿宋" w:eastAsia="仿宋" w:hAnsi="仿宋" w:hint="eastAsia"/>
              </w:rPr>
            </w:pPr>
            <w:r>
              <w:rPr>
                <w:rFonts w:ascii="仿宋" w:eastAsia="仿宋" w:hAnsi="仿宋"/>
              </w:rPr>
              <w:t>21</w:t>
            </w: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17A6E18C" w14:textId="77777777" w:rsidR="00F24175" w:rsidRDefault="00000000">
            <w:pPr>
              <w:jc w:val="both"/>
              <w:textAlignment w:val="center"/>
              <w:rPr>
                <w:rFonts w:ascii="仿宋" w:eastAsia="仿宋" w:hAnsi="仿宋" w:hint="eastAsia"/>
              </w:rPr>
            </w:pPr>
            <w:r>
              <w:rPr>
                <w:rFonts w:ascii="仿宋" w:eastAsia="仿宋" w:hAnsi="仿宋" w:cs="宋体" w:hint="eastAsia"/>
              </w:rPr>
              <w:t>上海德盾</w:t>
            </w:r>
          </w:p>
        </w:tc>
        <w:tc>
          <w:tcPr>
            <w:tcW w:w="1145" w:type="pct"/>
            <w:tcBorders>
              <w:top w:val="single" w:sz="4" w:space="0" w:color="auto"/>
              <w:left w:val="single" w:sz="4" w:space="0" w:color="auto"/>
              <w:bottom w:val="single" w:sz="4" w:space="0" w:color="auto"/>
              <w:right w:val="single" w:sz="4" w:space="0" w:color="auto"/>
            </w:tcBorders>
            <w:shd w:val="clear" w:color="auto" w:fill="FFFFFF"/>
            <w:vAlign w:val="center"/>
          </w:tcPr>
          <w:p w14:paraId="7E2BEEB0" w14:textId="77777777" w:rsidR="00F24175" w:rsidRDefault="00000000">
            <w:pPr>
              <w:jc w:val="both"/>
              <w:rPr>
                <w:rFonts w:ascii="仿宋" w:eastAsia="仿宋" w:hAnsi="仿宋" w:hint="eastAsia"/>
              </w:rPr>
            </w:pPr>
            <w:r>
              <w:rPr>
                <w:rFonts w:ascii="仿宋" w:eastAsia="仿宋" w:hAnsi="仿宋" w:cs="宋体" w:hint="eastAsia"/>
              </w:rPr>
              <w:t>星云开物</w:t>
            </w:r>
            <w:r>
              <w:rPr>
                <w:rFonts w:ascii="仿宋" w:eastAsia="仿宋" w:hAnsi="仿宋"/>
              </w:rPr>
              <w:t>0.03%</w:t>
            </w:r>
            <w:r>
              <w:rPr>
                <w:rFonts w:ascii="仿宋" w:eastAsia="仿宋" w:hAnsi="仿宋" w:cs="宋体" w:hint="eastAsia"/>
              </w:rPr>
              <w:t>股权</w:t>
            </w:r>
          </w:p>
        </w:tc>
        <w:tc>
          <w:tcPr>
            <w:tcW w:w="763" w:type="pct"/>
            <w:tcBorders>
              <w:top w:val="single" w:sz="4" w:space="0" w:color="auto"/>
              <w:left w:val="single" w:sz="4" w:space="0" w:color="auto"/>
              <w:bottom w:val="single" w:sz="4" w:space="0" w:color="auto"/>
              <w:right w:val="single" w:sz="4" w:space="0" w:color="auto"/>
            </w:tcBorders>
            <w:shd w:val="clear" w:color="auto" w:fill="FFFFFF"/>
            <w:vAlign w:val="center"/>
          </w:tcPr>
          <w:p w14:paraId="7F3E9073" w14:textId="77777777" w:rsidR="00F24175" w:rsidRDefault="00000000">
            <w:pPr>
              <w:jc w:val="center"/>
              <w:textAlignment w:val="center"/>
              <w:rPr>
                <w:rFonts w:ascii="仿宋" w:eastAsia="仿宋" w:hAnsi="仿宋" w:hint="eastAsia"/>
              </w:rPr>
            </w:pPr>
            <w:r>
              <w:rPr>
                <w:rFonts w:ascii="仿宋" w:eastAsia="仿宋" w:hAnsi="仿宋"/>
              </w:rPr>
              <w:t>12.23</w:t>
            </w:r>
          </w:p>
        </w:tc>
        <w:tc>
          <w:tcPr>
            <w:tcW w:w="687" w:type="pct"/>
            <w:tcBorders>
              <w:top w:val="single" w:sz="4" w:space="0" w:color="auto"/>
              <w:left w:val="single" w:sz="4" w:space="0" w:color="auto"/>
              <w:bottom w:val="single" w:sz="4" w:space="0" w:color="auto"/>
              <w:right w:val="single" w:sz="4" w:space="0" w:color="auto"/>
            </w:tcBorders>
            <w:shd w:val="clear" w:color="auto" w:fill="FFFFFF"/>
            <w:vAlign w:val="center"/>
          </w:tcPr>
          <w:p w14:paraId="3458A1F0" w14:textId="77777777" w:rsidR="00F24175" w:rsidRDefault="00000000">
            <w:pPr>
              <w:jc w:val="center"/>
              <w:textAlignment w:val="center"/>
              <w:rPr>
                <w:rFonts w:ascii="仿宋" w:eastAsia="仿宋" w:hAnsi="仿宋" w:hint="eastAsia"/>
              </w:rPr>
            </w:pPr>
            <w:r>
              <w:rPr>
                <w:rFonts w:ascii="仿宋" w:eastAsia="仿宋" w:hAnsi="仿宋"/>
              </w:rPr>
              <w:t>11.75</w:t>
            </w:r>
          </w:p>
        </w:tc>
        <w:tc>
          <w:tcPr>
            <w:tcW w:w="637" w:type="pct"/>
            <w:tcBorders>
              <w:top w:val="single" w:sz="4" w:space="0" w:color="auto"/>
              <w:left w:val="single" w:sz="4" w:space="0" w:color="auto"/>
              <w:bottom w:val="single" w:sz="4" w:space="0" w:color="auto"/>
              <w:right w:val="single" w:sz="4" w:space="0" w:color="auto"/>
            </w:tcBorders>
            <w:shd w:val="clear" w:color="auto" w:fill="FFFFFF"/>
            <w:vAlign w:val="center"/>
          </w:tcPr>
          <w:p w14:paraId="7266DCDD" w14:textId="77777777" w:rsidR="00F24175" w:rsidRDefault="00000000">
            <w:pPr>
              <w:jc w:val="center"/>
              <w:textAlignment w:val="center"/>
              <w:rPr>
                <w:rFonts w:ascii="仿宋" w:eastAsia="仿宋" w:hAnsi="仿宋" w:hint="eastAsia"/>
              </w:rPr>
            </w:pPr>
            <w:r>
              <w:rPr>
                <w:rFonts w:ascii="仿宋" w:eastAsia="仿宋" w:hAnsi="仿宋"/>
              </w:rPr>
              <w:t>0.44</w:t>
            </w:r>
          </w:p>
        </w:tc>
        <w:tc>
          <w:tcPr>
            <w:tcW w:w="687" w:type="pct"/>
            <w:tcBorders>
              <w:top w:val="single" w:sz="4" w:space="0" w:color="auto"/>
              <w:left w:val="single" w:sz="4" w:space="0" w:color="auto"/>
              <w:bottom w:val="single" w:sz="4" w:space="0" w:color="auto"/>
              <w:right w:val="single" w:sz="12" w:space="0" w:color="auto"/>
            </w:tcBorders>
            <w:shd w:val="clear" w:color="auto" w:fill="FFFFFF"/>
            <w:vAlign w:val="center"/>
          </w:tcPr>
          <w:p w14:paraId="1EEE6B6C" w14:textId="77777777" w:rsidR="00F24175" w:rsidRDefault="00000000">
            <w:pPr>
              <w:jc w:val="center"/>
              <w:textAlignment w:val="center"/>
              <w:rPr>
                <w:rFonts w:ascii="仿宋" w:eastAsia="仿宋" w:hAnsi="仿宋" w:hint="eastAsia"/>
              </w:rPr>
            </w:pPr>
            <w:r>
              <w:rPr>
                <w:rFonts w:ascii="仿宋" w:eastAsia="仿宋" w:hAnsi="仿宋"/>
              </w:rPr>
              <w:t>23.98</w:t>
            </w:r>
          </w:p>
        </w:tc>
      </w:tr>
      <w:tr w:rsidR="00F24175" w14:paraId="0FAC5823" w14:textId="77777777">
        <w:trPr>
          <w:trHeight w:val="397"/>
          <w:jc w:val="center"/>
        </w:trPr>
        <w:tc>
          <w:tcPr>
            <w:tcW w:w="1079" w:type="pct"/>
            <w:gridSpan w:val="2"/>
            <w:tcBorders>
              <w:top w:val="single" w:sz="4" w:space="0" w:color="auto"/>
              <w:left w:val="single" w:sz="12" w:space="0" w:color="auto"/>
              <w:bottom w:val="single" w:sz="12" w:space="0" w:color="auto"/>
              <w:right w:val="single" w:sz="4" w:space="0" w:color="auto"/>
            </w:tcBorders>
            <w:shd w:val="clear" w:color="auto" w:fill="FFFFFF"/>
            <w:vAlign w:val="center"/>
          </w:tcPr>
          <w:p w14:paraId="379ED73B" w14:textId="77777777" w:rsidR="00F24175" w:rsidRDefault="00000000">
            <w:pPr>
              <w:jc w:val="both"/>
              <w:rPr>
                <w:rFonts w:ascii="仿宋" w:eastAsia="仿宋" w:hAnsi="仿宋" w:hint="eastAsia"/>
                <w:b/>
                <w:bCs/>
              </w:rPr>
            </w:pPr>
            <w:r>
              <w:rPr>
                <w:rFonts w:ascii="仿宋" w:eastAsia="仿宋" w:hAnsi="仿宋"/>
                <w:b/>
                <w:bCs/>
              </w:rPr>
              <w:t>合计</w:t>
            </w:r>
          </w:p>
        </w:tc>
        <w:tc>
          <w:tcPr>
            <w:tcW w:w="1145" w:type="pct"/>
            <w:tcBorders>
              <w:top w:val="single" w:sz="4" w:space="0" w:color="auto"/>
              <w:left w:val="single" w:sz="4" w:space="0" w:color="auto"/>
              <w:bottom w:val="single" w:sz="12" w:space="0" w:color="auto"/>
              <w:right w:val="single" w:sz="4" w:space="0" w:color="auto"/>
            </w:tcBorders>
            <w:shd w:val="clear" w:color="auto" w:fill="FFFFFF"/>
            <w:vAlign w:val="center"/>
          </w:tcPr>
          <w:p w14:paraId="134AE5FD" w14:textId="77777777" w:rsidR="00F24175" w:rsidRDefault="00000000">
            <w:pPr>
              <w:jc w:val="both"/>
              <w:rPr>
                <w:rFonts w:ascii="仿宋" w:eastAsia="仿宋" w:hAnsi="仿宋" w:hint="eastAsia"/>
                <w:b/>
                <w:bCs/>
              </w:rPr>
            </w:pPr>
            <w:r>
              <w:rPr>
                <w:rFonts w:ascii="仿宋" w:eastAsia="仿宋" w:hAnsi="仿宋"/>
                <w:b/>
                <w:bCs/>
              </w:rPr>
              <w:t>星云开物</w:t>
            </w:r>
            <w:r>
              <w:rPr>
                <w:rFonts w:ascii="仿宋" w:eastAsia="仿宋" w:hAnsi="仿宋" w:hint="eastAsia"/>
                <w:b/>
                <w:bCs/>
              </w:rPr>
              <w:t>98.5632</w:t>
            </w:r>
            <w:r>
              <w:rPr>
                <w:rFonts w:ascii="仿宋" w:eastAsia="仿宋" w:hAnsi="仿宋"/>
                <w:b/>
                <w:bCs/>
              </w:rPr>
              <w:t>%股权</w:t>
            </w:r>
          </w:p>
        </w:tc>
        <w:tc>
          <w:tcPr>
            <w:tcW w:w="763" w:type="pct"/>
            <w:tcBorders>
              <w:top w:val="single" w:sz="4" w:space="0" w:color="auto"/>
              <w:left w:val="single" w:sz="4" w:space="0" w:color="auto"/>
              <w:bottom w:val="single" w:sz="12" w:space="0" w:color="auto"/>
              <w:right w:val="single" w:sz="4" w:space="0" w:color="auto"/>
            </w:tcBorders>
            <w:shd w:val="clear" w:color="auto" w:fill="FFFFFF"/>
            <w:vAlign w:val="center"/>
          </w:tcPr>
          <w:p w14:paraId="1F750A5F" w14:textId="77777777" w:rsidR="00F24175" w:rsidRDefault="00000000">
            <w:pPr>
              <w:jc w:val="center"/>
              <w:textAlignment w:val="center"/>
              <w:rPr>
                <w:rFonts w:ascii="仿宋" w:eastAsia="仿宋" w:hAnsi="仿宋" w:hint="eastAsia"/>
                <w:b/>
                <w:bCs/>
              </w:rPr>
            </w:pPr>
            <w:r>
              <w:rPr>
                <w:rFonts w:ascii="仿宋" w:eastAsia="仿宋" w:hAnsi="仿宋"/>
                <w:b/>
                <w:bCs/>
              </w:rPr>
              <w:t>60,613.77</w:t>
            </w:r>
          </w:p>
        </w:tc>
        <w:tc>
          <w:tcPr>
            <w:tcW w:w="687" w:type="pct"/>
            <w:tcBorders>
              <w:top w:val="single" w:sz="4" w:space="0" w:color="auto"/>
              <w:left w:val="single" w:sz="4" w:space="0" w:color="auto"/>
              <w:bottom w:val="single" w:sz="12" w:space="0" w:color="auto"/>
              <w:right w:val="single" w:sz="4" w:space="0" w:color="auto"/>
            </w:tcBorders>
            <w:shd w:val="clear" w:color="auto" w:fill="FFFFFF"/>
            <w:vAlign w:val="center"/>
          </w:tcPr>
          <w:p w14:paraId="3FDADD2F" w14:textId="77777777" w:rsidR="00F24175" w:rsidRDefault="00000000">
            <w:pPr>
              <w:jc w:val="center"/>
              <w:textAlignment w:val="center"/>
              <w:rPr>
                <w:rFonts w:ascii="仿宋" w:eastAsia="仿宋" w:hAnsi="仿宋" w:hint="eastAsia"/>
                <w:b/>
                <w:bCs/>
              </w:rPr>
            </w:pPr>
            <w:r>
              <w:rPr>
                <w:rFonts w:ascii="仿宋" w:eastAsia="仿宋" w:hAnsi="仿宋"/>
                <w:b/>
                <w:bCs/>
              </w:rPr>
              <w:t>58,236.76</w:t>
            </w:r>
          </w:p>
        </w:tc>
        <w:tc>
          <w:tcPr>
            <w:tcW w:w="637" w:type="pct"/>
            <w:tcBorders>
              <w:top w:val="single" w:sz="4" w:space="0" w:color="auto"/>
              <w:left w:val="single" w:sz="4" w:space="0" w:color="auto"/>
              <w:bottom w:val="single" w:sz="12" w:space="0" w:color="auto"/>
              <w:right w:val="single" w:sz="4" w:space="0" w:color="auto"/>
            </w:tcBorders>
            <w:shd w:val="clear" w:color="auto" w:fill="FFFFFF"/>
            <w:vAlign w:val="center"/>
          </w:tcPr>
          <w:p w14:paraId="025EE68B" w14:textId="77777777" w:rsidR="00F24175" w:rsidRDefault="00000000">
            <w:pPr>
              <w:jc w:val="center"/>
              <w:textAlignment w:val="center"/>
              <w:rPr>
                <w:rFonts w:ascii="仿宋" w:eastAsia="仿宋" w:hAnsi="仿宋" w:hint="eastAsia"/>
                <w:b/>
                <w:bCs/>
              </w:rPr>
            </w:pPr>
            <w:r>
              <w:rPr>
                <w:rFonts w:ascii="仿宋" w:eastAsia="仿宋" w:hAnsi="仿宋"/>
                <w:b/>
                <w:bCs/>
              </w:rPr>
              <w:t>2,176.26</w:t>
            </w:r>
          </w:p>
        </w:tc>
        <w:tc>
          <w:tcPr>
            <w:tcW w:w="687" w:type="pct"/>
            <w:tcBorders>
              <w:top w:val="single" w:sz="4" w:space="0" w:color="auto"/>
              <w:left w:val="single" w:sz="4" w:space="0" w:color="auto"/>
              <w:bottom w:val="single" w:sz="12" w:space="0" w:color="auto"/>
              <w:right w:val="single" w:sz="12" w:space="0" w:color="auto"/>
            </w:tcBorders>
            <w:shd w:val="clear" w:color="auto" w:fill="FFFFFF"/>
            <w:vAlign w:val="center"/>
          </w:tcPr>
          <w:p w14:paraId="3ACE79FE" w14:textId="77777777" w:rsidR="00F24175" w:rsidRDefault="00000000">
            <w:pPr>
              <w:jc w:val="center"/>
              <w:textAlignment w:val="center"/>
              <w:rPr>
                <w:rFonts w:ascii="仿宋" w:eastAsia="仿宋" w:hAnsi="仿宋" w:hint="eastAsia"/>
                <w:b/>
                <w:bCs/>
              </w:rPr>
            </w:pPr>
            <w:r>
              <w:rPr>
                <w:rFonts w:ascii="仿宋" w:eastAsia="仿宋" w:hAnsi="仿宋"/>
                <w:b/>
                <w:bCs/>
              </w:rPr>
              <w:t>118,850.53</w:t>
            </w:r>
          </w:p>
        </w:tc>
      </w:tr>
    </w:tbl>
    <w:p w14:paraId="0256A26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本次发行的最终股份发行数量以经深圳证券交易所审核同意后由中国证监会注册批复的发行数量为准。</w:t>
      </w:r>
    </w:p>
    <w:p w14:paraId="130C600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在本次发行的定价基准日至发行日期间，公司如有派息、送股、资本公积金转增股本等除权除息事项，本次发行价格将按照中国证监会及深圳证券交易所的相关规则作相应调整，股份发行数量也随之进行调整。</w:t>
      </w:r>
    </w:p>
    <w:p w14:paraId="3DBAEF4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778C13D7" w14:textId="77777777" w:rsidR="00F24175" w:rsidRDefault="00000000">
      <w:pPr>
        <w:spacing w:beforeLines="50" w:before="120" w:line="360" w:lineRule="auto"/>
        <w:ind w:firstLineChars="200" w:firstLine="560"/>
        <w:jc w:val="both"/>
        <w:rPr>
          <w:rFonts w:ascii="仿宋" w:eastAsia="仿宋" w:hAnsi="仿宋" w:hint="eastAsia"/>
          <w:b/>
          <w:bCs/>
          <w:sz w:val="28"/>
          <w:szCs w:val="28"/>
          <w:lang w:eastAsia="zh-CN"/>
        </w:rPr>
      </w:pPr>
      <w:r>
        <w:rPr>
          <w:rFonts w:ascii="仿宋" w:eastAsia="仿宋" w:hAnsi="仿宋"/>
          <w:sz w:val="28"/>
          <w:szCs w:val="28"/>
          <w:lang w:eastAsia="zh-CN"/>
        </w:rPr>
        <w:t>回避表决情况：3票回避，关联董事林明玲、马学沛、马翊珽回避表决。</w:t>
      </w:r>
    </w:p>
    <w:p w14:paraId="0AF603EB"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8.审议通过（二）本次交易的具体方案的“1、本次发行股份及支付现金购买资产的具体方案”的（7）锁定期安排，具体情况如下：</w:t>
      </w:r>
    </w:p>
    <w:p w14:paraId="4CB2634C" w14:textId="77777777" w:rsidR="00F24175" w:rsidRDefault="00000000">
      <w:pPr>
        <w:spacing w:beforeLines="50" w:before="120" w:line="360" w:lineRule="auto"/>
        <w:jc w:val="both"/>
        <w:rPr>
          <w:rFonts w:ascii="仿宋" w:eastAsia="仿宋" w:hAnsi="仿宋" w:hint="eastAsia"/>
          <w:sz w:val="28"/>
          <w:szCs w:val="28"/>
          <w:lang w:eastAsia="zh-CN"/>
        </w:rPr>
      </w:pPr>
      <w:r>
        <w:rPr>
          <w:rFonts w:ascii="仿宋" w:eastAsia="仿宋" w:hAnsi="仿宋" w:hint="eastAsia"/>
          <w:sz w:val="28"/>
          <w:szCs w:val="28"/>
          <w:lang w:eastAsia="zh-CN"/>
        </w:rPr>
        <w:t>①陈耿豪、杨凯然、张杰波、胡俊、王佳、乐陶陶、乐熙熙、乐腾腾、乐哈哈、乐摇</w:t>
      </w:r>
    </w:p>
    <w:p w14:paraId="54E5B296"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陈耿豪、杨凯然、张杰波、胡俊、王佳、乐陶陶、乐熙熙、乐腾腾、乐哈哈、</w:t>
      </w:r>
      <w:proofErr w:type="gramStart"/>
      <w:r>
        <w:rPr>
          <w:rFonts w:ascii="仿宋" w:eastAsia="仿宋" w:hAnsi="仿宋" w:hint="eastAsia"/>
          <w:sz w:val="28"/>
          <w:szCs w:val="28"/>
          <w:lang w:eastAsia="zh-CN"/>
        </w:rPr>
        <w:t>乐摇在</w:t>
      </w:r>
      <w:proofErr w:type="gramEnd"/>
      <w:r>
        <w:rPr>
          <w:rFonts w:ascii="仿宋" w:eastAsia="仿宋" w:hAnsi="仿宋" w:hint="eastAsia"/>
          <w:sz w:val="28"/>
          <w:szCs w:val="28"/>
          <w:lang w:eastAsia="zh-CN"/>
        </w:rPr>
        <w:t>本次交易中获得的上市公司股份自本次发行股份结束之日12个月内不得转让。</w:t>
      </w:r>
    </w:p>
    <w:p w14:paraId="4A5387C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上述业绩承诺方在满足上述锁定期要求的情况下，通过本次发行取得的上市公司股份分期解锁，</w:t>
      </w:r>
      <w:proofErr w:type="gramStart"/>
      <w:r>
        <w:rPr>
          <w:rFonts w:ascii="仿宋" w:eastAsia="仿宋" w:hAnsi="仿宋" w:hint="eastAsia"/>
          <w:sz w:val="28"/>
          <w:szCs w:val="28"/>
          <w:lang w:eastAsia="zh-CN"/>
        </w:rPr>
        <w:t>且股份</w:t>
      </w:r>
      <w:proofErr w:type="gramEnd"/>
      <w:r>
        <w:rPr>
          <w:rFonts w:ascii="仿宋" w:eastAsia="仿宋" w:hAnsi="仿宋" w:hint="eastAsia"/>
          <w:sz w:val="28"/>
          <w:szCs w:val="28"/>
          <w:lang w:eastAsia="zh-CN"/>
        </w:rPr>
        <w:t>解锁应当以交易对方履行完毕业绩补偿义务及减值补偿义务为前提，每期解锁时间及股份数量安排具体如下：</w:t>
      </w:r>
    </w:p>
    <w:tbl>
      <w:tblPr>
        <w:tblW w:w="514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90"/>
        <w:gridCol w:w="4410"/>
        <w:gridCol w:w="3156"/>
      </w:tblGrid>
      <w:tr w:rsidR="00F24175" w14:paraId="04AA3A0C" w14:textId="77777777">
        <w:trPr>
          <w:trHeight w:val="397"/>
          <w:jc w:val="center"/>
        </w:trPr>
        <w:tc>
          <w:tcPr>
            <w:tcW w:w="728" w:type="pct"/>
            <w:tcBorders>
              <w:top w:val="single" w:sz="12" w:space="0" w:color="auto"/>
              <w:left w:val="single" w:sz="12" w:space="0" w:color="auto"/>
              <w:bottom w:val="single" w:sz="4" w:space="0" w:color="auto"/>
              <w:right w:val="single" w:sz="4" w:space="0" w:color="auto"/>
            </w:tcBorders>
            <w:shd w:val="clear" w:color="auto" w:fill="FFFFFF"/>
            <w:vAlign w:val="center"/>
          </w:tcPr>
          <w:p w14:paraId="6E55D045" w14:textId="77777777" w:rsidR="00F24175" w:rsidRDefault="00000000">
            <w:pPr>
              <w:jc w:val="both"/>
              <w:rPr>
                <w:rFonts w:ascii="仿宋" w:eastAsia="仿宋" w:hAnsi="仿宋" w:hint="eastAsia"/>
                <w:b/>
                <w:snapToGrid/>
              </w:rPr>
            </w:pPr>
            <w:r>
              <w:rPr>
                <w:rFonts w:ascii="仿宋" w:eastAsia="仿宋" w:hAnsi="仿宋"/>
                <w:b/>
              </w:rPr>
              <w:lastRenderedPageBreak/>
              <w:t>期数</w:t>
            </w:r>
          </w:p>
        </w:tc>
        <w:tc>
          <w:tcPr>
            <w:tcW w:w="2490" w:type="pct"/>
            <w:tcBorders>
              <w:top w:val="single" w:sz="12" w:space="0" w:color="auto"/>
              <w:left w:val="single" w:sz="4" w:space="0" w:color="auto"/>
              <w:bottom w:val="single" w:sz="4" w:space="0" w:color="auto"/>
              <w:right w:val="single" w:sz="4" w:space="0" w:color="auto"/>
            </w:tcBorders>
            <w:shd w:val="clear" w:color="auto" w:fill="FFFFFF"/>
            <w:vAlign w:val="center"/>
          </w:tcPr>
          <w:p w14:paraId="14DE203A" w14:textId="77777777" w:rsidR="00F24175" w:rsidRDefault="00000000">
            <w:pPr>
              <w:jc w:val="both"/>
              <w:rPr>
                <w:rFonts w:ascii="仿宋" w:eastAsia="仿宋" w:hAnsi="仿宋" w:hint="eastAsia"/>
                <w:b/>
              </w:rPr>
            </w:pPr>
            <w:r>
              <w:rPr>
                <w:rFonts w:ascii="仿宋" w:eastAsia="仿宋" w:hAnsi="仿宋"/>
                <w:b/>
              </w:rPr>
              <w:t>可申请解锁时间</w:t>
            </w:r>
          </w:p>
        </w:tc>
        <w:tc>
          <w:tcPr>
            <w:tcW w:w="0" w:type="auto"/>
            <w:tcBorders>
              <w:top w:val="single" w:sz="12" w:space="0" w:color="auto"/>
              <w:left w:val="single" w:sz="4" w:space="0" w:color="auto"/>
              <w:bottom w:val="single" w:sz="4" w:space="0" w:color="auto"/>
              <w:right w:val="single" w:sz="12" w:space="0" w:color="auto"/>
            </w:tcBorders>
            <w:shd w:val="clear" w:color="auto" w:fill="FFFFFF"/>
            <w:vAlign w:val="center"/>
          </w:tcPr>
          <w:p w14:paraId="34B57AAB" w14:textId="77777777" w:rsidR="00F24175" w:rsidRDefault="00000000">
            <w:pPr>
              <w:jc w:val="both"/>
              <w:rPr>
                <w:rFonts w:ascii="仿宋" w:eastAsia="仿宋" w:hAnsi="仿宋" w:hint="eastAsia"/>
                <w:b/>
              </w:rPr>
            </w:pPr>
            <w:r>
              <w:rPr>
                <w:rFonts w:ascii="仿宋" w:eastAsia="仿宋" w:hAnsi="仿宋"/>
                <w:b/>
              </w:rPr>
              <w:t>累计可申请解锁股份</w:t>
            </w:r>
          </w:p>
        </w:tc>
      </w:tr>
      <w:tr w:rsidR="00F24175" w14:paraId="23644195" w14:textId="77777777">
        <w:trPr>
          <w:trHeight w:val="397"/>
          <w:jc w:val="center"/>
        </w:trPr>
        <w:tc>
          <w:tcPr>
            <w:tcW w:w="728" w:type="pct"/>
            <w:tcBorders>
              <w:top w:val="single" w:sz="4" w:space="0" w:color="auto"/>
              <w:left w:val="single" w:sz="12" w:space="0" w:color="auto"/>
              <w:bottom w:val="single" w:sz="4" w:space="0" w:color="auto"/>
              <w:right w:val="single" w:sz="4" w:space="0" w:color="auto"/>
            </w:tcBorders>
            <w:shd w:val="clear" w:color="auto" w:fill="FFFFFF"/>
            <w:vAlign w:val="center"/>
          </w:tcPr>
          <w:p w14:paraId="733F83FC" w14:textId="77777777" w:rsidR="00F24175" w:rsidRDefault="00000000">
            <w:pPr>
              <w:jc w:val="both"/>
              <w:rPr>
                <w:rFonts w:ascii="仿宋" w:eastAsia="仿宋" w:hAnsi="仿宋" w:hint="eastAsia"/>
              </w:rPr>
            </w:pPr>
            <w:r>
              <w:rPr>
                <w:rFonts w:ascii="仿宋" w:eastAsia="仿宋" w:hAnsi="仿宋" w:cs="宋体" w:hint="eastAsia"/>
              </w:rPr>
              <w:t>第一期</w:t>
            </w:r>
          </w:p>
        </w:tc>
        <w:tc>
          <w:tcPr>
            <w:tcW w:w="2490" w:type="pct"/>
            <w:tcBorders>
              <w:top w:val="single" w:sz="4" w:space="0" w:color="auto"/>
              <w:left w:val="single" w:sz="4" w:space="0" w:color="auto"/>
              <w:bottom w:val="single" w:sz="4" w:space="0" w:color="auto"/>
              <w:right w:val="single" w:sz="4" w:space="0" w:color="auto"/>
            </w:tcBorders>
            <w:shd w:val="clear" w:color="auto" w:fill="FFFFFF"/>
            <w:vAlign w:val="center"/>
          </w:tcPr>
          <w:p w14:paraId="5CAE7C5E"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自</w:t>
            </w:r>
            <w:r>
              <w:rPr>
                <w:rFonts w:ascii="仿宋" w:eastAsia="仿宋" w:hAnsi="仿宋"/>
                <w:lang w:eastAsia="zh-CN"/>
              </w:rPr>
              <w:t>2025</w:t>
            </w:r>
            <w:r>
              <w:rPr>
                <w:rFonts w:ascii="仿宋" w:eastAsia="仿宋" w:hAnsi="仿宋" w:cs="宋体" w:hint="eastAsia"/>
                <w:lang w:eastAsia="zh-CN"/>
              </w:rPr>
              <w:t>年度业绩完成情况专项审核意见出具，并且当年度业绩承诺补偿义务（如需）已履行完毕情况下，上市公司年度报告公告的</w:t>
            </w:r>
            <w:r>
              <w:rPr>
                <w:rFonts w:ascii="仿宋" w:eastAsia="仿宋" w:hAnsi="仿宋"/>
                <w:lang w:eastAsia="zh-CN"/>
              </w:rPr>
              <w:t>5</w:t>
            </w:r>
            <w:r>
              <w:rPr>
                <w:rFonts w:ascii="仿宋" w:eastAsia="仿宋" w:hAnsi="仿宋" w:cs="宋体" w:hint="eastAsia"/>
                <w:lang w:eastAsia="zh-CN"/>
              </w:rPr>
              <w:t>个工作日内或业绩补偿义务方履行完毕对应的业绩补偿义务之日起</w:t>
            </w:r>
            <w:r>
              <w:rPr>
                <w:rFonts w:ascii="仿宋" w:eastAsia="仿宋" w:hAnsi="仿宋"/>
                <w:lang w:eastAsia="zh-CN"/>
              </w:rPr>
              <w:t>5</w:t>
            </w:r>
            <w:r>
              <w:rPr>
                <w:rFonts w:ascii="仿宋" w:eastAsia="仿宋" w:hAnsi="仿宋" w:cs="宋体" w:hint="eastAsia"/>
                <w:lang w:eastAsia="zh-CN"/>
              </w:rPr>
              <w:t>个工作日内</w:t>
            </w:r>
          </w:p>
        </w:tc>
        <w:tc>
          <w:tcPr>
            <w:tcW w:w="0" w:type="auto"/>
            <w:tcBorders>
              <w:top w:val="single" w:sz="4" w:space="0" w:color="auto"/>
              <w:left w:val="single" w:sz="4" w:space="0" w:color="auto"/>
              <w:bottom w:val="single" w:sz="4" w:space="0" w:color="auto"/>
              <w:right w:val="single" w:sz="12" w:space="0" w:color="auto"/>
            </w:tcBorders>
            <w:shd w:val="clear" w:color="auto" w:fill="FFFFFF"/>
            <w:vAlign w:val="center"/>
          </w:tcPr>
          <w:p w14:paraId="0E9757F4"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可解锁股份</w:t>
            </w:r>
            <w:r>
              <w:rPr>
                <w:rFonts w:ascii="仿宋" w:eastAsia="仿宋" w:hAnsi="仿宋"/>
                <w:lang w:eastAsia="zh-CN"/>
              </w:rPr>
              <w:t>=</w:t>
            </w:r>
            <w:r>
              <w:rPr>
                <w:rFonts w:ascii="仿宋" w:eastAsia="仿宋" w:hAnsi="仿宋" w:cs="宋体" w:hint="eastAsia"/>
                <w:lang w:eastAsia="zh-CN"/>
              </w:rPr>
              <w:t>本次认购股份数量</w:t>
            </w:r>
            <w:r>
              <w:rPr>
                <w:rFonts w:ascii="仿宋" w:eastAsia="仿宋" w:hAnsi="仿宋" w:cs="仿宋" w:hint="eastAsia"/>
                <w:lang w:eastAsia="zh-CN"/>
              </w:rPr>
              <w:t>×</w:t>
            </w:r>
            <w:r>
              <w:rPr>
                <w:rFonts w:ascii="仿宋" w:eastAsia="仿宋" w:hAnsi="仿宋"/>
                <w:lang w:eastAsia="zh-CN"/>
              </w:rPr>
              <w:t>30%-</w:t>
            </w:r>
            <w:r>
              <w:rPr>
                <w:rFonts w:ascii="仿宋" w:eastAsia="仿宋" w:hAnsi="仿宋" w:cs="宋体" w:hint="eastAsia"/>
                <w:lang w:eastAsia="zh-CN"/>
              </w:rPr>
              <w:t>当年已补偿的股份数量（如有）</w:t>
            </w:r>
          </w:p>
        </w:tc>
      </w:tr>
      <w:tr w:rsidR="00F24175" w14:paraId="6144E39F" w14:textId="77777777">
        <w:trPr>
          <w:trHeight w:val="397"/>
          <w:jc w:val="center"/>
        </w:trPr>
        <w:tc>
          <w:tcPr>
            <w:tcW w:w="728" w:type="pct"/>
            <w:tcBorders>
              <w:top w:val="single" w:sz="4" w:space="0" w:color="auto"/>
              <w:left w:val="single" w:sz="12" w:space="0" w:color="auto"/>
              <w:bottom w:val="single" w:sz="4" w:space="0" w:color="auto"/>
              <w:right w:val="single" w:sz="4" w:space="0" w:color="auto"/>
            </w:tcBorders>
            <w:shd w:val="clear" w:color="auto" w:fill="FFFFFF"/>
            <w:vAlign w:val="center"/>
          </w:tcPr>
          <w:p w14:paraId="42E82E8C" w14:textId="77777777" w:rsidR="00F24175" w:rsidRDefault="00000000">
            <w:pPr>
              <w:jc w:val="both"/>
              <w:rPr>
                <w:rFonts w:ascii="仿宋" w:eastAsia="仿宋" w:hAnsi="仿宋" w:hint="eastAsia"/>
              </w:rPr>
            </w:pPr>
            <w:r>
              <w:rPr>
                <w:rFonts w:ascii="仿宋" w:eastAsia="仿宋" w:hAnsi="仿宋" w:cs="宋体" w:hint="eastAsia"/>
              </w:rPr>
              <w:t>第二期</w:t>
            </w:r>
          </w:p>
        </w:tc>
        <w:tc>
          <w:tcPr>
            <w:tcW w:w="2490" w:type="pct"/>
            <w:tcBorders>
              <w:top w:val="single" w:sz="4" w:space="0" w:color="auto"/>
              <w:left w:val="single" w:sz="4" w:space="0" w:color="auto"/>
              <w:bottom w:val="single" w:sz="4" w:space="0" w:color="auto"/>
              <w:right w:val="single" w:sz="4" w:space="0" w:color="auto"/>
            </w:tcBorders>
            <w:shd w:val="clear" w:color="auto" w:fill="FFFFFF"/>
            <w:vAlign w:val="center"/>
          </w:tcPr>
          <w:p w14:paraId="265DAF1F"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自</w:t>
            </w:r>
            <w:r>
              <w:rPr>
                <w:rFonts w:ascii="仿宋" w:eastAsia="仿宋" w:hAnsi="仿宋"/>
                <w:lang w:eastAsia="zh-CN"/>
              </w:rPr>
              <w:t>2026</w:t>
            </w:r>
            <w:r>
              <w:rPr>
                <w:rFonts w:ascii="仿宋" w:eastAsia="仿宋" w:hAnsi="仿宋" w:cs="宋体" w:hint="eastAsia"/>
                <w:lang w:eastAsia="zh-CN"/>
              </w:rPr>
              <w:t>年度业绩完成情况专项审核意见出具，并且当年度业绩承诺补偿义务（如需）已履行完毕情况下，上市公司年度报告公告的</w:t>
            </w:r>
            <w:r>
              <w:rPr>
                <w:rFonts w:ascii="仿宋" w:eastAsia="仿宋" w:hAnsi="仿宋"/>
                <w:lang w:eastAsia="zh-CN"/>
              </w:rPr>
              <w:t>5</w:t>
            </w:r>
            <w:r>
              <w:rPr>
                <w:rFonts w:ascii="仿宋" w:eastAsia="仿宋" w:hAnsi="仿宋" w:cs="宋体" w:hint="eastAsia"/>
                <w:lang w:eastAsia="zh-CN"/>
              </w:rPr>
              <w:t>个工作日内或业绩补偿义务方履行完毕对应的业绩补偿义务之日起</w:t>
            </w:r>
            <w:r>
              <w:rPr>
                <w:rFonts w:ascii="仿宋" w:eastAsia="仿宋" w:hAnsi="仿宋"/>
                <w:lang w:eastAsia="zh-CN"/>
              </w:rPr>
              <w:t>5</w:t>
            </w:r>
            <w:r>
              <w:rPr>
                <w:rFonts w:ascii="仿宋" w:eastAsia="仿宋" w:hAnsi="仿宋" w:cs="宋体" w:hint="eastAsia"/>
                <w:lang w:eastAsia="zh-CN"/>
              </w:rPr>
              <w:t>个工作日内</w:t>
            </w:r>
          </w:p>
        </w:tc>
        <w:tc>
          <w:tcPr>
            <w:tcW w:w="0" w:type="auto"/>
            <w:tcBorders>
              <w:top w:val="single" w:sz="4" w:space="0" w:color="auto"/>
              <w:left w:val="single" w:sz="4" w:space="0" w:color="auto"/>
              <w:bottom w:val="single" w:sz="4" w:space="0" w:color="auto"/>
              <w:right w:val="single" w:sz="12" w:space="0" w:color="auto"/>
            </w:tcBorders>
            <w:shd w:val="clear" w:color="auto" w:fill="FFFFFF"/>
            <w:vAlign w:val="center"/>
          </w:tcPr>
          <w:p w14:paraId="5599C243"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累计可解锁股份</w:t>
            </w:r>
            <w:r>
              <w:rPr>
                <w:rFonts w:ascii="仿宋" w:eastAsia="仿宋" w:hAnsi="仿宋"/>
                <w:lang w:eastAsia="zh-CN"/>
              </w:rPr>
              <w:t>=</w:t>
            </w:r>
            <w:r>
              <w:rPr>
                <w:rFonts w:ascii="仿宋" w:eastAsia="仿宋" w:hAnsi="仿宋" w:cs="宋体" w:hint="eastAsia"/>
                <w:lang w:eastAsia="zh-CN"/>
              </w:rPr>
              <w:t>本次认购股份数量</w:t>
            </w:r>
            <w:r>
              <w:rPr>
                <w:rFonts w:ascii="仿宋" w:eastAsia="仿宋" w:hAnsi="仿宋" w:cs="仿宋" w:hint="eastAsia"/>
                <w:lang w:eastAsia="zh-CN"/>
              </w:rPr>
              <w:t>×</w:t>
            </w:r>
            <w:r>
              <w:rPr>
                <w:rFonts w:ascii="仿宋" w:eastAsia="仿宋" w:hAnsi="仿宋"/>
                <w:lang w:eastAsia="zh-CN"/>
              </w:rPr>
              <w:t>65%-</w:t>
            </w:r>
            <w:r>
              <w:rPr>
                <w:rFonts w:ascii="仿宋" w:eastAsia="仿宋" w:hAnsi="仿宋" w:cs="宋体" w:hint="eastAsia"/>
                <w:lang w:eastAsia="zh-CN"/>
              </w:rPr>
              <w:t>累计已补偿的股份数量（如有，包括之前及当年已补偿）</w:t>
            </w:r>
          </w:p>
        </w:tc>
      </w:tr>
      <w:tr w:rsidR="00F24175" w14:paraId="4D931637" w14:textId="77777777">
        <w:trPr>
          <w:trHeight w:val="397"/>
          <w:jc w:val="center"/>
        </w:trPr>
        <w:tc>
          <w:tcPr>
            <w:tcW w:w="728" w:type="pct"/>
            <w:tcBorders>
              <w:top w:val="single" w:sz="4" w:space="0" w:color="auto"/>
              <w:left w:val="single" w:sz="12" w:space="0" w:color="auto"/>
              <w:bottom w:val="single" w:sz="12" w:space="0" w:color="auto"/>
              <w:right w:val="single" w:sz="4" w:space="0" w:color="auto"/>
            </w:tcBorders>
            <w:shd w:val="clear" w:color="auto" w:fill="FFFFFF"/>
            <w:vAlign w:val="center"/>
          </w:tcPr>
          <w:p w14:paraId="0EE5D3B2" w14:textId="77777777" w:rsidR="00F24175" w:rsidRDefault="00000000">
            <w:pPr>
              <w:jc w:val="both"/>
              <w:rPr>
                <w:rFonts w:ascii="仿宋" w:eastAsia="仿宋" w:hAnsi="仿宋" w:hint="eastAsia"/>
              </w:rPr>
            </w:pPr>
            <w:r>
              <w:rPr>
                <w:rFonts w:ascii="仿宋" w:eastAsia="仿宋" w:hAnsi="仿宋" w:cs="宋体" w:hint="eastAsia"/>
              </w:rPr>
              <w:t>第三期</w:t>
            </w:r>
          </w:p>
        </w:tc>
        <w:tc>
          <w:tcPr>
            <w:tcW w:w="2490" w:type="pct"/>
            <w:tcBorders>
              <w:top w:val="single" w:sz="4" w:space="0" w:color="auto"/>
              <w:left w:val="single" w:sz="4" w:space="0" w:color="auto"/>
              <w:bottom w:val="single" w:sz="12" w:space="0" w:color="auto"/>
              <w:right w:val="single" w:sz="4" w:space="0" w:color="auto"/>
            </w:tcBorders>
            <w:shd w:val="clear" w:color="auto" w:fill="FFFFFF"/>
            <w:vAlign w:val="center"/>
          </w:tcPr>
          <w:p w14:paraId="1EEED3DB"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自</w:t>
            </w:r>
            <w:r>
              <w:rPr>
                <w:rFonts w:ascii="仿宋" w:eastAsia="仿宋" w:hAnsi="仿宋"/>
                <w:lang w:eastAsia="zh-CN"/>
              </w:rPr>
              <w:t>2027</w:t>
            </w:r>
            <w:r>
              <w:rPr>
                <w:rFonts w:ascii="仿宋" w:eastAsia="仿宋" w:hAnsi="仿宋" w:cs="宋体" w:hint="eastAsia"/>
                <w:lang w:eastAsia="zh-CN"/>
              </w:rPr>
              <w:t>年度业绩完成情况专项审核意见出具，并且当年度业绩承诺补偿义务（如需）及减值补偿义务（如需）已履行完毕情况下，上市公司年度报告公告的</w:t>
            </w:r>
            <w:r>
              <w:rPr>
                <w:rFonts w:ascii="仿宋" w:eastAsia="仿宋" w:hAnsi="仿宋"/>
                <w:lang w:eastAsia="zh-CN"/>
              </w:rPr>
              <w:t>5</w:t>
            </w:r>
            <w:r>
              <w:rPr>
                <w:rFonts w:ascii="仿宋" w:eastAsia="仿宋" w:hAnsi="仿宋" w:cs="宋体" w:hint="eastAsia"/>
                <w:lang w:eastAsia="zh-CN"/>
              </w:rPr>
              <w:t>个工作日内或业绩补偿义务方履行完毕对应的业绩补偿义务之日起</w:t>
            </w:r>
            <w:r>
              <w:rPr>
                <w:rFonts w:ascii="仿宋" w:eastAsia="仿宋" w:hAnsi="仿宋"/>
                <w:lang w:eastAsia="zh-CN"/>
              </w:rPr>
              <w:t>5</w:t>
            </w:r>
            <w:r>
              <w:rPr>
                <w:rFonts w:ascii="仿宋" w:eastAsia="仿宋" w:hAnsi="仿宋" w:cs="宋体" w:hint="eastAsia"/>
                <w:lang w:eastAsia="zh-CN"/>
              </w:rPr>
              <w:t>个工作日内</w:t>
            </w:r>
          </w:p>
        </w:tc>
        <w:tc>
          <w:tcPr>
            <w:tcW w:w="0" w:type="auto"/>
            <w:tcBorders>
              <w:top w:val="single" w:sz="4" w:space="0" w:color="auto"/>
              <w:left w:val="single" w:sz="4" w:space="0" w:color="auto"/>
              <w:bottom w:val="single" w:sz="12" w:space="0" w:color="auto"/>
              <w:right w:val="single" w:sz="12" w:space="0" w:color="auto"/>
            </w:tcBorders>
            <w:shd w:val="clear" w:color="auto" w:fill="FFFFFF"/>
            <w:vAlign w:val="center"/>
          </w:tcPr>
          <w:p w14:paraId="782DC94C" w14:textId="77777777" w:rsidR="00F24175" w:rsidRDefault="00000000">
            <w:pPr>
              <w:jc w:val="both"/>
              <w:rPr>
                <w:rFonts w:ascii="仿宋" w:eastAsia="仿宋" w:hAnsi="仿宋" w:hint="eastAsia"/>
                <w:lang w:eastAsia="zh-CN"/>
              </w:rPr>
            </w:pPr>
            <w:r>
              <w:rPr>
                <w:rFonts w:ascii="仿宋" w:eastAsia="仿宋" w:hAnsi="仿宋" w:cs="宋体" w:hint="eastAsia"/>
                <w:lang w:eastAsia="zh-CN"/>
              </w:rPr>
              <w:t>累计可解锁股份</w:t>
            </w:r>
            <w:r>
              <w:rPr>
                <w:rFonts w:ascii="仿宋" w:eastAsia="仿宋" w:hAnsi="仿宋"/>
                <w:lang w:eastAsia="zh-CN"/>
              </w:rPr>
              <w:t>=</w:t>
            </w:r>
            <w:r>
              <w:rPr>
                <w:rFonts w:ascii="仿宋" w:eastAsia="仿宋" w:hAnsi="仿宋" w:cs="宋体" w:hint="eastAsia"/>
                <w:lang w:eastAsia="zh-CN"/>
              </w:rPr>
              <w:t>本次认购股份数量</w:t>
            </w:r>
            <w:r>
              <w:rPr>
                <w:rFonts w:ascii="仿宋" w:eastAsia="仿宋" w:hAnsi="仿宋" w:cs="仿宋" w:hint="eastAsia"/>
                <w:lang w:eastAsia="zh-CN"/>
              </w:rPr>
              <w:t>×</w:t>
            </w:r>
            <w:r>
              <w:rPr>
                <w:rFonts w:ascii="仿宋" w:eastAsia="仿宋" w:hAnsi="仿宋"/>
                <w:lang w:eastAsia="zh-CN"/>
              </w:rPr>
              <w:t>100%-</w:t>
            </w:r>
            <w:r>
              <w:rPr>
                <w:rFonts w:ascii="仿宋" w:eastAsia="仿宋" w:hAnsi="仿宋" w:cs="宋体" w:hint="eastAsia"/>
                <w:lang w:eastAsia="zh-CN"/>
              </w:rPr>
              <w:t>累计已实施业绩补偿、减值测试补偿的股份数量（如有，包括之前及当年已补偿）</w:t>
            </w:r>
          </w:p>
        </w:tc>
      </w:tr>
    </w:tbl>
    <w:p w14:paraId="49B35B9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②南通成为常青、广发信德科文、苏州市德同合心、深圳市前海千意、广发信德二期、广州信</w:t>
      </w:r>
      <w:proofErr w:type="gramStart"/>
      <w:r>
        <w:rPr>
          <w:rFonts w:ascii="仿宋" w:eastAsia="仿宋" w:hAnsi="仿宋" w:hint="eastAsia"/>
          <w:sz w:val="28"/>
          <w:szCs w:val="28"/>
          <w:lang w:eastAsia="zh-CN"/>
        </w:rPr>
        <w:t>德创业营</w:t>
      </w:r>
      <w:proofErr w:type="gramEnd"/>
    </w:p>
    <w:p w14:paraId="43C07A4D"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南通成为常青、广发信德科文、苏州市德同合心、深圳市前海千意、广发信德二期、广州信</w:t>
      </w:r>
      <w:proofErr w:type="gramStart"/>
      <w:r>
        <w:rPr>
          <w:rFonts w:ascii="仿宋" w:eastAsia="仿宋" w:hAnsi="仿宋" w:hint="eastAsia"/>
          <w:sz w:val="28"/>
          <w:szCs w:val="28"/>
          <w:lang w:eastAsia="zh-CN"/>
        </w:rPr>
        <w:t>德创业营属于</w:t>
      </w:r>
      <w:proofErr w:type="gramEnd"/>
      <w:r>
        <w:rPr>
          <w:rFonts w:ascii="仿宋" w:eastAsia="仿宋" w:hAnsi="仿宋" w:hint="eastAsia"/>
          <w:sz w:val="28"/>
          <w:szCs w:val="28"/>
          <w:lang w:eastAsia="zh-CN"/>
        </w:rPr>
        <w:t>私募基金，且其用于认购股份的资产持续拥有权益的时间已满48个月，就本次交易中基于该部分标的资产取得的上市公司新增股份自本次发行股份结束之日6个月内不得转让、上市交易。</w:t>
      </w:r>
    </w:p>
    <w:p w14:paraId="7B9C0BA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③璀璨远见、</w:t>
      </w:r>
      <w:proofErr w:type="gramStart"/>
      <w:r>
        <w:rPr>
          <w:rFonts w:ascii="仿宋" w:eastAsia="仿宋" w:hAnsi="仿宋" w:hint="eastAsia"/>
          <w:sz w:val="28"/>
          <w:szCs w:val="28"/>
          <w:lang w:eastAsia="zh-CN"/>
        </w:rPr>
        <w:t>璀璨德</w:t>
      </w:r>
      <w:proofErr w:type="gramEnd"/>
      <w:r>
        <w:rPr>
          <w:rFonts w:ascii="仿宋" w:eastAsia="仿宋" w:hAnsi="仿宋" w:hint="eastAsia"/>
          <w:sz w:val="28"/>
          <w:szCs w:val="28"/>
          <w:lang w:eastAsia="zh-CN"/>
        </w:rPr>
        <w:t>商</w:t>
      </w:r>
    </w:p>
    <w:p w14:paraId="2173101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璀璨远见、</w:t>
      </w:r>
      <w:proofErr w:type="gramStart"/>
      <w:r>
        <w:rPr>
          <w:rFonts w:ascii="仿宋" w:eastAsia="仿宋" w:hAnsi="仿宋" w:hint="eastAsia"/>
          <w:sz w:val="28"/>
          <w:szCs w:val="28"/>
          <w:lang w:eastAsia="zh-CN"/>
        </w:rPr>
        <w:t>璀璨德商属于</w:t>
      </w:r>
      <w:proofErr w:type="gramEnd"/>
      <w:r>
        <w:rPr>
          <w:rFonts w:ascii="仿宋" w:eastAsia="仿宋" w:hAnsi="仿宋" w:hint="eastAsia"/>
          <w:sz w:val="28"/>
          <w:szCs w:val="28"/>
          <w:lang w:eastAsia="zh-CN"/>
        </w:rPr>
        <w:t>私募基金，其用于认购股份的资产持续拥有权益的时间已满48个月的，就本次交易中基于该部分标的资产取得的上市公司新增股份自本次发行股份结束之日6个月内不得转让、上市交易；其用于认购股份的资产持续拥有权益的时间已满12个月不满48个月的，就本次交易中基于该部分标的资产取得的上市公司新增股份自本次发行股份结束之日12个月内不得转让、上市交易；其用于认购股份的资产持续拥有权益的时间未满12个月的，就</w:t>
      </w:r>
      <w:r>
        <w:rPr>
          <w:rFonts w:ascii="仿宋" w:eastAsia="仿宋" w:hAnsi="仿宋" w:hint="eastAsia"/>
          <w:sz w:val="28"/>
          <w:szCs w:val="28"/>
          <w:lang w:eastAsia="zh-CN"/>
        </w:rPr>
        <w:lastRenderedPageBreak/>
        <w:t>本次交易中基于该部分标的资产取得的上市公司新增股份自本次发行股份结束之日36个月内不得转让、上市交易。</w:t>
      </w:r>
    </w:p>
    <w:p w14:paraId="5576D8E8"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④林芝利新、珠海康远、上海德盾</w:t>
      </w:r>
    </w:p>
    <w:p w14:paraId="23597CDB"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林芝利新、珠海康远、上海德盾在本次交易中获得的上市公司股份自本次发行股份结束之日12个月内不得转让。</w:t>
      </w:r>
    </w:p>
    <w:p w14:paraId="0D667DC7"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2EF72388"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r>
        <w:rPr>
          <w:rFonts w:ascii="仿宋" w:eastAsia="仿宋" w:hAnsi="仿宋" w:hint="eastAsia"/>
          <w:sz w:val="28"/>
          <w:szCs w:val="28"/>
          <w:lang w:eastAsia="zh-CN"/>
        </w:rPr>
        <w:t>。</w:t>
      </w:r>
    </w:p>
    <w:p w14:paraId="1AF429AA"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9.审议通过（二）本次交易的具体方案的“1、本次发行股份及支付现金购买资产的具体方案”的（8）业绩承诺与补偿</w:t>
      </w:r>
    </w:p>
    <w:p w14:paraId="50771667"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本次交易的业绩承诺方和补偿义务方为陈耿豪、杨凯然、张杰波、胡俊、王佳、乐陶陶、乐熙熙、乐腾腾、乐哈哈、乐摇，具体情况如下：</w:t>
      </w:r>
    </w:p>
    <w:p w14:paraId="677AABD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①业绩承诺方和补偿义务方</w:t>
      </w:r>
    </w:p>
    <w:p w14:paraId="0247FAA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本次交易的业绩承诺方及补偿义务方为陈耿豪、杨凯然、张杰波、胡俊、王佳、乐陶陶、乐熙熙、乐腾腾、乐哈哈、乐摇。</w:t>
      </w:r>
    </w:p>
    <w:p w14:paraId="0A06E3B1"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②业绩承诺期</w:t>
      </w:r>
    </w:p>
    <w:p w14:paraId="00E93A2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本次交易的业绩承诺期为2025年度、2026年度和2027年度。</w:t>
      </w:r>
    </w:p>
    <w:p w14:paraId="7A917BCF"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③承诺业绩</w:t>
      </w:r>
    </w:p>
    <w:p w14:paraId="44DC2416"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陈耿豪、杨凯然、张杰波、胡俊、王佳、乐陶陶、乐熙熙、乐腾腾、乐哈哈、乐摇向上市公司承诺，标的公司在2025年、2026年和2027年实现的考核净利润（以下简称“考核净利润”）分别不低于人民币9,000万元、9,500万元和10,500万元（以下简称“承诺净</w:t>
      </w:r>
      <w:r>
        <w:rPr>
          <w:rFonts w:ascii="仿宋" w:eastAsia="仿宋" w:hAnsi="仿宋" w:hint="eastAsia"/>
          <w:sz w:val="28"/>
          <w:szCs w:val="28"/>
          <w:lang w:eastAsia="zh-CN"/>
        </w:rPr>
        <w:lastRenderedPageBreak/>
        <w:t>利润”）。各方同意并确认，标的公司在业绩承诺期经审计考核净利润按照如下原则计算：</w:t>
      </w:r>
    </w:p>
    <w:p w14:paraId="0F864B7F"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业绩承诺期间任</w:t>
      </w:r>
      <w:proofErr w:type="gramStart"/>
      <w:r>
        <w:rPr>
          <w:rFonts w:ascii="仿宋" w:eastAsia="仿宋" w:hAnsi="仿宋" w:hint="eastAsia"/>
          <w:sz w:val="28"/>
          <w:szCs w:val="28"/>
          <w:lang w:eastAsia="zh-CN"/>
        </w:rPr>
        <w:t>一</w:t>
      </w:r>
      <w:proofErr w:type="gramEnd"/>
      <w:r>
        <w:rPr>
          <w:rFonts w:ascii="仿宋" w:eastAsia="仿宋" w:hAnsi="仿宋" w:hint="eastAsia"/>
          <w:sz w:val="28"/>
          <w:szCs w:val="28"/>
          <w:lang w:eastAsia="zh-CN"/>
        </w:rPr>
        <w:t>年度</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利润数额应由上市公司聘请的符合《中华人民共和国证券法》要求的会计师事务所对标的公司在该年度实际盈利情况出具的专项审核意见，</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利润为合并报表中归属于母公司所有者的净利润（按扣除非经常性损益原则确定）与经上市公司书面认可并与标的公司研发相关的政府补助（即依据中央财政支持新一轮第一批重点“小巨人”</w:t>
      </w:r>
      <w:proofErr w:type="gramStart"/>
      <w:r>
        <w:rPr>
          <w:rFonts w:ascii="仿宋" w:eastAsia="仿宋" w:hAnsi="仿宋" w:hint="eastAsia"/>
          <w:sz w:val="28"/>
          <w:szCs w:val="28"/>
          <w:lang w:eastAsia="zh-CN"/>
        </w:rPr>
        <w:t>企业奖补资金</w:t>
      </w:r>
      <w:proofErr w:type="gramEnd"/>
      <w:r>
        <w:rPr>
          <w:rFonts w:ascii="仿宋" w:eastAsia="仿宋" w:hAnsi="仿宋" w:hint="eastAsia"/>
          <w:sz w:val="28"/>
          <w:szCs w:val="28"/>
          <w:lang w:eastAsia="zh-CN"/>
        </w:rPr>
        <w:t>安排计划未来取得的政府补助）之</w:t>
      </w:r>
      <w:proofErr w:type="gramStart"/>
      <w:r>
        <w:rPr>
          <w:rFonts w:ascii="仿宋" w:eastAsia="仿宋" w:hAnsi="仿宋" w:hint="eastAsia"/>
          <w:sz w:val="28"/>
          <w:szCs w:val="28"/>
          <w:lang w:eastAsia="zh-CN"/>
        </w:rPr>
        <w:t>和</w:t>
      </w:r>
      <w:proofErr w:type="gramEnd"/>
      <w:r>
        <w:rPr>
          <w:rFonts w:ascii="仿宋" w:eastAsia="仿宋" w:hAnsi="仿宋" w:hint="eastAsia"/>
          <w:sz w:val="28"/>
          <w:szCs w:val="28"/>
          <w:lang w:eastAsia="zh-CN"/>
        </w:rPr>
        <w:t>。</w:t>
      </w:r>
    </w:p>
    <w:p w14:paraId="33341CA6" w14:textId="77777777" w:rsidR="00F24175" w:rsidRDefault="00000000">
      <w:pPr>
        <w:spacing w:before="156" w:after="120"/>
        <w:ind w:firstLine="561"/>
        <w:jc w:val="both"/>
        <w:rPr>
          <w:rFonts w:ascii="仿宋" w:eastAsia="仿宋" w:hAnsi="仿宋" w:hint="eastAsia"/>
          <w:sz w:val="28"/>
          <w:szCs w:val="28"/>
          <w:lang w:eastAsia="zh-CN"/>
        </w:rPr>
      </w:pPr>
      <w:r>
        <w:rPr>
          <w:rFonts w:ascii="宋体" w:eastAsia="宋体" w:hAnsi="宋体" w:cs="宋体" w:hint="eastAsia"/>
          <w:sz w:val="28"/>
          <w:szCs w:val="28"/>
          <w:lang w:eastAsia="zh-CN"/>
        </w:rPr>
        <w:t>④</w:t>
      </w:r>
      <w:r>
        <w:rPr>
          <w:rFonts w:ascii="仿宋" w:eastAsia="仿宋" w:hAnsi="仿宋" w:hint="eastAsia"/>
          <w:sz w:val="28"/>
          <w:szCs w:val="28"/>
          <w:lang w:eastAsia="zh-CN"/>
        </w:rPr>
        <w:t>业绩补偿</w:t>
      </w:r>
    </w:p>
    <w:p w14:paraId="7E7D4E8E" w14:textId="77777777" w:rsidR="00F24175" w:rsidRDefault="00000000">
      <w:pPr>
        <w:spacing w:before="156"/>
        <w:ind w:firstLine="561"/>
        <w:jc w:val="both"/>
        <w:rPr>
          <w:rFonts w:ascii="仿宋" w:eastAsia="仿宋" w:hAnsi="仿宋" w:hint="eastAsia"/>
          <w:sz w:val="28"/>
          <w:szCs w:val="28"/>
          <w:lang w:eastAsia="zh-CN"/>
        </w:rPr>
      </w:pPr>
      <w:r>
        <w:rPr>
          <w:rFonts w:ascii="仿宋" w:eastAsia="仿宋" w:hAnsi="仿宋" w:hint="eastAsia"/>
          <w:sz w:val="28"/>
          <w:szCs w:val="28"/>
          <w:lang w:eastAsia="zh-CN"/>
        </w:rPr>
        <w:t>A业绩承诺补偿</w:t>
      </w:r>
    </w:p>
    <w:p w14:paraId="0AC8868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proofErr w:type="gramStart"/>
      <w:r>
        <w:rPr>
          <w:rFonts w:ascii="仿宋" w:eastAsia="仿宋" w:hAnsi="仿宋" w:hint="eastAsia"/>
          <w:sz w:val="28"/>
          <w:szCs w:val="28"/>
          <w:lang w:eastAsia="zh-CN"/>
        </w:rPr>
        <w:t>Ⅰ发生</w:t>
      </w:r>
      <w:proofErr w:type="gramEnd"/>
      <w:r>
        <w:rPr>
          <w:rFonts w:ascii="仿宋" w:eastAsia="仿宋" w:hAnsi="仿宋" w:hint="eastAsia"/>
          <w:sz w:val="28"/>
          <w:szCs w:val="28"/>
          <w:lang w:eastAsia="zh-CN"/>
        </w:rPr>
        <w:t>下列情形之一的，业绩承诺方应向上市公司支付业绩补偿金</w:t>
      </w:r>
    </w:p>
    <w:p w14:paraId="64E4704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第一期：标的公司2025年度的</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利润数低于2025年度承诺净利润数的90%（即标的公司2025年度</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利润数低于8,100万元）；</w:t>
      </w:r>
    </w:p>
    <w:p w14:paraId="035DBEE1"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第二期：标的公司2025年度、2026年度的累计</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利润数低于2025年度、2026年度累计承诺净利润数的90%（即标的公司2025年度、2026年度的累计</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利润数低于16,650万元）；</w:t>
      </w:r>
    </w:p>
    <w:p w14:paraId="47D3EC1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第三期：标的公司在业绩承诺期内实现的三年累计</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利润数低于其三年累计承诺净利润数（即标的公司业绩承诺期内的累计</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利润数低于29,000万元）。</w:t>
      </w:r>
    </w:p>
    <w:p w14:paraId="17CEED58"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proofErr w:type="gramStart"/>
      <w:r>
        <w:rPr>
          <w:rFonts w:ascii="仿宋" w:eastAsia="仿宋" w:hAnsi="仿宋" w:hint="eastAsia"/>
          <w:sz w:val="28"/>
          <w:szCs w:val="28"/>
          <w:lang w:eastAsia="zh-CN"/>
        </w:rPr>
        <w:t>Ⅱ业绩</w:t>
      </w:r>
      <w:proofErr w:type="gramEnd"/>
      <w:r>
        <w:rPr>
          <w:rFonts w:ascii="仿宋" w:eastAsia="仿宋" w:hAnsi="仿宋" w:hint="eastAsia"/>
          <w:sz w:val="28"/>
          <w:szCs w:val="28"/>
          <w:lang w:eastAsia="zh-CN"/>
        </w:rPr>
        <w:t>补偿义务方应补偿的金额依据下述公式计算确定，并在业绩承诺</w:t>
      </w:r>
      <w:proofErr w:type="gramStart"/>
      <w:r>
        <w:rPr>
          <w:rFonts w:ascii="仿宋" w:eastAsia="仿宋" w:hAnsi="仿宋" w:hint="eastAsia"/>
          <w:sz w:val="28"/>
          <w:szCs w:val="28"/>
          <w:lang w:eastAsia="zh-CN"/>
        </w:rPr>
        <w:t>期每个</w:t>
      </w:r>
      <w:proofErr w:type="gramEnd"/>
      <w:r>
        <w:rPr>
          <w:rFonts w:ascii="仿宋" w:eastAsia="仿宋" w:hAnsi="仿宋" w:hint="eastAsia"/>
          <w:sz w:val="28"/>
          <w:szCs w:val="28"/>
          <w:lang w:eastAsia="zh-CN"/>
        </w:rPr>
        <w:t>会计年度结束后逐年计算并予以补偿：</w:t>
      </w:r>
    </w:p>
    <w:p w14:paraId="379DC65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当期应补偿金额=（截至该会计年度期末累计承诺净利数-截至该会计年度期末累计</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利润数）÷业绩承诺期内的承诺净利润数总和×业绩补偿义务</w:t>
      </w:r>
      <w:proofErr w:type="gramStart"/>
      <w:r>
        <w:rPr>
          <w:rFonts w:ascii="仿宋" w:eastAsia="仿宋" w:hAnsi="仿宋" w:hint="eastAsia"/>
          <w:sz w:val="28"/>
          <w:szCs w:val="28"/>
          <w:lang w:eastAsia="zh-CN"/>
        </w:rPr>
        <w:t>方最高</w:t>
      </w:r>
      <w:proofErr w:type="gramEnd"/>
      <w:r>
        <w:rPr>
          <w:rFonts w:ascii="仿宋" w:eastAsia="仿宋" w:hAnsi="仿宋" w:hint="eastAsia"/>
          <w:sz w:val="28"/>
          <w:szCs w:val="28"/>
          <w:lang w:eastAsia="zh-CN"/>
        </w:rPr>
        <w:t>业绩补偿额-累计已补偿金额</w:t>
      </w:r>
    </w:p>
    <w:p w14:paraId="57D12F8F"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备注：业绩补偿义务</w:t>
      </w:r>
      <w:proofErr w:type="gramStart"/>
      <w:r>
        <w:rPr>
          <w:rFonts w:ascii="仿宋" w:eastAsia="仿宋" w:hAnsi="仿宋" w:hint="eastAsia"/>
          <w:sz w:val="28"/>
          <w:szCs w:val="28"/>
          <w:lang w:eastAsia="zh-CN"/>
        </w:rPr>
        <w:t>方最高</w:t>
      </w:r>
      <w:proofErr w:type="gramEnd"/>
      <w:r>
        <w:rPr>
          <w:rFonts w:ascii="仿宋" w:eastAsia="仿宋" w:hAnsi="仿宋" w:hint="eastAsia"/>
          <w:sz w:val="28"/>
          <w:szCs w:val="28"/>
          <w:lang w:eastAsia="zh-CN"/>
        </w:rPr>
        <w:t>业绩补偿额=12亿（根据目标公司综合估值12.0583亿元取整确定）*业绩补偿方向上市公司转让的股比总数- 业绩补偿义务方就本次交易取得的现金对价*20%（按照本次交易取得的现金对价的税费估算）。双方确认，</w:t>
      </w:r>
      <w:proofErr w:type="gramStart"/>
      <w:r>
        <w:rPr>
          <w:rFonts w:ascii="仿宋" w:eastAsia="仿宋" w:hAnsi="仿宋" w:hint="eastAsia"/>
          <w:sz w:val="28"/>
          <w:szCs w:val="28"/>
          <w:lang w:eastAsia="zh-CN"/>
        </w:rPr>
        <w:t>各业绩</w:t>
      </w:r>
      <w:proofErr w:type="gramEnd"/>
      <w:r>
        <w:rPr>
          <w:rFonts w:ascii="仿宋" w:eastAsia="仿宋" w:hAnsi="仿宋" w:hint="eastAsia"/>
          <w:sz w:val="28"/>
          <w:szCs w:val="28"/>
          <w:lang w:eastAsia="zh-CN"/>
        </w:rPr>
        <w:t>补偿义务方就本次交易向上市公司承担的业绩补偿金额及《业绩承诺补偿协议书》第四条约定的减值补偿金额之和以前述业绩补偿义务</w:t>
      </w:r>
      <w:proofErr w:type="gramStart"/>
      <w:r>
        <w:rPr>
          <w:rFonts w:ascii="仿宋" w:eastAsia="仿宋" w:hAnsi="仿宋" w:hint="eastAsia"/>
          <w:sz w:val="28"/>
          <w:szCs w:val="28"/>
          <w:lang w:eastAsia="zh-CN"/>
        </w:rPr>
        <w:t>方最高</w:t>
      </w:r>
      <w:proofErr w:type="gramEnd"/>
      <w:r>
        <w:rPr>
          <w:rFonts w:ascii="仿宋" w:eastAsia="仿宋" w:hAnsi="仿宋" w:hint="eastAsia"/>
          <w:sz w:val="28"/>
          <w:szCs w:val="28"/>
          <w:lang w:eastAsia="zh-CN"/>
        </w:rPr>
        <w:t>业绩补偿额为限。</w:t>
      </w:r>
    </w:p>
    <w:p w14:paraId="6F06B8D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Ⅲ在逐年计算业绩承诺期内业绩承诺方应补偿金额时，如按照上述第Ⅱ点计算的当期应补偿金额小于0的，按0取值，即已经补偿的金额不冲回。</w:t>
      </w:r>
    </w:p>
    <w:p w14:paraId="216A29AE"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B业绩补偿金支付方式</w:t>
      </w:r>
    </w:p>
    <w:p w14:paraId="059977F7"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就业绩补偿义务方向上市公司履行补偿义务的方式，业绩补偿义务方有权选择以现金方式进行补偿、或以股份方式进行补偿、或以现金加股份方式进行补偿。应补偿的股份数量=（当期应补偿金额-现金补偿金额）÷本次交易中发行股份支付对价的每股发行价格。</w:t>
      </w:r>
    </w:p>
    <w:p w14:paraId="4293CD3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⑤资产减值测试及补偿</w:t>
      </w:r>
    </w:p>
    <w:p w14:paraId="59CBC202"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业绩承诺期届满时，上市公司将聘请符合《证券法》规定的会计师事务所对本次</w:t>
      </w:r>
      <w:proofErr w:type="gramStart"/>
      <w:r>
        <w:rPr>
          <w:rFonts w:ascii="仿宋" w:eastAsia="仿宋" w:hAnsi="仿宋" w:hint="eastAsia"/>
          <w:sz w:val="28"/>
          <w:szCs w:val="28"/>
          <w:lang w:eastAsia="zh-CN"/>
        </w:rPr>
        <w:t>交易所涉全部标</w:t>
      </w:r>
      <w:proofErr w:type="gramEnd"/>
      <w:r>
        <w:rPr>
          <w:rFonts w:ascii="仿宋" w:eastAsia="仿宋" w:hAnsi="仿宋" w:hint="eastAsia"/>
          <w:sz w:val="28"/>
          <w:szCs w:val="28"/>
          <w:lang w:eastAsia="zh-CN"/>
        </w:rPr>
        <w:t>的资产进行减值测试并出具减值测试报告。减值测试报告采取的估值方法应与《资产评估报告》保持一致。</w:t>
      </w:r>
    </w:p>
    <w:p w14:paraId="598A9D3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经减值测试，如本次</w:t>
      </w:r>
      <w:proofErr w:type="gramStart"/>
      <w:r>
        <w:rPr>
          <w:rFonts w:ascii="仿宋" w:eastAsia="仿宋" w:hAnsi="仿宋" w:hint="eastAsia"/>
          <w:sz w:val="28"/>
          <w:szCs w:val="28"/>
          <w:lang w:eastAsia="zh-CN"/>
        </w:rPr>
        <w:t>交易所涉全部标</w:t>
      </w:r>
      <w:proofErr w:type="gramEnd"/>
      <w:r>
        <w:rPr>
          <w:rFonts w:ascii="仿宋" w:eastAsia="仿宋" w:hAnsi="仿宋" w:hint="eastAsia"/>
          <w:sz w:val="28"/>
          <w:szCs w:val="28"/>
          <w:lang w:eastAsia="zh-CN"/>
        </w:rPr>
        <w:t>的资产期末减值额＞业绩补偿义务方应补偿金额，业绩补偿义务方应对上市公司另行补偿。</w:t>
      </w:r>
    </w:p>
    <w:p w14:paraId="79ED4B3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业绩补偿义务方应另行补偿金额＝本次</w:t>
      </w:r>
      <w:proofErr w:type="gramStart"/>
      <w:r>
        <w:rPr>
          <w:rFonts w:ascii="仿宋" w:eastAsia="仿宋" w:hAnsi="仿宋" w:hint="eastAsia"/>
          <w:sz w:val="28"/>
          <w:szCs w:val="28"/>
          <w:lang w:eastAsia="zh-CN"/>
        </w:rPr>
        <w:t>交易所涉全部标</w:t>
      </w:r>
      <w:proofErr w:type="gramEnd"/>
      <w:r>
        <w:rPr>
          <w:rFonts w:ascii="仿宋" w:eastAsia="仿宋" w:hAnsi="仿宋" w:hint="eastAsia"/>
          <w:sz w:val="28"/>
          <w:szCs w:val="28"/>
          <w:lang w:eastAsia="zh-CN"/>
        </w:rPr>
        <w:t>的资产业绩承诺期期末减值额－业绩承诺期内因</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利润数不足承诺净利润数已支付的业绩补偿金额。</w:t>
      </w:r>
    </w:p>
    <w:p w14:paraId="5D344DE2"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在计算上述期末减值额时，需扣除《业绩承诺补偿协议书》签署后</w:t>
      </w:r>
      <w:proofErr w:type="gramStart"/>
      <w:r>
        <w:rPr>
          <w:rFonts w:ascii="仿宋" w:eastAsia="仿宋" w:hAnsi="仿宋" w:hint="eastAsia"/>
          <w:sz w:val="28"/>
          <w:szCs w:val="28"/>
          <w:lang w:eastAsia="zh-CN"/>
        </w:rPr>
        <w:t>至业绩</w:t>
      </w:r>
      <w:proofErr w:type="gramEnd"/>
      <w:r>
        <w:rPr>
          <w:rFonts w:ascii="仿宋" w:eastAsia="仿宋" w:hAnsi="仿宋" w:hint="eastAsia"/>
          <w:sz w:val="28"/>
          <w:szCs w:val="28"/>
          <w:lang w:eastAsia="zh-CN"/>
        </w:rPr>
        <w:t>承诺期届满之日标的公司增资、减资、接受赠与以及利润分配的影响。</w:t>
      </w:r>
    </w:p>
    <w:p w14:paraId="23CE7472"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若标的公司业绩承诺期内的累计</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利润数不低于29,000万元且逐年增长，则不触发上述减值测试补偿义务。</w:t>
      </w:r>
    </w:p>
    <w:p w14:paraId="7E91BEB8" w14:textId="77777777" w:rsidR="00F24175" w:rsidRDefault="00000000">
      <w:pPr>
        <w:spacing w:beforeLines="50" w:before="120" w:line="360" w:lineRule="auto"/>
        <w:ind w:firstLine="561"/>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319E301F" w14:textId="77777777" w:rsidR="00F24175" w:rsidRDefault="00000000">
      <w:pPr>
        <w:spacing w:beforeLines="50" w:before="120" w:line="360" w:lineRule="auto"/>
        <w:ind w:firstLine="561"/>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3CA2ABBC"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10.审议通过（二）本次交易的具体方案的“1、本次发行股份及支付现金购买资产的具体方案”的（9）业绩奖励，具体情况如下：</w:t>
      </w:r>
    </w:p>
    <w:p w14:paraId="22CCB16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①超额业绩奖励的对象可以选择通过限制性股票或现金的方式接受超额业绩奖励。</w:t>
      </w:r>
    </w:p>
    <w:p w14:paraId="20902F2D"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②限制性股票：业绩承诺期届满之时，如标的公司累计实现的</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超过累计承诺净利润，则双方同意上市公司应在标的公司业绩承诺期届满后的业绩承诺实现情况的专项报告出具且双方就超额业绩奖励分配方案达成书面一致意见起60日内，以限制性股票激励方式按如下计算公式向业绩补偿义务方支付超额业绩奖励：</w:t>
      </w:r>
    </w:p>
    <w:p w14:paraId="4BBB8557"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限制性股票激励对应的超额业绩奖励金额=（承诺期累计实现净利润-累计承诺净利润）×50%。</w:t>
      </w:r>
    </w:p>
    <w:p w14:paraId="112D0E2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如根据上述计算公式得出的超额业绩奖励金额数大于本次</w:t>
      </w:r>
      <w:proofErr w:type="gramStart"/>
      <w:r>
        <w:rPr>
          <w:rFonts w:ascii="仿宋" w:eastAsia="仿宋" w:hAnsi="仿宋" w:hint="eastAsia"/>
          <w:sz w:val="28"/>
          <w:szCs w:val="28"/>
          <w:lang w:eastAsia="zh-CN"/>
        </w:rPr>
        <w:t>交易所涉全部标</w:t>
      </w:r>
      <w:proofErr w:type="gramEnd"/>
      <w:r>
        <w:rPr>
          <w:rFonts w:ascii="仿宋" w:eastAsia="仿宋" w:hAnsi="仿宋" w:hint="eastAsia"/>
          <w:sz w:val="28"/>
          <w:szCs w:val="28"/>
          <w:lang w:eastAsia="zh-CN"/>
        </w:rPr>
        <w:t>的资产的整体交易价格的20%，则超额业绩奖励金额为本次重组所涉全部标的资产的整体交易价格20%对应的金额（即23,770.1062万元）。</w:t>
      </w:r>
    </w:p>
    <w:p w14:paraId="514C4E4E"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③现金：业绩承诺期届满之时，如标的公司累计实现的</w:t>
      </w:r>
      <w:proofErr w:type="gramStart"/>
      <w:r>
        <w:rPr>
          <w:rFonts w:ascii="仿宋" w:eastAsia="仿宋" w:hAnsi="仿宋" w:hint="eastAsia"/>
          <w:sz w:val="28"/>
          <w:szCs w:val="28"/>
          <w:lang w:eastAsia="zh-CN"/>
        </w:rPr>
        <w:t>实际净</w:t>
      </w:r>
      <w:proofErr w:type="gramEnd"/>
      <w:r>
        <w:rPr>
          <w:rFonts w:ascii="仿宋" w:eastAsia="仿宋" w:hAnsi="仿宋" w:hint="eastAsia"/>
          <w:sz w:val="28"/>
          <w:szCs w:val="28"/>
          <w:lang w:eastAsia="zh-CN"/>
        </w:rPr>
        <w:t>利润数超过累计承诺净利润，则各方同意标的公司应在业绩承诺期届满后的业绩承诺实现情况的专项报告出具且各方就超额业绩奖励分配方案达成书面一致意见起60日内，以现金方式按如下计算公式向标的公司业绩补偿义务方支付超额业绩奖励：</w:t>
      </w:r>
    </w:p>
    <w:p w14:paraId="2D36900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超额业绩奖励现金支付金额=（承诺期累计实现净利润-累计承诺净利润）×50%。</w:t>
      </w:r>
    </w:p>
    <w:p w14:paraId="601A226B"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如根据上述计算公式得出的超额业绩奖励金额数大于本次重组所涉全部标的资产的整体交易价格的20%，则超额业绩奖励金额为本次重组所涉全部标的资产的整体交易价格20%对应的金额（即23,770.1062万元）。</w:t>
      </w:r>
    </w:p>
    <w:p w14:paraId="14B20B8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3CD6D45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25D6320D"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11.审议通过（二）本次交易的具体方案的“1、本次发行股份及支付现金购买资产的具体方案”的（10）滚存未分配利润的安排，具体情况如下：</w:t>
      </w:r>
    </w:p>
    <w:p w14:paraId="406B83B6"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公司本次发行前的滚存未分配利润，由本次发行完成后的公司全体股东按其持股比例共同享有。</w:t>
      </w:r>
    </w:p>
    <w:p w14:paraId="1F6287C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3BB8975D"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回避表决情况：3票回避，关联董事林明玲、马学沛、马翊珽回避表决。</w:t>
      </w:r>
    </w:p>
    <w:p w14:paraId="29130DEB"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bookmarkStart w:id="6" w:name="OLE_LINK4"/>
      <w:r>
        <w:rPr>
          <w:rFonts w:ascii="仿宋" w:eastAsia="仿宋" w:hAnsi="仿宋" w:hint="eastAsia"/>
          <w:b/>
          <w:bCs/>
          <w:sz w:val="28"/>
          <w:szCs w:val="28"/>
          <w:lang w:eastAsia="zh-CN"/>
        </w:rPr>
        <w:t>12.审议通过（二）本次交易的具体方案的“1、本次发行股份及支付现金购买资产的具体方案”的（11）过渡期间损益，具体情况如下：</w:t>
      </w:r>
      <w:bookmarkEnd w:id="6"/>
    </w:p>
    <w:p w14:paraId="75403B24"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w:t>
      </w:r>
      <w:proofErr w:type="gramStart"/>
      <w:r>
        <w:rPr>
          <w:rFonts w:ascii="仿宋" w:eastAsia="仿宋" w:hAnsi="仿宋" w:hint="eastAsia"/>
          <w:sz w:val="28"/>
          <w:szCs w:val="28"/>
          <w:lang w:eastAsia="zh-CN"/>
        </w:rPr>
        <w:t>交易所涉全部标</w:t>
      </w:r>
      <w:proofErr w:type="gramEnd"/>
      <w:r>
        <w:rPr>
          <w:rFonts w:ascii="仿宋" w:eastAsia="仿宋" w:hAnsi="仿宋" w:hint="eastAsia"/>
          <w:sz w:val="28"/>
          <w:szCs w:val="28"/>
          <w:lang w:eastAsia="zh-CN"/>
        </w:rPr>
        <w:t>的资产在过渡期内产生的收益由上市公司享有；本次</w:t>
      </w:r>
      <w:proofErr w:type="gramStart"/>
      <w:r>
        <w:rPr>
          <w:rFonts w:ascii="仿宋" w:eastAsia="仿宋" w:hAnsi="仿宋" w:hint="eastAsia"/>
          <w:sz w:val="28"/>
          <w:szCs w:val="28"/>
          <w:lang w:eastAsia="zh-CN"/>
        </w:rPr>
        <w:t>交易所涉全部标</w:t>
      </w:r>
      <w:proofErr w:type="gramEnd"/>
      <w:r>
        <w:rPr>
          <w:rFonts w:ascii="仿宋" w:eastAsia="仿宋" w:hAnsi="仿宋" w:hint="eastAsia"/>
          <w:sz w:val="28"/>
          <w:szCs w:val="28"/>
          <w:lang w:eastAsia="zh-CN"/>
        </w:rPr>
        <w:t>的资产在过渡期内产生的亏损部分，由业绩承诺方按照各自转让的标的公司股权</w:t>
      </w:r>
      <w:proofErr w:type="gramStart"/>
      <w:r>
        <w:rPr>
          <w:rFonts w:ascii="仿宋" w:eastAsia="仿宋" w:hAnsi="仿宋" w:hint="eastAsia"/>
          <w:sz w:val="28"/>
          <w:szCs w:val="28"/>
          <w:lang w:eastAsia="zh-CN"/>
        </w:rPr>
        <w:t>占业绩</w:t>
      </w:r>
      <w:proofErr w:type="gramEnd"/>
      <w:r>
        <w:rPr>
          <w:rFonts w:ascii="仿宋" w:eastAsia="仿宋" w:hAnsi="仿宋" w:hint="eastAsia"/>
          <w:sz w:val="28"/>
          <w:szCs w:val="28"/>
          <w:lang w:eastAsia="zh-CN"/>
        </w:rPr>
        <w:t>承诺方合计转让的标的公司股权的比例，以现金方式补足。收益、亏损等金额均以上市公司聘请的符合《中华人民共和国证券法》规定的审计机构所出具的专项审核意见为准。</w:t>
      </w:r>
    </w:p>
    <w:p w14:paraId="237D5E0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bookmarkStart w:id="7" w:name="OLE_LINK18"/>
      <w:r>
        <w:rPr>
          <w:rFonts w:ascii="仿宋" w:eastAsia="仿宋" w:hAnsi="仿宋" w:hint="eastAsia"/>
          <w:sz w:val="28"/>
          <w:szCs w:val="28"/>
          <w:lang w:eastAsia="zh-CN"/>
        </w:rPr>
        <w:t>议案表决结果：同意5票，反对票0票，弃权0票。</w:t>
      </w:r>
    </w:p>
    <w:p w14:paraId="1B3B0F3E"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回避表决情况：3票回避，关联董事林明玲、马学沛、马翊珽回避表决。</w:t>
      </w:r>
    </w:p>
    <w:bookmarkEnd w:id="7"/>
    <w:p w14:paraId="5C454D92" w14:textId="77777777" w:rsidR="00F24175"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13.审议通过（二）本次交易的具体方案的“1、本次发行股份及支付现金购买资产的具体方案”的（12）决议有效期，具体情况如下：</w:t>
      </w:r>
    </w:p>
    <w:p w14:paraId="23DF8B4F"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本次发行股份及支付现金购买资产方案的决议经公司股东会审议通过之日起</w:t>
      </w:r>
      <w:r>
        <w:rPr>
          <w:rFonts w:ascii="仿宋" w:eastAsia="仿宋" w:hAnsi="仿宋"/>
          <w:sz w:val="28"/>
          <w:szCs w:val="28"/>
          <w:lang w:eastAsia="zh-CN"/>
        </w:rPr>
        <w:t>12</w:t>
      </w:r>
      <w:r>
        <w:rPr>
          <w:rFonts w:ascii="仿宋" w:eastAsia="仿宋" w:hAnsi="仿宋" w:hint="eastAsia"/>
          <w:sz w:val="28"/>
          <w:szCs w:val="28"/>
          <w:lang w:eastAsia="zh-CN"/>
        </w:rPr>
        <w:t>个月内有效。如本次交易在上述有效期内取得深圳证券交易所审核通过并获得中国证监会同意注册的文件，则该有效期自动延长至本次交易实施完毕之日。</w:t>
      </w:r>
    </w:p>
    <w:p w14:paraId="04F6D9E2"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bookmarkStart w:id="8" w:name="OLE_LINK19"/>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0670440B"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r>
        <w:rPr>
          <w:rFonts w:ascii="仿宋" w:eastAsia="仿宋" w:hAnsi="仿宋" w:hint="eastAsia"/>
          <w:sz w:val="28"/>
          <w:szCs w:val="28"/>
          <w:lang w:eastAsia="zh-CN"/>
        </w:rPr>
        <w:t>。</w:t>
      </w:r>
    </w:p>
    <w:bookmarkEnd w:id="8"/>
    <w:p w14:paraId="7A8033EA" w14:textId="77777777" w:rsidR="00F24175" w:rsidRDefault="00000000">
      <w:pPr>
        <w:widowControl w:val="0"/>
        <w:numPr>
          <w:ilvl w:val="255"/>
          <w:numId w:val="0"/>
        </w:numPr>
        <w:kinsoku/>
        <w:autoSpaceDE/>
        <w:autoSpaceDN/>
        <w:adjustRightInd/>
        <w:snapToGrid/>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14.审议通过（二）本次交易的具体方案的“2、本次募集配套资金</w:t>
      </w:r>
      <w:r>
        <w:rPr>
          <w:rFonts w:ascii="仿宋" w:eastAsia="仿宋" w:hAnsi="仿宋" w:hint="eastAsia"/>
          <w:b/>
          <w:bCs/>
          <w:sz w:val="28"/>
          <w:szCs w:val="28"/>
          <w:lang w:eastAsia="zh-CN"/>
        </w:rPr>
        <w:lastRenderedPageBreak/>
        <w:t>的具体方案”的（1）发行股份的种类、面值和上市地点，具体情况如下：</w:t>
      </w:r>
    </w:p>
    <w:p w14:paraId="47A9581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本次募集配套资金发行的股票种类为人民币普通股（A股），每股面值为1.00元，上市地点为深圳证券交易所。</w:t>
      </w:r>
    </w:p>
    <w:p w14:paraId="103D90E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议案表决结果：同意5票，反对票0票，弃权0票。</w:t>
      </w:r>
    </w:p>
    <w:p w14:paraId="4549CEA1"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回避表决情况：3票回避，关联董事林明玲、马学沛、马翊珽回避表决。</w:t>
      </w:r>
    </w:p>
    <w:p w14:paraId="6D3EAD89" w14:textId="77777777" w:rsidR="00F24175" w:rsidRDefault="00000000">
      <w:pPr>
        <w:widowControl w:val="0"/>
        <w:numPr>
          <w:ilvl w:val="255"/>
          <w:numId w:val="0"/>
        </w:numPr>
        <w:kinsoku/>
        <w:autoSpaceDE/>
        <w:autoSpaceDN/>
        <w:adjustRightInd/>
        <w:snapToGrid/>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15.审议通过（二）本次交易的具体方案的“2、本次募集配套资金的具体方案”的（2）发行方式和发行对象，具体情况如下：</w:t>
      </w:r>
    </w:p>
    <w:p w14:paraId="1EE4728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本次募集配套资金的发行方式为向特定对象发行。发行对象均以现金方式认购本次募集配套资金发行的股票。</w:t>
      </w:r>
    </w:p>
    <w:p w14:paraId="1522BFA8"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本次募集配套资金的发行对象为公司实际控制人之一马学沛先生。</w:t>
      </w:r>
    </w:p>
    <w:p w14:paraId="4FC6617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30BAC8D1"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54F1D43A" w14:textId="77777777" w:rsidR="00F24175" w:rsidRDefault="00000000">
      <w:pPr>
        <w:widowControl w:val="0"/>
        <w:numPr>
          <w:ilvl w:val="255"/>
          <w:numId w:val="0"/>
        </w:numPr>
        <w:kinsoku/>
        <w:autoSpaceDE/>
        <w:autoSpaceDN/>
        <w:adjustRightInd/>
        <w:snapToGrid/>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16.审议通过（二）本次交易的具体方案的“2、本次募集配套资金的具体方案”的（3）发行股份的定价依据、定价基准日和发行价格，具体情况如下：</w:t>
      </w:r>
    </w:p>
    <w:p w14:paraId="59809DBA"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本次发行股份募集配套资金采取定价发行方式，本次发行股份募集配套资金的定价基准日为公司审议本次交易事项的第三届董事会第三十二次会议决议公告日。本次募集配套资金的发行价格为</w:t>
      </w:r>
      <w:r>
        <w:rPr>
          <w:rFonts w:ascii="仿宋" w:eastAsia="仿宋" w:hAnsi="仿宋"/>
          <w:sz w:val="28"/>
          <w:szCs w:val="28"/>
          <w:lang w:eastAsia="zh-CN"/>
        </w:rPr>
        <w:t>32.74</w:t>
      </w:r>
      <w:r>
        <w:rPr>
          <w:rFonts w:ascii="仿宋" w:eastAsia="仿宋" w:hAnsi="仿宋" w:hint="eastAsia"/>
          <w:sz w:val="28"/>
          <w:szCs w:val="28"/>
          <w:lang w:eastAsia="zh-CN"/>
        </w:rPr>
        <w:t>元</w:t>
      </w:r>
      <w:r>
        <w:rPr>
          <w:rFonts w:ascii="仿宋" w:eastAsia="仿宋" w:hAnsi="仿宋"/>
          <w:sz w:val="28"/>
          <w:szCs w:val="28"/>
          <w:lang w:eastAsia="zh-CN"/>
        </w:rPr>
        <w:t>/</w:t>
      </w:r>
      <w:r>
        <w:rPr>
          <w:rFonts w:ascii="仿宋" w:eastAsia="仿宋" w:hAnsi="仿宋" w:hint="eastAsia"/>
          <w:sz w:val="28"/>
          <w:szCs w:val="28"/>
          <w:lang w:eastAsia="zh-CN"/>
        </w:rPr>
        <w:t>股，不低于定价基准日前</w:t>
      </w:r>
      <w:r>
        <w:rPr>
          <w:rFonts w:ascii="仿宋" w:eastAsia="仿宋" w:hAnsi="仿宋"/>
          <w:sz w:val="28"/>
          <w:szCs w:val="28"/>
          <w:lang w:eastAsia="zh-CN"/>
        </w:rPr>
        <w:t>20</w:t>
      </w:r>
      <w:r>
        <w:rPr>
          <w:rFonts w:ascii="仿宋" w:eastAsia="仿宋" w:hAnsi="仿宋" w:hint="eastAsia"/>
          <w:sz w:val="28"/>
          <w:szCs w:val="28"/>
          <w:lang w:eastAsia="zh-CN"/>
        </w:rPr>
        <w:t>个交易日公司股票交易均价的</w:t>
      </w:r>
      <w:r>
        <w:rPr>
          <w:rFonts w:ascii="仿宋" w:eastAsia="仿宋" w:hAnsi="仿宋"/>
          <w:sz w:val="28"/>
          <w:szCs w:val="28"/>
          <w:lang w:eastAsia="zh-CN"/>
        </w:rPr>
        <w:t>80%</w:t>
      </w:r>
      <w:r>
        <w:rPr>
          <w:rFonts w:ascii="仿宋" w:eastAsia="仿宋" w:hAnsi="仿宋" w:hint="eastAsia"/>
          <w:sz w:val="28"/>
          <w:szCs w:val="28"/>
          <w:lang w:eastAsia="zh-CN"/>
        </w:rPr>
        <w:t>。</w:t>
      </w:r>
    </w:p>
    <w:p w14:paraId="68F2155F"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公司在本次发行股份募集配套资金的定价基准日至发行日期间如有派息、送股、资本公积金转增股本等除权、除息事项，本次发</w:t>
      </w:r>
      <w:r>
        <w:rPr>
          <w:rFonts w:ascii="仿宋" w:eastAsia="仿宋" w:hAnsi="仿宋" w:hint="eastAsia"/>
          <w:sz w:val="28"/>
          <w:szCs w:val="28"/>
          <w:lang w:eastAsia="zh-CN"/>
        </w:rPr>
        <w:lastRenderedPageBreak/>
        <w:t>行价格将根据中国证监会及深圳证券交易所的相关规则进行相应调整。</w:t>
      </w:r>
    </w:p>
    <w:p w14:paraId="242D14E2"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32681F8A"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4BEA0698" w14:textId="77777777" w:rsidR="00F24175" w:rsidRDefault="00000000">
      <w:pPr>
        <w:widowControl w:val="0"/>
        <w:numPr>
          <w:ilvl w:val="255"/>
          <w:numId w:val="0"/>
        </w:numPr>
        <w:jc w:val="both"/>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17.审议通过（二）本次交易的具体方案的“2、本次募集配套资金的具体方案”的（4）发行规模及发行数量，具体情况如下：</w:t>
      </w:r>
    </w:p>
    <w:p w14:paraId="047FF052"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本次募集配套资金总额不超过人民币</w:t>
      </w:r>
      <w:r>
        <w:rPr>
          <w:rFonts w:ascii="仿宋" w:eastAsia="仿宋" w:hAnsi="仿宋"/>
          <w:sz w:val="28"/>
          <w:szCs w:val="28"/>
          <w:lang w:eastAsia="zh-CN"/>
        </w:rPr>
        <w:t>1.55</w:t>
      </w:r>
      <w:r>
        <w:rPr>
          <w:rFonts w:ascii="仿宋" w:eastAsia="仿宋" w:hAnsi="仿宋" w:hint="eastAsia"/>
          <w:sz w:val="28"/>
          <w:szCs w:val="28"/>
          <w:lang w:eastAsia="zh-CN"/>
        </w:rPr>
        <w:t>亿元且不超过本次发行股份购买资产交易价格的</w:t>
      </w:r>
      <w:r>
        <w:rPr>
          <w:rFonts w:ascii="仿宋" w:eastAsia="仿宋" w:hAnsi="仿宋"/>
          <w:sz w:val="28"/>
          <w:szCs w:val="28"/>
          <w:lang w:eastAsia="zh-CN"/>
        </w:rPr>
        <w:t>100%</w:t>
      </w:r>
      <w:r>
        <w:rPr>
          <w:rFonts w:ascii="仿宋" w:eastAsia="仿宋" w:hAnsi="仿宋" w:hint="eastAsia"/>
          <w:sz w:val="28"/>
          <w:szCs w:val="28"/>
          <w:lang w:eastAsia="zh-CN"/>
        </w:rPr>
        <w:t>，且发行股份数量不超过本次募集配套资金股份发行前公司总股本的</w:t>
      </w:r>
      <w:r>
        <w:rPr>
          <w:rFonts w:ascii="仿宋" w:eastAsia="仿宋" w:hAnsi="仿宋"/>
          <w:sz w:val="28"/>
          <w:szCs w:val="28"/>
          <w:lang w:eastAsia="zh-CN"/>
        </w:rPr>
        <w:t>30%</w:t>
      </w:r>
      <w:r>
        <w:rPr>
          <w:rFonts w:ascii="仿宋" w:eastAsia="仿宋" w:hAnsi="仿宋" w:hint="eastAsia"/>
          <w:sz w:val="28"/>
          <w:szCs w:val="28"/>
          <w:lang w:eastAsia="zh-CN"/>
        </w:rPr>
        <w:t>。确定的发行规模及发行数量将在重组报告书中披露，最终发行规模及发行数量将在本次重组经深圳证券交易所审核通过并经中国证监会予以注册后，按照《上市公司证券发行注册管理办法》等的相关规定最终确定。</w:t>
      </w:r>
    </w:p>
    <w:p w14:paraId="51D1F75E"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在定价基准日至发行日期间，上市公司如有派息、送股、资本公积转增股本、配股等除权、除息事项，本次股份发行价格需进行调整的，本次发行股份数量也随之进行调整。</w:t>
      </w:r>
    </w:p>
    <w:p w14:paraId="29A60B97"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54835886"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6501F502" w14:textId="77777777" w:rsidR="00F24175" w:rsidRDefault="00000000">
      <w:pPr>
        <w:widowControl w:val="0"/>
        <w:numPr>
          <w:ilvl w:val="255"/>
          <w:numId w:val="0"/>
        </w:numPr>
        <w:jc w:val="both"/>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18.审议通过（二）本次交易的具体方案的“2、本次募集配套资金的具体方案”的（5）锁定期安排，具体情况如下：</w:t>
      </w:r>
    </w:p>
    <w:p w14:paraId="6E327870" w14:textId="77777777" w:rsidR="00F24175"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本次配套募集资金的认购方所认购的公司股份，自该等股份发行结束之日起</w:t>
      </w:r>
      <w:r>
        <w:rPr>
          <w:rFonts w:ascii="仿宋" w:eastAsia="仿宋" w:hAnsi="仿宋"/>
          <w:sz w:val="28"/>
          <w:szCs w:val="28"/>
          <w:lang w:eastAsia="zh-CN"/>
        </w:rPr>
        <w:t>18</w:t>
      </w:r>
      <w:r>
        <w:rPr>
          <w:rFonts w:ascii="仿宋" w:eastAsia="仿宋" w:hAnsi="仿宋" w:hint="eastAsia"/>
          <w:sz w:val="28"/>
          <w:szCs w:val="28"/>
          <w:lang w:eastAsia="zh-CN"/>
        </w:rPr>
        <w:t>个月内不得转让。</w:t>
      </w:r>
    </w:p>
    <w:p w14:paraId="753E8275"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上述锁定期内，配套募集资金认购方由于公司送股、转增股本等原因增持的公司股份，同时遵照上述锁定期进行锁定。如上述锁</w:t>
      </w:r>
      <w:r>
        <w:rPr>
          <w:rFonts w:ascii="仿宋" w:eastAsia="仿宋" w:hAnsi="仿宋" w:hint="eastAsia"/>
          <w:sz w:val="28"/>
          <w:szCs w:val="28"/>
          <w:lang w:eastAsia="zh-CN"/>
        </w:rPr>
        <w:lastRenderedPageBreak/>
        <w:t>定期的安排与中国证监会等监管部门的最新监管意见不符的，双方将根据监管部门的最新监管意见对锁定期安排予以调整。</w:t>
      </w:r>
    </w:p>
    <w:p w14:paraId="4C39BA8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20514B68"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6CE15A42" w14:textId="77777777" w:rsidR="00F24175" w:rsidRDefault="00000000">
      <w:pPr>
        <w:widowControl w:val="0"/>
        <w:numPr>
          <w:ilvl w:val="255"/>
          <w:numId w:val="0"/>
        </w:numPr>
        <w:jc w:val="both"/>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19.审议通过（二）本次交易的具体方案的“2、本次募集配套资金的具体方案”的（6）本次募集配套资金用途，具体情况如下：</w:t>
      </w:r>
    </w:p>
    <w:p w14:paraId="24094A3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募集配套资金拟用于支付本次交易现金对价、支付本次交易的中介机构费用、相关税费。</w:t>
      </w:r>
    </w:p>
    <w:p w14:paraId="3B03617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21FB04E0" w14:textId="77777777" w:rsidR="00F24175" w:rsidRDefault="00000000">
      <w:pPr>
        <w:spacing w:beforeLines="50" w:before="120" w:line="360" w:lineRule="auto"/>
        <w:ind w:firstLineChars="200" w:firstLine="560"/>
        <w:jc w:val="both"/>
        <w:rPr>
          <w:rFonts w:ascii="仿宋" w:eastAsia="仿宋" w:hAnsi="仿宋" w:hint="eastAsia"/>
          <w:b/>
          <w:bCs/>
          <w:sz w:val="28"/>
          <w:szCs w:val="28"/>
          <w:lang w:eastAsia="zh-CN"/>
        </w:rPr>
      </w:pPr>
      <w:r>
        <w:rPr>
          <w:rFonts w:ascii="仿宋" w:eastAsia="仿宋" w:hAnsi="仿宋"/>
          <w:sz w:val="28"/>
          <w:szCs w:val="28"/>
          <w:lang w:eastAsia="zh-CN"/>
        </w:rPr>
        <w:t>回避表决情况：3票回避，关联董事林明玲、马学沛、马翊珽回避表决。</w:t>
      </w:r>
    </w:p>
    <w:p w14:paraId="081404EE" w14:textId="77777777" w:rsidR="00F24175" w:rsidRDefault="00000000">
      <w:pPr>
        <w:widowControl w:val="0"/>
        <w:numPr>
          <w:ilvl w:val="255"/>
          <w:numId w:val="0"/>
        </w:numPr>
        <w:jc w:val="both"/>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20.审议通过（二）本次交易的具体方案的“2、本次募集配套资金的具体方案”的（7）滚存未分配利润的安排，具体情况如下：</w:t>
      </w:r>
    </w:p>
    <w:p w14:paraId="3C58A2DE"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公司在本次发行完成前的滚存未分配利润由本次发行完成后公司的新老股东共同享有。</w:t>
      </w:r>
    </w:p>
    <w:p w14:paraId="0D90F900"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议案表决结果：同意5票，反对票0票，</w:t>
      </w:r>
      <w:r>
        <w:rPr>
          <w:rFonts w:ascii="仿宋" w:eastAsia="仿宋" w:hAnsi="仿宋" w:hint="eastAsia"/>
          <w:sz w:val="28"/>
          <w:szCs w:val="28"/>
          <w:lang w:eastAsia="zh-CN"/>
        </w:rPr>
        <w:t>弃权0票。</w:t>
      </w:r>
    </w:p>
    <w:p w14:paraId="788ACE27"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回避表决情况：3票回避，关联董事林明玲、马学沛、马翊珽回避表决。</w:t>
      </w:r>
    </w:p>
    <w:p w14:paraId="3FF04F4B" w14:textId="77777777" w:rsidR="00F24175" w:rsidRDefault="00000000">
      <w:pPr>
        <w:widowControl w:val="0"/>
        <w:numPr>
          <w:ilvl w:val="255"/>
          <w:numId w:val="0"/>
        </w:numPr>
        <w:jc w:val="both"/>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21.审议通过（二）本次交易的具体方案的“2、本次募集配套资金的具体方案”的（8）决议有效期，具体情况如下：</w:t>
      </w:r>
    </w:p>
    <w:p w14:paraId="1151016B"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w:t>
      </w:r>
      <w:r>
        <w:rPr>
          <w:rFonts w:ascii="仿宋" w:eastAsia="仿宋" w:hAnsi="仿宋" w:hint="eastAsia"/>
          <w:sz w:val="28"/>
          <w:szCs w:val="28"/>
          <w:lang w:eastAsia="zh-CN"/>
        </w:rPr>
        <w:t>募集配套资金的</w:t>
      </w:r>
      <w:r>
        <w:rPr>
          <w:rFonts w:ascii="仿宋" w:eastAsia="仿宋" w:hAnsi="仿宋"/>
          <w:sz w:val="28"/>
          <w:szCs w:val="28"/>
          <w:lang w:eastAsia="zh-CN"/>
        </w:rPr>
        <w:t>方案的决议经公司股东会审议通过之日起12个月内有效。如本次交易在上述有效期内取得</w:t>
      </w:r>
      <w:r>
        <w:rPr>
          <w:rFonts w:ascii="仿宋" w:eastAsia="仿宋" w:hAnsi="仿宋" w:hint="eastAsia"/>
          <w:sz w:val="28"/>
          <w:szCs w:val="28"/>
          <w:lang w:eastAsia="zh-CN"/>
        </w:rPr>
        <w:t>深圳证券交易所</w:t>
      </w:r>
      <w:r>
        <w:rPr>
          <w:rFonts w:ascii="仿宋" w:eastAsia="仿宋" w:hAnsi="仿宋"/>
          <w:sz w:val="28"/>
          <w:szCs w:val="28"/>
          <w:lang w:eastAsia="zh-CN"/>
        </w:rPr>
        <w:t>审核通过并获得中国证监会同意注册的文件，则该有效期自动延长至本次交易实施完毕之日</w:t>
      </w:r>
      <w:r>
        <w:rPr>
          <w:rFonts w:ascii="仿宋" w:eastAsia="仿宋" w:hAnsi="仿宋" w:hint="eastAsia"/>
          <w:sz w:val="28"/>
          <w:szCs w:val="28"/>
          <w:lang w:eastAsia="zh-CN"/>
        </w:rPr>
        <w:t>。</w:t>
      </w:r>
    </w:p>
    <w:p w14:paraId="791D2DC9"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议案表决结果：同意5票，反对票0票，弃权0票。</w:t>
      </w:r>
    </w:p>
    <w:p w14:paraId="5B12079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回避表决情况：3票回避，关联董事林明玲、马学沛、马翊珽回避表决。</w:t>
      </w:r>
    </w:p>
    <w:p w14:paraId="43D74578"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5940876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47609766"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9" w:name="OLE_LINK6"/>
      <w:r>
        <w:rPr>
          <w:rFonts w:ascii="仿宋" w:eastAsia="仿宋" w:hAnsi="仿宋" w:cs="仿宋" w:hint="eastAsia"/>
          <w:b/>
          <w:bCs/>
          <w:snapToGrid/>
          <w:kern w:val="2"/>
          <w:sz w:val="28"/>
          <w:szCs w:val="28"/>
          <w:lang w:eastAsia="zh-CN"/>
        </w:rPr>
        <w:t>（三）</w:t>
      </w:r>
      <w:bookmarkEnd w:id="9"/>
      <w:r>
        <w:rPr>
          <w:rFonts w:ascii="仿宋" w:eastAsia="仿宋" w:hAnsi="仿宋" w:cs="仿宋"/>
          <w:b/>
          <w:bCs/>
          <w:snapToGrid/>
          <w:kern w:val="2"/>
          <w:sz w:val="28"/>
          <w:szCs w:val="28"/>
          <w:lang w:eastAsia="zh-CN"/>
        </w:rPr>
        <w:t>审议通过《关于&lt;</w:t>
      </w:r>
      <w:r>
        <w:rPr>
          <w:rFonts w:ascii="仿宋" w:eastAsia="仿宋" w:hAnsi="仿宋" w:cs="仿宋" w:hint="eastAsia"/>
          <w:b/>
          <w:bCs/>
          <w:snapToGrid/>
          <w:kern w:val="2"/>
          <w:sz w:val="28"/>
          <w:szCs w:val="28"/>
          <w:lang w:eastAsia="zh-CN"/>
        </w:rPr>
        <w:t>广东天亿马信息产业股份有限公司发行股份及支付现金购买资产并募集配套资金暨关联交易报告书（草案）</w:t>
      </w:r>
      <w:r>
        <w:rPr>
          <w:rFonts w:ascii="仿宋" w:eastAsia="仿宋" w:hAnsi="仿宋" w:cs="仿宋"/>
          <w:b/>
          <w:bCs/>
          <w:snapToGrid/>
          <w:kern w:val="2"/>
          <w:sz w:val="28"/>
          <w:szCs w:val="28"/>
          <w:lang w:eastAsia="zh-CN"/>
        </w:rPr>
        <w:t>&gt;及其摘要的议案》，具体情况如下：</w:t>
      </w:r>
    </w:p>
    <w:p w14:paraId="4EADDD2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根据《中华人民共和国公司法》《中华人民共和国证券法》《上市公司重大资产重组管理办法》《上市公司证券发行注册管理办法》《上市公司监管指引第9号——上市公司筹划和实施重大资产重组的监管要求》《公开发行证券的公司信息披露内容与格式准则第26号——上市公司重大资产重组》等法律法规和规范性文件的有关规定，公司编制了</w:t>
      </w:r>
      <w:r>
        <w:rPr>
          <w:rFonts w:ascii="仿宋" w:eastAsia="仿宋" w:hAnsi="仿宋" w:cs="仿宋" w:hint="eastAsia"/>
          <w:snapToGrid/>
          <w:kern w:val="2"/>
          <w:sz w:val="28"/>
          <w:szCs w:val="28"/>
          <w:lang w:eastAsia="zh-CN"/>
        </w:rPr>
        <w:t>《广东天亿马信息产业股份有限公司发行股份及支付现金购买资产并募集配套资金暨关联交易报告书（草案）》及其摘要，并将根据监管机关审核意见进行相应补充、修订（如需）。具体内容详见公司同日披露于巨潮资讯网（www.cninfo.com.cn）等法定披露媒体的《广东天亿马信息产业股份有限公司发行股份及支付现金购买资产并募集配套资金暨关联交易报告书（草案）》及摘要文件。</w:t>
      </w:r>
    </w:p>
    <w:p w14:paraId="62470C36"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1CDBC63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4F3091C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095F2C3F"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F56E3B5"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10" w:name="OLE_LINK7"/>
      <w:r>
        <w:rPr>
          <w:rFonts w:ascii="仿宋" w:eastAsia="仿宋" w:hAnsi="仿宋" w:cs="仿宋" w:hint="eastAsia"/>
          <w:b/>
          <w:bCs/>
          <w:snapToGrid/>
          <w:kern w:val="2"/>
          <w:sz w:val="28"/>
          <w:szCs w:val="28"/>
          <w:lang w:eastAsia="zh-CN"/>
        </w:rPr>
        <w:lastRenderedPageBreak/>
        <w:t>（四）</w:t>
      </w:r>
      <w:bookmarkEnd w:id="10"/>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关于签署附条件生效的</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发行股份及支付现金购买资产协议之补充协议</w:t>
      </w:r>
      <w:r>
        <w:rPr>
          <w:rFonts w:ascii="仿宋" w:eastAsia="仿宋" w:hAnsi="仿宋" w:cs="仿宋"/>
          <w:b/>
          <w:bCs/>
          <w:snapToGrid/>
          <w:kern w:val="2"/>
          <w:sz w:val="28"/>
          <w:szCs w:val="28"/>
          <w:lang w:eastAsia="zh-CN"/>
        </w:rPr>
        <w:t>&gt;&lt;</w:t>
      </w:r>
      <w:r>
        <w:rPr>
          <w:rFonts w:ascii="仿宋" w:eastAsia="仿宋" w:hAnsi="仿宋" w:cs="仿宋" w:hint="eastAsia"/>
          <w:b/>
          <w:bCs/>
          <w:snapToGrid/>
          <w:kern w:val="2"/>
          <w:sz w:val="28"/>
          <w:szCs w:val="28"/>
          <w:lang w:eastAsia="zh-CN"/>
        </w:rPr>
        <w:t>业绩承诺补偿协议书</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及</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附生效条件的股份认购协议</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的议案</w:t>
      </w:r>
      <w:r>
        <w:rPr>
          <w:rFonts w:ascii="仿宋" w:eastAsia="仿宋" w:hAnsi="仿宋" w:cs="仿宋"/>
          <w:b/>
          <w:bCs/>
          <w:snapToGrid/>
          <w:kern w:val="2"/>
          <w:sz w:val="28"/>
          <w:szCs w:val="28"/>
          <w:lang w:eastAsia="zh-CN"/>
        </w:rPr>
        <w:t>》，具体情况如下：</w:t>
      </w:r>
    </w:p>
    <w:p w14:paraId="28EC9C8F"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为明确公司与本次交易的交易对方在本次交易中的权利义务，公司已于</w:t>
      </w:r>
      <w:r>
        <w:rPr>
          <w:rFonts w:ascii="仿宋" w:eastAsia="仿宋" w:hAnsi="仿宋" w:cs="仿宋"/>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snapToGrid/>
          <w:kern w:val="2"/>
          <w:sz w:val="28"/>
          <w:szCs w:val="28"/>
          <w:lang w:eastAsia="zh-CN"/>
        </w:rPr>
        <w:t>6</w:t>
      </w:r>
      <w:r>
        <w:rPr>
          <w:rFonts w:ascii="仿宋" w:eastAsia="仿宋" w:hAnsi="仿宋" w:cs="仿宋" w:hint="eastAsia"/>
          <w:snapToGrid/>
          <w:kern w:val="2"/>
          <w:sz w:val="28"/>
          <w:szCs w:val="28"/>
          <w:lang w:eastAsia="zh-CN"/>
        </w:rPr>
        <w:t>月23日与交易对方、杨裕雄、公司实际控制人之一马学沛先生签署</w:t>
      </w:r>
      <w:r>
        <w:rPr>
          <w:rFonts w:ascii="仿宋" w:eastAsia="仿宋" w:hAnsi="仿宋" w:hint="eastAsia"/>
          <w:bCs/>
          <w:sz w:val="28"/>
          <w:szCs w:val="28"/>
          <w:lang w:eastAsia="zh-CN"/>
        </w:rPr>
        <w:t>附条件生效的</w:t>
      </w:r>
      <w:r>
        <w:rPr>
          <w:rFonts w:ascii="仿宋" w:eastAsia="仿宋" w:hAnsi="仿宋" w:cs="仿宋" w:hint="eastAsia"/>
          <w:snapToGrid/>
          <w:kern w:val="2"/>
          <w:sz w:val="28"/>
          <w:szCs w:val="28"/>
          <w:lang w:eastAsia="zh-CN"/>
        </w:rPr>
        <w:t>《发行股份及支付现金购买资产协议》。</w:t>
      </w:r>
    </w:p>
    <w:p w14:paraId="26F1CFF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根据</w:t>
      </w:r>
      <w:r>
        <w:rPr>
          <w:rFonts w:ascii="仿宋" w:eastAsia="仿宋" w:hAnsi="仿宋" w:hint="eastAsia"/>
          <w:bCs/>
          <w:sz w:val="28"/>
          <w:szCs w:val="28"/>
          <w:lang w:eastAsia="zh-CN"/>
        </w:rPr>
        <w:t>金证评估</w:t>
      </w:r>
      <w:r>
        <w:rPr>
          <w:rFonts w:ascii="仿宋" w:eastAsia="仿宋" w:hAnsi="仿宋" w:cs="仿宋" w:hint="eastAsia"/>
          <w:snapToGrid/>
          <w:kern w:val="2"/>
          <w:sz w:val="28"/>
          <w:szCs w:val="28"/>
          <w:lang w:eastAsia="zh-CN"/>
        </w:rPr>
        <w:t>出具的金证评报字（</w:t>
      </w:r>
      <w:r>
        <w:rPr>
          <w:rFonts w:ascii="仿宋" w:eastAsia="仿宋" w:hAnsi="仿宋" w:cs="仿宋"/>
          <w:snapToGrid/>
          <w:kern w:val="2"/>
          <w:sz w:val="28"/>
          <w:szCs w:val="28"/>
          <w:lang w:eastAsia="zh-CN"/>
        </w:rPr>
        <w:t>2025</w:t>
      </w:r>
      <w:r>
        <w:rPr>
          <w:rFonts w:ascii="仿宋" w:eastAsia="仿宋" w:hAnsi="仿宋" w:cs="仿宋" w:hint="eastAsia"/>
          <w:snapToGrid/>
          <w:kern w:val="2"/>
          <w:sz w:val="28"/>
          <w:szCs w:val="28"/>
          <w:lang w:eastAsia="zh-CN"/>
        </w:rPr>
        <w:t>）第</w:t>
      </w:r>
      <w:r>
        <w:rPr>
          <w:rFonts w:ascii="仿宋" w:eastAsia="仿宋" w:hAnsi="仿宋" w:cs="仿宋"/>
          <w:snapToGrid/>
          <w:kern w:val="2"/>
          <w:sz w:val="28"/>
          <w:szCs w:val="28"/>
          <w:lang w:eastAsia="zh-CN"/>
        </w:rPr>
        <w:t>0586</w:t>
      </w:r>
      <w:r>
        <w:rPr>
          <w:rFonts w:ascii="仿宋" w:eastAsia="仿宋" w:hAnsi="仿宋" w:cs="仿宋" w:hint="eastAsia"/>
          <w:snapToGrid/>
          <w:kern w:val="2"/>
          <w:sz w:val="28"/>
          <w:szCs w:val="28"/>
          <w:lang w:eastAsia="zh-CN"/>
        </w:rPr>
        <w:t>号《资产评估报告》，星云开物</w:t>
      </w:r>
      <w:r>
        <w:rPr>
          <w:rFonts w:ascii="仿宋" w:eastAsia="仿宋" w:hAnsi="仿宋" w:cs="仿宋"/>
          <w:snapToGrid/>
          <w:kern w:val="2"/>
          <w:sz w:val="28"/>
          <w:szCs w:val="28"/>
          <w:lang w:eastAsia="zh-CN"/>
        </w:rPr>
        <w:t>100%</w:t>
      </w:r>
      <w:r>
        <w:rPr>
          <w:rFonts w:ascii="仿宋" w:eastAsia="仿宋" w:hAnsi="仿宋" w:cs="仿宋" w:hint="eastAsia"/>
          <w:snapToGrid/>
          <w:kern w:val="2"/>
          <w:sz w:val="28"/>
          <w:szCs w:val="28"/>
          <w:lang w:eastAsia="zh-CN"/>
        </w:rPr>
        <w:t>股权采用收益法得出的评估结果为</w:t>
      </w:r>
      <w:r>
        <w:rPr>
          <w:rFonts w:ascii="仿宋" w:eastAsia="仿宋" w:hAnsi="仿宋" w:cs="仿宋"/>
          <w:snapToGrid/>
          <w:kern w:val="2"/>
          <w:sz w:val="28"/>
          <w:szCs w:val="28"/>
          <w:lang w:eastAsia="zh-CN"/>
        </w:rPr>
        <w:t>121,000.00</w:t>
      </w:r>
      <w:r>
        <w:rPr>
          <w:rFonts w:ascii="仿宋" w:eastAsia="仿宋" w:hAnsi="仿宋" w:cs="仿宋" w:hint="eastAsia"/>
          <w:snapToGrid/>
          <w:kern w:val="2"/>
          <w:sz w:val="28"/>
          <w:szCs w:val="28"/>
          <w:lang w:eastAsia="zh-CN"/>
        </w:rPr>
        <w:t>万元。参考该评估值，经各方协商一致后，星云开物</w:t>
      </w:r>
      <w:r>
        <w:rPr>
          <w:rFonts w:ascii="仿宋" w:eastAsia="仿宋" w:hAnsi="仿宋" w:cs="仿宋"/>
          <w:snapToGrid/>
          <w:kern w:val="2"/>
          <w:sz w:val="28"/>
          <w:szCs w:val="28"/>
          <w:lang w:eastAsia="zh-CN"/>
        </w:rPr>
        <w:t>98.5632%</w:t>
      </w:r>
      <w:r>
        <w:rPr>
          <w:rFonts w:ascii="仿宋" w:eastAsia="仿宋" w:hAnsi="仿宋" w:cs="仿宋" w:hint="eastAsia"/>
          <w:snapToGrid/>
          <w:kern w:val="2"/>
          <w:sz w:val="28"/>
          <w:szCs w:val="28"/>
          <w:lang w:eastAsia="zh-CN"/>
        </w:rPr>
        <w:t>股权交易作价确定为</w:t>
      </w:r>
      <w:r>
        <w:rPr>
          <w:rFonts w:ascii="仿宋" w:eastAsia="仿宋" w:hAnsi="仿宋" w:cs="仿宋"/>
          <w:snapToGrid/>
          <w:kern w:val="2"/>
          <w:sz w:val="28"/>
          <w:szCs w:val="28"/>
          <w:lang w:eastAsia="zh-CN"/>
        </w:rPr>
        <w:t>118,850.53</w:t>
      </w:r>
      <w:r>
        <w:rPr>
          <w:rFonts w:ascii="仿宋" w:eastAsia="仿宋" w:hAnsi="仿宋" w:cs="仿宋" w:hint="eastAsia"/>
          <w:snapToGrid/>
          <w:kern w:val="2"/>
          <w:sz w:val="28"/>
          <w:szCs w:val="28"/>
          <w:lang w:eastAsia="zh-CN"/>
        </w:rPr>
        <w:t>万元。各方通过签署</w:t>
      </w:r>
      <w:r>
        <w:rPr>
          <w:rFonts w:ascii="仿宋" w:eastAsia="仿宋" w:hAnsi="仿宋" w:hint="eastAsia"/>
          <w:bCs/>
          <w:sz w:val="28"/>
          <w:szCs w:val="28"/>
          <w:lang w:eastAsia="zh-CN"/>
        </w:rPr>
        <w:t>附条件生效的</w:t>
      </w:r>
      <w:r>
        <w:rPr>
          <w:rFonts w:ascii="仿宋" w:eastAsia="仿宋" w:hAnsi="仿宋" w:cs="仿宋" w:hint="eastAsia"/>
          <w:snapToGrid/>
          <w:kern w:val="2"/>
          <w:sz w:val="28"/>
          <w:szCs w:val="28"/>
          <w:lang w:eastAsia="zh-CN"/>
        </w:rPr>
        <w:t>《发行股份及支付现金购买资产协议之补充协议》的形式就本次交易标的资产的交易价格、股份发行数量及支付方式等相关事项作进一步的约定。</w:t>
      </w:r>
    </w:p>
    <w:p w14:paraId="4501DEE0"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同时，公司与交易对方中作为业绩承诺方的陈耿豪、杨凯然、张杰波、胡俊、王佳、乐摇、乐熙熙、乐哈哈、乐陶陶、乐</w:t>
      </w:r>
      <w:proofErr w:type="gramStart"/>
      <w:r>
        <w:rPr>
          <w:rFonts w:ascii="仿宋" w:eastAsia="仿宋" w:hAnsi="仿宋" w:cs="仿宋" w:hint="eastAsia"/>
          <w:snapToGrid/>
          <w:kern w:val="2"/>
          <w:sz w:val="28"/>
          <w:szCs w:val="28"/>
          <w:lang w:eastAsia="zh-CN"/>
        </w:rPr>
        <w:t>腾腾签署</w:t>
      </w:r>
      <w:proofErr w:type="gramEnd"/>
      <w:r>
        <w:rPr>
          <w:rFonts w:ascii="仿宋" w:eastAsia="仿宋" w:hAnsi="仿宋" w:cs="仿宋" w:hint="eastAsia"/>
          <w:snapToGrid/>
          <w:kern w:val="2"/>
          <w:sz w:val="28"/>
          <w:szCs w:val="28"/>
          <w:lang w:eastAsia="zh-CN"/>
        </w:rPr>
        <w:t>《发行股份及支付现金购买资产的业绩承诺补偿协议书》。协议约定，若标的资产在承诺期内未达成约定的业绩目标，交易对方将按约定方式和计算公式向</w:t>
      </w:r>
      <w:proofErr w:type="gramStart"/>
      <w:r>
        <w:rPr>
          <w:rFonts w:ascii="仿宋" w:eastAsia="仿宋" w:hAnsi="仿宋" w:cs="仿宋" w:hint="eastAsia"/>
          <w:snapToGrid/>
          <w:kern w:val="2"/>
          <w:sz w:val="28"/>
          <w:szCs w:val="28"/>
          <w:lang w:eastAsia="zh-CN"/>
        </w:rPr>
        <w:t>天亿马</w:t>
      </w:r>
      <w:proofErr w:type="gramEnd"/>
      <w:r>
        <w:rPr>
          <w:rFonts w:ascii="仿宋" w:eastAsia="仿宋" w:hAnsi="仿宋" w:cs="仿宋" w:hint="eastAsia"/>
          <w:snapToGrid/>
          <w:kern w:val="2"/>
          <w:sz w:val="28"/>
          <w:szCs w:val="28"/>
          <w:lang w:eastAsia="zh-CN"/>
        </w:rPr>
        <w:t>进行现金或股份补偿。</w:t>
      </w:r>
    </w:p>
    <w:p w14:paraId="37C5500A"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为确保募集配套资金的顺利实施，公司与特定认购对象马学沛先生签署《附生效条件的股份认购协议》。此项安排锁定了本轮融资的认购额度与价格，有效保障了募资计划的顺利进行；同时，将协议生效与重组交易的最终批准相绑定，也充分保护了上市公司及全体股东的利益。</w:t>
      </w:r>
    </w:p>
    <w:p w14:paraId="7ED043A0"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具体内容详见公司同日发布于巨潮资讯网（www.cninfo.com.cn）等法定信息披露媒体的《广东天亿马信息产业股份有限公司关于公</w:t>
      </w:r>
      <w:r>
        <w:rPr>
          <w:rFonts w:ascii="仿宋" w:eastAsia="仿宋" w:hAnsi="仿宋" w:cs="仿宋" w:hint="eastAsia"/>
          <w:snapToGrid/>
          <w:kern w:val="2"/>
          <w:sz w:val="28"/>
          <w:szCs w:val="28"/>
          <w:lang w:eastAsia="zh-CN"/>
        </w:rPr>
        <w:lastRenderedPageBreak/>
        <w:t>司与实际控制人签署附生效条件的股份认购协议暨关联交易的公告》（公告编号：2025-094）及相关公告。</w:t>
      </w:r>
    </w:p>
    <w:p w14:paraId="60301CA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0AFF95D6"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1B38677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6988E685"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6784CAD" w14:textId="77777777" w:rsidR="00F24175" w:rsidRDefault="00000000">
      <w:pPr>
        <w:widowControl w:val="0"/>
        <w:numPr>
          <w:ilvl w:val="0"/>
          <w:numId w:val="1"/>
        </w:numPr>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b/>
          <w:bCs/>
          <w:snapToGrid/>
          <w:kern w:val="2"/>
          <w:sz w:val="28"/>
          <w:szCs w:val="28"/>
          <w:lang w:eastAsia="zh-CN"/>
        </w:rPr>
        <w:t>审议通过《关于本次交易构成关联交易</w:t>
      </w:r>
      <w:r>
        <w:rPr>
          <w:rFonts w:ascii="仿宋" w:eastAsia="仿宋" w:hAnsi="仿宋" w:cs="仿宋" w:hint="eastAsia"/>
          <w:b/>
          <w:bCs/>
          <w:snapToGrid/>
          <w:kern w:val="2"/>
          <w:sz w:val="28"/>
          <w:szCs w:val="28"/>
          <w:lang w:eastAsia="zh-CN"/>
        </w:rPr>
        <w:t>情况</w:t>
      </w:r>
      <w:r>
        <w:rPr>
          <w:rFonts w:ascii="仿宋" w:eastAsia="仿宋" w:hAnsi="仿宋" w:cs="仿宋"/>
          <w:b/>
          <w:bCs/>
          <w:snapToGrid/>
          <w:kern w:val="2"/>
          <w:sz w:val="28"/>
          <w:szCs w:val="28"/>
          <w:lang w:eastAsia="zh-CN"/>
        </w:rPr>
        <w:t>的议案》，具体情况如下：</w:t>
      </w:r>
    </w:p>
    <w:p w14:paraId="49CE2A7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z w:val="28"/>
          <w:szCs w:val="28"/>
          <w:lang w:eastAsia="zh-CN"/>
        </w:rPr>
        <w:t>本次发行股份及支付现金购买资产前，交易对方与公司不存在关联关系；本次发行股份及支付现金购买资产完成后，预计无交易对方持有上市公司股份超过5%。因此，根据《深圳证券交易所创业板股票上市规则》相关规定，本次发行股份及支付现金购买资产不构成关联交易</w:t>
      </w:r>
      <w:r>
        <w:rPr>
          <w:rFonts w:ascii="仿宋" w:eastAsia="仿宋" w:hAnsi="仿宋" w:cs="仿宋" w:hint="eastAsia"/>
          <w:sz w:val="28"/>
          <w:szCs w:val="28"/>
          <w:lang w:eastAsia="zh-CN"/>
        </w:rPr>
        <w:t>。</w:t>
      </w:r>
    </w:p>
    <w:p w14:paraId="3CA9E6B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本次发行股份募集配套资金的发行对象马学沛先生为公司实际控制人之一，因此，根据《深圳证券交易所创业板股票上市规则》相关规定，本次募集配套资金构成关联交易。</w:t>
      </w:r>
    </w:p>
    <w:p w14:paraId="1906995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4D621B5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114A73F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1B26051B"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82B4625"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（六）</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关于本次交易符合</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上市公司重大资产重组管理办法</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第十一条、第四十三条和第四十四条规定的议案</w:t>
      </w:r>
      <w:r>
        <w:rPr>
          <w:rFonts w:ascii="仿宋" w:eastAsia="仿宋" w:hAnsi="仿宋" w:cs="仿宋"/>
          <w:b/>
          <w:bCs/>
          <w:snapToGrid/>
          <w:kern w:val="2"/>
          <w:sz w:val="28"/>
          <w:szCs w:val="28"/>
          <w:lang w:eastAsia="zh-CN"/>
        </w:rPr>
        <w:t>》，具体情</w:t>
      </w:r>
      <w:r>
        <w:rPr>
          <w:rFonts w:ascii="仿宋" w:eastAsia="仿宋" w:hAnsi="仿宋" w:cs="仿宋"/>
          <w:b/>
          <w:bCs/>
          <w:snapToGrid/>
          <w:kern w:val="2"/>
          <w:sz w:val="28"/>
          <w:szCs w:val="28"/>
          <w:lang w:eastAsia="zh-CN"/>
        </w:rPr>
        <w:lastRenderedPageBreak/>
        <w:t>况如下：</w:t>
      </w:r>
    </w:p>
    <w:p w14:paraId="2581350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公司对本次交易进行审查，经认真对照并经审慎判断，认为本次交易符合《上市公司重大资产重组管理办法》第十一条、第四十三条和第四十四条的规定。具体内容详见公司同日发布于巨潮资讯网（www.cninfo.com.cn）等法定信息披露媒体的相关说明。</w:t>
      </w:r>
    </w:p>
    <w:p w14:paraId="10B183F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0C9239AB"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16D2339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71B814C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A2A45D8"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（七）</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关于本次交易符合</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上市公司监管指引第</w:t>
      </w:r>
      <w:r>
        <w:rPr>
          <w:rFonts w:ascii="仿宋" w:eastAsia="仿宋" w:hAnsi="仿宋" w:cs="仿宋"/>
          <w:b/>
          <w:bCs/>
          <w:snapToGrid/>
          <w:kern w:val="2"/>
          <w:sz w:val="28"/>
          <w:szCs w:val="28"/>
          <w:lang w:eastAsia="zh-CN"/>
        </w:rPr>
        <w:t>9</w:t>
      </w:r>
      <w:r>
        <w:rPr>
          <w:rFonts w:ascii="仿宋" w:eastAsia="仿宋" w:hAnsi="仿宋" w:cs="仿宋" w:hint="eastAsia"/>
          <w:b/>
          <w:bCs/>
          <w:snapToGrid/>
          <w:kern w:val="2"/>
          <w:sz w:val="28"/>
          <w:szCs w:val="28"/>
          <w:lang w:eastAsia="zh-CN"/>
        </w:rPr>
        <w:t>号——上市公司筹划和实施重大资产重组的监管要求</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第四条规定的议案</w:t>
      </w:r>
      <w:r>
        <w:rPr>
          <w:rFonts w:ascii="仿宋" w:eastAsia="仿宋" w:hAnsi="仿宋" w:cs="仿宋"/>
          <w:b/>
          <w:bCs/>
          <w:snapToGrid/>
          <w:kern w:val="2"/>
          <w:sz w:val="28"/>
          <w:szCs w:val="28"/>
          <w:lang w:eastAsia="zh-CN"/>
        </w:rPr>
        <w:t>》，具体情况如下：</w:t>
      </w:r>
    </w:p>
    <w:p w14:paraId="698EE88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公司</w:t>
      </w:r>
      <w:r>
        <w:rPr>
          <w:rFonts w:ascii="仿宋" w:eastAsia="仿宋" w:hAnsi="仿宋" w:cs="仿宋" w:hint="eastAsia"/>
          <w:snapToGrid/>
          <w:kern w:val="2"/>
          <w:sz w:val="28"/>
          <w:szCs w:val="28"/>
          <w:lang w:eastAsia="zh-CN"/>
        </w:rPr>
        <w:t>董事会</w:t>
      </w:r>
      <w:r>
        <w:rPr>
          <w:rFonts w:ascii="仿宋" w:eastAsia="仿宋" w:hAnsi="仿宋" w:cs="仿宋"/>
          <w:snapToGrid/>
          <w:kern w:val="2"/>
          <w:sz w:val="28"/>
          <w:szCs w:val="28"/>
          <w:lang w:eastAsia="zh-CN"/>
        </w:rPr>
        <w:t>对本次交易进行审查，经认真对照并审慎判断，认为本次交易符合</w:t>
      </w:r>
      <w:r>
        <w:rPr>
          <w:rFonts w:ascii="仿宋" w:eastAsia="仿宋" w:hAnsi="仿宋" w:hint="eastAsia"/>
          <w:sz w:val="28"/>
          <w:szCs w:val="28"/>
          <w:lang w:eastAsia="zh-CN"/>
        </w:rPr>
        <w:t>《上市公司监管指引第9号—上市公司筹划和实施重大资产重组的监管要求》第四条</w:t>
      </w:r>
      <w:r>
        <w:rPr>
          <w:rFonts w:ascii="仿宋" w:eastAsia="仿宋" w:hAnsi="仿宋" w:cs="仿宋"/>
          <w:snapToGrid/>
          <w:kern w:val="2"/>
          <w:sz w:val="28"/>
          <w:szCs w:val="28"/>
          <w:lang w:eastAsia="zh-CN"/>
        </w:rPr>
        <w:t>的</w:t>
      </w:r>
      <w:r>
        <w:rPr>
          <w:rFonts w:ascii="仿宋" w:eastAsia="仿宋" w:hAnsi="仿宋" w:cs="仿宋" w:hint="eastAsia"/>
          <w:snapToGrid/>
          <w:kern w:val="2"/>
          <w:sz w:val="28"/>
          <w:szCs w:val="28"/>
          <w:lang w:eastAsia="zh-CN"/>
        </w:rPr>
        <w:t>相关</w:t>
      </w:r>
      <w:r>
        <w:rPr>
          <w:rFonts w:ascii="仿宋" w:eastAsia="仿宋" w:hAnsi="仿宋" w:cs="仿宋"/>
          <w:snapToGrid/>
          <w:kern w:val="2"/>
          <w:sz w:val="28"/>
          <w:szCs w:val="28"/>
          <w:lang w:eastAsia="zh-CN"/>
        </w:rPr>
        <w:t>规定</w:t>
      </w:r>
      <w:r>
        <w:rPr>
          <w:rFonts w:ascii="仿宋" w:eastAsia="仿宋" w:hAnsi="仿宋" w:cs="仿宋" w:hint="eastAsia"/>
          <w:snapToGrid/>
          <w:kern w:val="2"/>
          <w:sz w:val="28"/>
          <w:szCs w:val="28"/>
          <w:lang w:eastAsia="zh-CN"/>
        </w:rPr>
        <w:t>。</w:t>
      </w:r>
      <w:bookmarkStart w:id="11" w:name="OLE_LINK27"/>
      <w:bookmarkStart w:id="12" w:name="OLE_LINK8"/>
      <w:r>
        <w:rPr>
          <w:rFonts w:ascii="仿宋" w:eastAsia="仿宋" w:hAnsi="仿宋" w:cs="仿宋" w:hint="eastAsia"/>
          <w:snapToGrid/>
          <w:kern w:val="2"/>
          <w:sz w:val="28"/>
          <w:szCs w:val="28"/>
          <w:lang w:eastAsia="zh-CN"/>
        </w:rPr>
        <w:t>具体内容详见公司同日发布于巨潮资讯网（www.cninfo.com.cn）等</w:t>
      </w:r>
      <w:bookmarkStart w:id="13" w:name="OLE_LINK9"/>
      <w:r>
        <w:rPr>
          <w:rFonts w:ascii="仿宋" w:eastAsia="仿宋" w:hAnsi="仿宋" w:cs="仿宋" w:hint="eastAsia"/>
          <w:snapToGrid/>
          <w:kern w:val="2"/>
          <w:sz w:val="28"/>
          <w:szCs w:val="28"/>
          <w:lang w:eastAsia="zh-CN"/>
        </w:rPr>
        <w:t>法定信息披露媒体的相关</w:t>
      </w:r>
      <w:bookmarkEnd w:id="13"/>
      <w:r>
        <w:rPr>
          <w:rFonts w:ascii="仿宋" w:eastAsia="仿宋" w:hAnsi="仿宋" w:cs="仿宋" w:hint="eastAsia"/>
          <w:snapToGrid/>
          <w:kern w:val="2"/>
          <w:sz w:val="28"/>
          <w:szCs w:val="28"/>
          <w:lang w:eastAsia="zh-CN"/>
        </w:rPr>
        <w:t>说明。</w:t>
      </w:r>
    </w:p>
    <w:bookmarkEnd w:id="11"/>
    <w:bookmarkEnd w:id="12"/>
    <w:p w14:paraId="706188C6"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1542A0A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7AD21567"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3077EF36"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B15400A"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（八）</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关于本次交易符合</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上市公司证券发行注册管</w:t>
      </w:r>
      <w:r>
        <w:rPr>
          <w:rFonts w:ascii="仿宋" w:eastAsia="仿宋" w:hAnsi="仿宋" w:cs="仿宋" w:hint="eastAsia"/>
          <w:b/>
          <w:bCs/>
          <w:snapToGrid/>
          <w:kern w:val="2"/>
          <w:sz w:val="28"/>
          <w:szCs w:val="28"/>
          <w:lang w:eastAsia="zh-CN"/>
        </w:rPr>
        <w:lastRenderedPageBreak/>
        <w:t>理办法</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第十一条规定的议案</w:t>
      </w:r>
      <w:r>
        <w:rPr>
          <w:rFonts w:ascii="仿宋" w:eastAsia="仿宋" w:hAnsi="仿宋" w:cs="仿宋"/>
          <w:b/>
          <w:bCs/>
          <w:snapToGrid/>
          <w:kern w:val="2"/>
          <w:sz w:val="28"/>
          <w:szCs w:val="28"/>
          <w:lang w:eastAsia="zh-CN"/>
        </w:rPr>
        <w:t>》，具体情况如下：</w:t>
      </w:r>
    </w:p>
    <w:p w14:paraId="2356FBF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bookmarkStart w:id="14" w:name="OLE_LINK10"/>
      <w:r>
        <w:rPr>
          <w:rFonts w:ascii="仿宋" w:eastAsia="仿宋" w:hAnsi="仿宋" w:cs="仿宋"/>
          <w:snapToGrid/>
          <w:kern w:val="2"/>
          <w:sz w:val="28"/>
          <w:szCs w:val="28"/>
          <w:lang w:eastAsia="zh-CN"/>
        </w:rPr>
        <w:t>公司董事会对本次交易进行审查，经认真对照并审慎判断，</w:t>
      </w:r>
      <w:r>
        <w:rPr>
          <w:rFonts w:ascii="仿宋" w:eastAsia="仿宋" w:hAnsi="仿宋" w:cs="仿宋" w:hint="eastAsia"/>
          <w:snapToGrid/>
          <w:kern w:val="2"/>
          <w:sz w:val="28"/>
          <w:szCs w:val="28"/>
          <w:lang w:eastAsia="zh-CN"/>
        </w:rPr>
        <w:t>认为</w:t>
      </w:r>
      <w:bookmarkEnd w:id="14"/>
      <w:r>
        <w:rPr>
          <w:rFonts w:ascii="仿宋" w:eastAsia="仿宋" w:hAnsi="仿宋" w:cs="仿宋"/>
          <w:snapToGrid/>
          <w:kern w:val="2"/>
          <w:sz w:val="28"/>
          <w:szCs w:val="28"/>
          <w:lang w:eastAsia="zh-CN"/>
        </w:rPr>
        <w:t>本次交易符合《上市公司证券发行注册管理办法》第十一条的规定，</w:t>
      </w:r>
      <w:r>
        <w:rPr>
          <w:rFonts w:ascii="仿宋" w:eastAsia="仿宋" w:hAnsi="仿宋" w:cs="仿宋" w:hint="eastAsia"/>
          <w:snapToGrid/>
          <w:kern w:val="2"/>
          <w:sz w:val="28"/>
          <w:szCs w:val="28"/>
          <w:lang w:eastAsia="zh-CN"/>
        </w:rPr>
        <w:t>公司</w:t>
      </w:r>
      <w:r>
        <w:rPr>
          <w:rFonts w:ascii="仿宋" w:eastAsia="仿宋" w:hAnsi="仿宋" w:cs="仿宋"/>
          <w:snapToGrid/>
          <w:kern w:val="2"/>
          <w:sz w:val="28"/>
          <w:szCs w:val="28"/>
          <w:lang w:eastAsia="zh-CN"/>
        </w:rPr>
        <w:t>不存在《上市公司证券发行注册管理办法》第十一条规定的不得向特定对象发行股票的情形</w:t>
      </w:r>
      <w:r>
        <w:rPr>
          <w:rFonts w:ascii="仿宋" w:eastAsia="仿宋" w:hAnsi="仿宋" w:cs="仿宋" w:hint="eastAsia"/>
          <w:snapToGrid/>
          <w:kern w:val="2"/>
          <w:sz w:val="28"/>
          <w:szCs w:val="28"/>
          <w:lang w:eastAsia="zh-CN"/>
        </w:rPr>
        <w:t>。</w:t>
      </w:r>
      <w:bookmarkStart w:id="15" w:name="OLE_LINK11"/>
      <w:r>
        <w:rPr>
          <w:rFonts w:ascii="仿宋" w:eastAsia="仿宋" w:hAnsi="仿宋" w:cs="仿宋"/>
          <w:snapToGrid/>
          <w:kern w:val="2"/>
          <w:sz w:val="28"/>
          <w:szCs w:val="28"/>
          <w:lang w:eastAsia="zh-CN"/>
        </w:rPr>
        <w:t>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p>
    <w:bookmarkEnd w:id="15"/>
    <w:p w14:paraId="7037852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04BC91A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1E2F808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2445F51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6BC40EF4"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snapToGrid/>
          <w:kern w:val="2"/>
          <w:sz w:val="28"/>
          <w:szCs w:val="28"/>
          <w:lang w:eastAsia="zh-CN"/>
        </w:rPr>
      </w:pPr>
      <w:bookmarkStart w:id="16" w:name="OLE_LINK13"/>
      <w:r>
        <w:rPr>
          <w:rFonts w:ascii="仿宋" w:eastAsia="仿宋" w:hAnsi="仿宋" w:cs="仿宋" w:hint="eastAsia"/>
          <w:b/>
          <w:bCs/>
          <w:snapToGrid/>
          <w:kern w:val="2"/>
          <w:sz w:val="28"/>
          <w:szCs w:val="28"/>
          <w:lang w:eastAsia="zh-CN"/>
        </w:rPr>
        <w:t>（九）</w:t>
      </w:r>
      <w:bookmarkEnd w:id="16"/>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关于本次交易符合</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创业板上市公司持续监管办法（试行）</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第十八条、第二十一条以及</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深圳证券交易所上市公司重大资产重组审核规则</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第八条规定的议案</w:t>
      </w:r>
      <w:r>
        <w:rPr>
          <w:rFonts w:ascii="仿宋" w:eastAsia="仿宋" w:hAnsi="仿宋" w:cs="仿宋"/>
          <w:b/>
          <w:bCs/>
          <w:snapToGrid/>
          <w:kern w:val="2"/>
          <w:sz w:val="28"/>
          <w:szCs w:val="28"/>
          <w:lang w:eastAsia="zh-CN"/>
        </w:rPr>
        <w:t>》，具体情况如下：</w:t>
      </w:r>
    </w:p>
    <w:p w14:paraId="759E219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公司经认真对照并经审慎判断，认为公司符合《创业板上市公司持续监管办法（试行）》第十八条、第二十一条以及《深圳证券交易所上市公司重大资产重组审核规则》第八条的</w:t>
      </w:r>
      <w:r>
        <w:rPr>
          <w:rFonts w:ascii="仿宋" w:eastAsia="仿宋" w:hAnsi="仿宋" w:cs="仿宋"/>
          <w:snapToGrid/>
          <w:kern w:val="2"/>
          <w:sz w:val="28"/>
          <w:szCs w:val="28"/>
          <w:lang w:eastAsia="zh-CN"/>
        </w:rPr>
        <w:t>相关规定。</w:t>
      </w:r>
      <w:bookmarkStart w:id="17" w:name="OLE_LINK12"/>
      <w:r>
        <w:rPr>
          <w:rFonts w:ascii="仿宋" w:eastAsia="仿宋" w:hAnsi="仿宋" w:cs="仿宋"/>
          <w:snapToGrid/>
          <w:kern w:val="2"/>
          <w:sz w:val="28"/>
          <w:szCs w:val="28"/>
          <w:lang w:eastAsia="zh-CN"/>
        </w:rPr>
        <w:t>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p>
    <w:bookmarkEnd w:id="17"/>
    <w:p w14:paraId="74A7DEB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32002E08"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2890290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color w:val="FF0000"/>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1B49E4F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23CED57"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lastRenderedPageBreak/>
        <w:t>（十）</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关于本次交易相关主体不存在依据</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上市公司监管指引第</w:t>
      </w:r>
      <w:r>
        <w:rPr>
          <w:rFonts w:ascii="仿宋" w:eastAsia="仿宋" w:hAnsi="仿宋" w:cs="仿宋"/>
          <w:b/>
          <w:bCs/>
          <w:snapToGrid/>
          <w:kern w:val="2"/>
          <w:sz w:val="28"/>
          <w:szCs w:val="28"/>
          <w:lang w:eastAsia="zh-CN"/>
        </w:rPr>
        <w:t>7</w:t>
      </w:r>
      <w:r>
        <w:rPr>
          <w:rFonts w:ascii="仿宋" w:eastAsia="仿宋" w:hAnsi="仿宋" w:cs="仿宋" w:hint="eastAsia"/>
          <w:b/>
          <w:bCs/>
          <w:snapToGrid/>
          <w:kern w:val="2"/>
          <w:sz w:val="28"/>
          <w:szCs w:val="28"/>
          <w:lang w:eastAsia="zh-CN"/>
        </w:rPr>
        <w:t>号—上市公司重大资产重组相关股票异常交易监管</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第十二条以及</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深圳证券交易所上市公司自律监管指引第</w:t>
      </w:r>
      <w:r>
        <w:rPr>
          <w:rFonts w:ascii="仿宋" w:eastAsia="仿宋" w:hAnsi="仿宋" w:cs="仿宋"/>
          <w:b/>
          <w:bCs/>
          <w:snapToGrid/>
          <w:kern w:val="2"/>
          <w:sz w:val="28"/>
          <w:szCs w:val="28"/>
          <w:lang w:eastAsia="zh-CN"/>
        </w:rPr>
        <w:t xml:space="preserve"> 8 </w:t>
      </w:r>
      <w:r>
        <w:rPr>
          <w:rFonts w:ascii="仿宋" w:eastAsia="仿宋" w:hAnsi="仿宋" w:cs="仿宋" w:hint="eastAsia"/>
          <w:b/>
          <w:bCs/>
          <w:snapToGrid/>
          <w:kern w:val="2"/>
          <w:sz w:val="28"/>
          <w:szCs w:val="28"/>
          <w:lang w:eastAsia="zh-CN"/>
        </w:rPr>
        <w:t>号——重大资产重组</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第三十条规定的不得参与任何上市公司重大资产重组情形的议案</w:t>
      </w:r>
      <w:r>
        <w:rPr>
          <w:rFonts w:ascii="仿宋" w:eastAsia="仿宋" w:hAnsi="仿宋" w:cs="仿宋"/>
          <w:b/>
          <w:bCs/>
          <w:snapToGrid/>
          <w:kern w:val="2"/>
          <w:sz w:val="28"/>
          <w:szCs w:val="28"/>
          <w:lang w:eastAsia="zh-CN"/>
        </w:rPr>
        <w:t>》，具体情况如下：</w:t>
      </w:r>
    </w:p>
    <w:p w14:paraId="55D1780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bookmarkStart w:id="18" w:name="OLE_LINK14"/>
      <w:r>
        <w:rPr>
          <w:rFonts w:ascii="仿宋" w:eastAsia="仿宋" w:hAnsi="仿宋" w:hint="eastAsia"/>
          <w:sz w:val="28"/>
          <w:szCs w:val="28"/>
          <w:lang w:eastAsia="zh-CN"/>
        </w:rPr>
        <w:t>经公司董事会</w:t>
      </w:r>
      <w:bookmarkEnd w:id="18"/>
      <w:r>
        <w:rPr>
          <w:rFonts w:ascii="仿宋" w:eastAsia="仿宋" w:hAnsi="仿宋" w:hint="eastAsia"/>
          <w:sz w:val="28"/>
          <w:szCs w:val="28"/>
          <w:lang w:eastAsia="zh-CN"/>
        </w:rPr>
        <w:t>核查，截至本次董事会召开之日，本次交易相关主体均不存在《上市公司监管指引第</w:t>
      </w:r>
      <w:r>
        <w:rPr>
          <w:rFonts w:ascii="仿宋" w:eastAsia="仿宋" w:hAnsi="仿宋"/>
          <w:sz w:val="28"/>
          <w:szCs w:val="28"/>
          <w:lang w:eastAsia="zh-CN"/>
        </w:rPr>
        <w:t>7</w:t>
      </w:r>
      <w:r>
        <w:rPr>
          <w:rFonts w:ascii="仿宋" w:eastAsia="仿宋" w:hAnsi="仿宋" w:hint="eastAsia"/>
          <w:sz w:val="28"/>
          <w:szCs w:val="28"/>
          <w:lang w:eastAsia="zh-CN"/>
        </w:rPr>
        <w:t>号—上市公司重大资产重组相关股票异常交易监管》第十二条以及《深圳证券交易所上市公司自律监管指引第</w:t>
      </w:r>
      <w:r>
        <w:rPr>
          <w:rFonts w:ascii="仿宋" w:eastAsia="仿宋" w:hAnsi="仿宋"/>
          <w:sz w:val="28"/>
          <w:szCs w:val="28"/>
          <w:lang w:eastAsia="zh-CN"/>
        </w:rPr>
        <w:t>8</w:t>
      </w:r>
      <w:r>
        <w:rPr>
          <w:rFonts w:ascii="仿宋" w:eastAsia="仿宋" w:hAnsi="仿宋" w:hint="eastAsia"/>
          <w:sz w:val="28"/>
          <w:szCs w:val="28"/>
          <w:lang w:eastAsia="zh-CN"/>
        </w:rPr>
        <w:t>号——重大资产重组》第三十条规定的情形，即不存在因涉嫌重大资产重组相关的内幕交易被立案调查或者立案侦查的情况，或最近</w:t>
      </w:r>
      <w:r>
        <w:rPr>
          <w:rFonts w:ascii="仿宋" w:eastAsia="仿宋" w:hAnsi="仿宋"/>
          <w:sz w:val="28"/>
          <w:szCs w:val="28"/>
          <w:lang w:eastAsia="zh-CN"/>
        </w:rPr>
        <w:t>36</w:t>
      </w:r>
      <w:r>
        <w:rPr>
          <w:rFonts w:ascii="仿宋" w:eastAsia="仿宋" w:hAnsi="仿宋" w:hint="eastAsia"/>
          <w:sz w:val="28"/>
          <w:szCs w:val="28"/>
          <w:lang w:eastAsia="zh-CN"/>
        </w:rPr>
        <w:t>个月内被中国证券监督管理委员会</w:t>
      </w:r>
      <w:proofErr w:type="gramStart"/>
      <w:r>
        <w:rPr>
          <w:rFonts w:ascii="仿宋" w:eastAsia="仿宋" w:hAnsi="仿宋" w:hint="eastAsia"/>
          <w:sz w:val="28"/>
          <w:szCs w:val="28"/>
          <w:lang w:eastAsia="zh-CN"/>
        </w:rPr>
        <w:t>作出</w:t>
      </w:r>
      <w:proofErr w:type="gramEnd"/>
      <w:r>
        <w:rPr>
          <w:rFonts w:ascii="仿宋" w:eastAsia="仿宋" w:hAnsi="仿宋" w:hint="eastAsia"/>
          <w:sz w:val="28"/>
          <w:szCs w:val="28"/>
          <w:lang w:eastAsia="zh-CN"/>
        </w:rPr>
        <w:t>行政处罚或者司法机关依法追究刑事责任而不得参与任何上市公司重大资产重组的情形。具体内容详见公司同日发布于巨潮资讯网（www.cninfo.com.cn）等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p>
    <w:p w14:paraId="12B6351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4121F19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586E60C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00321F9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8F42CF0"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19" w:name="OLE_LINK15"/>
      <w:r>
        <w:rPr>
          <w:rFonts w:ascii="仿宋" w:eastAsia="仿宋" w:hAnsi="仿宋" w:cs="仿宋" w:hint="eastAsia"/>
          <w:b/>
          <w:bCs/>
          <w:snapToGrid/>
          <w:kern w:val="2"/>
          <w:sz w:val="28"/>
          <w:szCs w:val="28"/>
          <w:lang w:eastAsia="zh-CN"/>
        </w:rPr>
        <w:t>（十一）</w:t>
      </w:r>
      <w:bookmarkEnd w:id="19"/>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关于本次交易构成</w:t>
      </w:r>
      <w:r>
        <w:rPr>
          <w:rFonts w:ascii="仿宋" w:eastAsia="仿宋" w:hAnsi="仿宋" w:cs="仿宋"/>
          <w:b/>
          <w:bCs/>
          <w:snapToGrid/>
          <w:kern w:val="2"/>
          <w:sz w:val="28"/>
          <w:szCs w:val="28"/>
          <w:lang w:eastAsia="zh-CN"/>
        </w:rPr>
        <w:t>&lt;</w:t>
      </w:r>
      <w:r>
        <w:rPr>
          <w:rFonts w:ascii="仿宋" w:eastAsia="仿宋" w:hAnsi="仿宋" w:cs="仿宋" w:hint="eastAsia"/>
          <w:b/>
          <w:bCs/>
          <w:snapToGrid/>
          <w:kern w:val="2"/>
          <w:sz w:val="28"/>
          <w:szCs w:val="28"/>
          <w:lang w:eastAsia="zh-CN"/>
        </w:rPr>
        <w:t>上市公司重大资产重组管理办法</w:t>
      </w:r>
      <w:r>
        <w:rPr>
          <w:rFonts w:ascii="仿宋" w:eastAsia="仿宋" w:hAnsi="仿宋" w:cs="仿宋"/>
          <w:b/>
          <w:bCs/>
          <w:snapToGrid/>
          <w:kern w:val="2"/>
          <w:sz w:val="28"/>
          <w:szCs w:val="28"/>
          <w:lang w:eastAsia="zh-CN"/>
        </w:rPr>
        <w:t>&gt;</w:t>
      </w:r>
      <w:r>
        <w:rPr>
          <w:rFonts w:ascii="仿宋" w:eastAsia="仿宋" w:hAnsi="仿宋" w:cs="仿宋" w:hint="eastAsia"/>
          <w:b/>
          <w:bCs/>
          <w:snapToGrid/>
          <w:kern w:val="2"/>
          <w:sz w:val="28"/>
          <w:szCs w:val="28"/>
          <w:lang w:eastAsia="zh-CN"/>
        </w:rPr>
        <w:t>第十二条规定的重大资产重组以及不构成第十三条规定的重组上市情形的议案</w:t>
      </w:r>
      <w:r>
        <w:rPr>
          <w:rFonts w:ascii="仿宋" w:eastAsia="仿宋" w:hAnsi="仿宋" w:cs="仿宋"/>
          <w:b/>
          <w:bCs/>
          <w:snapToGrid/>
          <w:kern w:val="2"/>
          <w:sz w:val="28"/>
          <w:szCs w:val="28"/>
          <w:lang w:eastAsia="zh-CN"/>
        </w:rPr>
        <w:t>》，具体情况如下：</w:t>
      </w:r>
    </w:p>
    <w:p w14:paraId="22E08602"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根据目前评估结果和交易方案，本次交易构成《重组管理办法》规定的上市公司重大资产重组。本次交易涉及发行股份购买资产，需提交深圳证券交易所审核通过并经中国证监会注册后方可实施。</w:t>
      </w:r>
      <w:r>
        <w:rPr>
          <w:rFonts w:ascii="仿宋" w:eastAsia="仿宋" w:hAnsi="仿宋" w:hint="eastAsia"/>
          <w:sz w:val="28"/>
          <w:szCs w:val="28"/>
          <w:lang w:eastAsia="zh-CN"/>
        </w:rPr>
        <w:lastRenderedPageBreak/>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p>
    <w:p w14:paraId="7AEF40A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49596948"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727E71F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7EA7A12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6974B53B"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（十二）</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关于本次交易定价的依据及公平合理性的议案</w:t>
      </w:r>
      <w:r>
        <w:rPr>
          <w:rFonts w:ascii="仿宋" w:eastAsia="仿宋" w:hAnsi="仿宋" w:cs="仿宋"/>
          <w:b/>
          <w:bCs/>
          <w:snapToGrid/>
          <w:kern w:val="2"/>
          <w:sz w:val="28"/>
          <w:szCs w:val="28"/>
          <w:lang w:eastAsia="zh-CN"/>
        </w:rPr>
        <w:t>》，具体情况如下：</w:t>
      </w:r>
    </w:p>
    <w:p w14:paraId="207110EA"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本次交易中标的资产定价，系在金证评估出具的《资产评估报告》的评估结果基础上，由公司与交易对方共同协商确定。根据金证评估出具的金证评报字（</w:t>
      </w:r>
      <w:r>
        <w:rPr>
          <w:rFonts w:ascii="仿宋" w:eastAsia="仿宋" w:hAnsi="仿宋"/>
          <w:sz w:val="28"/>
          <w:szCs w:val="28"/>
          <w:lang w:eastAsia="zh-CN"/>
        </w:rPr>
        <w:t>2025</w:t>
      </w:r>
      <w:r>
        <w:rPr>
          <w:rFonts w:ascii="仿宋" w:eastAsia="仿宋" w:hAnsi="仿宋" w:hint="eastAsia"/>
          <w:sz w:val="28"/>
          <w:szCs w:val="28"/>
          <w:lang w:eastAsia="zh-CN"/>
        </w:rPr>
        <w:t>）第</w:t>
      </w:r>
      <w:r>
        <w:rPr>
          <w:rFonts w:ascii="仿宋" w:eastAsia="仿宋" w:hAnsi="仿宋"/>
          <w:sz w:val="28"/>
          <w:szCs w:val="28"/>
          <w:lang w:eastAsia="zh-CN"/>
        </w:rPr>
        <w:t>0586</w:t>
      </w:r>
      <w:r>
        <w:rPr>
          <w:rFonts w:ascii="仿宋" w:eastAsia="仿宋" w:hAnsi="仿宋" w:hint="eastAsia"/>
          <w:sz w:val="28"/>
          <w:szCs w:val="28"/>
          <w:lang w:eastAsia="zh-CN"/>
        </w:rPr>
        <w:t>号《资产评估报告》，以</w:t>
      </w:r>
      <w:r>
        <w:rPr>
          <w:rFonts w:ascii="仿宋" w:eastAsia="仿宋" w:hAnsi="仿宋"/>
          <w:sz w:val="28"/>
          <w:szCs w:val="28"/>
          <w:lang w:eastAsia="zh-CN"/>
        </w:rPr>
        <w:t>2025</w:t>
      </w:r>
      <w:r>
        <w:rPr>
          <w:rFonts w:ascii="仿宋" w:eastAsia="仿宋" w:hAnsi="仿宋" w:hint="eastAsia"/>
          <w:sz w:val="28"/>
          <w:szCs w:val="28"/>
          <w:lang w:eastAsia="zh-CN"/>
        </w:rPr>
        <w:t>年</w:t>
      </w:r>
      <w:r>
        <w:rPr>
          <w:rFonts w:ascii="仿宋" w:eastAsia="仿宋" w:hAnsi="仿宋"/>
          <w:sz w:val="28"/>
          <w:szCs w:val="28"/>
          <w:lang w:eastAsia="zh-CN"/>
        </w:rPr>
        <w:t>6</w:t>
      </w:r>
      <w:r>
        <w:rPr>
          <w:rFonts w:ascii="仿宋" w:eastAsia="仿宋" w:hAnsi="仿宋" w:hint="eastAsia"/>
          <w:sz w:val="28"/>
          <w:szCs w:val="28"/>
          <w:lang w:eastAsia="zh-CN"/>
        </w:rPr>
        <w:t>月</w:t>
      </w:r>
      <w:r>
        <w:rPr>
          <w:rFonts w:ascii="仿宋" w:eastAsia="仿宋" w:hAnsi="仿宋"/>
          <w:sz w:val="28"/>
          <w:szCs w:val="28"/>
          <w:lang w:eastAsia="zh-CN"/>
        </w:rPr>
        <w:t>30</w:t>
      </w:r>
      <w:r>
        <w:rPr>
          <w:rFonts w:ascii="仿宋" w:eastAsia="仿宋" w:hAnsi="仿宋" w:hint="eastAsia"/>
          <w:sz w:val="28"/>
          <w:szCs w:val="28"/>
          <w:lang w:eastAsia="zh-CN"/>
        </w:rPr>
        <w:t>日作为评估基准日，在收益法评估方法下，标的公司股东全部权益的评估值为</w:t>
      </w:r>
      <w:r>
        <w:rPr>
          <w:rFonts w:ascii="仿宋" w:eastAsia="仿宋" w:hAnsi="仿宋"/>
          <w:sz w:val="28"/>
          <w:szCs w:val="28"/>
          <w:lang w:eastAsia="zh-CN"/>
        </w:rPr>
        <w:t>121,000.00</w:t>
      </w:r>
      <w:r>
        <w:rPr>
          <w:rFonts w:ascii="仿宋" w:eastAsia="仿宋" w:hAnsi="仿宋" w:hint="eastAsia"/>
          <w:sz w:val="28"/>
          <w:szCs w:val="28"/>
          <w:lang w:eastAsia="zh-CN"/>
        </w:rPr>
        <w:t>万元。根据评估结果，公司与交易对方协商确定本次交易对价为</w:t>
      </w:r>
      <w:r>
        <w:rPr>
          <w:rFonts w:ascii="仿宋" w:eastAsia="仿宋" w:hAnsi="仿宋"/>
          <w:sz w:val="28"/>
          <w:szCs w:val="28"/>
          <w:lang w:eastAsia="zh-CN"/>
        </w:rPr>
        <w:t>118,850.5309</w:t>
      </w:r>
      <w:r>
        <w:rPr>
          <w:rFonts w:ascii="仿宋" w:eastAsia="仿宋" w:hAnsi="仿宋" w:hint="eastAsia"/>
          <w:sz w:val="28"/>
          <w:szCs w:val="28"/>
          <w:lang w:eastAsia="zh-CN"/>
        </w:rPr>
        <w:t>万元。本次交易的定价符合相关法律法规及公司章程的规定，作价公允，程序公正，公平合理，不存在损害公司及其股东利益的情形。具体内容详见公司同日发布于巨潮资讯网（www.cninfo.com.cn）等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p>
    <w:p w14:paraId="7BFB5BB2"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bookmarkStart w:id="20" w:name="OLE_LINK24"/>
      <w:r>
        <w:rPr>
          <w:rFonts w:ascii="仿宋" w:eastAsia="仿宋" w:hAnsi="仿宋" w:hint="eastAsia"/>
          <w:sz w:val="28"/>
          <w:szCs w:val="28"/>
          <w:lang w:eastAsia="zh-CN"/>
        </w:rPr>
        <w:t>本议案已经公司第四届董事会第一次独立董事专门会议审议通过。</w:t>
      </w:r>
    </w:p>
    <w:bookmarkEnd w:id="20"/>
    <w:p w14:paraId="31E6CFF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5C0457C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0CE44DAB"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238FCCCD"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（十三）</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关于本次交易履行法定程序完备性、合规性及提交法律文件有效性的议案</w:t>
      </w:r>
      <w:r>
        <w:rPr>
          <w:rFonts w:ascii="仿宋" w:eastAsia="仿宋" w:hAnsi="仿宋" w:cs="仿宋"/>
          <w:b/>
          <w:bCs/>
          <w:snapToGrid/>
          <w:kern w:val="2"/>
          <w:sz w:val="28"/>
          <w:szCs w:val="28"/>
          <w:lang w:eastAsia="zh-CN"/>
        </w:rPr>
        <w:t>》，具体情况如下：</w:t>
      </w:r>
    </w:p>
    <w:p w14:paraId="1222C6CC"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bCs/>
          <w:sz w:val="28"/>
          <w:szCs w:val="28"/>
          <w:lang w:eastAsia="zh-CN"/>
        </w:rPr>
        <w:t>公司本次交易事项现阶段已履行的法定程序完备、有效，符合相关法律法规和规范性文件及《公司章程》的规定，本次向深圳证券交易所提交的法律文件合法、有效</w:t>
      </w:r>
      <w:bookmarkStart w:id="21" w:name="OLE_LINK29"/>
      <w:r>
        <w:rPr>
          <w:rFonts w:ascii="仿宋" w:eastAsia="仿宋" w:hAnsi="仿宋" w:hint="eastAsia"/>
          <w:sz w:val="28"/>
          <w:szCs w:val="28"/>
          <w:lang w:eastAsia="zh-CN"/>
        </w:rPr>
        <w:t>。</w:t>
      </w:r>
      <w:bookmarkStart w:id="22" w:name="OLE_LINK30"/>
      <w:bookmarkStart w:id="23" w:name="OLE_LINK25"/>
      <w:bookmarkEnd w:id="21"/>
      <w:r>
        <w:rPr>
          <w:rFonts w:ascii="仿宋" w:eastAsia="仿宋" w:hAnsi="仿宋" w:hint="eastAsia"/>
          <w:sz w:val="28"/>
          <w:szCs w:val="28"/>
          <w:lang w:eastAsia="zh-CN"/>
        </w:rPr>
        <w:t>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bookmarkEnd w:id="22"/>
    </w:p>
    <w:bookmarkEnd w:id="23"/>
    <w:p w14:paraId="3AC849C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2EA8486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6EF88A5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5F5DB26D"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277829A8"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（十四）</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关于本次交易信息发布前公司股票价格波动情况的议案</w:t>
      </w:r>
      <w:r>
        <w:rPr>
          <w:rFonts w:ascii="仿宋" w:eastAsia="仿宋" w:hAnsi="仿宋" w:cs="仿宋"/>
          <w:b/>
          <w:bCs/>
          <w:snapToGrid/>
          <w:kern w:val="2"/>
          <w:sz w:val="28"/>
          <w:szCs w:val="28"/>
          <w:lang w:eastAsia="zh-CN"/>
        </w:rPr>
        <w:t>》，具体情况如下：</w:t>
      </w:r>
    </w:p>
    <w:p w14:paraId="2B986D52" w14:textId="77777777" w:rsidR="00F24175" w:rsidRDefault="00000000">
      <w:pPr>
        <w:spacing w:beforeLines="50" w:before="120" w:line="360" w:lineRule="auto"/>
        <w:ind w:firstLineChars="200" w:firstLine="560"/>
        <w:jc w:val="both"/>
        <w:rPr>
          <w:rFonts w:ascii="仿宋" w:eastAsia="仿宋" w:hAnsi="仿宋" w:cs="仿宋" w:hint="eastAsia"/>
          <w:snapToGrid/>
          <w:kern w:val="2"/>
          <w:sz w:val="28"/>
          <w:szCs w:val="28"/>
          <w:lang w:eastAsia="zh-CN"/>
        </w:rPr>
      </w:pPr>
      <w:bookmarkStart w:id="24" w:name="OLE_LINK31"/>
      <w:r>
        <w:rPr>
          <w:rFonts w:ascii="仿宋" w:eastAsia="仿宋" w:hAnsi="仿宋" w:hint="eastAsia"/>
          <w:sz w:val="28"/>
          <w:szCs w:val="28"/>
          <w:lang w:eastAsia="zh-CN"/>
        </w:rPr>
        <w:t>经公司自查，剔除大盘因素影响，公司股价本次停牌前20个交易日内累计</w:t>
      </w:r>
      <w:proofErr w:type="gramStart"/>
      <w:r>
        <w:rPr>
          <w:rFonts w:ascii="仿宋" w:eastAsia="仿宋" w:hAnsi="仿宋" w:hint="eastAsia"/>
          <w:sz w:val="28"/>
          <w:szCs w:val="28"/>
          <w:lang w:eastAsia="zh-CN"/>
        </w:rPr>
        <w:t>涨跌幅未超过</w:t>
      </w:r>
      <w:proofErr w:type="gramEnd"/>
      <w:r>
        <w:rPr>
          <w:rFonts w:ascii="仿宋" w:eastAsia="仿宋" w:hAnsi="仿宋" w:hint="eastAsia"/>
          <w:sz w:val="28"/>
          <w:szCs w:val="28"/>
          <w:lang w:eastAsia="zh-CN"/>
        </w:rPr>
        <w:t>20%；剔除同行业板块因素影响，公司股价在本次交易首次停牌前20个交易日内累计</w:t>
      </w:r>
      <w:proofErr w:type="gramStart"/>
      <w:r>
        <w:rPr>
          <w:rFonts w:ascii="仿宋" w:eastAsia="仿宋" w:hAnsi="仿宋" w:hint="eastAsia"/>
          <w:sz w:val="28"/>
          <w:szCs w:val="28"/>
          <w:lang w:eastAsia="zh-CN"/>
        </w:rPr>
        <w:t>涨跌幅未超过</w:t>
      </w:r>
      <w:proofErr w:type="gramEnd"/>
      <w:r>
        <w:rPr>
          <w:rFonts w:ascii="仿宋" w:eastAsia="仿宋" w:hAnsi="仿宋" w:hint="eastAsia"/>
          <w:sz w:val="28"/>
          <w:szCs w:val="28"/>
          <w:lang w:eastAsia="zh-CN"/>
        </w:rPr>
        <w:t>20%，无异常波动情况。</w:t>
      </w:r>
      <w:r>
        <w:rPr>
          <w:rFonts w:ascii="仿宋" w:eastAsia="仿宋" w:hAnsi="仿宋" w:cs="仿宋" w:hint="eastAsia"/>
          <w:snapToGrid/>
          <w:kern w:val="2"/>
          <w:sz w:val="28"/>
          <w:szCs w:val="28"/>
          <w:lang w:eastAsia="zh-CN"/>
        </w:rPr>
        <w:t>在筹划本次交易事项过程中，公司已根据相关法律、法规采取了必要且充分的保密措施，限定了相关敏感信息的知悉范围，对相关内幕信息知情人履行了保密和严禁内幕交易的告知义务，严</w:t>
      </w:r>
      <w:r>
        <w:rPr>
          <w:rFonts w:ascii="仿宋" w:eastAsia="仿宋" w:hAnsi="仿宋" w:cs="仿宋" w:hint="eastAsia"/>
          <w:snapToGrid/>
          <w:kern w:val="2"/>
          <w:sz w:val="28"/>
          <w:szCs w:val="28"/>
          <w:lang w:eastAsia="zh-CN"/>
        </w:rPr>
        <w:lastRenderedPageBreak/>
        <w:t>格履行了本次交易信息在依法披露前的保密义务。同时，公司按照深圳证券交易所的要求完成了交易进程备忘录、内幕信息知情人有关材料的填报和提交，并进行了必要的风险提示。公司将在重组报告书披露后将内幕信息知情人名单提交证券登记结算机构查询相关单位及自然人二级市场交易情况。</w:t>
      </w:r>
      <w:r>
        <w:rPr>
          <w:rFonts w:ascii="仿宋" w:eastAsia="仿宋" w:hAnsi="仿宋" w:hint="eastAsia"/>
          <w:sz w:val="28"/>
          <w:szCs w:val="28"/>
          <w:lang w:eastAsia="zh-CN"/>
        </w:rPr>
        <w:t>具体内容详见公司同日发布于巨潮资讯网（www.cninfo.com.cn）等</w:t>
      </w:r>
      <w:r>
        <w:rPr>
          <w:rFonts w:ascii="仿宋" w:eastAsia="仿宋" w:hAnsi="仿宋" w:cs="仿宋" w:hint="eastAsia"/>
          <w:snapToGrid/>
          <w:kern w:val="2"/>
          <w:sz w:val="28"/>
          <w:szCs w:val="28"/>
          <w:lang w:eastAsia="zh-CN"/>
        </w:rPr>
        <w:t>法定信息披露媒体的相关说明。</w:t>
      </w:r>
    </w:p>
    <w:bookmarkEnd w:id="24"/>
    <w:p w14:paraId="70F5B34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3786395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52CD3B28"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7D98764B"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0E764C2E"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（十五）</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关于本次交易摊薄上市公司即期回报的情况及填补措施的议案</w:t>
      </w:r>
      <w:r>
        <w:rPr>
          <w:rFonts w:ascii="仿宋" w:eastAsia="仿宋" w:hAnsi="仿宋" w:cs="仿宋"/>
          <w:b/>
          <w:bCs/>
          <w:snapToGrid/>
          <w:kern w:val="2"/>
          <w:sz w:val="28"/>
          <w:szCs w:val="28"/>
          <w:lang w:eastAsia="zh-CN"/>
        </w:rPr>
        <w:t>》，具体情况如下：</w:t>
      </w:r>
    </w:p>
    <w:p w14:paraId="044FF048"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根据国务院《关于进一步加强资本市场中小投资者合法权益保护工作的意见》（国办发</w:t>
      </w:r>
      <w:r>
        <w:rPr>
          <w:rFonts w:ascii="仿宋" w:eastAsia="仿宋" w:hAnsi="仿宋"/>
          <w:sz w:val="28"/>
          <w:szCs w:val="28"/>
          <w:lang w:eastAsia="zh-CN"/>
        </w:rPr>
        <w:t>[2013]110</w:t>
      </w:r>
      <w:r>
        <w:rPr>
          <w:rFonts w:ascii="仿宋" w:eastAsia="仿宋" w:hAnsi="仿宋" w:hint="eastAsia"/>
          <w:sz w:val="28"/>
          <w:szCs w:val="28"/>
          <w:lang w:eastAsia="zh-CN"/>
        </w:rPr>
        <w:t>号）、《国务院关于进一步促进资本市场健康发展的若干意见》（国发</w:t>
      </w:r>
      <w:r>
        <w:rPr>
          <w:rFonts w:ascii="仿宋" w:eastAsia="仿宋" w:hAnsi="仿宋"/>
          <w:sz w:val="28"/>
          <w:szCs w:val="28"/>
          <w:lang w:eastAsia="zh-CN"/>
        </w:rPr>
        <w:t>[2014]17</w:t>
      </w:r>
      <w:r>
        <w:rPr>
          <w:rFonts w:ascii="仿宋" w:eastAsia="仿宋" w:hAnsi="仿宋" w:hint="eastAsia"/>
          <w:sz w:val="28"/>
          <w:szCs w:val="28"/>
          <w:lang w:eastAsia="zh-CN"/>
        </w:rPr>
        <w:t>号）和中国证监会《关于首发及再融资、重大资产重组摊薄即期回报有关事项的指导意见》（证监会公告</w:t>
      </w:r>
      <w:r>
        <w:rPr>
          <w:rFonts w:ascii="仿宋" w:eastAsia="仿宋" w:hAnsi="仿宋"/>
          <w:sz w:val="28"/>
          <w:szCs w:val="28"/>
          <w:lang w:eastAsia="zh-CN"/>
        </w:rPr>
        <w:t>[2015]31</w:t>
      </w:r>
      <w:r>
        <w:rPr>
          <w:rFonts w:ascii="仿宋" w:eastAsia="仿宋" w:hAnsi="仿宋" w:hint="eastAsia"/>
          <w:sz w:val="28"/>
          <w:szCs w:val="28"/>
          <w:lang w:eastAsia="zh-CN"/>
        </w:rPr>
        <w:t>号）的要求，为保障中小投资者利益，公司进行了认真分析并制定了拟采取的填补措施，相关主体出具了承诺。具体内容详见公司同日发布于巨潮资讯网（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）等法定信息披露媒体的相关说明。</w:t>
      </w:r>
    </w:p>
    <w:p w14:paraId="10B58B2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本议案已经公司第四届董事会第一次独立董事专门会议审议通过。</w:t>
      </w:r>
    </w:p>
    <w:p w14:paraId="70D0998A"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605B72FF"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w:t>
      </w:r>
      <w:r>
        <w:rPr>
          <w:rFonts w:ascii="仿宋" w:eastAsia="仿宋" w:hAnsi="仿宋" w:cs="仿宋"/>
          <w:snapToGrid/>
          <w:kern w:val="2"/>
          <w:sz w:val="28"/>
          <w:szCs w:val="28"/>
          <w:lang w:eastAsia="zh-CN"/>
        </w:rPr>
        <w:lastRenderedPageBreak/>
        <w:t>避表决。</w:t>
      </w:r>
    </w:p>
    <w:p w14:paraId="0FEB4D1B"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B6EF7B7"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（十六）</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关于批准公司重大资产重组暨关联交易有关审计报告、备考审阅报告、评估报告的议案</w:t>
      </w:r>
      <w:r>
        <w:rPr>
          <w:rFonts w:ascii="仿宋" w:eastAsia="仿宋" w:hAnsi="仿宋" w:cs="仿宋"/>
          <w:b/>
          <w:bCs/>
          <w:snapToGrid/>
          <w:kern w:val="2"/>
          <w:sz w:val="28"/>
          <w:szCs w:val="28"/>
          <w:lang w:eastAsia="zh-CN"/>
        </w:rPr>
        <w:t>》，具体情况如下：</w:t>
      </w:r>
    </w:p>
    <w:p w14:paraId="533E014B"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根据相关规定，标的公司分别编制了</w:t>
      </w:r>
      <w:r>
        <w:rPr>
          <w:rFonts w:ascii="仿宋" w:eastAsia="仿宋" w:hAnsi="仿宋"/>
          <w:sz w:val="28"/>
          <w:szCs w:val="28"/>
          <w:lang w:eastAsia="zh-CN"/>
        </w:rPr>
        <w:t>2023</w:t>
      </w:r>
      <w:r>
        <w:rPr>
          <w:rFonts w:ascii="仿宋" w:eastAsia="仿宋" w:hAnsi="仿宋" w:hint="eastAsia"/>
          <w:sz w:val="28"/>
          <w:szCs w:val="28"/>
          <w:lang w:eastAsia="zh-CN"/>
        </w:rPr>
        <w:t>年度、</w:t>
      </w:r>
      <w:r>
        <w:rPr>
          <w:rFonts w:ascii="仿宋" w:eastAsia="仿宋" w:hAnsi="仿宋"/>
          <w:sz w:val="28"/>
          <w:szCs w:val="28"/>
          <w:lang w:eastAsia="zh-CN"/>
        </w:rPr>
        <w:t>2024</w:t>
      </w:r>
      <w:r>
        <w:rPr>
          <w:rFonts w:ascii="仿宋" w:eastAsia="仿宋" w:hAnsi="仿宋" w:hint="eastAsia"/>
          <w:sz w:val="28"/>
          <w:szCs w:val="28"/>
          <w:lang w:eastAsia="zh-CN"/>
        </w:rPr>
        <w:t>年度、</w:t>
      </w:r>
      <w:r>
        <w:rPr>
          <w:rFonts w:ascii="仿宋" w:eastAsia="仿宋" w:hAnsi="仿宋"/>
          <w:sz w:val="28"/>
          <w:szCs w:val="28"/>
          <w:lang w:eastAsia="zh-CN"/>
        </w:rPr>
        <w:t>2025</w:t>
      </w:r>
      <w:r>
        <w:rPr>
          <w:rFonts w:ascii="仿宋" w:eastAsia="仿宋" w:hAnsi="仿宋" w:hint="eastAsia"/>
          <w:sz w:val="28"/>
          <w:szCs w:val="28"/>
          <w:lang w:eastAsia="zh-CN"/>
        </w:rPr>
        <w:t>年</w:t>
      </w:r>
      <w:r>
        <w:rPr>
          <w:rFonts w:ascii="仿宋" w:eastAsia="仿宋" w:hAnsi="仿宋"/>
          <w:sz w:val="28"/>
          <w:szCs w:val="28"/>
          <w:lang w:eastAsia="zh-CN"/>
        </w:rPr>
        <w:t>6</w:t>
      </w:r>
      <w:r>
        <w:rPr>
          <w:rFonts w:ascii="仿宋" w:eastAsia="仿宋" w:hAnsi="仿宋" w:hint="eastAsia"/>
          <w:sz w:val="28"/>
          <w:szCs w:val="28"/>
          <w:lang w:eastAsia="zh-CN"/>
        </w:rPr>
        <w:t>月</w:t>
      </w:r>
      <w:r>
        <w:rPr>
          <w:rFonts w:ascii="仿宋" w:eastAsia="仿宋" w:hAnsi="仿宋"/>
          <w:sz w:val="28"/>
          <w:szCs w:val="28"/>
          <w:lang w:eastAsia="zh-CN"/>
        </w:rPr>
        <w:t>30</w:t>
      </w:r>
      <w:r>
        <w:rPr>
          <w:rFonts w:ascii="仿宋" w:eastAsia="仿宋" w:hAnsi="仿宋" w:hint="eastAsia"/>
          <w:sz w:val="28"/>
          <w:szCs w:val="28"/>
          <w:lang w:eastAsia="zh-CN"/>
        </w:rPr>
        <w:t>日的财务报告，上述财务报告已经中审亚太会计师事务所（特殊普通合伙）审计，并相应出具中审亚太审字（</w:t>
      </w:r>
      <w:r>
        <w:rPr>
          <w:rFonts w:ascii="仿宋" w:eastAsia="仿宋" w:hAnsi="仿宋"/>
          <w:sz w:val="28"/>
          <w:szCs w:val="28"/>
          <w:lang w:eastAsia="zh-CN"/>
        </w:rPr>
        <w:t>2025</w:t>
      </w:r>
      <w:r>
        <w:rPr>
          <w:rFonts w:ascii="仿宋" w:eastAsia="仿宋" w:hAnsi="仿宋" w:hint="eastAsia"/>
          <w:sz w:val="28"/>
          <w:szCs w:val="28"/>
          <w:lang w:eastAsia="zh-CN"/>
        </w:rPr>
        <w:t>）</w:t>
      </w:r>
      <w:r>
        <w:rPr>
          <w:rFonts w:ascii="仿宋" w:eastAsia="仿宋" w:hAnsi="仿宋"/>
          <w:sz w:val="28"/>
          <w:szCs w:val="28"/>
          <w:lang w:eastAsia="zh-CN"/>
        </w:rPr>
        <w:t>010401</w:t>
      </w:r>
      <w:r>
        <w:rPr>
          <w:rFonts w:ascii="仿宋" w:eastAsia="仿宋" w:hAnsi="仿宋" w:hint="eastAsia"/>
          <w:sz w:val="28"/>
          <w:szCs w:val="28"/>
          <w:lang w:eastAsia="zh-CN"/>
        </w:rPr>
        <w:t>号《审计报告》；公司编制了</w:t>
      </w:r>
      <w:r>
        <w:rPr>
          <w:rFonts w:ascii="仿宋" w:eastAsia="仿宋" w:hAnsi="仿宋"/>
          <w:sz w:val="28"/>
          <w:szCs w:val="28"/>
          <w:lang w:eastAsia="zh-CN"/>
        </w:rPr>
        <w:t>2023</w:t>
      </w:r>
      <w:r>
        <w:rPr>
          <w:rFonts w:ascii="仿宋" w:eastAsia="仿宋" w:hAnsi="仿宋" w:hint="eastAsia"/>
          <w:sz w:val="28"/>
          <w:szCs w:val="28"/>
          <w:lang w:eastAsia="zh-CN"/>
        </w:rPr>
        <w:t>年度、</w:t>
      </w:r>
      <w:r>
        <w:rPr>
          <w:rFonts w:ascii="仿宋" w:eastAsia="仿宋" w:hAnsi="仿宋"/>
          <w:sz w:val="28"/>
          <w:szCs w:val="28"/>
          <w:lang w:eastAsia="zh-CN"/>
        </w:rPr>
        <w:t>2024</w:t>
      </w:r>
      <w:r>
        <w:rPr>
          <w:rFonts w:ascii="仿宋" w:eastAsia="仿宋" w:hAnsi="仿宋" w:hint="eastAsia"/>
          <w:sz w:val="28"/>
          <w:szCs w:val="28"/>
          <w:lang w:eastAsia="zh-CN"/>
        </w:rPr>
        <w:t>年度及</w:t>
      </w:r>
      <w:r>
        <w:rPr>
          <w:rFonts w:ascii="仿宋" w:eastAsia="仿宋" w:hAnsi="仿宋"/>
          <w:sz w:val="28"/>
          <w:szCs w:val="28"/>
          <w:lang w:eastAsia="zh-CN"/>
        </w:rPr>
        <w:t>2025</w:t>
      </w:r>
      <w:r>
        <w:rPr>
          <w:rFonts w:ascii="仿宋" w:eastAsia="仿宋" w:hAnsi="仿宋" w:hint="eastAsia"/>
          <w:sz w:val="28"/>
          <w:szCs w:val="28"/>
          <w:lang w:eastAsia="zh-CN"/>
        </w:rPr>
        <w:t>年</w:t>
      </w:r>
      <w:r>
        <w:rPr>
          <w:rFonts w:ascii="仿宋" w:eastAsia="仿宋" w:hAnsi="仿宋"/>
          <w:sz w:val="28"/>
          <w:szCs w:val="28"/>
          <w:lang w:eastAsia="zh-CN"/>
        </w:rPr>
        <w:t>6</w:t>
      </w:r>
      <w:r>
        <w:rPr>
          <w:rFonts w:ascii="仿宋" w:eastAsia="仿宋" w:hAnsi="仿宋" w:hint="eastAsia"/>
          <w:sz w:val="28"/>
          <w:szCs w:val="28"/>
          <w:lang w:eastAsia="zh-CN"/>
        </w:rPr>
        <w:t>月</w:t>
      </w:r>
      <w:r>
        <w:rPr>
          <w:rFonts w:ascii="仿宋" w:eastAsia="仿宋" w:hAnsi="仿宋"/>
          <w:sz w:val="28"/>
          <w:szCs w:val="28"/>
          <w:lang w:eastAsia="zh-CN"/>
        </w:rPr>
        <w:t>30</w:t>
      </w:r>
      <w:r>
        <w:rPr>
          <w:rFonts w:ascii="仿宋" w:eastAsia="仿宋" w:hAnsi="仿宋" w:hint="eastAsia"/>
          <w:sz w:val="28"/>
          <w:szCs w:val="28"/>
          <w:lang w:eastAsia="zh-CN"/>
        </w:rPr>
        <w:t>日的备考合并财务报告，上述备考合并财务报告已经中审亚太会计师事务所（特殊普通合伙）审核，并相应出具了中审亚太审字（</w:t>
      </w:r>
      <w:r>
        <w:rPr>
          <w:rFonts w:ascii="仿宋" w:eastAsia="仿宋" w:hAnsi="仿宋"/>
          <w:sz w:val="28"/>
          <w:szCs w:val="28"/>
          <w:lang w:eastAsia="zh-CN"/>
        </w:rPr>
        <w:t>2025</w:t>
      </w:r>
      <w:r>
        <w:rPr>
          <w:rFonts w:ascii="仿宋" w:eastAsia="仿宋" w:hAnsi="仿宋" w:hint="eastAsia"/>
          <w:sz w:val="28"/>
          <w:szCs w:val="28"/>
          <w:lang w:eastAsia="zh-CN"/>
        </w:rPr>
        <w:t>）</w:t>
      </w:r>
      <w:r>
        <w:rPr>
          <w:rFonts w:ascii="仿宋" w:eastAsia="仿宋" w:hAnsi="仿宋"/>
          <w:sz w:val="28"/>
          <w:szCs w:val="28"/>
          <w:lang w:eastAsia="zh-CN"/>
        </w:rPr>
        <w:t>010412</w:t>
      </w:r>
      <w:r>
        <w:rPr>
          <w:rFonts w:ascii="仿宋" w:eastAsia="仿宋" w:hAnsi="仿宋" w:hint="eastAsia"/>
          <w:sz w:val="28"/>
          <w:szCs w:val="28"/>
          <w:lang w:eastAsia="zh-CN"/>
        </w:rPr>
        <w:t>号《审阅报告》；根据相关规定，公司聘请金证评估对标的资产进行了评估，并出具了金证评报字（</w:t>
      </w:r>
      <w:r>
        <w:rPr>
          <w:rFonts w:ascii="仿宋" w:eastAsia="仿宋" w:hAnsi="仿宋"/>
          <w:sz w:val="28"/>
          <w:szCs w:val="28"/>
          <w:lang w:eastAsia="zh-CN"/>
        </w:rPr>
        <w:t>2025</w:t>
      </w:r>
      <w:r>
        <w:rPr>
          <w:rFonts w:ascii="仿宋" w:eastAsia="仿宋" w:hAnsi="仿宋" w:hint="eastAsia"/>
          <w:sz w:val="28"/>
          <w:szCs w:val="28"/>
          <w:lang w:eastAsia="zh-CN"/>
        </w:rPr>
        <w:t>）第0586号《资产评估报告》。具体内容详见公司同日发布于巨潮资讯网（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）等法定信息披露媒体的相关报告。</w:t>
      </w:r>
    </w:p>
    <w:p w14:paraId="5B28D920"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t>本议案已经公司第四届董事会第一次独立董事专门会议审议通过。</w:t>
      </w:r>
    </w:p>
    <w:p w14:paraId="68FFC546"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4CBD46F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6B175BE2"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22E04DA6"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（十七）</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关于本次交易前十二个月内上市公司购买、出售资产情况的议案</w:t>
      </w:r>
      <w:r>
        <w:rPr>
          <w:rFonts w:ascii="仿宋" w:eastAsia="仿宋" w:hAnsi="仿宋" w:cs="仿宋"/>
          <w:b/>
          <w:bCs/>
          <w:snapToGrid/>
          <w:kern w:val="2"/>
          <w:sz w:val="28"/>
          <w:szCs w:val="28"/>
          <w:lang w:eastAsia="zh-CN"/>
        </w:rPr>
        <w:t>》，具体情况如下：</w:t>
      </w:r>
    </w:p>
    <w:p w14:paraId="3FF0037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经公司自查，在审议本次交易方案的董事会召开日前十二个月内，公司未发生与本次交易相关的购买、出售资产的交易行为，不存在需要纳入累计计算范围的情形。具体内容详见公司同日发布于巨潮资讯网（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）等法定信息披露媒体的相关说明。</w:t>
      </w:r>
    </w:p>
    <w:p w14:paraId="49D601C7"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lastRenderedPageBreak/>
        <w:t>本议案已经公司第四届董事会第一次独立董事专门会议审议通过。</w:t>
      </w:r>
    </w:p>
    <w:p w14:paraId="5666949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10CB95F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4A328ABF"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32FE331"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（十八）</w:t>
      </w:r>
      <w:r>
        <w:rPr>
          <w:rFonts w:ascii="仿宋" w:eastAsia="仿宋" w:hAnsi="仿宋" w:cs="仿宋"/>
          <w:b/>
          <w:bCs/>
          <w:snapToGrid/>
          <w:kern w:val="2"/>
          <w:sz w:val="28"/>
          <w:szCs w:val="28"/>
          <w:lang w:eastAsia="zh-CN"/>
        </w:rPr>
        <w:t>审议通过《</w:t>
      </w:r>
      <w:r>
        <w:rPr>
          <w:rFonts w:ascii="仿宋" w:eastAsia="仿宋" w:hAnsi="仿宋" w:hint="eastAsia"/>
          <w:b/>
          <w:sz w:val="28"/>
          <w:szCs w:val="28"/>
          <w:lang w:eastAsia="zh-CN"/>
        </w:rPr>
        <w:t>关于本次交易采取的保密措施及保密制度的议案</w:t>
      </w:r>
      <w:r>
        <w:rPr>
          <w:rFonts w:ascii="仿宋" w:eastAsia="仿宋" w:hAnsi="仿宋" w:cs="仿宋"/>
          <w:b/>
          <w:bCs/>
          <w:snapToGrid/>
          <w:kern w:val="2"/>
          <w:sz w:val="28"/>
          <w:szCs w:val="28"/>
          <w:lang w:eastAsia="zh-CN"/>
        </w:rPr>
        <w:t>》，具体情况如下：</w:t>
      </w:r>
    </w:p>
    <w:p w14:paraId="735EABEE"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cs="仿宋" w:hint="eastAsia"/>
          <w:bCs/>
          <w:snapToGrid/>
          <w:kern w:val="2"/>
          <w:sz w:val="28"/>
          <w:szCs w:val="28"/>
          <w:lang w:eastAsia="zh-CN"/>
        </w:rPr>
        <w:t>公司根据《中华人民共和国公司法》《中华人民共和国证券法》《上市公司重大资产重组管理办法》《上市公司监管指引第</w:t>
      </w:r>
      <w:r>
        <w:rPr>
          <w:rFonts w:ascii="仿宋" w:eastAsia="仿宋" w:hAnsi="仿宋" w:cs="仿宋"/>
          <w:bCs/>
          <w:snapToGrid/>
          <w:kern w:val="2"/>
          <w:sz w:val="28"/>
          <w:szCs w:val="28"/>
          <w:lang w:eastAsia="zh-CN"/>
        </w:rPr>
        <w:t>5</w:t>
      </w:r>
      <w:r>
        <w:rPr>
          <w:rFonts w:ascii="仿宋" w:eastAsia="仿宋" w:hAnsi="仿宋" w:cs="仿宋" w:hint="eastAsia"/>
          <w:bCs/>
          <w:snapToGrid/>
          <w:kern w:val="2"/>
          <w:sz w:val="28"/>
          <w:szCs w:val="28"/>
          <w:lang w:eastAsia="zh-CN"/>
        </w:rPr>
        <w:t>号——上市公司内幕信息知情人登记管理制度》等相关法律、法规及规范性文件的要求，已采取必要措施防止保密信息泄露，严格遵守了保密义务。</w:t>
      </w:r>
      <w:r>
        <w:rPr>
          <w:rFonts w:ascii="仿宋" w:eastAsia="仿宋" w:hAnsi="仿宋" w:hint="eastAsia"/>
          <w:sz w:val="28"/>
          <w:szCs w:val="28"/>
          <w:lang w:eastAsia="zh-CN"/>
        </w:rPr>
        <w:t>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）等法定信息披露媒体的相关说明。</w:t>
      </w:r>
    </w:p>
    <w:p w14:paraId="7F0D3937"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t>本议案已经公司第四届董事会第一次独立董事专门会议审议通过。</w:t>
      </w:r>
    </w:p>
    <w:p w14:paraId="1CF93CE5"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2A643BE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309220B1"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5A77404B"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（十九）</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关于本次交易方案调整不构成重大调整的议案</w:t>
      </w:r>
      <w:r>
        <w:rPr>
          <w:rFonts w:ascii="仿宋" w:eastAsia="仿宋" w:hAnsi="仿宋" w:cs="仿宋"/>
          <w:b/>
          <w:bCs/>
          <w:snapToGrid/>
          <w:kern w:val="2"/>
          <w:sz w:val="28"/>
          <w:szCs w:val="28"/>
          <w:lang w:eastAsia="zh-CN"/>
        </w:rPr>
        <w:t>》，具体情况如下：</w:t>
      </w:r>
    </w:p>
    <w:p w14:paraId="1A5B5A4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bCs/>
          <w:sz w:val="28"/>
          <w:szCs w:val="28"/>
          <w:lang w:eastAsia="zh-CN"/>
        </w:rPr>
        <w:t>本次交易发行对象与已披露的交易预案中发行对象存在不一致的情形，</w:t>
      </w:r>
      <w:r>
        <w:rPr>
          <w:rFonts w:ascii="仿宋" w:eastAsia="仿宋" w:hAnsi="仿宋" w:hint="eastAsia"/>
          <w:sz w:val="28"/>
          <w:lang w:eastAsia="zh-CN"/>
        </w:rPr>
        <w:t>原交易对方杨裕雄退出本次交易，不再以其持有的标的公司1.4368%股权继续参与本次交易</w:t>
      </w:r>
      <w:r>
        <w:rPr>
          <w:rFonts w:ascii="仿宋" w:eastAsia="仿宋" w:hAnsi="仿宋" w:hint="eastAsia"/>
          <w:bCs/>
          <w:sz w:val="28"/>
          <w:szCs w:val="28"/>
          <w:lang w:eastAsia="zh-CN"/>
        </w:rPr>
        <w:t>。本次交易方案调整累计减少1名交易对方，且交易各方同意将该交易对象及其持有的标的资产份额</w:t>
      </w:r>
      <w:r>
        <w:rPr>
          <w:rFonts w:ascii="仿宋" w:eastAsia="仿宋" w:hAnsi="仿宋" w:hint="eastAsia"/>
          <w:bCs/>
          <w:sz w:val="28"/>
          <w:szCs w:val="28"/>
          <w:lang w:eastAsia="zh-CN"/>
        </w:rPr>
        <w:lastRenderedPageBreak/>
        <w:t>剔除出重组方案</w:t>
      </w:r>
      <w:r>
        <w:rPr>
          <w:rFonts w:ascii="仿宋" w:eastAsia="仿宋" w:hAnsi="仿宋" w:hint="eastAsia"/>
          <w:sz w:val="28"/>
          <w:szCs w:val="28"/>
          <w:lang w:eastAsia="zh-CN"/>
        </w:rPr>
        <w:t>。</w:t>
      </w:r>
      <w:r>
        <w:rPr>
          <w:rFonts w:ascii="仿宋" w:eastAsia="仿宋" w:hAnsi="仿宋" w:hint="eastAsia"/>
          <w:bCs/>
          <w:sz w:val="28"/>
          <w:szCs w:val="28"/>
          <w:lang w:eastAsia="zh-CN"/>
        </w:rPr>
        <w:t>同时，公司拟调减募集配套资金，由原“募集配套资金总额不超过2亿元”调整为“募集配套资金总额不超过1.55亿元”。</w:t>
      </w:r>
      <w:r>
        <w:rPr>
          <w:rFonts w:ascii="仿宋" w:eastAsia="仿宋" w:hAnsi="仿宋" w:hint="eastAsia"/>
          <w:sz w:val="28"/>
          <w:lang w:eastAsia="zh-CN"/>
        </w:rPr>
        <w:t>除上述调整之外，本次交易的交易方案未发生其他调整事项</w:t>
      </w:r>
      <w:r>
        <w:rPr>
          <w:rFonts w:ascii="仿宋" w:eastAsia="仿宋" w:hAnsi="仿宋" w:hint="eastAsia"/>
          <w:sz w:val="28"/>
          <w:szCs w:val="28"/>
          <w:lang w:eastAsia="zh-CN"/>
        </w:rPr>
        <w:t>。根据《〈上市公司重大资产重组管理办法〉第二十九条、第四十五条的适用意见——证券期货法律适用意见第15号》等法律、行政法规、部门规章及其他规范性文件的规定，本次交易方案调整不构成对重组方案的重大调整。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）等法定信息披露媒体的《广东天亿马信息产业股份有限公司关于本次交易方案调整不构成重大调整的公告》（公告编号：2025-096）。</w:t>
      </w:r>
    </w:p>
    <w:p w14:paraId="008B42D9" w14:textId="77777777" w:rsidR="00F24175" w:rsidRDefault="00000000">
      <w:pPr>
        <w:kinsoku/>
        <w:autoSpaceDE/>
        <w:autoSpaceDN/>
        <w:adjustRightInd/>
        <w:snapToGrid/>
        <w:spacing w:beforeLines="50" w:before="120"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bCs/>
          <w:sz w:val="28"/>
          <w:szCs w:val="28"/>
          <w:lang w:eastAsia="zh-CN"/>
        </w:rPr>
        <w:t>本议案已经公司第四届董事会第一次独立董事专门会议审议通过。</w:t>
      </w:r>
    </w:p>
    <w:p w14:paraId="309E8E8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23CBADB5"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4683B52B"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73B50EEF"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（二十）</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关于本次交易是否存在直接或间接有偿聘请其他第三方机构和个人的议案</w:t>
      </w:r>
      <w:r>
        <w:rPr>
          <w:rFonts w:ascii="仿宋" w:eastAsia="仿宋" w:hAnsi="仿宋" w:cs="仿宋"/>
          <w:b/>
          <w:bCs/>
          <w:snapToGrid/>
          <w:kern w:val="2"/>
          <w:sz w:val="28"/>
          <w:szCs w:val="28"/>
          <w:lang w:eastAsia="zh-CN"/>
        </w:rPr>
        <w:t>》，具体情况如下：</w:t>
      </w:r>
    </w:p>
    <w:p w14:paraId="574F6926"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bCs/>
          <w:sz w:val="28"/>
          <w:szCs w:val="28"/>
          <w:lang w:eastAsia="zh-CN"/>
        </w:rPr>
        <w:t>为确保本次交易顺利进行，并保障公司及股东利益，公司</w:t>
      </w:r>
      <w:proofErr w:type="gramStart"/>
      <w:r>
        <w:rPr>
          <w:rFonts w:ascii="仿宋" w:eastAsia="仿宋" w:hAnsi="仿宋" w:hint="eastAsia"/>
          <w:bCs/>
          <w:sz w:val="28"/>
          <w:szCs w:val="28"/>
          <w:lang w:eastAsia="zh-CN"/>
        </w:rPr>
        <w:t>聘请国泰海</w:t>
      </w:r>
      <w:proofErr w:type="gramEnd"/>
      <w:r>
        <w:rPr>
          <w:rFonts w:ascii="仿宋" w:eastAsia="仿宋" w:hAnsi="仿宋" w:hint="eastAsia"/>
          <w:bCs/>
          <w:sz w:val="28"/>
          <w:szCs w:val="28"/>
          <w:lang w:eastAsia="zh-CN"/>
        </w:rPr>
        <w:t>通证券股份有限公司作为本次交易的独立财务顾问；聘请湖南启元律师事务所作为本次交易的法律顾问；聘请中审亚太会计师事务所（特殊普通合伙）作为本次交易标的资产的审计机构；聘请金证（上海）资产评估有限公司作为本次交易的资产评估机构。经核查，公司所聘请中介机构均为本次交易依法需聘请的证券服务机构。除上述聘请行为外，本次交易不存在其他直接或间接有偿聘请</w:t>
      </w:r>
      <w:proofErr w:type="gramStart"/>
      <w:r>
        <w:rPr>
          <w:rFonts w:ascii="仿宋" w:eastAsia="仿宋" w:hAnsi="仿宋" w:hint="eastAsia"/>
          <w:bCs/>
          <w:sz w:val="28"/>
          <w:szCs w:val="28"/>
          <w:lang w:eastAsia="zh-CN"/>
        </w:rPr>
        <w:t>其他第三</w:t>
      </w:r>
      <w:proofErr w:type="gramEnd"/>
      <w:r>
        <w:rPr>
          <w:rFonts w:ascii="仿宋" w:eastAsia="仿宋" w:hAnsi="仿宋" w:hint="eastAsia"/>
          <w:bCs/>
          <w:sz w:val="28"/>
          <w:szCs w:val="28"/>
          <w:lang w:eastAsia="zh-CN"/>
        </w:rPr>
        <w:t>方行为。</w:t>
      </w:r>
      <w:r>
        <w:rPr>
          <w:rFonts w:ascii="仿宋" w:eastAsia="仿宋" w:hAnsi="仿宋" w:hint="eastAsia"/>
          <w:sz w:val="28"/>
          <w:szCs w:val="28"/>
          <w:lang w:eastAsia="zh-CN"/>
        </w:rPr>
        <w:t>具体内容详见公司同日发布于巨潮资讯网</w:t>
      </w:r>
      <w:r>
        <w:rPr>
          <w:rFonts w:ascii="仿宋" w:eastAsia="仿宋" w:hAnsi="仿宋" w:hint="eastAsia"/>
          <w:sz w:val="28"/>
          <w:szCs w:val="28"/>
          <w:lang w:eastAsia="zh-CN"/>
        </w:rPr>
        <w:lastRenderedPageBreak/>
        <w:t>（</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）等法定信息披露媒体的相关说明。</w:t>
      </w:r>
    </w:p>
    <w:p w14:paraId="470E2D29"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bCs/>
          <w:sz w:val="28"/>
          <w:szCs w:val="28"/>
          <w:lang w:eastAsia="zh-CN"/>
        </w:rPr>
        <w:t>本议案已经公司第四届董事会第一次独立董事专门会议审议通过。</w:t>
      </w:r>
    </w:p>
    <w:p w14:paraId="1ACAF617"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738536E7"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56B4AA15"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604A71BC"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（二十一）</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关于评估机构的独立性、评估假设前提的合理性、评估方法与评估目的的相关性以及评估定价公允性的议案</w:t>
      </w:r>
      <w:r>
        <w:rPr>
          <w:rFonts w:ascii="仿宋" w:eastAsia="仿宋" w:hAnsi="仿宋" w:cs="仿宋"/>
          <w:b/>
          <w:bCs/>
          <w:snapToGrid/>
          <w:kern w:val="2"/>
          <w:sz w:val="28"/>
          <w:szCs w:val="28"/>
          <w:lang w:eastAsia="zh-CN"/>
        </w:rPr>
        <w:t>》，具体情况如下：</w:t>
      </w:r>
    </w:p>
    <w:p w14:paraId="3B30580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bCs/>
          <w:sz w:val="28"/>
          <w:szCs w:val="28"/>
          <w:lang w:eastAsia="zh-CN"/>
        </w:rPr>
        <w:t>为本次交易之目的，公司聘请了符合《证券法》规定的资产评估</w:t>
      </w:r>
      <w:proofErr w:type="gramStart"/>
      <w:r>
        <w:rPr>
          <w:rFonts w:ascii="仿宋" w:eastAsia="仿宋" w:hAnsi="仿宋" w:hint="eastAsia"/>
          <w:bCs/>
          <w:sz w:val="28"/>
          <w:szCs w:val="28"/>
          <w:lang w:eastAsia="zh-CN"/>
        </w:rPr>
        <w:t>机构金</w:t>
      </w:r>
      <w:proofErr w:type="gramEnd"/>
      <w:r>
        <w:rPr>
          <w:rFonts w:ascii="仿宋" w:eastAsia="仿宋" w:hAnsi="仿宋" w:hint="eastAsia"/>
          <w:bCs/>
          <w:sz w:val="28"/>
          <w:szCs w:val="28"/>
          <w:lang w:eastAsia="zh-CN"/>
        </w:rPr>
        <w:t>证评估以</w:t>
      </w:r>
      <w:r>
        <w:rPr>
          <w:rFonts w:ascii="仿宋" w:eastAsia="仿宋" w:hAnsi="仿宋"/>
          <w:bCs/>
          <w:sz w:val="28"/>
          <w:szCs w:val="28"/>
          <w:lang w:eastAsia="zh-CN"/>
        </w:rPr>
        <w:t>2025</w:t>
      </w:r>
      <w:r>
        <w:rPr>
          <w:rFonts w:ascii="仿宋" w:eastAsia="仿宋" w:hAnsi="仿宋" w:hint="eastAsia"/>
          <w:bCs/>
          <w:sz w:val="28"/>
          <w:szCs w:val="28"/>
          <w:lang w:eastAsia="zh-CN"/>
        </w:rPr>
        <w:t>年</w:t>
      </w:r>
      <w:r>
        <w:rPr>
          <w:rFonts w:ascii="仿宋" w:eastAsia="仿宋" w:hAnsi="仿宋"/>
          <w:bCs/>
          <w:sz w:val="28"/>
          <w:szCs w:val="28"/>
          <w:lang w:eastAsia="zh-CN"/>
        </w:rPr>
        <w:t>6</w:t>
      </w:r>
      <w:r>
        <w:rPr>
          <w:rFonts w:ascii="仿宋" w:eastAsia="仿宋" w:hAnsi="仿宋" w:hint="eastAsia"/>
          <w:bCs/>
          <w:sz w:val="28"/>
          <w:szCs w:val="28"/>
          <w:lang w:eastAsia="zh-CN"/>
        </w:rPr>
        <w:t>月</w:t>
      </w:r>
      <w:r>
        <w:rPr>
          <w:rFonts w:ascii="仿宋" w:eastAsia="仿宋" w:hAnsi="仿宋"/>
          <w:bCs/>
          <w:sz w:val="28"/>
          <w:szCs w:val="28"/>
          <w:lang w:eastAsia="zh-CN"/>
        </w:rPr>
        <w:t>30</w:t>
      </w:r>
      <w:r>
        <w:rPr>
          <w:rFonts w:ascii="仿宋" w:eastAsia="仿宋" w:hAnsi="仿宋" w:hint="eastAsia"/>
          <w:bCs/>
          <w:sz w:val="28"/>
          <w:szCs w:val="28"/>
          <w:lang w:eastAsia="zh-CN"/>
        </w:rPr>
        <w:t>日为基准日，对标的资产涉及的标的公司股东全部权益价值进行评估并出具了相应的评估报告。根据《上市公司重大资产重组管理办法》规定，公司董事会认真审阅本次评估的相关资料后认为，</w:t>
      </w:r>
      <w:r>
        <w:rPr>
          <w:rFonts w:ascii="仿宋" w:eastAsia="仿宋" w:hAnsi="仿宋" w:hint="eastAsia"/>
          <w:sz w:val="28"/>
          <w:lang w:eastAsia="zh-CN"/>
        </w:rPr>
        <w:t>针对本次交易，公司聘请的评估机构具有独立性，评估假设前提具有合理性，评估方法与评估目的相关性一致，评估定价具有公允性</w:t>
      </w:r>
      <w:r>
        <w:rPr>
          <w:rFonts w:ascii="仿宋" w:eastAsia="仿宋" w:hAnsi="仿宋" w:hint="eastAsia"/>
          <w:bCs/>
          <w:sz w:val="28"/>
          <w:szCs w:val="28"/>
          <w:lang w:eastAsia="zh-CN"/>
        </w:rPr>
        <w:t>。</w:t>
      </w:r>
      <w:r>
        <w:rPr>
          <w:rFonts w:ascii="仿宋" w:eastAsia="仿宋" w:hAnsi="仿宋" w:hint="eastAsia"/>
          <w:sz w:val="28"/>
          <w:szCs w:val="28"/>
          <w:lang w:eastAsia="zh-CN"/>
        </w:rPr>
        <w:t>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）等法定信息披露媒体的相关说明。</w:t>
      </w:r>
    </w:p>
    <w:p w14:paraId="3DCCF0BA"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bCs/>
          <w:sz w:val="28"/>
          <w:szCs w:val="28"/>
          <w:lang w:eastAsia="zh-CN"/>
        </w:rPr>
      </w:pPr>
      <w:r>
        <w:rPr>
          <w:rFonts w:ascii="仿宋" w:eastAsia="仿宋" w:hAnsi="仿宋" w:hint="eastAsia"/>
          <w:bCs/>
          <w:sz w:val="28"/>
          <w:szCs w:val="28"/>
          <w:lang w:eastAsia="zh-CN"/>
        </w:rPr>
        <w:t>本议案已经公司第四届董事会第一次独立董事专门会议审议通过。</w:t>
      </w:r>
    </w:p>
    <w:p w14:paraId="1B88745C"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4596CD7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1BD4448A"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20AB8AA"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（二十二）</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关于提请股东会授权董事会办理本次发行股份及支付现金购买资产并募集配套资金相关事宜的议案</w:t>
      </w:r>
      <w:r>
        <w:rPr>
          <w:rFonts w:ascii="仿宋" w:eastAsia="仿宋" w:hAnsi="仿宋" w:cs="仿宋"/>
          <w:b/>
          <w:bCs/>
          <w:snapToGrid/>
          <w:kern w:val="2"/>
          <w:sz w:val="28"/>
          <w:szCs w:val="28"/>
          <w:lang w:eastAsia="zh-CN"/>
        </w:rPr>
        <w:t>》，具</w:t>
      </w:r>
      <w:r>
        <w:rPr>
          <w:rFonts w:ascii="仿宋" w:eastAsia="仿宋" w:hAnsi="仿宋" w:cs="仿宋"/>
          <w:b/>
          <w:bCs/>
          <w:snapToGrid/>
          <w:kern w:val="2"/>
          <w:sz w:val="28"/>
          <w:szCs w:val="28"/>
          <w:lang w:eastAsia="zh-CN"/>
        </w:rPr>
        <w:lastRenderedPageBreak/>
        <w:t>体情况如下：</w:t>
      </w:r>
    </w:p>
    <w:p w14:paraId="1D537953"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为保证本次发行股份及支付现金购买资产并募集配套资金有关事宜的顺利进行，公司董事会提请公司股东会授权公司董事会办理本次发行股份及支付现金购买资产并募集配套资金的有关事宜，包括但不限于：</w:t>
      </w:r>
    </w:p>
    <w:p w14:paraId="038AEEA1"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根据有关法律法规、规章和规范性文件的规定及股东会决议，制定、调整、实施本次交易的具体方案，包括但不限于根据具体情况确定或调整标的资产范围、标的资产交易价格、发行时机、发行数量、发行价格、交易对方等与本次发行股份及支付现金购买资产相关的其他事项；制定、调整、实施本次募集配套资金的具体方案，包括但不限于根据具体情况确定或调整发行起止日期、发行数量、发行价格、发行对象、募集资金专项账户、募集配套资金金额、募集配套资金用途等与募集配套资金发行方案相关的其他事宜；</w:t>
      </w:r>
    </w:p>
    <w:p w14:paraId="01390A2A"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根据深圳证券交易所审核、中国证监会注册以及公司、市场实际情况，按照股东会审议通过的方案，负责办理和执行本次交易的具体事宜；</w:t>
      </w:r>
    </w:p>
    <w:p w14:paraId="1F685C9A"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决定并聘请参与本次交易的中介机构，并签署与本次重组有关的一切合同、协议等重要文件（包括但不限于独立财务顾问协议、承销协议、募集资金监管协议、聘用其他中介机构协议等）；</w:t>
      </w:r>
    </w:p>
    <w:p w14:paraId="05782E90"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修改、补充、签署、递交、呈报、执行与本次交易有关的一切协议和文件；</w:t>
      </w:r>
    </w:p>
    <w:p w14:paraId="40D6C2A5"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在股东会决议有效期内，若监管部门政策要求或市场条件发生变化，授权董事会根据证券监管部门新的政策规定和证券市场的实际情况，在股东会决议范围内对本次交易的具体方案</w:t>
      </w:r>
      <w:proofErr w:type="gramStart"/>
      <w:r>
        <w:rPr>
          <w:rFonts w:ascii="仿宋" w:eastAsia="仿宋" w:hAnsi="仿宋" w:hint="eastAsia"/>
          <w:sz w:val="28"/>
          <w:szCs w:val="28"/>
          <w:lang w:eastAsia="zh-CN"/>
        </w:rPr>
        <w:t>作出</w:t>
      </w:r>
      <w:proofErr w:type="gramEnd"/>
      <w:r>
        <w:rPr>
          <w:rFonts w:ascii="仿宋" w:eastAsia="仿宋" w:hAnsi="仿宋" w:hint="eastAsia"/>
          <w:sz w:val="28"/>
          <w:szCs w:val="28"/>
          <w:lang w:eastAsia="zh-CN"/>
        </w:rPr>
        <w:t>相应调整；</w:t>
      </w:r>
    </w:p>
    <w:p w14:paraId="1E8B5926"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lastRenderedPageBreak/>
        <w:t>批准、签署有关审计报告、审阅报告、评估报告等与本次交易有关的协议和文件；</w:t>
      </w:r>
    </w:p>
    <w:p w14:paraId="4CAE3058"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办理本次交易申报事项，根据证券监管部门的要求制作、修改、报送本次交易的申报材料；回复中国证监会、交易所等相关部门的问询意见；</w:t>
      </w:r>
    </w:p>
    <w:p w14:paraId="14A7C9A6"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负责本次交易方案的具体执行和实施，包括但不限于履行交易合同/协议规定的各项义务，办理本次交易所涉及的标的资产交割、移交变更、新增股份发行等登记手续，并签署相关法律文件；</w:t>
      </w:r>
    </w:p>
    <w:p w14:paraId="7AA4009B"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本次交易若</w:t>
      </w:r>
      <w:proofErr w:type="gramStart"/>
      <w:r>
        <w:rPr>
          <w:rFonts w:ascii="仿宋" w:eastAsia="仿宋" w:hAnsi="仿宋" w:hint="eastAsia"/>
          <w:sz w:val="28"/>
          <w:szCs w:val="28"/>
          <w:lang w:eastAsia="zh-CN"/>
        </w:rPr>
        <w:t>遇根据</w:t>
      </w:r>
      <w:proofErr w:type="gramEnd"/>
      <w:r>
        <w:rPr>
          <w:rFonts w:ascii="仿宋" w:eastAsia="仿宋" w:hAnsi="仿宋" w:hint="eastAsia"/>
          <w:sz w:val="28"/>
          <w:szCs w:val="28"/>
          <w:lang w:eastAsia="zh-CN"/>
        </w:rPr>
        <w:t>法律法规、规章和规范性文件或各方约定应予中止或终止的情形，授权董事会办理本次交易中止、终止相关的一切具体事宜；</w:t>
      </w:r>
    </w:p>
    <w:p w14:paraId="006093F4"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本次交易完成后，修改《公司章程》的相关条款，办理标的公司相关股份转让的工商变更登记手续；</w:t>
      </w:r>
    </w:p>
    <w:p w14:paraId="33F736F1"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本次交易完成后，办理本次交易所发行的股票在证券登记结算机构登记、锁定和在深圳证券交易所上市等事宜；</w:t>
      </w:r>
    </w:p>
    <w:p w14:paraId="4111E3F0"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在有关法律法规、规章和规范性文件以及《公司章程》允许范围内，调整本次交易募集资金的投向和各投向分配金额；</w:t>
      </w:r>
    </w:p>
    <w:p w14:paraId="5BAF1EDC" w14:textId="77777777" w:rsidR="00F24175" w:rsidRDefault="00000000">
      <w:pPr>
        <w:widowControl w:val="0"/>
        <w:numPr>
          <w:ilvl w:val="0"/>
          <w:numId w:val="2"/>
        </w:numPr>
        <w:kinsoku/>
        <w:autoSpaceDE/>
        <w:autoSpaceDN/>
        <w:adjustRightInd/>
        <w:snapToGrid/>
        <w:spacing w:beforeLines="50" w:before="120" w:line="360" w:lineRule="auto"/>
        <w:ind w:firstLineChars="200" w:firstLine="560"/>
        <w:jc w:val="both"/>
        <w:textAlignment w:val="auto"/>
        <w:rPr>
          <w:rFonts w:ascii="仿宋" w:eastAsia="仿宋" w:hAnsi="仿宋" w:hint="eastAsia"/>
          <w:sz w:val="28"/>
          <w:szCs w:val="28"/>
          <w:lang w:eastAsia="zh-CN"/>
        </w:rPr>
      </w:pPr>
      <w:r>
        <w:rPr>
          <w:rFonts w:ascii="仿宋" w:eastAsia="仿宋" w:hAnsi="仿宋" w:hint="eastAsia"/>
          <w:sz w:val="28"/>
          <w:szCs w:val="28"/>
          <w:lang w:eastAsia="zh-CN"/>
        </w:rPr>
        <w:t>在有关法律法规、规章和规范性文件以及《公司章程》允许范围内，授权董事会及其依法授权人士办理与本次交易有关的其他事宜。</w:t>
      </w:r>
    </w:p>
    <w:p w14:paraId="4EA4383A" w14:textId="77777777" w:rsidR="00F24175"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上述授权自公司股东会审议通过本议案之日起12个月内有效。如果公司于该有效期内取得深圳证券交易所审核通过并获得中国证监会同意注册的文件，则上述授权的有效期自动延长至本次交易实施完成日。</w:t>
      </w:r>
    </w:p>
    <w:p w14:paraId="5B3941F7" w14:textId="77777777" w:rsidR="00F24175" w:rsidRDefault="00000000">
      <w:pPr>
        <w:kinsoku/>
        <w:autoSpaceDE/>
        <w:autoSpaceDN/>
        <w:adjustRightInd/>
        <w:snapToGrid/>
        <w:spacing w:beforeLines="50" w:before="120"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lastRenderedPageBreak/>
        <w:t>本议案已经公司第四届董事会第一次独立董事专门会议审议通过。</w:t>
      </w:r>
    </w:p>
    <w:p w14:paraId="69474FE1"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w:t>
      </w:r>
      <w:r>
        <w:rPr>
          <w:rFonts w:ascii="仿宋" w:eastAsia="仿宋" w:hAnsi="仿宋" w:cs="仿宋" w:hint="eastAsia"/>
          <w:snapToGrid/>
          <w:kern w:val="2"/>
          <w:sz w:val="28"/>
          <w:szCs w:val="28"/>
          <w:lang w:eastAsia="zh-CN"/>
        </w:rPr>
        <w:t>同意5票</w:t>
      </w:r>
      <w:r>
        <w:rPr>
          <w:rFonts w:ascii="仿宋" w:eastAsia="仿宋" w:hAnsi="仿宋" w:cs="仿宋"/>
          <w:snapToGrid/>
          <w:kern w:val="2"/>
          <w:sz w:val="28"/>
          <w:szCs w:val="28"/>
          <w:lang w:eastAsia="zh-CN"/>
        </w:rPr>
        <w:t>，反对票0票，</w:t>
      </w:r>
      <w:r>
        <w:rPr>
          <w:rFonts w:ascii="仿宋" w:eastAsia="仿宋" w:hAnsi="仿宋" w:cs="仿宋" w:hint="eastAsia"/>
          <w:snapToGrid/>
          <w:kern w:val="2"/>
          <w:sz w:val="28"/>
          <w:szCs w:val="28"/>
          <w:lang w:eastAsia="zh-CN"/>
        </w:rPr>
        <w:t>弃权0票。</w:t>
      </w:r>
    </w:p>
    <w:p w14:paraId="6C61759F"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3票回避，关联董事林明玲、马学沛、马翊珽</w:t>
      </w:r>
      <w:r>
        <w:rPr>
          <w:rFonts w:ascii="仿宋" w:eastAsia="仿宋" w:hAnsi="仿宋" w:cs="仿宋"/>
          <w:snapToGrid/>
          <w:kern w:val="2"/>
          <w:sz w:val="28"/>
          <w:szCs w:val="28"/>
          <w:lang w:eastAsia="zh-CN"/>
        </w:rPr>
        <w:t>回避表决。</w:t>
      </w:r>
    </w:p>
    <w:p w14:paraId="267FE90E" w14:textId="77777777" w:rsidR="00F24175" w:rsidRDefault="00000000">
      <w:pPr>
        <w:widowControl w:val="0"/>
        <w:tabs>
          <w:tab w:val="left" w:pos="365"/>
        </w:tabs>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w:t>
      </w:r>
      <w:r>
        <w:rPr>
          <w:rFonts w:ascii="仿宋" w:eastAsia="仿宋" w:hAnsi="仿宋" w:cs="仿宋" w:hint="eastAsia"/>
          <w:snapToGrid/>
          <w:kern w:val="2"/>
          <w:sz w:val="28"/>
          <w:szCs w:val="28"/>
          <w:lang w:eastAsia="zh-CN"/>
        </w:rPr>
        <w:t>尚</w:t>
      </w:r>
      <w:r>
        <w:rPr>
          <w:rFonts w:ascii="仿宋" w:eastAsia="仿宋" w:hAnsi="仿宋" w:cs="仿宋"/>
          <w:snapToGrid/>
          <w:kern w:val="2"/>
          <w:sz w:val="28"/>
          <w:szCs w:val="28"/>
          <w:lang w:eastAsia="zh-CN"/>
        </w:rPr>
        <w:t>需提交公司股东会审议。</w:t>
      </w:r>
    </w:p>
    <w:p w14:paraId="32BFCC66"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（二十三）审议通过《关于续聘2025年度审计机构的议案》</w:t>
      </w:r>
    </w:p>
    <w:p w14:paraId="3E903E9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lang w:eastAsia="zh-CN"/>
        </w:rPr>
      </w:pPr>
      <w:r>
        <w:rPr>
          <w:rFonts w:ascii="仿宋" w:eastAsia="仿宋" w:hAnsi="仿宋" w:hint="eastAsia"/>
          <w:sz w:val="28"/>
          <w:lang w:eastAsia="zh-CN"/>
        </w:rPr>
        <w:t>基于2023、2024年度审计工作中的良好合作以及对中审亚太会计师事务所（特殊普通合伙）充分了解，其具备良好的独立性、专业胜任能力，现拟续聘其为公司2025年度审计机构，为公司2025年度财务报表及内部控制情况提供审计服务，并拟授权公司董事长或其指定授权对象根据2025年度的具体工作量及市场价格水平确定其年度审计费用。</w:t>
      </w:r>
    </w:p>
    <w:p w14:paraId="1370B00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hint="eastAsia"/>
          <w:sz w:val="28"/>
          <w:lang w:eastAsia="zh-CN"/>
        </w:rPr>
      </w:pPr>
      <w:r>
        <w:rPr>
          <w:rFonts w:ascii="仿宋" w:eastAsia="仿宋" w:hAnsi="仿宋" w:hint="eastAsia"/>
          <w:sz w:val="28"/>
          <w:szCs w:val="28"/>
          <w:lang w:eastAsia="zh-CN"/>
        </w:rPr>
        <w:t>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）等法定信息披露媒体的《广东天亿马信息产业股份有限公司关于续聘2025年度审计机构的公告》（公告编号：2025-097）。</w:t>
      </w:r>
    </w:p>
    <w:p w14:paraId="29B125F2"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议案表决结果：同意票</w:t>
      </w:r>
      <w:r>
        <w:rPr>
          <w:rFonts w:ascii="仿宋" w:eastAsia="仿宋" w:hAnsi="仿宋" w:cs="仿宋" w:hint="eastAsia"/>
          <w:snapToGrid/>
          <w:kern w:val="2"/>
          <w:sz w:val="28"/>
          <w:szCs w:val="28"/>
          <w:lang w:eastAsia="zh-CN"/>
        </w:rPr>
        <w:t>8</w:t>
      </w:r>
      <w:r>
        <w:rPr>
          <w:rFonts w:ascii="仿宋" w:eastAsia="仿宋" w:hAnsi="仿宋" w:cs="仿宋"/>
          <w:snapToGrid/>
          <w:kern w:val="2"/>
          <w:sz w:val="28"/>
          <w:szCs w:val="28"/>
          <w:lang w:eastAsia="zh-CN"/>
        </w:rPr>
        <w:t>票，反对票0票，</w:t>
      </w:r>
      <w:r>
        <w:rPr>
          <w:rFonts w:ascii="仿宋" w:eastAsia="仿宋" w:hAnsi="仿宋" w:cs="仿宋" w:hint="eastAsia"/>
          <w:snapToGrid/>
          <w:kern w:val="2"/>
          <w:sz w:val="28"/>
          <w:szCs w:val="28"/>
          <w:lang w:eastAsia="zh-CN"/>
        </w:rPr>
        <w:t>弃权0票。</w:t>
      </w:r>
    </w:p>
    <w:p w14:paraId="0AB91148"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p>
    <w:p w14:paraId="262F8844"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w:t>
      </w:r>
      <w:r>
        <w:rPr>
          <w:rFonts w:ascii="仿宋" w:eastAsia="仿宋" w:hAnsi="仿宋" w:cs="仿宋" w:hint="eastAsia"/>
          <w:snapToGrid/>
          <w:kern w:val="2"/>
          <w:sz w:val="28"/>
          <w:szCs w:val="28"/>
          <w:lang w:eastAsia="zh-CN"/>
        </w:rPr>
        <w:t>尚</w:t>
      </w:r>
      <w:r>
        <w:rPr>
          <w:rFonts w:ascii="仿宋" w:eastAsia="仿宋" w:hAnsi="仿宋" w:cs="仿宋"/>
          <w:snapToGrid/>
          <w:kern w:val="2"/>
          <w:sz w:val="28"/>
          <w:szCs w:val="28"/>
          <w:lang w:eastAsia="zh-CN"/>
        </w:rPr>
        <w:t>需提交公司股东会审议。</w:t>
      </w:r>
    </w:p>
    <w:p w14:paraId="78A57752" w14:textId="77777777" w:rsidR="00F24175"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（二十四）</w:t>
      </w:r>
      <w:r>
        <w:rPr>
          <w:rFonts w:ascii="仿宋" w:eastAsia="仿宋" w:hAnsi="仿宋" w:cs="仿宋"/>
          <w:b/>
          <w:bCs/>
          <w:snapToGrid/>
          <w:kern w:val="2"/>
          <w:sz w:val="28"/>
          <w:szCs w:val="28"/>
          <w:lang w:eastAsia="zh-CN"/>
        </w:rPr>
        <w:t>审议通过《</w:t>
      </w:r>
      <w:r>
        <w:rPr>
          <w:rFonts w:ascii="仿宋" w:eastAsia="仿宋" w:hAnsi="仿宋" w:hint="eastAsia"/>
          <w:b/>
          <w:bCs/>
          <w:sz w:val="28"/>
          <w:szCs w:val="28"/>
          <w:lang w:eastAsia="zh-CN"/>
        </w:rPr>
        <w:t>关于提请召开公司2025年第三次临时股东会的议案</w:t>
      </w:r>
      <w:r>
        <w:rPr>
          <w:rFonts w:ascii="仿宋" w:eastAsia="仿宋" w:hAnsi="仿宋" w:cs="仿宋"/>
          <w:b/>
          <w:bCs/>
          <w:snapToGrid/>
          <w:kern w:val="2"/>
          <w:sz w:val="28"/>
          <w:szCs w:val="28"/>
          <w:lang w:eastAsia="zh-CN"/>
        </w:rPr>
        <w:t>》，具体情况如下：</w:t>
      </w:r>
    </w:p>
    <w:p w14:paraId="5C5ACB23"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hint="eastAsia"/>
          <w:sz w:val="28"/>
          <w:lang w:eastAsia="zh-CN"/>
        </w:rPr>
        <w:t>根据《公司章程》及相关规定，公司将相关议案提交公司2025年第三次临时股东会审议，履行必要的内部决策程序。</w:t>
      </w:r>
      <w:r>
        <w:rPr>
          <w:rFonts w:ascii="仿宋" w:eastAsia="仿宋" w:hAnsi="仿宋" w:hint="eastAsia"/>
          <w:sz w:val="28"/>
          <w:szCs w:val="28"/>
          <w:lang w:eastAsia="zh-CN"/>
        </w:rPr>
        <w:t>具体内容详见公司同日发布于巨潮资讯网（</w:t>
      </w:r>
      <w:r>
        <w:rPr>
          <w:rFonts w:ascii="仿宋" w:eastAsia="仿宋" w:hAnsi="仿宋"/>
          <w:sz w:val="28"/>
          <w:szCs w:val="28"/>
          <w:lang w:eastAsia="zh-CN"/>
        </w:rPr>
        <w:t>www.cninfo.com.cn</w:t>
      </w:r>
      <w:r>
        <w:rPr>
          <w:rFonts w:ascii="仿宋" w:eastAsia="仿宋" w:hAnsi="仿宋" w:hint="eastAsia"/>
          <w:sz w:val="28"/>
          <w:szCs w:val="28"/>
          <w:lang w:eastAsia="zh-CN"/>
        </w:rPr>
        <w:t>）等法定信息披露媒体的公告《广东天亿马信息产业股份有限公司关于召开2025年第三次临时股东会通知公告》（公告编号：2025-098）。</w:t>
      </w:r>
    </w:p>
    <w:p w14:paraId="42BFEC95"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议案表决结果：同意票</w:t>
      </w:r>
      <w:r>
        <w:rPr>
          <w:rFonts w:ascii="仿宋" w:eastAsia="仿宋" w:hAnsi="仿宋" w:cs="仿宋" w:hint="eastAsia"/>
          <w:snapToGrid/>
          <w:kern w:val="2"/>
          <w:sz w:val="28"/>
          <w:szCs w:val="28"/>
          <w:lang w:eastAsia="zh-CN"/>
        </w:rPr>
        <w:t>8</w:t>
      </w:r>
      <w:r>
        <w:rPr>
          <w:rFonts w:ascii="仿宋" w:eastAsia="仿宋" w:hAnsi="仿宋" w:cs="仿宋"/>
          <w:snapToGrid/>
          <w:kern w:val="2"/>
          <w:sz w:val="28"/>
          <w:szCs w:val="28"/>
          <w:lang w:eastAsia="zh-CN"/>
        </w:rPr>
        <w:t>票，反对票0票，</w:t>
      </w:r>
      <w:r>
        <w:rPr>
          <w:rFonts w:ascii="仿宋" w:eastAsia="仿宋" w:hAnsi="仿宋" w:cs="仿宋" w:hint="eastAsia"/>
          <w:snapToGrid/>
          <w:kern w:val="2"/>
          <w:sz w:val="28"/>
          <w:szCs w:val="28"/>
          <w:lang w:eastAsia="zh-CN"/>
        </w:rPr>
        <w:t>弃权0票。</w:t>
      </w:r>
    </w:p>
    <w:p w14:paraId="254FE3D5"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r>
        <w:rPr>
          <w:rFonts w:ascii="仿宋" w:eastAsia="仿宋" w:hAnsi="仿宋" w:cs="仿宋"/>
          <w:snapToGrid/>
          <w:kern w:val="2"/>
          <w:sz w:val="28"/>
          <w:szCs w:val="28"/>
          <w:lang w:eastAsia="zh-CN"/>
        </w:rPr>
        <w:t>。</w:t>
      </w:r>
    </w:p>
    <w:p w14:paraId="06C06DEB" w14:textId="77777777" w:rsidR="00F24175" w:rsidRDefault="00000000">
      <w:pPr>
        <w:widowControl w:val="0"/>
        <w:tabs>
          <w:tab w:val="left" w:pos="365"/>
        </w:tabs>
        <w:kinsoku/>
        <w:autoSpaceDE/>
        <w:autoSpaceDN/>
        <w:adjustRightInd/>
        <w:snapToGrid/>
        <w:spacing w:line="360" w:lineRule="auto"/>
        <w:ind w:firstLineChars="200" w:firstLine="562"/>
        <w:jc w:val="both"/>
        <w:textAlignment w:val="auto"/>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三、备查文件</w:t>
      </w:r>
    </w:p>
    <w:p w14:paraId="2601CB8F" w14:textId="77777777" w:rsidR="00F24175"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（一）《广东天亿马信息产业股份有限公司</w:t>
      </w:r>
      <w:r>
        <w:rPr>
          <w:rFonts w:ascii="仿宋" w:eastAsia="仿宋" w:hAnsi="仿宋" w:cs="仿宋"/>
          <w:snapToGrid/>
          <w:kern w:val="2"/>
          <w:sz w:val="28"/>
          <w:szCs w:val="28"/>
          <w:lang w:eastAsia="zh-CN"/>
        </w:rPr>
        <w:t>第</w:t>
      </w:r>
      <w:r>
        <w:rPr>
          <w:rFonts w:ascii="仿宋" w:eastAsia="仿宋" w:hAnsi="仿宋" w:cs="仿宋" w:hint="eastAsia"/>
          <w:snapToGrid/>
          <w:kern w:val="2"/>
          <w:sz w:val="28"/>
          <w:szCs w:val="28"/>
          <w:lang w:eastAsia="zh-CN"/>
        </w:rPr>
        <w:t>四</w:t>
      </w:r>
      <w:r>
        <w:rPr>
          <w:rFonts w:ascii="仿宋" w:eastAsia="仿宋" w:hAnsi="仿宋" w:cs="仿宋"/>
          <w:snapToGrid/>
          <w:kern w:val="2"/>
          <w:sz w:val="28"/>
          <w:szCs w:val="28"/>
          <w:lang w:eastAsia="zh-CN"/>
        </w:rPr>
        <w:t>届董事会第</w:t>
      </w:r>
      <w:r>
        <w:rPr>
          <w:rFonts w:ascii="仿宋" w:eastAsia="仿宋" w:hAnsi="仿宋" w:cs="仿宋" w:hint="eastAsia"/>
          <w:snapToGrid/>
          <w:kern w:val="2"/>
          <w:sz w:val="28"/>
          <w:szCs w:val="28"/>
          <w:lang w:eastAsia="zh-CN"/>
        </w:rPr>
        <w:t>三</w:t>
      </w:r>
      <w:r>
        <w:rPr>
          <w:rFonts w:ascii="仿宋" w:eastAsia="仿宋" w:hAnsi="仿宋" w:cs="仿宋"/>
          <w:snapToGrid/>
          <w:kern w:val="2"/>
          <w:sz w:val="28"/>
          <w:szCs w:val="28"/>
          <w:lang w:eastAsia="zh-CN"/>
        </w:rPr>
        <w:t>次会议决议</w:t>
      </w:r>
      <w:r>
        <w:rPr>
          <w:rFonts w:ascii="仿宋" w:eastAsia="仿宋" w:hAnsi="仿宋" w:cs="仿宋" w:hint="eastAsia"/>
          <w:snapToGrid/>
          <w:kern w:val="2"/>
          <w:sz w:val="28"/>
          <w:szCs w:val="28"/>
          <w:lang w:eastAsia="zh-CN"/>
        </w:rPr>
        <w:t>》；</w:t>
      </w:r>
    </w:p>
    <w:p w14:paraId="2D53D278" w14:textId="77777777" w:rsidR="00F24175"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（二）《广东天亿马信息产业股份有限公司第四届董事会第一次独立董事专门会议决议》；</w:t>
      </w:r>
    </w:p>
    <w:p w14:paraId="4BCBF60F" w14:textId="77777777" w:rsidR="00F24175" w:rsidRDefault="00000000">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（三）《广东天亿马信息产业股份有限公司第四届董事会审计委员会第二次会议决议》。</w:t>
      </w:r>
    </w:p>
    <w:p w14:paraId="09C9CE1F" w14:textId="77777777" w:rsidR="00F24175"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特此公告。</w:t>
      </w:r>
    </w:p>
    <w:p w14:paraId="0F70E098" w14:textId="77777777" w:rsidR="00F24175"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1F2304C" w14:textId="77777777" w:rsidR="00F24175"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董事会</w:t>
      </w:r>
    </w:p>
    <w:p w14:paraId="0D4143D8" w14:textId="77777777" w:rsidR="00F24175" w:rsidRDefault="00000000">
      <w:pPr>
        <w:widowControl w:val="0"/>
        <w:kinsoku/>
        <w:wordWrap w:val="0"/>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2025年11月19日</w:t>
      </w:r>
    </w:p>
    <w:sectPr w:rsidR="00F24175">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2DE0" w14:textId="77777777" w:rsidR="007F55E2" w:rsidRDefault="007F55E2">
      <w:r>
        <w:separator/>
      </w:r>
    </w:p>
  </w:endnote>
  <w:endnote w:type="continuationSeparator" w:id="0">
    <w:p w14:paraId="3B3F0231" w14:textId="77777777" w:rsidR="007F55E2" w:rsidRDefault="007F5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
    </w:sdtPr>
    <w:sdtContent>
      <w:p w14:paraId="2BF7B204" w14:textId="77777777" w:rsidR="00F24175" w:rsidRDefault="00000000">
        <w:pPr>
          <w:pStyle w:val="a8"/>
          <w:jc w:val="center"/>
        </w:pPr>
        <w:r>
          <w:fldChar w:fldCharType="begin"/>
        </w:r>
        <w:r>
          <w:instrText>PAGE   \* MERGEFORMAT</w:instrText>
        </w:r>
        <w:r>
          <w:fldChar w:fldCharType="separate"/>
        </w:r>
        <w:r>
          <w:rPr>
            <w:lang w:val="zh-CN" w:eastAsia="zh-CN"/>
          </w:rPr>
          <w:t>34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96B07" w14:textId="77777777" w:rsidR="007F55E2" w:rsidRDefault="007F55E2">
      <w:r>
        <w:separator/>
      </w:r>
    </w:p>
  </w:footnote>
  <w:footnote w:type="continuationSeparator" w:id="0">
    <w:p w14:paraId="6210CEF7" w14:textId="77777777" w:rsidR="007F55E2" w:rsidRDefault="007F55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F92F320"/>
    <w:multiLevelType w:val="singleLevel"/>
    <w:tmpl w:val="DF92F320"/>
    <w:lvl w:ilvl="0">
      <w:start w:val="5"/>
      <w:numFmt w:val="chineseCounting"/>
      <w:suff w:val="nothing"/>
      <w:lvlText w:val="（%1）"/>
      <w:lvlJc w:val="left"/>
      <w:rPr>
        <w:rFonts w:hint="eastAsia"/>
      </w:rPr>
    </w:lvl>
  </w:abstractNum>
  <w:abstractNum w:abstractNumId="1" w15:restartNumberingAfterBreak="0">
    <w:nsid w:val="1B663C68"/>
    <w:multiLevelType w:val="multilevel"/>
    <w:tmpl w:val="1B663C68"/>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466586511">
    <w:abstractNumId w:val="0"/>
  </w:num>
  <w:num w:numId="2" w16cid:durableId="11308275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767FF4"/>
    <w:rsid w:val="95FFBBE4"/>
    <w:rsid w:val="9D6FE35F"/>
    <w:rsid w:val="9FFB8BAF"/>
    <w:rsid w:val="B5948E79"/>
    <w:rsid w:val="BF6B7F68"/>
    <w:rsid w:val="CAFF03F1"/>
    <w:rsid w:val="CCE1CAEA"/>
    <w:rsid w:val="D164509A"/>
    <w:rsid w:val="DFB3D406"/>
    <w:rsid w:val="EC27F9F7"/>
    <w:rsid w:val="EF7DB022"/>
    <w:rsid w:val="F7FE8FD4"/>
    <w:rsid w:val="F8FDD8C1"/>
    <w:rsid w:val="FAF98663"/>
    <w:rsid w:val="FDD9C77C"/>
    <w:rsid w:val="FE7F44C1"/>
    <w:rsid w:val="FEDF2F2E"/>
    <w:rsid w:val="FEFF6356"/>
    <w:rsid w:val="FF3BC0E8"/>
    <w:rsid w:val="FF9B3395"/>
    <w:rsid w:val="FFDF06E6"/>
    <w:rsid w:val="FFFFBA2C"/>
    <w:rsid w:val="000008B7"/>
    <w:rsid w:val="0001193C"/>
    <w:rsid w:val="00011E0C"/>
    <w:rsid w:val="00013495"/>
    <w:rsid w:val="000219EB"/>
    <w:rsid w:val="00034FAB"/>
    <w:rsid w:val="000354F3"/>
    <w:rsid w:val="000405EF"/>
    <w:rsid w:val="000616F5"/>
    <w:rsid w:val="0006265F"/>
    <w:rsid w:val="00082188"/>
    <w:rsid w:val="00090B40"/>
    <w:rsid w:val="000A331B"/>
    <w:rsid w:val="000A367C"/>
    <w:rsid w:val="000A39DF"/>
    <w:rsid w:val="000C0B8E"/>
    <w:rsid w:val="000D5659"/>
    <w:rsid w:val="000D56ED"/>
    <w:rsid w:val="000F4747"/>
    <w:rsid w:val="001008BB"/>
    <w:rsid w:val="00101F8B"/>
    <w:rsid w:val="00112D64"/>
    <w:rsid w:val="001159D8"/>
    <w:rsid w:val="001302CB"/>
    <w:rsid w:val="00136140"/>
    <w:rsid w:val="0014028D"/>
    <w:rsid w:val="00142493"/>
    <w:rsid w:val="0014321E"/>
    <w:rsid w:val="00146580"/>
    <w:rsid w:val="001562D1"/>
    <w:rsid w:val="001647EF"/>
    <w:rsid w:val="001655D3"/>
    <w:rsid w:val="001C2019"/>
    <w:rsid w:val="001E0A32"/>
    <w:rsid w:val="001E5580"/>
    <w:rsid w:val="001E6D20"/>
    <w:rsid w:val="001E6DD4"/>
    <w:rsid w:val="001E72F3"/>
    <w:rsid w:val="002308C2"/>
    <w:rsid w:val="00260F4F"/>
    <w:rsid w:val="00291EE6"/>
    <w:rsid w:val="00296228"/>
    <w:rsid w:val="002A5311"/>
    <w:rsid w:val="002A5650"/>
    <w:rsid w:val="002B2705"/>
    <w:rsid w:val="002B5F35"/>
    <w:rsid w:val="002E6789"/>
    <w:rsid w:val="00305286"/>
    <w:rsid w:val="0031547E"/>
    <w:rsid w:val="0031697E"/>
    <w:rsid w:val="00316EC1"/>
    <w:rsid w:val="0032104A"/>
    <w:rsid w:val="00353AC1"/>
    <w:rsid w:val="00381FE5"/>
    <w:rsid w:val="00385FA7"/>
    <w:rsid w:val="003912C4"/>
    <w:rsid w:val="003A7FDA"/>
    <w:rsid w:val="003B4227"/>
    <w:rsid w:val="003D5684"/>
    <w:rsid w:val="003F51C8"/>
    <w:rsid w:val="00406E6D"/>
    <w:rsid w:val="00414429"/>
    <w:rsid w:val="0043504B"/>
    <w:rsid w:val="00435242"/>
    <w:rsid w:val="00437F49"/>
    <w:rsid w:val="004471D1"/>
    <w:rsid w:val="00486CA3"/>
    <w:rsid w:val="00493379"/>
    <w:rsid w:val="004A3C1A"/>
    <w:rsid w:val="004B0A04"/>
    <w:rsid w:val="004C3F48"/>
    <w:rsid w:val="004C7473"/>
    <w:rsid w:val="004D376F"/>
    <w:rsid w:val="005048A1"/>
    <w:rsid w:val="00511156"/>
    <w:rsid w:val="00524BCA"/>
    <w:rsid w:val="00566CCF"/>
    <w:rsid w:val="00572916"/>
    <w:rsid w:val="00575474"/>
    <w:rsid w:val="005805BC"/>
    <w:rsid w:val="00597ECE"/>
    <w:rsid w:val="00597F0A"/>
    <w:rsid w:val="005A3E0F"/>
    <w:rsid w:val="005A5462"/>
    <w:rsid w:val="005A7463"/>
    <w:rsid w:val="005B0540"/>
    <w:rsid w:val="005D1A29"/>
    <w:rsid w:val="005E2C89"/>
    <w:rsid w:val="005E34B2"/>
    <w:rsid w:val="005F021D"/>
    <w:rsid w:val="005F2F3A"/>
    <w:rsid w:val="00600F2F"/>
    <w:rsid w:val="00612B06"/>
    <w:rsid w:val="00645740"/>
    <w:rsid w:val="00663DBC"/>
    <w:rsid w:val="00665C1E"/>
    <w:rsid w:val="00666C09"/>
    <w:rsid w:val="00670B57"/>
    <w:rsid w:val="006838DF"/>
    <w:rsid w:val="006A4B66"/>
    <w:rsid w:val="006C39D0"/>
    <w:rsid w:val="006D02B0"/>
    <w:rsid w:val="006D4FED"/>
    <w:rsid w:val="006D6695"/>
    <w:rsid w:val="00703304"/>
    <w:rsid w:val="00704B14"/>
    <w:rsid w:val="00705704"/>
    <w:rsid w:val="007124F9"/>
    <w:rsid w:val="007347FD"/>
    <w:rsid w:val="00742BD6"/>
    <w:rsid w:val="00767FF4"/>
    <w:rsid w:val="00771A7E"/>
    <w:rsid w:val="007742FC"/>
    <w:rsid w:val="00775F4C"/>
    <w:rsid w:val="0077621A"/>
    <w:rsid w:val="00785B8A"/>
    <w:rsid w:val="00790BAD"/>
    <w:rsid w:val="007A2C80"/>
    <w:rsid w:val="007A3EB3"/>
    <w:rsid w:val="007B096F"/>
    <w:rsid w:val="007B66D5"/>
    <w:rsid w:val="007D1B30"/>
    <w:rsid w:val="007D3DAF"/>
    <w:rsid w:val="007E1FA8"/>
    <w:rsid w:val="007E59E5"/>
    <w:rsid w:val="007E789F"/>
    <w:rsid w:val="007E7D59"/>
    <w:rsid w:val="007F46ED"/>
    <w:rsid w:val="007F51BD"/>
    <w:rsid w:val="007F55E2"/>
    <w:rsid w:val="007F71B2"/>
    <w:rsid w:val="00800750"/>
    <w:rsid w:val="0080424F"/>
    <w:rsid w:val="008153E9"/>
    <w:rsid w:val="00820E16"/>
    <w:rsid w:val="00827813"/>
    <w:rsid w:val="008347AC"/>
    <w:rsid w:val="0083538D"/>
    <w:rsid w:val="008574B1"/>
    <w:rsid w:val="00857941"/>
    <w:rsid w:val="00862C04"/>
    <w:rsid w:val="00886148"/>
    <w:rsid w:val="008B1AE3"/>
    <w:rsid w:val="008B23E6"/>
    <w:rsid w:val="008B3E9D"/>
    <w:rsid w:val="008B5038"/>
    <w:rsid w:val="008B51A1"/>
    <w:rsid w:val="008C32D3"/>
    <w:rsid w:val="008D4E0A"/>
    <w:rsid w:val="008D5185"/>
    <w:rsid w:val="008D62CF"/>
    <w:rsid w:val="008E13C6"/>
    <w:rsid w:val="008F1FFD"/>
    <w:rsid w:val="009014E1"/>
    <w:rsid w:val="00901AB0"/>
    <w:rsid w:val="009020A3"/>
    <w:rsid w:val="00913A68"/>
    <w:rsid w:val="00932DBE"/>
    <w:rsid w:val="00935451"/>
    <w:rsid w:val="009360DB"/>
    <w:rsid w:val="00953056"/>
    <w:rsid w:val="009632C1"/>
    <w:rsid w:val="00973B53"/>
    <w:rsid w:val="00993161"/>
    <w:rsid w:val="009B300D"/>
    <w:rsid w:val="009C223A"/>
    <w:rsid w:val="009C73F7"/>
    <w:rsid w:val="009E0868"/>
    <w:rsid w:val="009F3459"/>
    <w:rsid w:val="00A01189"/>
    <w:rsid w:val="00A07333"/>
    <w:rsid w:val="00A11CC9"/>
    <w:rsid w:val="00A35691"/>
    <w:rsid w:val="00A37162"/>
    <w:rsid w:val="00A37D71"/>
    <w:rsid w:val="00A51CE4"/>
    <w:rsid w:val="00A57577"/>
    <w:rsid w:val="00A6319C"/>
    <w:rsid w:val="00A73025"/>
    <w:rsid w:val="00A900DC"/>
    <w:rsid w:val="00A97238"/>
    <w:rsid w:val="00AB030F"/>
    <w:rsid w:val="00AC147D"/>
    <w:rsid w:val="00AC3800"/>
    <w:rsid w:val="00AC4F7F"/>
    <w:rsid w:val="00AD2472"/>
    <w:rsid w:val="00AE0517"/>
    <w:rsid w:val="00AE2928"/>
    <w:rsid w:val="00AE7D34"/>
    <w:rsid w:val="00AF5143"/>
    <w:rsid w:val="00AF7079"/>
    <w:rsid w:val="00B04C18"/>
    <w:rsid w:val="00B05839"/>
    <w:rsid w:val="00B07B01"/>
    <w:rsid w:val="00B21728"/>
    <w:rsid w:val="00B33A54"/>
    <w:rsid w:val="00B52DDB"/>
    <w:rsid w:val="00B619F3"/>
    <w:rsid w:val="00B9175A"/>
    <w:rsid w:val="00B94D5B"/>
    <w:rsid w:val="00BA1317"/>
    <w:rsid w:val="00BA20A5"/>
    <w:rsid w:val="00BC1F62"/>
    <w:rsid w:val="00BC7903"/>
    <w:rsid w:val="00BE1554"/>
    <w:rsid w:val="00BE54B5"/>
    <w:rsid w:val="00C3473E"/>
    <w:rsid w:val="00C43E16"/>
    <w:rsid w:val="00C5204A"/>
    <w:rsid w:val="00C619FE"/>
    <w:rsid w:val="00C66CEB"/>
    <w:rsid w:val="00C74276"/>
    <w:rsid w:val="00C751F0"/>
    <w:rsid w:val="00C868E0"/>
    <w:rsid w:val="00CC0B05"/>
    <w:rsid w:val="00CC5D21"/>
    <w:rsid w:val="00CC7CFA"/>
    <w:rsid w:val="00CE7E88"/>
    <w:rsid w:val="00D13429"/>
    <w:rsid w:val="00D22077"/>
    <w:rsid w:val="00D23D5C"/>
    <w:rsid w:val="00D24251"/>
    <w:rsid w:val="00D2660C"/>
    <w:rsid w:val="00D42081"/>
    <w:rsid w:val="00D42DB5"/>
    <w:rsid w:val="00D532C1"/>
    <w:rsid w:val="00D67CE6"/>
    <w:rsid w:val="00D7749F"/>
    <w:rsid w:val="00D95587"/>
    <w:rsid w:val="00DA3CBC"/>
    <w:rsid w:val="00DB07ED"/>
    <w:rsid w:val="00DB0CEE"/>
    <w:rsid w:val="00DE1E05"/>
    <w:rsid w:val="00DE354D"/>
    <w:rsid w:val="00DE41F9"/>
    <w:rsid w:val="00DE70F1"/>
    <w:rsid w:val="00DF40CD"/>
    <w:rsid w:val="00E117CB"/>
    <w:rsid w:val="00E132E9"/>
    <w:rsid w:val="00E133CB"/>
    <w:rsid w:val="00E34E18"/>
    <w:rsid w:val="00E36B6C"/>
    <w:rsid w:val="00E45BA2"/>
    <w:rsid w:val="00E52B4F"/>
    <w:rsid w:val="00E52DE1"/>
    <w:rsid w:val="00E67163"/>
    <w:rsid w:val="00E737FE"/>
    <w:rsid w:val="00E94C6D"/>
    <w:rsid w:val="00E96F00"/>
    <w:rsid w:val="00EA2E26"/>
    <w:rsid w:val="00EB5F1C"/>
    <w:rsid w:val="00EF3A38"/>
    <w:rsid w:val="00EF734F"/>
    <w:rsid w:val="00F11E2A"/>
    <w:rsid w:val="00F24175"/>
    <w:rsid w:val="00F36641"/>
    <w:rsid w:val="00F36C18"/>
    <w:rsid w:val="00F44D43"/>
    <w:rsid w:val="00F51C7C"/>
    <w:rsid w:val="00F72173"/>
    <w:rsid w:val="00F8320F"/>
    <w:rsid w:val="00F92DEC"/>
    <w:rsid w:val="00F9718F"/>
    <w:rsid w:val="00FA3671"/>
    <w:rsid w:val="00FB7767"/>
    <w:rsid w:val="00FC0EC2"/>
    <w:rsid w:val="00FC6963"/>
    <w:rsid w:val="00FD5C46"/>
    <w:rsid w:val="00FD6060"/>
    <w:rsid w:val="00FE1EC9"/>
    <w:rsid w:val="00FE3666"/>
    <w:rsid w:val="022515B3"/>
    <w:rsid w:val="02311B9B"/>
    <w:rsid w:val="02AA509F"/>
    <w:rsid w:val="02F27D5E"/>
    <w:rsid w:val="035F5478"/>
    <w:rsid w:val="03A20E5E"/>
    <w:rsid w:val="05AD4055"/>
    <w:rsid w:val="060C0290"/>
    <w:rsid w:val="070F49AE"/>
    <w:rsid w:val="074E085E"/>
    <w:rsid w:val="086A1FB2"/>
    <w:rsid w:val="08F66CCB"/>
    <w:rsid w:val="099512B1"/>
    <w:rsid w:val="09D80BD8"/>
    <w:rsid w:val="0B511CD1"/>
    <w:rsid w:val="0C712C13"/>
    <w:rsid w:val="0E39083B"/>
    <w:rsid w:val="0E5967E9"/>
    <w:rsid w:val="0F8C78F0"/>
    <w:rsid w:val="10E5416D"/>
    <w:rsid w:val="114C1CE8"/>
    <w:rsid w:val="11511F61"/>
    <w:rsid w:val="12280C26"/>
    <w:rsid w:val="12BB58E4"/>
    <w:rsid w:val="12BE7183"/>
    <w:rsid w:val="155E2A8F"/>
    <w:rsid w:val="159B06BD"/>
    <w:rsid w:val="16131F73"/>
    <w:rsid w:val="18202CA2"/>
    <w:rsid w:val="18B7470E"/>
    <w:rsid w:val="18BC3C87"/>
    <w:rsid w:val="18FA7C9B"/>
    <w:rsid w:val="19616ABA"/>
    <w:rsid w:val="19F837E1"/>
    <w:rsid w:val="1A01744E"/>
    <w:rsid w:val="1A822AA5"/>
    <w:rsid w:val="1BD450EA"/>
    <w:rsid w:val="1C2D3E3A"/>
    <w:rsid w:val="1C87106A"/>
    <w:rsid w:val="1D1520CE"/>
    <w:rsid w:val="1D6857B5"/>
    <w:rsid w:val="1DB8103A"/>
    <w:rsid w:val="1DD106B2"/>
    <w:rsid w:val="1E0472BF"/>
    <w:rsid w:val="20E04ED4"/>
    <w:rsid w:val="20EB66F9"/>
    <w:rsid w:val="240A5D8B"/>
    <w:rsid w:val="240D3E18"/>
    <w:rsid w:val="244020ED"/>
    <w:rsid w:val="251349E2"/>
    <w:rsid w:val="26056E9E"/>
    <w:rsid w:val="264D0AF2"/>
    <w:rsid w:val="273D198B"/>
    <w:rsid w:val="285B3373"/>
    <w:rsid w:val="292E4B4B"/>
    <w:rsid w:val="2BFF19C0"/>
    <w:rsid w:val="2C136663"/>
    <w:rsid w:val="2CAC289F"/>
    <w:rsid w:val="2CC837EE"/>
    <w:rsid w:val="2E553E02"/>
    <w:rsid w:val="30A82197"/>
    <w:rsid w:val="30DF03BE"/>
    <w:rsid w:val="312C3EAE"/>
    <w:rsid w:val="34666738"/>
    <w:rsid w:val="349D6BFC"/>
    <w:rsid w:val="357EE61F"/>
    <w:rsid w:val="35B95B12"/>
    <w:rsid w:val="36CC15BF"/>
    <w:rsid w:val="37BC00E4"/>
    <w:rsid w:val="3AE17026"/>
    <w:rsid w:val="3CDB3CBF"/>
    <w:rsid w:val="3D1B16F6"/>
    <w:rsid w:val="3ED534DB"/>
    <w:rsid w:val="3FB71DD8"/>
    <w:rsid w:val="4023497F"/>
    <w:rsid w:val="40D753B1"/>
    <w:rsid w:val="41507D73"/>
    <w:rsid w:val="41611C9C"/>
    <w:rsid w:val="41A26BC9"/>
    <w:rsid w:val="41B47713"/>
    <w:rsid w:val="42CD5937"/>
    <w:rsid w:val="44EA2FCA"/>
    <w:rsid w:val="45ED3958"/>
    <w:rsid w:val="461B249C"/>
    <w:rsid w:val="462276E1"/>
    <w:rsid w:val="466A0721"/>
    <w:rsid w:val="47AB19BB"/>
    <w:rsid w:val="47B43396"/>
    <w:rsid w:val="480536E5"/>
    <w:rsid w:val="48A05908"/>
    <w:rsid w:val="49364913"/>
    <w:rsid w:val="4B5926D3"/>
    <w:rsid w:val="4B8314C0"/>
    <w:rsid w:val="4C2F2872"/>
    <w:rsid w:val="4DA032EE"/>
    <w:rsid w:val="4E0465D6"/>
    <w:rsid w:val="4E500832"/>
    <w:rsid w:val="4EFE20DA"/>
    <w:rsid w:val="4F91298C"/>
    <w:rsid w:val="51382D26"/>
    <w:rsid w:val="52311923"/>
    <w:rsid w:val="53754F62"/>
    <w:rsid w:val="53A50C2A"/>
    <w:rsid w:val="557F21C6"/>
    <w:rsid w:val="559B13F1"/>
    <w:rsid w:val="560E354A"/>
    <w:rsid w:val="56FE1CF2"/>
    <w:rsid w:val="57AD41B4"/>
    <w:rsid w:val="57EE6383"/>
    <w:rsid w:val="581744FB"/>
    <w:rsid w:val="58216B58"/>
    <w:rsid w:val="58A56532"/>
    <w:rsid w:val="595B4CF8"/>
    <w:rsid w:val="59710078"/>
    <w:rsid w:val="59785BB1"/>
    <w:rsid w:val="59D5132D"/>
    <w:rsid w:val="5CA70254"/>
    <w:rsid w:val="5DFF3B32"/>
    <w:rsid w:val="5F0C4F47"/>
    <w:rsid w:val="5F3876B8"/>
    <w:rsid w:val="5F964CC5"/>
    <w:rsid w:val="5FAB621B"/>
    <w:rsid w:val="5FD9E764"/>
    <w:rsid w:val="601D3B44"/>
    <w:rsid w:val="602F4A1C"/>
    <w:rsid w:val="61332BD1"/>
    <w:rsid w:val="614A6819"/>
    <w:rsid w:val="62404F46"/>
    <w:rsid w:val="6246723B"/>
    <w:rsid w:val="62FEC35D"/>
    <w:rsid w:val="63E7AC12"/>
    <w:rsid w:val="6BF115F2"/>
    <w:rsid w:val="6CF7668E"/>
    <w:rsid w:val="6FBF4044"/>
    <w:rsid w:val="70247E20"/>
    <w:rsid w:val="72004CD0"/>
    <w:rsid w:val="736D3F6D"/>
    <w:rsid w:val="75C316F1"/>
    <w:rsid w:val="75CA02E5"/>
    <w:rsid w:val="767033A4"/>
    <w:rsid w:val="771F17F0"/>
    <w:rsid w:val="77424C59"/>
    <w:rsid w:val="778842E7"/>
    <w:rsid w:val="77FF75DE"/>
    <w:rsid w:val="78110631"/>
    <w:rsid w:val="7A2801E7"/>
    <w:rsid w:val="7ABFA91F"/>
    <w:rsid w:val="7B053AC8"/>
    <w:rsid w:val="7B7FE0EE"/>
    <w:rsid w:val="7BED8E92"/>
    <w:rsid w:val="7BF01431"/>
    <w:rsid w:val="7EFD3B36"/>
    <w:rsid w:val="7F3FA419"/>
    <w:rsid w:val="7F73CE87"/>
    <w:rsid w:val="7FBD2682"/>
    <w:rsid w:val="7FCB7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CAF3BB"/>
  <w15:docId w15:val="{12505866-68F8-46A0-9736-23A916991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semiHidden/>
    <w:qFormat/>
    <w:rPr>
      <w:rFonts w:ascii="PingFang SC" w:eastAsia="PingFang SC" w:hAnsi="PingFang SC" w:cs="PingFang SC"/>
      <w:sz w:val="24"/>
      <w:szCs w:val="24"/>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pPr>
    <w:rPr>
      <w:sz w:val="18"/>
    </w:rPr>
  </w:style>
  <w:style w:type="paragraph" w:styleId="aa">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b">
    <w:name w:val="annotation subject"/>
    <w:basedOn w:val="a3"/>
    <w:next w:val="a3"/>
    <w:link w:val="ac"/>
    <w:qFormat/>
    <w:rPr>
      <w:b/>
      <w:bCs/>
    </w:rPr>
  </w:style>
  <w:style w:type="table" w:styleId="ad">
    <w:name w:val="Table Grid"/>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a9">
    <w:name w:val="页脚 字符"/>
    <w:basedOn w:val="a0"/>
    <w:link w:val="a8"/>
    <w:uiPriority w:val="99"/>
    <w:qFormat/>
    <w:rPr>
      <w:rFonts w:ascii="Arial" w:eastAsia="Arial" w:hAnsi="Arial" w:cs="Arial"/>
      <w:snapToGrid w:val="0"/>
      <w:color w:val="000000"/>
      <w:sz w:val="18"/>
      <w:szCs w:val="21"/>
      <w:lang w:eastAsia="en-US"/>
    </w:rPr>
  </w:style>
  <w:style w:type="paragraph" w:customStyle="1" w:styleId="2">
    <w:name w:val="修订2"/>
    <w:hidden/>
    <w:uiPriority w:val="99"/>
    <w:unhideWhenUsed/>
    <w:qFormat/>
    <w:rPr>
      <w:rFonts w:ascii="Arial" w:eastAsia="Arial" w:hAnsi="Arial" w:cs="Arial"/>
      <w:snapToGrid w:val="0"/>
      <w:color w:val="000000"/>
      <w:sz w:val="21"/>
      <w:szCs w:val="21"/>
      <w:lang w:eastAsia="en-US"/>
    </w:rPr>
  </w:style>
  <w:style w:type="character" w:customStyle="1" w:styleId="a7">
    <w:name w:val="批注框文本 字符"/>
    <w:basedOn w:val="a0"/>
    <w:link w:val="a6"/>
    <w:qFormat/>
    <w:rPr>
      <w:rFonts w:ascii="Arial" w:eastAsia="Arial" w:hAnsi="Arial" w:cs="Arial"/>
      <w:snapToGrid w:val="0"/>
      <w:color w:val="000000"/>
      <w:sz w:val="18"/>
      <w:szCs w:val="18"/>
      <w:lang w:eastAsia="en-US"/>
    </w:rPr>
  </w:style>
  <w:style w:type="character" w:customStyle="1" w:styleId="a4">
    <w:name w:val="批注文字 字符"/>
    <w:basedOn w:val="a0"/>
    <w:link w:val="a3"/>
    <w:qFormat/>
    <w:rPr>
      <w:rFonts w:ascii="Arial" w:eastAsia="Arial" w:hAnsi="Arial" w:cs="Arial"/>
      <w:snapToGrid w:val="0"/>
      <w:color w:val="000000"/>
      <w:sz w:val="21"/>
      <w:szCs w:val="21"/>
      <w:lang w:eastAsia="en-US"/>
    </w:rPr>
  </w:style>
  <w:style w:type="character" w:customStyle="1" w:styleId="ac">
    <w:name w:val="批注主题 字符"/>
    <w:basedOn w:val="a4"/>
    <w:link w:val="ab"/>
    <w:qFormat/>
    <w:rPr>
      <w:rFonts w:ascii="Arial" w:eastAsia="Arial" w:hAnsi="Arial" w:cs="Arial"/>
      <w:b/>
      <w:bCs/>
      <w:snapToGrid w:val="0"/>
      <w:color w:val="000000"/>
      <w:sz w:val="21"/>
      <w:szCs w:val="21"/>
      <w:lang w:eastAsia="en-US"/>
    </w:rPr>
  </w:style>
  <w:style w:type="paragraph" w:customStyle="1" w:styleId="3">
    <w:name w:val="修订3"/>
    <w:hidden/>
    <w:uiPriority w:val="99"/>
    <w:unhideWhenUsed/>
    <w:qFormat/>
    <w:rPr>
      <w:rFonts w:ascii="Arial" w:eastAsia="Arial" w:hAnsi="Arial" w:cs="Arial"/>
      <w:snapToGrid w:val="0"/>
      <w:color w:val="000000"/>
      <w:sz w:val="21"/>
      <w:szCs w:val="21"/>
      <w:lang w:eastAsia="en-US"/>
    </w:rPr>
  </w:style>
  <w:style w:type="paragraph" w:styleId="af">
    <w:name w:val="List Paragraph"/>
    <w:basedOn w:val="a"/>
    <w:uiPriority w:val="34"/>
    <w:qFormat/>
    <w:pPr>
      <w:ind w:firstLineChars="200" w:firstLine="420"/>
    </w:pPr>
  </w:style>
  <w:style w:type="paragraph" w:customStyle="1" w:styleId="4">
    <w:name w:val="修订4"/>
    <w:hidden/>
    <w:uiPriority w:val="99"/>
    <w:unhideWhenUsed/>
    <w:qFormat/>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110F2A27-5846-420B-9E39-7A3BC2931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35</Pages>
  <Words>3239</Words>
  <Characters>18468</Characters>
  <Application>Microsoft Office Word</Application>
  <DocSecurity>0</DocSecurity>
  <Lines>153</Lines>
  <Paragraphs>43</Paragraphs>
  <ScaleCrop>false</ScaleCrop>
  <Company>Microsoft</Company>
  <LinksUpToDate>false</LinksUpToDate>
  <CharactersWithSpaces>21664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Yang LI</cp:lastModifiedBy>
  <cp:revision>20</cp:revision>
  <dcterms:created xsi:type="dcterms:W3CDTF">2025-10-22T12:48:00Z</dcterms:created>
  <dcterms:modified xsi:type="dcterms:W3CDTF">2025-11-18T06:03:00Z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2052-12.1.0.23542</vt:lpwstr>
  </property>
  <property fmtid="{D5CDD505-2E9C-101B-9397-08002B2CF9AE}" pid="5" name="ICV">
    <vt:lpwstr>0692C3B8ED154092884342881422AF86_13</vt:lpwstr>
  </property>
  <property fmtid="{D5CDD505-2E9C-101B-9397-08002B2CF9AE}" pid="6" name="KSOTemplateDocerSaveRecord">
    <vt:lpwstr>eyJoZGlkIjoiMmJhZGNlNTc4ZWI4ZTE4MDM1MmFmNDMwZTk5NjJlN2QiLCJ1c2VySWQiOiIyNDMwNTgyMjAifQ==</vt:lpwstr>
  </property>
</Properties>
</file>