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3ECC61" w14:textId="5E527E74" w:rsidR="00DC563F" w:rsidRPr="00C3747C" w:rsidRDefault="00000000">
      <w:pPr>
        <w:spacing w:line="360" w:lineRule="auto"/>
        <w:jc w:val="center"/>
        <w:rPr>
          <w:rFonts w:ascii="仿宋" w:eastAsia="仿宋" w:hAnsi="仿宋" w:cs="Times New Roman" w:hint="eastAsia"/>
          <w:sz w:val="28"/>
          <w:szCs w:val="20"/>
          <w:lang w:eastAsia="zh-CN"/>
        </w:rPr>
      </w:pPr>
      <w:r w:rsidRPr="00C3747C">
        <w:rPr>
          <w:rFonts w:ascii="仿宋" w:eastAsia="仿宋" w:hAnsi="仿宋" w:cs="Times New Roman" w:hint="eastAsia"/>
          <w:sz w:val="28"/>
          <w:szCs w:val="20"/>
          <w:lang w:eastAsia="zh-CN"/>
        </w:rPr>
        <w:t>证券代码：301178    证券简称：</w:t>
      </w:r>
      <w:proofErr w:type="gramStart"/>
      <w:r w:rsidRPr="00C3747C">
        <w:rPr>
          <w:rFonts w:ascii="仿宋" w:eastAsia="仿宋" w:hAnsi="仿宋" w:cs="Times New Roman" w:hint="eastAsia"/>
          <w:sz w:val="28"/>
          <w:szCs w:val="20"/>
          <w:lang w:eastAsia="zh-CN"/>
        </w:rPr>
        <w:t>天亿马</w:t>
      </w:r>
      <w:proofErr w:type="gramEnd"/>
      <w:r w:rsidRPr="00C3747C">
        <w:rPr>
          <w:rFonts w:ascii="仿宋" w:eastAsia="仿宋" w:hAnsi="仿宋" w:cs="Times New Roman" w:hint="eastAsia"/>
          <w:sz w:val="28"/>
          <w:szCs w:val="20"/>
          <w:lang w:eastAsia="zh-CN"/>
        </w:rPr>
        <w:t xml:space="preserve">    公告编号：2025-094</w:t>
      </w:r>
    </w:p>
    <w:p w14:paraId="41339C99" w14:textId="77777777" w:rsidR="00DC563F" w:rsidRPr="00C3747C" w:rsidRDefault="00000000">
      <w:pPr>
        <w:widowControl w:val="0"/>
        <w:kinsoku/>
        <w:snapToGrid/>
        <w:spacing w:line="360" w:lineRule="auto"/>
        <w:jc w:val="center"/>
        <w:textAlignment w:val="auto"/>
        <w:rPr>
          <w:rFonts w:ascii="黑体" w:eastAsia="黑体" w:hAnsi="黑体" w:cs="Times New Roman" w:hint="eastAsia"/>
          <w:snapToGrid/>
          <w:kern w:val="2"/>
          <w:sz w:val="36"/>
          <w:szCs w:val="36"/>
          <w:lang w:eastAsia="zh-CN"/>
        </w:rPr>
      </w:pPr>
      <w:r w:rsidRPr="00C3747C">
        <w:rPr>
          <w:rFonts w:ascii="黑体" w:eastAsia="黑体" w:hAnsi="黑体" w:cs="Times New Roman" w:hint="eastAsia"/>
          <w:snapToGrid/>
          <w:kern w:val="2"/>
          <w:sz w:val="36"/>
          <w:szCs w:val="36"/>
          <w:lang w:eastAsia="zh-CN"/>
        </w:rPr>
        <w:t>广东天亿马信息产业股份有限公司</w:t>
      </w:r>
    </w:p>
    <w:p w14:paraId="1865C6F5" w14:textId="77777777" w:rsidR="00DC563F" w:rsidRPr="00C3747C" w:rsidRDefault="00000000">
      <w:pPr>
        <w:widowControl w:val="0"/>
        <w:kinsoku/>
        <w:snapToGrid/>
        <w:spacing w:line="360" w:lineRule="auto"/>
        <w:jc w:val="center"/>
        <w:textAlignment w:val="auto"/>
        <w:rPr>
          <w:rFonts w:ascii="宋体" w:eastAsia="宋体" w:hAnsi="宋体" w:cs="宋体" w:hint="eastAsia"/>
          <w:sz w:val="30"/>
          <w:szCs w:val="30"/>
          <w:lang w:eastAsia="zh-CN"/>
        </w:rPr>
      </w:pPr>
      <w:r w:rsidRPr="00C3747C">
        <w:rPr>
          <w:rFonts w:ascii="黑体" w:eastAsia="黑体" w:hAnsi="黑体" w:cs="Times New Roman" w:hint="eastAsia"/>
          <w:snapToGrid/>
          <w:kern w:val="2"/>
          <w:sz w:val="36"/>
          <w:szCs w:val="36"/>
          <w:lang w:eastAsia="zh-CN"/>
        </w:rPr>
        <w:t>关于公司与实际控制人签署附生效条件的股份认购协议暨关联交易的公告</w:t>
      </w:r>
    </w:p>
    <w:tbl>
      <w:tblPr>
        <w:tblStyle w:val="TableNormal"/>
        <w:tblW w:w="7962" w:type="dxa"/>
        <w:tblInd w:w="299"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962"/>
      </w:tblGrid>
      <w:tr w:rsidR="00DC563F" w:rsidRPr="00C3747C" w14:paraId="5A9F8D6B" w14:textId="77777777">
        <w:trPr>
          <w:trHeight w:val="776"/>
        </w:trPr>
        <w:tc>
          <w:tcPr>
            <w:tcW w:w="7962" w:type="dxa"/>
          </w:tcPr>
          <w:p w14:paraId="138E715C" w14:textId="77777777" w:rsidR="00DC563F" w:rsidRPr="00C3747C" w:rsidRDefault="00000000">
            <w:pPr>
              <w:kinsoku/>
              <w:autoSpaceDE/>
              <w:autoSpaceDN/>
              <w:adjustRightInd/>
              <w:snapToGrid/>
              <w:spacing w:line="440" w:lineRule="exact"/>
              <w:ind w:firstLineChars="200" w:firstLine="560"/>
              <w:jc w:val="both"/>
              <w:textAlignment w:val="auto"/>
              <w:rPr>
                <w:rFonts w:ascii="楷体" w:eastAsia="楷体" w:hAnsi="楷体" w:cs="宋体" w:hint="eastAsia"/>
                <w:snapToGrid/>
                <w:sz w:val="28"/>
                <w:szCs w:val="24"/>
                <w:lang w:eastAsia="zh-CN"/>
              </w:rPr>
            </w:pPr>
            <w:r w:rsidRPr="00C3747C">
              <w:rPr>
                <w:rFonts w:ascii="楷体" w:eastAsia="楷体" w:hAnsi="楷体" w:cs="宋体" w:hint="eastAsia"/>
                <w:snapToGrid/>
                <w:sz w:val="28"/>
                <w:szCs w:val="24"/>
                <w:lang w:eastAsia="zh-CN"/>
              </w:rPr>
              <w:t>本公司及董事会全体成员保证信息披露的内容真实、准确、完整，没有虚假记载、误导性陈述或者重大遗漏。</w:t>
            </w:r>
          </w:p>
        </w:tc>
      </w:tr>
    </w:tbl>
    <w:p w14:paraId="36012826" w14:textId="77777777" w:rsidR="00DC563F" w:rsidRPr="00C3747C" w:rsidRDefault="00DC563F">
      <w:pPr>
        <w:spacing w:line="360" w:lineRule="auto"/>
        <w:rPr>
          <w:rFonts w:ascii="宋体" w:eastAsia="宋体" w:hAnsi="宋体" w:cs="宋体" w:hint="eastAsia"/>
          <w:sz w:val="24"/>
          <w:szCs w:val="24"/>
          <w:lang w:eastAsia="zh-CN"/>
        </w:rPr>
      </w:pPr>
    </w:p>
    <w:p w14:paraId="638EF0BB" w14:textId="77777777" w:rsidR="00DC563F" w:rsidRPr="00C3747C" w:rsidRDefault="00000000">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hint="eastAsia"/>
          <w:b/>
          <w:snapToGrid/>
          <w:kern w:val="2"/>
          <w:sz w:val="28"/>
          <w:szCs w:val="28"/>
          <w:lang w:eastAsia="zh-CN"/>
        </w:rPr>
      </w:pPr>
      <w:r w:rsidRPr="00C3747C">
        <w:rPr>
          <w:rFonts w:ascii="仿宋" w:eastAsia="仿宋" w:hAnsi="仿宋" w:cs="仿宋" w:hint="eastAsia"/>
          <w:b/>
          <w:snapToGrid/>
          <w:kern w:val="2"/>
          <w:sz w:val="28"/>
          <w:szCs w:val="28"/>
          <w:lang w:eastAsia="zh-CN"/>
        </w:rPr>
        <w:t>特别提示：</w:t>
      </w:r>
    </w:p>
    <w:p w14:paraId="66F6A3CB"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本次交易事项尚需经广东天亿马信息产业股份有限公司</w:t>
      </w:r>
      <w:r w:rsidRPr="00C3747C">
        <w:rPr>
          <w:rFonts w:ascii="仿宋" w:eastAsia="仿宋" w:hAnsi="仿宋" w:cs="仿宋"/>
          <w:snapToGrid/>
          <w:kern w:val="2"/>
          <w:sz w:val="28"/>
          <w:szCs w:val="28"/>
          <w:lang w:eastAsia="zh-CN"/>
        </w:rPr>
        <w:t>（以下简称“公司”）</w:t>
      </w:r>
      <w:r w:rsidRPr="00C3747C">
        <w:rPr>
          <w:rFonts w:ascii="仿宋" w:eastAsia="仿宋" w:hAnsi="仿宋" w:cs="仿宋" w:hint="eastAsia"/>
          <w:snapToGrid/>
          <w:kern w:val="2"/>
          <w:sz w:val="28"/>
          <w:szCs w:val="28"/>
          <w:lang w:eastAsia="zh-CN"/>
        </w:rPr>
        <w:t>股东会审议通过，并经深圳证券交易所审核通过和中国证监会予以注册同意后方可实施，本次交易能否获得相关部门的批准，以及最终获得批准的时间存在不确定性。</w:t>
      </w:r>
    </w:p>
    <w:p w14:paraId="5FE2C38D"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本次交易涉及的后续事宜，公司将根据进展情况及时履行信息披露义务。敬请广大投资者注意投资风险。</w:t>
      </w:r>
    </w:p>
    <w:p w14:paraId="7A849A36" w14:textId="77777777" w:rsidR="00DC563F" w:rsidRPr="00C3747C" w:rsidRDefault="00DC563F">
      <w:pPr>
        <w:widowControl w:val="0"/>
        <w:kinsoku/>
        <w:autoSpaceDE/>
        <w:autoSpaceDN/>
        <w:adjustRightInd/>
        <w:snapToGrid/>
        <w:spacing w:line="360" w:lineRule="auto"/>
        <w:ind w:firstLineChars="200" w:firstLine="562"/>
        <w:jc w:val="both"/>
        <w:textAlignment w:val="auto"/>
        <w:rPr>
          <w:rFonts w:ascii="仿宋" w:eastAsia="仿宋" w:hAnsi="仿宋" w:cs="仿宋" w:hint="eastAsia"/>
          <w:b/>
          <w:snapToGrid/>
          <w:kern w:val="2"/>
          <w:sz w:val="28"/>
          <w:szCs w:val="28"/>
          <w:lang w:eastAsia="zh-CN"/>
        </w:rPr>
      </w:pPr>
    </w:p>
    <w:p w14:paraId="6C2EEFE2" w14:textId="28497D49"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公司于2025年11月18日召开第四届董事会第三次会议，审议通过了《关于公司符合发行股份及支付现金购买资产并募集配套资金暨关联交易相关法律法规规定条件的议案》《关于签署附条件生效的</w:t>
      </w:r>
      <w:r w:rsidRPr="00C3747C">
        <w:rPr>
          <w:rFonts w:ascii="仿宋" w:eastAsia="仿宋" w:hAnsi="仿宋" w:cs="仿宋"/>
          <w:snapToGrid/>
          <w:kern w:val="2"/>
          <w:sz w:val="28"/>
          <w:szCs w:val="28"/>
          <w:lang w:eastAsia="zh-CN"/>
        </w:rPr>
        <w:t>&lt;</w:t>
      </w:r>
      <w:r w:rsidRPr="00C3747C">
        <w:rPr>
          <w:rFonts w:ascii="仿宋" w:eastAsia="仿宋" w:hAnsi="仿宋" w:cs="仿宋" w:hint="eastAsia"/>
          <w:snapToGrid/>
          <w:kern w:val="2"/>
          <w:sz w:val="28"/>
          <w:szCs w:val="28"/>
          <w:lang w:eastAsia="zh-CN"/>
        </w:rPr>
        <w:t>发行股份及支付现金购买资产协议之补充协议</w:t>
      </w:r>
      <w:r w:rsidRPr="00C3747C">
        <w:rPr>
          <w:rFonts w:ascii="仿宋" w:eastAsia="仿宋" w:hAnsi="仿宋" w:cs="仿宋"/>
          <w:snapToGrid/>
          <w:kern w:val="2"/>
          <w:sz w:val="28"/>
          <w:szCs w:val="28"/>
          <w:lang w:eastAsia="zh-CN"/>
        </w:rPr>
        <w:t>&gt;&lt;</w:t>
      </w:r>
      <w:r w:rsidRPr="00C3747C">
        <w:rPr>
          <w:rFonts w:ascii="仿宋" w:eastAsia="仿宋" w:hAnsi="仿宋" w:cs="仿宋" w:hint="eastAsia"/>
          <w:snapToGrid/>
          <w:kern w:val="2"/>
          <w:sz w:val="28"/>
          <w:szCs w:val="28"/>
          <w:lang w:eastAsia="zh-CN"/>
        </w:rPr>
        <w:t>业绩承诺补偿协议书</w:t>
      </w:r>
      <w:r w:rsidRPr="00C3747C">
        <w:rPr>
          <w:rFonts w:ascii="仿宋" w:eastAsia="仿宋" w:hAnsi="仿宋" w:cs="仿宋"/>
          <w:snapToGrid/>
          <w:kern w:val="2"/>
          <w:sz w:val="28"/>
          <w:szCs w:val="28"/>
          <w:lang w:eastAsia="zh-CN"/>
        </w:rPr>
        <w:t>&gt;</w:t>
      </w:r>
      <w:r w:rsidRPr="00C3747C">
        <w:rPr>
          <w:rFonts w:ascii="仿宋" w:eastAsia="仿宋" w:hAnsi="仿宋" w:cs="仿宋" w:hint="eastAsia"/>
          <w:snapToGrid/>
          <w:kern w:val="2"/>
          <w:sz w:val="28"/>
          <w:szCs w:val="28"/>
          <w:lang w:eastAsia="zh-CN"/>
        </w:rPr>
        <w:t>及</w:t>
      </w:r>
      <w:r w:rsidRPr="00C3747C">
        <w:rPr>
          <w:rFonts w:ascii="仿宋" w:eastAsia="仿宋" w:hAnsi="仿宋" w:cs="仿宋"/>
          <w:snapToGrid/>
          <w:kern w:val="2"/>
          <w:sz w:val="28"/>
          <w:szCs w:val="28"/>
          <w:lang w:eastAsia="zh-CN"/>
        </w:rPr>
        <w:t>&lt;</w:t>
      </w:r>
      <w:r w:rsidRPr="00C3747C">
        <w:rPr>
          <w:rFonts w:ascii="仿宋" w:eastAsia="仿宋" w:hAnsi="仿宋" w:cs="仿宋" w:hint="eastAsia"/>
          <w:snapToGrid/>
          <w:kern w:val="2"/>
          <w:sz w:val="28"/>
          <w:szCs w:val="28"/>
          <w:lang w:eastAsia="zh-CN"/>
        </w:rPr>
        <w:t>附生效条件的股份认购协议</w:t>
      </w:r>
      <w:r w:rsidRPr="00C3747C">
        <w:rPr>
          <w:rFonts w:ascii="仿宋" w:eastAsia="仿宋" w:hAnsi="仿宋" w:cs="仿宋"/>
          <w:snapToGrid/>
          <w:kern w:val="2"/>
          <w:sz w:val="28"/>
          <w:szCs w:val="28"/>
          <w:lang w:eastAsia="zh-CN"/>
        </w:rPr>
        <w:t>&gt;</w:t>
      </w:r>
      <w:r w:rsidRPr="00C3747C">
        <w:rPr>
          <w:rFonts w:ascii="仿宋" w:eastAsia="仿宋" w:hAnsi="仿宋" w:cs="仿宋" w:hint="eastAsia"/>
          <w:snapToGrid/>
          <w:kern w:val="2"/>
          <w:sz w:val="28"/>
          <w:szCs w:val="28"/>
          <w:lang w:eastAsia="zh-CN"/>
        </w:rPr>
        <w:t>的议案》《关于本次交易构成关联交易情况的议案》等议案，同意公司通过发行股份及支付现金的方式购买广东星云开物科技股份有限公司</w:t>
      </w:r>
      <w:r w:rsidRPr="00C3747C">
        <w:rPr>
          <w:rFonts w:ascii="仿宋" w:eastAsia="仿宋" w:hAnsi="仿宋" w:cs="仿宋"/>
          <w:snapToGrid/>
          <w:kern w:val="2"/>
          <w:sz w:val="28"/>
          <w:szCs w:val="28"/>
          <w:lang w:eastAsia="zh-CN"/>
        </w:rPr>
        <w:t>98.5632%</w:t>
      </w:r>
      <w:r w:rsidRPr="00C3747C">
        <w:rPr>
          <w:rFonts w:ascii="仿宋" w:eastAsia="仿宋" w:hAnsi="仿宋" w:cs="仿宋" w:hint="eastAsia"/>
          <w:snapToGrid/>
          <w:kern w:val="2"/>
          <w:sz w:val="28"/>
          <w:szCs w:val="28"/>
          <w:lang w:eastAsia="zh-CN"/>
        </w:rPr>
        <w:t>股权并向实际控制人之一马学沛先生发行股份募集配套资金（以下简称本次交易）。募集配套资金总额不超过人民币</w:t>
      </w:r>
      <w:r w:rsidRPr="00C3747C">
        <w:rPr>
          <w:rFonts w:ascii="仿宋" w:eastAsia="仿宋" w:hAnsi="仿宋" w:cs="仿宋"/>
          <w:snapToGrid/>
          <w:kern w:val="2"/>
          <w:sz w:val="28"/>
          <w:szCs w:val="28"/>
          <w:lang w:eastAsia="zh-CN"/>
        </w:rPr>
        <w:t>1.55</w:t>
      </w:r>
      <w:r w:rsidRPr="00C3747C">
        <w:rPr>
          <w:rFonts w:ascii="仿宋" w:eastAsia="仿宋" w:hAnsi="仿宋" w:cs="仿宋" w:hint="eastAsia"/>
          <w:snapToGrid/>
          <w:kern w:val="2"/>
          <w:sz w:val="28"/>
          <w:szCs w:val="28"/>
          <w:lang w:eastAsia="zh-CN"/>
        </w:rPr>
        <w:t>亿元，不超过本次交易中以发行股份方式购买资产的交易价格的</w:t>
      </w:r>
      <w:r w:rsidRPr="00C3747C">
        <w:rPr>
          <w:rFonts w:ascii="仿宋" w:eastAsia="仿宋" w:hAnsi="仿宋" w:cs="仿宋"/>
          <w:snapToGrid/>
          <w:kern w:val="2"/>
          <w:sz w:val="28"/>
          <w:szCs w:val="28"/>
          <w:lang w:eastAsia="zh-CN"/>
        </w:rPr>
        <w:t>100%</w:t>
      </w:r>
      <w:r w:rsidRPr="00C3747C">
        <w:rPr>
          <w:rFonts w:ascii="仿宋" w:eastAsia="仿宋" w:hAnsi="仿宋" w:cs="仿宋" w:hint="eastAsia"/>
          <w:snapToGrid/>
          <w:kern w:val="2"/>
          <w:sz w:val="28"/>
          <w:szCs w:val="28"/>
          <w:lang w:eastAsia="zh-CN"/>
        </w:rPr>
        <w:t>，股份发行数量不超过发行前上市公司总股本的</w:t>
      </w:r>
      <w:r w:rsidRPr="00C3747C">
        <w:rPr>
          <w:rFonts w:ascii="仿宋" w:eastAsia="仿宋" w:hAnsi="仿宋" w:cs="仿宋"/>
          <w:snapToGrid/>
          <w:kern w:val="2"/>
          <w:sz w:val="28"/>
          <w:szCs w:val="28"/>
          <w:lang w:eastAsia="zh-CN"/>
        </w:rPr>
        <w:t>30%</w:t>
      </w:r>
      <w:r w:rsidRPr="00C3747C">
        <w:rPr>
          <w:rFonts w:ascii="仿宋" w:eastAsia="仿宋" w:hAnsi="仿宋" w:cs="仿宋" w:hint="eastAsia"/>
          <w:snapToGrid/>
          <w:kern w:val="2"/>
          <w:sz w:val="28"/>
          <w:szCs w:val="28"/>
          <w:lang w:eastAsia="zh-CN"/>
        </w:rPr>
        <w:t>，最终发行数量以经深交所审核通过并经中</w:t>
      </w:r>
      <w:r w:rsidRPr="00C3747C">
        <w:rPr>
          <w:rFonts w:ascii="仿宋" w:eastAsia="仿宋" w:hAnsi="仿宋" w:cs="仿宋" w:hint="eastAsia"/>
          <w:snapToGrid/>
          <w:kern w:val="2"/>
          <w:sz w:val="28"/>
          <w:szCs w:val="28"/>
          <w:lang w:eastAsia="zh-CN"/>
        </w:rPr>
        <w:lastRenderedPageBreak/>
        <w:t>国证监会予以注册的数量为上限。具体内容公告如下：</w:t>
      </w:r>
    </w:p>
    <w:p w14:paraId="7703F9AF" w14:textId="77777777" w:rsidR="00DC563F" w:rsidRPr="00C3747C" w:rsidRDefault="00000000">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hint="eastAsia"/>
          <w:b/>
          <w:snapToGrid/>
          <w:kern w:val="2"/>
          <w:sz w:val="28"/>
          <w:szCs w:val="28"/>
          <w:lang w:eastAsia="zh-CN"/>
        </w:rPr>
      </w:pPr>
      <w:r w:rsidRPr="00C3747C">
        <w:rPr>
          <w:rFonts w:ascii="仿宋" w:eastAsia="仿宋" w:hAnsi="仿宋" w:cs="仿宋" w:hint="eastAsia"/>
          <w:b/>
          <w:snapToGrid/>
          <w:kern w:val="2"/>
          <w:sz w:val="28"/>
          <w:szCs w:val="28"/>
          <w:lang w:eastAsia="zh-CN"/>
        </w:rPr>
        <w:t>一、关联交易概述</w:t>
      </w:r>
    </w:p>
    <w:p w14:paraId="30D908C6" w14:textId="77777777" w:rsidR="00DC563F" w:rsidRPr="00C3747C" w:rsidRDefault="00000000">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（一）基本情况</w:t>
      </w:r>
    </w:p>
    <w:p w14:paraId="29B61543" w14:textId="1C2256DC"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2025年11月18日，公司与实际控制人之一马学沛先生签订了《附生效条件的股份认购协议》。</w:t>
      </w:r>
    </w:p>
    <w:p w14:paraId="18FED9FD"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本次发行股份募集配套资金的发行对象马学沛先生为公司实际控制人之一，根据《深圳证券交易所创业板股票上市规则》相关规定，本次募集配套资金构成关联交易。</w:t>
      </w:r>
    </w:p>
    <w:p w14:paraId="22BE5869" w14:textId="77777777" w:rsidR="00DC563F" w:rsidRPr="00C3747C" w:rsidRDefault="00000000">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（二）审批程序</w:t>
      </w:r>
    </w:p>
    <w:p w14:paraId="31DC7982" w14:textId="14290243"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本次关联交易已经公司于</w:t>
      </w:r>
      <w:r w:rsidRPr="00C3747C">
        <w:rPr>
          <w:rFonts w:ascii="仿宋" w:eastAsia="仿宋" w:hAnsi="仿宋" w:cs="仿宋"/>
          <w:snapToGrid/>
          <w:kern w:val="2"/>
          <w:sz w:val="28"/>
          <w:szCs w:val="28"/>
          <w:lang w:eastAsia="zh-CN"/>
        </w:rPr>
        <w:t>2025</w:t>
      </w:r>
      <w:r w:rsidRPr="00C3747C">
        <w:rPr>
          <w:rFonts w:ascii="仿宋" w:eastAsia="仿宋" w:hAnsi="仿宋" w:cs="仿宋" w:hint="eastAsia"/>
          <w:snapToGrid/>
          <w:kern w:val="2"/>
          <w:sz w:val="28"/>
          <w:szCs w:val="28"/>
          <w:lang w:eastAsia="zh-CN"/>
        </w:rPr>
        <w:t>年11月18日召开的第四届董事会第三次会议审议通过</w:t>
      </w:r>
      <w:r w:rsidRPr="00C3747C">
        <w:rPr>
          <w:rFonts w:ascii="仿宋" w:eastAsia="仿宋" w:hAnsi="仿宋" w:cs="仿宋"/>
          <w:snapToGrid/>
          <w:kern w:val="2"/>
          <w:sz w:val="28"/>
          <w:szCs w:val="28"/>
          <w:lang w:eastAsia="zh-CN"/>
        </w:rPr>
        <w:t>,</w:t>
      </w:r>
      <w:r w:rsidRPr="00C3747C">
        <w:rPr>
          <w:rFonts w:ascii="仿宋" w:eastAsia="仿宋" w:hAnsi="仿宋" w:cs="仿宋" w:hint="eastAsia"/>
          <w:snapToGrid/>
          <w:kern w:val="2"/>
          <w:sz w:val="28"/>
          <w:szCs w:val="28"/>
          <w:lang w:eastAsia="zh-CN"/>
        </w:rPr>
        <w:t>在董事会审议之前公司独立董事已召开专门会议审议并表示同意。会上关联董事均回避表决。</w:t>
      </w:r>
    </w:p>
    <w:p w14:paraId="166FC2E9"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本次关联交易尚需获得公司股东会的批准</w:t>
      </w:r>
      <w:r w:rsidRPr="00C3747C">
        <w:rPr>
          <w:rFonts w:ascii="仿宋" w:eastAsia="仿宋" w:hAnsi="仿宋" w:cs="仿宋"/>
          <w:snapToGrid/>
          <w:kern w:val="2"/>
          <w:sz w:val="28"/>
          <w:szCs w:val="28"/>
          <w:lang w:eastAsia="zh-CN"/>
        </w:rPr>
        <w:t>(</w:t>
      </w:r>
      <w:r w:rsidRPr="00C3747C">
        <w:rPr>
          <w:rFonts w:ascii="仿宋" w:eastAsia="仿宋" w:hAnsi="仿宋" w:cs="仿宋" w:hint="eastAsia"/>
          <w:snapToGrid/>
          <w:kern w:val="2"/>
          <w:sz w:val="28"/>
          <w:szCs w:val="28"/>
          <w:lang w:eastAsia="zh-CN"/>
        </w:rPr>
        <w:t>与该关联交易有利害关系的关联人将回避表决</w:t>
      </w:r>
      <w:r w:rsidRPr="00C3747C">
        <w:rPr>
          <w:rFonts w:ascii="仿宋" w:eastAsia="仿宋" w:hAnsi="仿宋" w:cs="仿宋"/>
          <w:snapToGrid/>
          <w:kern w:val="2"/>
          <w:sz w:val="28"/>
          <w:szCs w:val="28"/>
          <w:lang w:eastAsia="zh-CN"/>
        </w:rPr>
        <w:t>)</w:t>
      </w:r>
      <w:r w:rsidRPr="00C3747C">
        <w:rPr>
          <w:rFonts w:ascii="仿宋" w:eastAsia="仿宋" w:hAnsi="仿宋" w:cs="仿宋" w:hint="eastAsia"/>
          <w:snapToGrid/>
          <w:kern w:val="2"/>
          <w:sz w:val="28"/>
          <w:szCs w:val="28"/>
          <w:lang w:eastAsia="zh-CN"/>
        </w:rPr>
        <w:t>，经深交所审核通过且经中国证监会同意注册后方可实施。</w:t>
      </w:r>
    </w:p>
    <w:p w14:paraId="197AEA6D" w14:textId="77777777" w:rsidR="00DC563F" w:rsidRPr="00C3747C" w:rsidRDefault="00000000">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hint="eastAsia"/>
          <w:b/>
          <w:snapToGrid/>
          <w:kern w:val="2"/>
          <w:sz w:val="28"/>
          <w:szCs w:val="28"/>
          <w:lang w:eastAsia="zh-CN"/>
        </w:rPr>
      </w:pPr>
      <w:r w:rsidRPr="00C3747C">
        <w:rPr>
          <w:rFonts w:ascii="仿宋" w:eastAsia="仿宋" w:hAnsi="仿宋" w:cs="仿宋" w:hint="eastAsia"/>
          <w:b/>
          <w:snapToGrid/>
          <w:kern w:val="2"/>
          <w:sz w:val="28"/>
          <w:szCs w:val="28"/>
          <w:lang w:eastAsia="zh-CN"/>
        </w:rPr>
        <w:t>二、关联方基本情况</w:t>
      </w:r>
    </w:p>
    <w:p w14:paraId="75079821" w14:textId="04486F5A"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马学沛先生，中国国籍，无境外永久居留权，马学沛先生现为公司副董事长兼总经理。截至本公告日，马学沛先生直接持有公司</w:t>
      </w:r>
      <w:r w:rsidRPr="00C3747C">
        <w:rPr>
          <w:rFonts w:ascii="仿宋" w:eastAsia="仿宋" w:hAnsi="仿宋" w:cs="仿宋"/>
          <w:snapToGrid/>
          <w:kern w:val="2"/>
          <w:sz w:val="28"/>
          <w:szCs w:val="28"/>
          <w:lang w:eastAsia="zh-CN"/>
        </w:rPr>
        <w:t>4</w:t>
      </w:r>
      <w:r w:rsidRPr="00C3747C">
        <w:rPr>
          <w:rFonts w:ascii="仿宋" w:eastAsia="仿宋" w:hAnsi="仿宋" w:cs="仿宋" w:hint="eastAsia"/>
          <w:snapToGrid/>
          <w:kern w:val="2"/>
          <w:sz w:val="28"/>
          <w:szCs w:val="28"/>
          <w:lang w:eastAsia="zh-CN"/>
        </w:rPr>
        <w:t>,</w:t>
      </w:r>
      <w:r w:rsidRPr="00C3747C">
        <w:rPr>
          <w:rFonts w:ascii="仿宋" w:eastAsia="仿宋" w:hAnsi="仿宋" w:cs="仿宋"/>
          <w:snapToGrid/>
          <w:kern w:val="2"/>
          <w:sz w:val="28"/>
          <w:szCs w:val="28"/>
          <w:lang w:eastAsia="zh-CN"/>
        </w:rPr>
        <w:t>054</w:t>
      </w:r>
      <w:r w:rsidRPr="00C3747C">
        <w:rPr>
          <w:rFonts w:ascii="仿宋" w:eastAsia="仿宋" w:hAnsi="仿宋" w:cs="仿宋" w:hint="eastAsia"/>
          <w:snapToGrid/>
          <w:kern w:val="2"/>
          <w:sz w:val="28"/>
          <w:szCs w:val="28"/>
          <w:lang w:eastAsia="zh-CN"/>
        </w:rPr>
        <w:t>,</w:t>
      </w:r>
      <w:r w:rsidRPr="00C3747C">
        <w:rPr>
          <w:rFonts w:ascii="仿宋" w:eastAsia="仿宋" w:hAnsi="仿宋" w:cs="仿宋"/>
          <w:snapToGrid/>
          <w:kern w:val="2"/>
          <w:sz w:val="28"/>
          <w:szCs w:val="28"/>
          <w:lang w:eastAsia="zh-CN"/>
        </w:rPr>
        <w:t>120</w:t>
      </w:r>
      <w:r w:rsidRPr="00C3747C">
        <w:rPr>
          <w:rFonts w:ascii="仿宋" w:eastAsia="仿宋" w:hAnsi="仿宋" w:cs="仿宋" w:hint="eastAsia"/>
          <w:snapToGrid/>
          <w:kern w:val="2"/>
          <w:sz w:val="28"/>
          <w:szCs w:val="28"/>
          <w:lang w:eastAsia="zh-CN"/>
        </w:rPr>
        <w:t>股股票，占公司总股本的</w:t>
      </w:r>
      <w:r w:rsidRPr="00C3747C">
        <w:rPr>
          <w:rFonts w:ascii="仿宋" w:eastAsia="仿宋" w:hAnsi="仿宋" w:cs="仿宋"/>
          <w:snapToGrid/>
          <w:kern w:val="2"/>
          <w:sz w:val="28"/>
          <w:szCs w:val="28"/>
          <w:lang w:eastAsia="zh-CN"/>
        </w:rPr>
        <w:t>6.</w:t>
      </w:r>
      <w:r w:rsidRPr="00C3747C">
        <w:rPr>
          <w:rFonts w:ascii="仿宋" w:eastAsia="仿宋" w:hAnsi="仿宋" w:cs="仿宋" w:hint="eastAsia"/>
          <w:snapToGrid/>
          <w:kern w:val="2"/>
          <w:sz w:val="28"/>
          <w:szCs w:val="28"/>
          <w:lang w:eastAsia="zh-CN"/>
        </w:rPr>
        <w:t>06</w:t>
      </w:r>
      <w:r w:rsidRPr="00C3747C">
        <w:rPr>
          <w:rFonts w:ascii="仿宋" w:eastAsia="仿宋" w:hAnsi="仿宋" w:cs="仿宋"/>
          <w:snapToGrid/>
          <w:kern w:val="2"/>
          <w:sz w:val="28"/>
          <w:szCs w:val="28"/>
          <w:lang w:eastAsia="zh-CN"/>
        </w:rPr>
        <w:t>%</w:t>
      </w:r>
      <w:r w:rsidRPr="00C3747C">
        <w:rPr>
          <w:rFonts w:ascii="仿宋" w:eastAsia="仿宋" w:hAnsi="仿宋" w:cs="仿宋" w:hint="eastAsia"/>
          <w:snapToGrid/>
          <w:kern w:val="2"/>
          <w:sz w:val="28"/>
          <w:szCs w:val="28"/>
          <w:lang w:eastAsia="zh-CN"/>
        </w:rPr>
        <w:t>，与林明玲女士同为公司实际控制人。</w:t>
      </w:r>
    </w:p>
    <w:p w14:paraId="5A52F36A"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马学沛先生不是失信被执行人。</w:t>
      </w:r>
    </w:p>
    <w:p w14:paraId="0045C863" w14:textId="77777777" w:rsidR="00DC563F" w:rsidRPr="00C3747C" w:rsidRDefault="00000000">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hint="eastAsia"/>
          <w:b/>
          <w:snapToGrid/>
          <w:kern w:val="2"/>
          <w:sz w:val="28"/>
          <w:szCs w:val="28"/>
          <w:lang w:eastAsia="zh-CN"/>
        </w:rPr>
      </w:pPr>
      <w:r w:rsidRPr="00C3747C">
        <w:rPr>
          <w:rFonts w:ascii="仿宋" w:eastAsia="仿宋" w:hAnsi="仿宋" w:cs="仿宋" w:hint="eastAsia"/>
          <w:b/>
          <w:snapToGrid/>
          <w:kern w:val="2"/>
          <w:sz w:val="28"/>
          <w:szCs w:val="28"/>
          <w:lang w:eastAsia="zh-CN"/>
        </w:rPr>
        <w:t>三、关联交易协议的主要内容</w:t>
      </w:r>
    </w:p>
    <w:p w14:paraId="17F7C7E1"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公司与马学沛先生签署了《附生效条件的股份认购协议》，协议主要内容如下：</w:t>
      </w:r>
    </w:p>
    <w:p w14:paraId="66613376" w14:textId="77777777" w:rsidR="00DC563F" w:rsidRPr="00C3747C" w:rsidRDefault="00000000">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（一）协议主体</w:t>
      </w:r>
    </w:p>
    <w:p w14:paraId="44FFB42A"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甲方（发行人）：广东天亿马信息产业股份有限公司</w:t>
      </w:r>
    </w:p>
    <w:p w14:paraId="17BBC341"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lastRenderedPageBreak/>
        <w:t>乙方（认购方）：马学沛</w:t>
      </w:r>
    </w:p>
    <w:p w14:paraId="1E2A61A0" w14:textId="77777777" w:rsidR="00DC563F" w:rsidRPr="00C3747C" w:rsidRDefault="00000000">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（二）认购价格、方式、数量</w:t>
      </w:r>
    </w:p>
    <w:p w14:paraId="732E8F42"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snapToGrid/>
          <w:kern w:val="2"/>
          <w:sz w:val="28"/>
          <w:szCs w:val="28"/>
          <w:lang w:eastAsia="zh-CN"/>
        </w:rPr>
        <w:t>1</w:t>
      </w:r>
      <w:r w:rsidRPr="00C3747C">
        <w:rPr>
          <w:rFonts w:ascii="仿宋" w:eastAsia="仿宋" w:hAnsi="仿宋" w:cs="仿宋" w:hint="eastAsia"/>
          <w:snapToGrid/>
          <w:kern w:val="2"/>
          <w:sz w:val="28"/>
          <w:szCs w:val="28"/>
          <w:lang w:eastAsia="zh-CN"/>
        </w:rPr>
        <w:t>.</w:t>
      </w:r>
      <w:r w:rsidRPr="00C3747C">
        <w:rPr>
          <w:rFonts w:ascii="仿宋" w:eastAsia="仿宋" w:hAnsi="仿宋" w:cs="仿宋"/>
          <w:snapToGrid/>
          <w:kern w:val="2"/>
          <w:sz w:val="28"/>
          <w:szCs w:val="28"/>
          <w:lang w:eastAsia="zh-CN"/>
        </w:rPr>
        <w:t>认购股份的种类、面值及上市地点</w:t>
      </w:r>
    </w:p>
    <w:p w14:paraId="5C3AB9BB"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甲方</w:t>
      </w:r>
      <w:r w:rsidRPr="00C3747C">
        <w:rPr>
          <w:rFonts w:ascii="仿宋" w:eastAsia="仿宋" w:hAnsi="仿宋" w:cs="仿宋"/>
          <w:snapToGrid/>
          <w:kern w:val="2"/>
          <w:sz w:val="28"/>
          <w:szCs w:val="28"/>
          <w:lang w:eastAsia="zh-CN"/>
        </w:rPr>
        <w:t>本次募集配套资金</w:t>
      </w:r>
      <w:r w:rsidRPr="00C3747C">
        <w:rPr>
          <w:rFonts w:ascii="仿宋" w:eastAsia="仿宋" w:hAnsi="仿宋" w:cs="仿宋" w:hint="eastAsia"/>
          <w:snapToGrid/>
          <w:kern w:val="2"/>
          <w:sz w:val="28"/>
          <w:szCs w:val="28"/>
          <w:lang w:eastAsia="zh-CN"/>
        </w:rPr>
        <w:t>所发行的</w:t>
      </w:r>
      <w:r w:rsidRPr="00C3747C">
        <w:rPr>
          <w:rFonts w:ascii="仿宋" w:eastAsia="仿宋" w:hAnsi="仿宋" w:cs="仿宋"/>
          <w:snapToGrid/>
          <w:kern w:val="2"/>
          <w:sz w:val="28"/>
          <w:szCs w:val="28"/>
          <w:lang w:eastAsia="zh-CN"/>
        </w:rPr>
        <w:t>股票种类为人民币普通股A股，每股面值为1.00元，上市地点为</w:t>
      </w:r>
      <w:r w:rsidRPr="00C3747C">
        <w:rPr>
          <w:rFonts w:ascii="仿宋" w:eastAsia="仿宋" w:hAnsi="仿宋" w:cs="仿宋" w:hint="eastAsia"/>
          <w:snapToGrid/>
          <w:kern w:val="2"/>
          <w:sz w:val="28"/>
          <w:szCs w:val="28"/>
          <w:lang w:eastAsia="zh-CN"/>
        </w:rPr>
        <w:t>深圳证券交易所</w:t>
      </w:r>
      <w:r w:rsidRPr="00C3747C">
        <w:rPr>
          <w:rFonts w:ascii="仿宋" w:eastAsia="仿宋" w:hAnsi="仿宋" w:cs="仿宋"/>
          <w:snapToGrid/>
          <w:kern w:val="2"/>
          <w:sz w:val="28"/>
          <w:szCs w:val="28"/>
          <w:lang w:eastAsia="zh-CN"/>
        </w:rPr>
        <w:t>。</w:t>
      </w:r>
    </w:p>
    <w:p w14:paraId="53F42435"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snapToGrid/>
          <w:kern w:val="2"/>
          <w:sz w:val="28"/>
          <w:szCs w:val="28"/>
          <w:lang w:eastAsia="zh-CN"/>
        </w:rPr>
        <w:t>2.发行对象及认购方式</w:t>
      </w:r>
    </w:p>
    <w:p w14:paraId="581DE6F6"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snapToGrid/>
          <w:kern w:val="2"/>
          <w:sz w:val="28"/>
          <w:szCs w:val="28"/>
          <w:lang w:eastAsia="zh-CN"/>
        </w:rPr>
        <w:t>乙方以现金方式认购甲方本次</w:t>
      </w:r>
      <w:r w:rsidRPr="00C3747C">
        <w:rPr>
          <w:rFonts w:ascii="仿宋" w:eastAsia="仿宋" w:hAnsi="仿宋" w:cs="仿宋" w:hint="eastAsia"/>
          <w:snapToGrid/>
          <w:kern w:val="2"/>
          <w:sz w:val="28"/>
          <w:szCs w:val="28"/>
          <w:lang w:eastAsia="zh-CN"/>
        </w:rPr>
        <w:t>募集配套资金</w:t>
      </w:r>
      <w:r w:rsidRPr="00C3747C">
        <w:rPr>
          <w:rFonts w:ascii="仿宋" w:eastAsia="仿宋" w:hAnsi="仿宋" w:cs="仿宋"/>
          <w:snapToGrid/>
          <w:kern w:val="2"/>
          <w:sz w:val="28"/>
          <w:szCs w:val="28"/>
          <w:lang w:eastAsia="zh-CN"/>
        </w:rPr>
        <w:t>向其发行的全部股份。</w:t>
      </w:r>
    </w:p>
    <w:p w14:paraId="0E323FD1"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3</w:t>
      </w:r>
      <w:r w:rsidRPr="00C3747C">
        <w:rPr>
          <w:rFonts w:ascii="仿宋" w:eastAsia="仿宋" w:hAnsi="仿宋" w:cs="仿宋"/>
          <w:snapToGrid/>
          <w:kern w:val="2"/>
          <w:sz w:val="28"/>
          <w:szCs w:val="28"/>
          <w:lang w:eastAsia="zh-CN"/>
        </w:rPr>
        <w:t>.认购股份的定价方式和价格</w:t>
      </w:r>
    </w:p>
    <w:p w14:paraId="38C6DD3D"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本次募集配套资金的定价基准日为公司审议本次发行股份及支付现金购买资产并配套募集资金事项的第三届董事会第三十二次会议决议公告日。</w:t>
      </w:r>
    </w:p>
    <w:p w14:paraId="40223C5C"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本次募集配套资金的发行价格为32.74元/股，不低于定价基准日前20个交易日公司股票交易均价的80%。</w:t>
      </w:r>
    </w:p>
    <w:p w14:paraId="7C726F08"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在定价基准日至股份发行日期间，公司如有派息、送股、资本公积金转增股本等除权、除息事项，则上述发行价格将根据中国证监会及深交所的相关规则进行相应调整</w:t>
      </w:r>
      <w:r w:rsidRPr="00C3747C">
        <w:rPr>
          <w:rFonts w:ascii="仿宋" w:eastAsia="仿宋" w:hAnsi="仿宋" w:cs="仿宋"/>
          <w:snapToGrid/>
          <w:kern w:val="2"/>
          <w:sz w:val="28"/>
          <w:szCs w:val="28"/>
          <w:lang w:eastAsia="zh-CN"/>
        </w:rPr>
        <w:t>。</w:t>
      </w:r>
    </w:p>
    <w:p w14:paraId="4D1A8F66"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snapToGrid/>
          <w:kern w:val="2"/>
          <w:sz w:val="28"/>
          <w:szCs w:val="28"/>
          <w:lang w:eastAsia="zh-CN"/>
        </w:rPr>
        <w:t>4</w:t>
      </w:r>
      <w:r w:rsidRPr="00C3747C">
        <w:rPr>
          <w:rFonts w:ascii="仿宋" w:eastAsia="仿宋" w:hAnsi="仿宋" w:cs="仿宋" w:hint="eastAsia"/>
          <w:snapToGrid/>
          <w:kern w:val="2"/>
          <w:sz w:val="28"/>
          <w:szCs w:val="28"/>
          <w:lang w:eastAsia="zh-CN"/>
        </w:rPr>
        <w:t>.</w:t>
      </w:r>
      <w:r w:rsidRPr="00C3747C">
        <w:rPr>
          <w:rFonts w:ascii="仿宋" w:eastAsia="仿宋" w:hAnsi="仿宋" w:cs="仿宋"/>
          <w:snapToGrid/>
          <w:kern w:val="2"/>
          <w:sz w:val="28"/>
          <w:szCs w:val="28"/>
          <w:lang w:eastAsia="zh-CN"/>
        </w:rPr>
        <w:t>认购规模及发行数量</w:t>
      </w:r>
    </w:p>
    <w:p w14:paraId="0EFC21E3"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本次募集配套资金总额不超过人民币1.55亿元且不超过本次发行股份购买资产交易价格的100%，且发行股份数量不超过本次募集配套资金股份发行前公司总股本的30%。确定的发行规模及发行数量将在重组报告书中披露，最终发行规模及发行数量将在本次发行股份及支付现金购买资产并配套募集资金事项经深交所审核通过并经中国证监会予以注册后，按照《上市公司证券发行注册管理办法》等的相关规定最终确定。</w:t>
      </w:r>
    </w:p>
    <w:p w14:paraId="79ACAF2B"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在定价基准日至发行日期间，公司如有派息、送股、资本公积</w:t>
      </w:r>
      <w:r w:rsidRPr="00C3747C">
        <w:rPr>
          <w:rFonts w:ascii="仿宋" w:eastAsia="仿宋" w:hAnsi="仿宋" w:cs="仿宋" w:hint="eastAsia"/>
          <w:snapToGrid/>
          <w:kern w:val="2"/>
          <w:sz w:val="28"/>
          <w:szCs w:val="28"/>
          <w:lang w:eastAsia="zh-CN"/>
        </w:rPr>
        <w:lastRenderedPageBreak/>
        <w:t>转增股本、配股等除权、除息事项，本次股份发行价格需进行调整的，本次发行股份数量也随之进行调整。</w:t>
      </w:r>
    </w:p>
    <w:p w14:paraId="4BC1F334" w14:textId="77777777" w:rsidR="00DC563F" w:rsidRPr="00C3747C" w:rsidRDefault="00000000">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（三）股份锁定期</w:t>
      </w:r>
    </w:p>
    <w:p w14:paraId="76BE7503"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本次配套募集资金的认购方所认购的公司股份，自该等股份发行结束之日起</w:t>
      </w:r>
      <w:r w:rsidRPr="00C3747C">
        <w:rPr>
          <w:rFonts w:ascii="仿宋" w:eastAsia="仿宋" w:hAnsi="仿宋" w:cs="仿宋"/>
          <w:snapToGrid/>
          <w:kern w:val="2"/>
          <w:sz w:val="28"/>
          <w:szCs w:val="28"/>
          <w:lang w:eastAsia="zh-CN"/>
        </w:rPr>
        <w:t>18</w:t>
      </w:r>
      <w:r w:rsidRPr="00C3747C">
        <w:rPr>
          <w:rFonts w:ascii="仿宋" w:eastAsia="仿宋" w:hAnsi="仿宋" w:cs="仿宋" w:hint="eastAsia"/>
          <w:snapToGrid/>
          <w:kern w:val="2"/>
          <w:sz w:val="28"/>
          <w:szCs w:val="28"/>
          <w:lang w:eastAsia="zh-CN"/>
        </w:rPr>
        <w:t>个月内不得转让。</w:t>
      </w:r>
    </w:p>
    <w:p w14:paraId="04BAB579"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上述锁定期内，配套募集资金认购方由于公司送股、转增股本等原因增持的公司股份，同时遵照上述锁定期进行锁定。如上述锁定期的安排与中国证监会等监管部门的最新监管意见不符的，协议双方将根据监管部门的最新监管意见对锁定期安排予以调整。</w:t>
      </w:r>
    </w:p>
    <w:p w14:paraId="0F37472C" w14:textId="77777777" w:rsidR="00DC563F" w:rsidRPr="00C3747C" w:rsidRDefault="00000000">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（四）认购款的支付时间、支付方式与股份交割</w:t>
      </w:r>
    </w:p>
    <w:p w14:paraId="4AE0A7BD"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在本次募集配套资金经深交所审核通过并经中国证监会予以注册后，且认购</w:t>
      </w:r>
      <w:proofErr w:type="gramStart"/>
      <w:r w:rsidRPr="00C3747C">
        <w:rPr>
          <w:rFonts w:ascii="仿宋" w:eastAsia="仿宋" w:hAnsi="仿宋" w:cs="仿宋" w:hint="eastAsia"/>
          <w:snapToGrid/>
          <w:kern w:val="2"/>
          <w:sz w:val="28"/>
          <w:szCs w:val="28"/>
          <w:lang w:eastAsia="zh-CN"/>
        </w:rPr>
        <w:t>方收到</w:t>
      </w:r>
      <w:proofErr w:type="gramEnd"/>
      <w:r w:rsidRPr="00C3747C">
        <w:rPr>
          <w:rFonts w:ascii="仿宋" w:eastAsia="仿宋" w:hAnsi="仿宋" w:cs="仿宋" w:hint="eastAsia"/>
          <w:snapToGrid/>
          <w:kern w:val="2"/>
          <w:sz w:val="28"/>
          <w:szCs w:val="28"/>
          <w:lang w:eastAsia="zh-CN"/>
        </w:rPr>
        <w:t>甲方和本次募集配套资金的主承销商发出的《缴款通知书》后，以现金方式一次性将全部认购款划入主承销商为本次募集配套资金专门开立的账户，验资完毕并扣除相关费用后划入甲方指定的募集资金专项存储账户。在认购方支付认购款后，甲方应将认购方认购的股份在中国证券登记结算有限责任公司深圳分公司办理股份登记手续并发行，以使认购方成为认购股份的合法持有人。</w:t>
      </w:r>
    </w:p>
    <w:p w14:paraId="73B472D5"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如本次发行最终未能实施，则甲方应退还乙方所缴纳的认购款。</w:t>
      </w:r>
    </w:p>
    <w:p w14:paraId="57A3B4A2" w14:textId="77777777" w:rsidR="00DC563F" w:rsidRPr="00C3747C" w:rsidRDefault="00000000">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（五）违约责任</w:t>
      </w:r>
    </w:p>
    <w:p w14:paraId="0B23210D"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snapToGrid/>
          <w:kern w:val="2"/>
          <w:sz w:val="28"/>
          <w:szCs w:val="28"/>
          <w:lang w:eastAsia="zh-CN"/>
        </w:rPr>
        <w:t>1</w:t>
      </w:r>
      <w:r w:rsidRPr="00C3747C">
        <w:rPr>
          <w:rFonts w:ascii="仿宋" w:eastAsia="仿宋" w:hAnsi="仿宋" w:cs="仿宋" w:hint="eastAsia"/>
          <w:snapToGrid/>
          <w:kern w:val="2"/>
          <w:sz w:val="28"/>
          <w:szCs w:val="28"/>
          <w:lang w:eastAsia="zh-CN"/>
        </w:rPr>
        <w:t>.本协议生效后，除不可抗力以外，任何一方不履行或不及时、不适当履行本协议项下其应履行的任何义务，或违反其在本协议项下</w:t>
      </w:r>
      <w:proofErr w:type="gramStart"/>
      <w:r w:rsidRPr="00C3747C">
        <w:rPr>
          <w:rFonts w:ascii="仿宋" w:eastAsia="仿宋" w:hAnsi="仿宋" w:cs="仿宋" w:hint="eastAsia"/>
          <w:snapToGrid/>
          <w:kern w:val="2"/>
          <w:sz w:val="28"/>
          <w:szCs w:val="28"/>
          <w:lang w:eastAsia="zh-CN"/>
        </w:rPr>
        <w:t>作出</w:t>
      </w:r>
      <w:proofErr w:type="gramEnd"/>
      <w:r w:rsidRPr="00C3747C">
        <w:rPr>
          <w:rFonts w:ascii="仿宋" w:eastAsia="仿宋" w:hAnsi="仿宋" w:cs="仿宋" w:hint="eastAsia"/>
          <w:snapToGrid/>
          <w:kern w:val="2"/>
          <w:sz w:val="28"/>
          <w:szCs w:val="28"/>
          <w:lang w:eastAsia="zh-CN"/>
        </w:rPr>
        <w:t>的任何保证或承诺，均构成其违约，应按照法律规定承担违约责任，赔偿守约方因此遭受的损失。</w:t>
      </w:r>
    </w:p>
    <w:p w14:paraId="5DB7A8E4"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snapToGrid/>
          <w:kern w:val="2"/>
          <w:sz w:val="28"/>
          <w:szCs w:val="28"/>
          <w:lang w:eastAsia="zh-CN"/>
        </w:rPr>
        <w:t>2</w:t>
      </w:r>
      <w:r w:rsidRPr="00C3747C">
        <w:rPr>
          <w:rFonts w:ascii="仿宋" w:eastAsia="仿宋" w:hAnsi="仿宋" w:cs="仿宋" w:hint="eastAsia"/>
          <w:snapToGrid/>
          <w:kern w:val="2"/>
          <w:sz w:val="28"/>
          <w:szCs w:val="28"/>
          <w:lang w:eastAsia="zh-CN"/>
        </w:rPr>
        <w:t>.因一方擅自单方面终止本协议，或因其违约导致本协议无法继续履行，或其在本协议中所作的声明、承诺或保证存在虚假、重</w:t>
      </w:r>
      <w:r w:rsidRPr="00C3747C">
        <w:rPr>
          <w:rFonts w:ascii="仿宋" w:eastAsia="仿宋" w:hAnsi="仿宋" w:cs="仿宋" w:hint="eastAsia"/>
          <w:snapToGrid/>
          <w:kern w:val="2"/>
          <w:sz w:val="28"/>
          <w:szCs w:val="28"/>
          <w:lang w:eastAsia="zh-CN"/>
        </w:rPr>
        <w:lastRenderedPageBreak/>
        <w:t>大遗漏或者重大误解的，或未能及时、全面履行本协议约定的义务且经协议相对方通知后仍未能如约履行义务的，守约方有权解除本协议，并要求违约方赔偿经济损失。</w:t>
      </w:r>
    </w:p>
    <w:p w14:paraId="69D7235E"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snapToGrid/>
          <w:kern w:val="2"/>
          <w:sz w:val="28"/>
          <w:szCs w:val="28"/>
          <w:lang w:eastAsia="zh-CN"/>
        </w:rPr>
        <w:t>3</w:t>
      </w:r>
      <w:r w:rsidRPr="00C3747C">
        <w:rPr>
          <w:rFonts w:ascii="仿宋" w:eastAsia="仿宋" w:hAnsi="仿宋" w:cs="仿宋" w:hint="eastAsia"/>
          <w:snapToGrid/>
          <w:kern w:val="2"/>
          <w:sz w:val="28"/>
          <w:szCs w:val="28"/>
          <w:lang w:eastAsia="zh-CN"/>
        </w:rPr>
        <w:t>.一方承担违约责任应当赔偿另一方由此所造成的全部损失，该等损失包括但不限于：另一方为本次发行而发生的审计费用、保荐承销费用、律师费用、差旅费用等。</w:t>
      </w:r>
    </w:p>
    <w:p w14:paraId="7D74C69B"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snapToGrid/>
          <w:kern w:val="2"/>
          <w:sz w:val="28"/>
          <w:szCs w:val="28"/>
          <w:lang w:eastAsia="zh-CN"/>
        </w:rPr>
        <w:t>4</w:t>
      </w:r>
      <w:r w:rsidRPr="00C3747C">
        <w:rPr>
          <w:rFonts w:ascii="仿宋" w:eastAsia="仿宋" w:hAnsi="仿宋" w:cs="仿宋" w:hint="eastAsia"/>
          <w:snapToGrid/>
          <w:kern w:val="2"/>
          <w:sz w:val="28"/>
          <w:szCs w:val="28"/>
          <w:lang w:eastAsia="zh-CN"/>
        </w:rPr>
        <w:t>.发生下列情形之一的，双方互不负违约责任：</w:t>
      </w:r>
    </w:p>
    <w:p w14:paraId="03F41303"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w:t>
      </w:r>
      <w:r w:rsidRPr="00C3747C">
        <w:rPr>
          <w:rFonts w:ascii="仿宋" w:eastAsia="仿宋" w:hAnsi="仿宋" w:cs="仿宋"/>
          <w:snapToGrid/>
          <w:kern w:val="2"/>
          <w:sz w:val="28"/>
          <w:szCs w:val="28"/>
          <w:lang w:eastAsia="zh-CN"/>
        </w:rPr>
        <w:t>1</w:t>
      </w:r>
      <w:r w:rsidRPr="00C3747C">
        <w:rPr>
          <w:rFonts w:ascii="仿宋" w:eastAsia="仿宋" w:hAnsi="仿宋" w:cs="仿宋" w:hint="eastAsia"/>
          <w:snapToGrid/>
          <w:kern w:val="2"/>
          <w:sz w:val="28"/>
          <w:szCs w:val="28"/>
          <w:lang w:eastAsia="zh-CN"/>
        </w:rPr>
        <w:t>）在履行协议过程中如遇监管部门政策调整、相关法律法规变更，导致本次募集配套资金无法实现，甲方终止本次募集配套资金；</w:t>
      </w:r>
    </w:p>
    <w:p w14:paraId="458A0061"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w:t>
      </w:r>
      <w:r w:rsidRPr="00C3747C">
        <w:rPr>
          <w:rFonts w:ascii="仿宋" w:eastAsia="仿宋" w:hAnsi="仿宋" w:cs="仿宋"/>
          <w:snapToGrid/>
          <w:kern w:val="2"/>
          <w:sz w:val="28"/>
          <w:szCs w:val="28"/>
          <w:lang w:eastAsia="zh-CN"/>
        </w:rPr>
        <w:t>2</w:t>
      </w:r>
      <w:r w:rsidRPr="00C3747C">
        <w:rPr>
          <w:rFonts w:ascii="仿宋" w:eastAsia="仿宋" w:hAnsi="仿宋" w:cs="仿宋" w:hint="eastAsia"/>
          <w:snapToGrid/>
          <w:kern w:val="2"/>
          <w:sz w:val="28"/>
          <w:szCs w:val="28"/>
          <w:lang w:eastAsia="zh-CN"/>
        </w:rPr>
        <w:t>）甲方根据实际情况调减本次募集配套资金的最初拟定发行股份总数或最初认购股份数，或根据监管部门的要求调整本次发行方案；</w:t>
      </w:r>
    </w:p>
    <w:p w14:paraId="63C4652E"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w:t>
      </w:r>
      <w:r w:rsidRPr="00C3747C">
        <w:rPr>
          <w:rFonts w:ascii="仿宋" w:eastAsia="仿宋" w:hAnsi="仿宋" w:cs="仿宋"/>
          <w:snapToGrid/>
          <w:kern w:val="2"/>
          <w:sz w:val="28"/>
          <w:szCs w:val="28"/>
          <w:lang w:eastAsia="zh-CN"/>
        </w:rPr>
        <w:t>3</w:t>
      </w:r>
      <w:r w:rsidRPr="00C3747C">
        <w:rPr>
          <w:rFonts w:ascii="仿宋" w:eastAsia="仿宋" w:hAnsi="仿宋" w:cs="仿宋" w:hint="eastAsia"/>
          <w:snapToGrid/>
          <w:kern w:val="2"/>
          <w:sz w:val="28"/>
          <w:szCs w:val="28"/>
          <w:lang w:eastAsia="zh-CN"/>
        </w:rPr>
        <w:t>）因不可抗力事件导致一方或双方履行不能的。</w:t>
      </w:r>
    </w:p>
    <w:p w14:paraId="6102F78A" w14:textId="77777777" w:rsidR="00DC563F" w:rsidRPr="00C3747C" w:rsidRDefault="00000000">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（六）生效条件</w:t>
      </w:r>
    </w:p>
    <w:p w14:paraId="06B88516"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1.本协议为附生效条件的协议，本协议自甲乙双方签署之日起成立。在满足下列全部条件后本协议生效：</w:t>
      </w:r>
    </w:p>
    <w:p w14:paraId="6FD64154"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w:t>
      </w:r>
      <w:r w:rsidRPr="00C3747C">
        <w:rPr>
          <w:rFonts w:ascii="仿宋" w:eastAsia="仿宋" w:hAnsi="仿宋" w:cs="仿宋"/>
          <w:snapToGrid/>
          <w:kern w:val="2"/>
          <w:sz w:val="28"/>
          <w:szCs w:val="28"/>
          <w:lang w:eastAsia="zh-CN"/>
        </w:rPr>
        <w:t>1</w:t>
      </w:r>
      <w:r w:rsidRPr="00C3747C">
        <w:rPr>
          <w:rFonts w:ascii="仿宋" w:eastAsia="仿宋" w:hAnsi="仿宋" w:cs="仿宋" w:hint="eastAsia"/>
          <w:snapToGrid/>
          <w:kern w:val="2"/>
          <w:sz w:val="28"/>
          <w:szCs w:val="28"/>
          <w:lang w:eastAsia="zh-CN"/>
        </w:rPr>
        <w:t>）本次发行股份及支付现金购买资产并募集配套资金相关事宜经甲方董事会和股东会审议通过；</w:t>
      </w:r>
    </w:p>
    <w:p w14:paraId="09953765"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w:t>
      </w:r>
      <w:r w:rsidRPr="00C3747C">
        <w:rPr>
          <w:rFonts w:ascii="仿宋" w:eastAsia="仿宋" w:hAnsi="仿宋" w:cs="仿宋"/>
          <w:snapToGrid/>
          <w:kern w:val="2"/>
          <w:sz w:val="28"/>
          <w:szCs w:val="28"/>
          <w:lang w:eastAsia="zh-CN"/>
        </w:rPr>
        <w:t>2</w:t>
      </w:r>
      <w:r w:rsidRPr="00C3747C">
        <w:rPr>
          <w:rFonts w:ascii="仿宋" w:eastAsia="仿宋" w:hAnsi="仿宋" w:cs="仿宋" w:hint="eastAsia"/>
          <w:snapToGrid/>
          <w:kern w:val="2"/>
          <w:sz w:val="28"/>
          <w:szCs w:val="28"/>
          <w:lang w:eastAsia="zh-CN"/>
        </w:rPr>
        <w:t>）本次发行股份及支付现金购买资产并募集配套资金相关事宜经深圳证券交易所审核通过并经中国证监会注册；</w:t>
      </w:r>
    </w:p>
    <w:p w14:paraId="3C7AC52E"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w:t>
      </w:r>
      <w:r w:rsidRPr="00C3747C">
        <w:rPr>
          <w:rFonts w:ascii="仿宋" w:eastAsia="仿宋" w:hAnsi="仿宋" w:cs="仿宋"/>
          <w:snapToGrid/>
          <w:kern w:val="2"/>
          <w:sz w:val="28"/>
          <w:szCs w:val="28"/>
          <w:lang w:eastAsia="zh-CN"/>
        </w:rPr>
        <w:t>3</w:t>
      </w:r>
      <w:r w:rsidRPr="00C3747C">
        <w:rPr>
          <w:rFonts w:ascii="仿宋" w:eastAsia="仿宋" w:hAnsi="仿宋" w:cs="仿宋" w:hint="eastAsia"/>
          <w:snapToGrid/>
          <w:kern w:val="2"/>
          <w:sz w:val="28"/>
          <w:szCs w:val="28"/>
          <w:lang w:eastAsia="zh-CN"/>
        </w:rPr>
        <w:t>）相关法律法规要求的其他必要批准或核准（如需）。</w:t>
      </w:r>
    </w:p>
    <w:p w14:paraId="4CEB44FC"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snapToGrid/>
          <w:kern w:val="2"/>
          <w:sz w:val="28"/>
          <w:szCs w:val="28"/>
          <w:lang w:eastAsia="zh-CN"/>
        </w:rPr>
        <w:t>2</w:t>
      </w:r>
      <w:r w:rsidRPr="00C3747C">
        <w:rPr>
          <w:rFonts w:ascii="仿宋" w:eastAsia="仿宋" w:hAnsi="仿宋" w:cs="仿宋" w:hint="eastAsia"/>
          <w:snapToGrid/>
          <w:kern w:val="2"/>
          <w:sz w:val="28"/>
          <w:szCs w:val="28"/>
          <w:lang w:eastAsia="zh-CN"/>
        </w:rPr>
        <w:t>.双方均有促使协议得以生效的义务，并且应当尽最大努力成就本协议所述的生效条件。</w:t>
      </w:r>
    </w:p>
    <w:p w14:paraId="4825DC4A"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3.如非因一方或双方违约的原因造成上述条件未能得到满足，则双方各自承担因签署及准备履行本协议所支付之费用，且互不承</w:t>
      </w:r>
      <w:r w:rsidRPr="00C3747C">
        <w:rPr>
          <w:rFonts w:ascii="仿宋" w:eastAsia="仿宋" w:hAnsi="仿宋" w:cs="仿宋" w:hint="eastAsia"/>
          <w:snapToGrid/>
          <w:kern w:val="2"/>
          <w:sz w:val="28"/>
          <w:szCs w:val="28"/>
          <w:lang w:eastAsia="zh-CN"/>
        </w:rPr>
        <w:lastRenderedPageBreak/>
        <w:t>担违约责任。</w:t>
      </w:r>
    </w:p>
    <w:p w14:paraId="12322A2F" w14:textId="77777777" w:rsidR="00DC563F" w:rsidRPr="00C3747C" w:rsidRDefault="00000000">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hint="eastAsia"/>
          <w:b/>
          <w:snapToGrid/>
          <w:kern w:val="2"/>
          <w:sz w:val="28"/>
          <w:szCs w:val="28"/>
          <w:lang w:eastAsia="zh-CN"/>
        </w:rPr>
      </w:pPr>
      <w:r w:rsidRPr="00C3747C">
        <w:rPr>
          <w:rFonts w:ascii="仿宋" w:eastAsia="仿宋" w:hAnsi="仿宋" w:cs="仿宋" w:hint="eastAsia"/>
          <w:b/>
          <w:snapToGrid/>
          <w:kern w:val="2"/>
          <w:sz w:val="28"/>
          <w:szCs w:val="28"/>
          <w:lang w:eastAsia="zh-CN"/>
        </w:rPr>
        <w:t>四、关联交易的目的和对公司的影响</w:t>
      </w:r>
    </w:p>
    <w:p w14:paraId="3E1F91B9"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本次交易募集配套资金拟用于支付本次交易现金对价、支付本次交易的中介机构费用、相关税费。</w:t>
      </w:r>
    </w:p>
    <w:p w14:paraId="37D18EDB"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考虑募集配套资金，本次交易完成后，社会公众持有的股份占公司股份总数的比例为</w:t>
      </w:r>
      <w:r w:rsidRPr="00C3747C">
        <w:rPr>
          <w:rFonts w:ascii="仿宋" w:eastAsia="仿宋" w:hAnsi="仿宋" w:cs="仿宋"/>
          <w:snapToGrid/>
          <w:kern w:val="2"/>
          <w:sz w:val="28"/>
          <w:szCs w:val="28"/>
          <w:lang w:eastAsia="zh-CN"/>
        </w:rPr>
        <w:t>25%</w:t>
      </w:r>
      <w:r w:rsidRPr="00C3747C">
        <w:rPr>
          <w:rFonts w:ascii="仿宋" w:eastAsia="仿宋" w:hAnsi="仿宋" w:cs="仿宋" w:hint="eastAsia"/>
          <w:snapToGrid/>
          <w:kern w:val="2"/>
          <w:sz w:val="28"/>
          <w:szCs w:val="28"/>
          <w:lang w:eastAsia="zh-CN"/>
        </w:rPr>
        <w:t>以上，公司股权分布仍符合深交所的上市条件。林明玲、马学沛合计持有上市公司股权比例降至</w:t>
      </w:r>
      <w:r w:rsidRPr="00C3747C">
        <w:rPr>
          <w:rFonts w:ascii="仿宋" w:eastAsia="仿宋" w:hAnsi="仿宋" w:cs="仿宋"/>
          <w:snapToGrid/>
          <w:kern w:val="2"/>
          <w:sz w:val="28"/>
          <w:szCs w:val="28"/>
          <w:lang w:eastAsia="zh-CN"/>
        </w:rPr>
        <w:t>29.98%</w:t>
      </w:r>
      <w:r w:rsidRPr="00C3747C">
        <w:rPr>
          <w:rFonts w:ascii="仿宋" w:eastAsia="仿宋" w:hAnsi="仿宋" w:cs="仿宋" w:hint="eastAsia"/>
          <w:snapToGrid/>
          <w:kern w:val="2"/>
          <w:sz w:val="28"/>
          <w:szCs w:val="28"/>
          <w:lang w:eastAsia="zh-CN"/>
        </w:rPr>
        <w:t>，仍为上市公司实际控制人，不会导致公司控制权变更。</w:t>
      </w:r>
    </w:p>
    <w:p w14:paraId="32470F99"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通过本次交易，公司与标的公司在产业链布局、技术研发、市场拓展、产品迭代等方面将产生互补和协同效应，有利于增强上市公司的可持续发展能力和盈利能力，维护全体股东利益。</w:t>
      </w:r>
    </w:p>
    <w:p w14:paraId="71094E4E" w14:textId="77777777" w:rsidR="00DC563F" w:rsidRPr="00C3747C" w:rsidRDefault="00000000">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hint="eastAsia"/>
          <w:b/>
          <w:snapToGrid/>
          <w:kern w:val="2"/>
          <w:sz w:val="28"/>
          <w:szCs w:val="28"/>
          <w:lang w:eastAsia="zh-CN"/>
        </w:rPr>
      </w:pPr>
      <w:r w:rsidRPr="00C3747C">
        <w:rPr>
          <w:rFonts w:ascii="仿宋" w:eastAsia="仿宋" w:hAnsi="仿宋" w:cs="仿宋" w:hint="eastAsia"/>
          <w:b/>
          <w:snapToGrid/>
          <w:kern w:val="2"/>
          <w:sz w:val="28"/>
          <w:szCs w:val="28"/>
          <w:lang w:eastAsia="zh-CN"/>
        </w:rPr>
        <w:t>五、本年年初至披露日与该关联人累计已发生的各类关联交易的</w:t>
      </w:r>
    </w:p>
    <w:p w14:paraId="05FA8821" w14:textId="303157E6"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自</w:t>
      </w:r>
      <w:r w:rsidRPr="00C3747C">
        <w:rPr>
          <w:rFonts w:ascii="仿宋" w:eastAsia="仿宋" w:hAnsi="仿宋" w:cs="仿宋"/>
          <w:snapToGrid/>
          <w:kern w:val="2"/>
          <w:sz w:val="28"/>
          <w:szCs w:val="28"/>
          <w:lang w:eastAsia="zh-CN"/>
        </w:rPr>
        <w:t xml:space="preserve"> 2025 </w:t>
      </w:r>
      <w:r w:rsidRPr="00C3747C">
        <w:rPr>
          <w:rFonts w:ascii="仿宋" w:eastAsia="仿宋" w:hAnsi="仿宋" w:cs="仿宋" w:hint="eastAsia"/>
          <w:snapToGrid/>
          <w:kern w:val="2"/>
          <w:sz w:val="28"/>
          <w:szCs w:val="28"/>
          <w:lang w:eastAsia="zh-CN"/>
        </w:rPr>
        <w:t>年初至披露日，公司累计接受由实际控制人提供无偿担保的余额为人民币</w:t>
      </w:r>
      <w:r w:rsidR="00183ACD">
        <w:rPr>
          <w:rFonts w:ascii="仿宋" w:eastAsia="仿宋" w:hAnsi="仿宋" w:cs="仿宋" w:hint="eastAsia"/>
          <w:snapToGrid/>
          <w:kern w:val="2"/>
          <w:sz w:val="28"/>
          <w:szCs w:val="28"/>
          <w:lang w:eastAsia="zh-CN"/>
        </w:rPr>
        <w:t>9,682.11</w:t>
      </w:r>
      <w:r w:rsidRPr="00C3747C">
        <w:rPr>
          <w:rFonts w:ascii="仿宋" w:eastAsia="仿宋" w:hAnsi="仿宋" w:cs="仿宋" w:hint="eastAsia"/>
          <w:snapToGrid/>
          <w:kern w:val="2"/>
          <w:sz w:val="28"/>
          <w:szCs w:val="28"/>
          <w:lang w:eastAsia="zh-CN"/>
        </w:rPr>
        <w:t>万元。此外，公司未与该关联人发生关联交易。</w:t>
      </w:r>
    </w:p>
    <w:p w14:paraId="0BB8E536" w14:textId="77777777" w:rsidR="00DC563F" w:rsidRPr="00C3747C" w:rsidRDefault="00000000">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hint="eastAsia"/>
          <w:b/>
          <w:snapToGrid/>
          <w:kern w:val="2"/>
          <w:sz w:val="28"/>
          <w:szCs w:val="28"/>
          <w:lang w:eastAsia="zh-CN"/>
        </w:rPr>
      </w:pPr>
      <w:r w:rsidRPr="00C3747C">
        <w:rPr>
          <w:rFonts w:ascii="仿宋" w:eastAsia="仿宋" w:hAnsi="仿宋" w:cs="仿宋" w:hint="eastAsia"/>
          <w:b/>
          <w:snapToGrid/>
          <w:kern w:val="2"/>
          <w:sz w:val="28"/>
          <w:szCs w:val="28"/>
          <w:lang w:eastAsia="zh-CN"/>
        </w:rPr>
        <w:t>六、独立董事专门会议审核意见</w:t>
      </w:r>
    </w:p>
    <w:p w14:paraId="246272AE" w14:textId="185AE2B4"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cs="仿宋" w:hint="eastAsia"/>
          <w:snapToGrid/>
          <w:kern w:val="2"/>
          <w:sz w:val="28"/>
          <w:szCs w:val="28"/>
          <w:lang w:eastAsia="zh-CN"/>
        </w:rPr>
        <w:t>公司独立董事于2025年11月18日召开第四届董事会</w:t>
      </w:r>
      <w:r w:rsidRPr="00C3747C">
        <w:rPr>
          <w:rFonts w:ascii="仿宋" w:eastAsia="仿宋" w:hAnsi="仿宋" w:hint="eastAsia"/>
          <w:sz w:val="28"/>
          <w:szCs w:val="28"/>
          <w:lang w:eastAsia="zh-CN"/>
        </w:rPr>
        <w:t>独立董事</w:t>
      </w:r>
      <w:r w:rsidRPr="00C3747C">
        <w:rPr>
          <w:rFonts w:ascii="仿宋" w:eastAsia="仿宋" w:hAnsi="仿宋" w:cs="仿宋" w:hint="eastAsia"/>
          <w:snapToGrid/>
          <w:kern w:val="2"/>
          <w:sz w:val="28"/>
          <w:szCs w:val="28"/>
          <w:lang w:eastAsia="zh-CN"/>
        </w:rPr>
        <w:t>第一次专门会议，审议通过了本次交易相关议案。</w:t>
      </w:r>
    </w:p>
    <w:p w14:paraId="6FD63ACD" w14:textId="71B7E2A9"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hint="eastAsia"/>
          <w:sz w:val="28"/>
          <w:szCs w:val="28"/>
          <w:lang w:eastAsia="zh-CN"/>
        </w:rPr>
      </w:pPr>
      <w:r w:rsidRPr="00C3747C">
        <w:rPr>
          <w:rFonts w:ascii="仿宋" w:eastAsia="仿宋" w:hAnsi="仿宋" w:cs="仿宋" w:hint="eastAsia"/>
          <w:snapToGrid/>
          <w:kern w:val="2"/>
          <w:sz w:val="28"/>
          <w:szCs w:val="28"/>
          <w:lang w:eastAsia="zh-CN"/>
        </w:rPr>
        <w:t>经审查，独立董事认为</w:t>
      </w:r>
      <w:bookmarkStart w:id="0" w:name="_Hlk213157991"/>
      <w:r w:rsidRPr="00C3747C">
        <w:rPr>
          <w:rFonts w:ascii="仿宋" w:eastAsia="仿宋" w:hAnsi="仿宋" w:cs="仿宋" w:hint="eastAsia"/>
          <w:snapToGrid/>
          <w:kern w:val="2"/>
          <w:sz w:val="28"/>
          <w:szCs w:val="28"/>
          <w:lang w:eastAsia="zh-CN"/>
        </w:rPr>
        <w:t>本次交易涉及的关联交易事项符合法律、法规和规范性文件的相关规定，不存在损害公司或公司股东特别是中小股东利益的情形</w:t>
      </w:r>
      <w:bookmarkEnd w:id="0"/>
      <w:r w:rsidRPr="00C3747C">
        <w:rPr>
          <w:rFonts w:ascii="仿宋" w:eastAsia="仿宋" w:hAnsi="仿宋" w:cs="仿宋" w:hint="eastAsia"/>
          <w:snapToGrid/>
          <w:kern w:val="2"/>
          <w:sz w:val="28"/>
          <w:szCs w:val="28"/>
          <w:lang w:eastAsia="zh-CN"/>
        </w:rPr>
        <w:t>。</w:t>
      </w:r>
      <w:r w:rsidRPr="00C3747C">
        <w:rPr>
          <w:rFonts w:ascii="仿宋" w:eastAsia="仿宋" w:hAnsi="仿宋" w:hint="eastAsia"/>
          <w:sz w:val="28"/>
          <w:szCs w:val="28"/>
          <w:lang w:eastAsia="zh-CN"/>
        </w:rPr>
        <w:t>同意将本次交易相关议案提交公司董事会审议。</w:t>
      </w:r>
    </w:p>
    <w:p w14:paraId="00D62BF2" w14:textId="77777777" w:rsidR="00DC563F" w:rsidRPr="00C3747C" w:rsidRDefault="00000000">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hint="eastAsia"/>
          <w:b/>
          <w:snapToGrid/>
          <w:kern w:val="2"/>
          <w:sz w:val="28"/>
          <w:szCs w:val="28"/>
          <w:lang w:eastAsia="zh-CN"/>
        </w:rPr>
      </w:pPr>
      <w:r w:rsidRPr="00C3747C">
        <w:rPr>
          <w:rFonts w:ascii="仿宋" w:eastAsia="仿宋" w:hAnsi="仿宋" w:cs="仿宋" w:hint="eastAsia"/>
          <w:b/>
          <w:snapToGrid/>
          <w:kern w:val="2"/>
          <w:sz w:val="28"/>
          <w:szCs w:val="28"/>
          <w:lang w:eastAsia="zh-CN"/>
        </w:rPr>
        <w:t>七、备查文件</w:t>
      </w:r>
    </w:p>
    <w:p w14:paraId="5DF9B498" w14:textId="717FDCFE"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hint="eastAsia"/>
          <w:sz w:val="28"/>
          <w:szCs w:val="28"/>
          <w:lang w:eastAsia="zh-CN"/>
        </w:rPr>
      </w:pPr>
      <w:r w:rsidRPr="00C3747C">
        <w:rPr>
          <w:rFonts w:ascii="仿宋" w:eastAsia="仿宋" w:hAnsi="仿宋" w:hint="eastAsia"/>
          <w:sz w:val="28"/>
          <w:szCs w:val="28"/>
          <w:lang w:eastAsia="zh-CN"/>
        </w:rPr>
        <w:t>（一）《广东天亿马信息产业股份有限公司第四届董事会第三次会议决议》；</w:t>
      </w:r>
    </w:p>
    <w:p w14:paraId="4382D9D5" w14:textId="514DED31"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C3747C">
        <w:rPr>
          <w:rFonts w:ascii="仿宋" w:eastAsia="仿宋" w:hAnsi="仿宋" w:hint="eastAsia"/>
          <w:sz w:val="28"/>
          <w:szCs w:val="28"/>
          <w:lang w:eastAsia="zh-CN"/>
        </w:rPr>
        <w:lastRenderedPageBreak/>
        <w:t>（二）《广东天亿马信息产业股份有限公司第四届董事会独立董事第一次专门会议决议》。</w:t>
      </w:r>
    </w:p>
    <w:p w14:paraId="6F30731C" w14:textId="77777777" w:rsidR="00DC563F" w:rsidRPr="00C3747C"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4"/>
          <w:szCs w:val="24"/>
          <w:lang w:eastAsia="zh-CN"/>
        </w:rPr>
      </w:pPr>
      <w:r w:rsidRPr="00C3747C">
        <w:rPr>
          <w:rFonts w:ascii="仿宋" w:eastAsia="仿宋" w:hAnsi="仿宋" w:cs="仿宋" w:hint="eastAsia"/>
          <w:snapToGrid/>
          <w:kern w:val="2"/>
          <w:sz w:val="28"/>
          <w:szCs w:val="28"/>
          <w:lang w:eastAsia="zh-CN"/>
        </w:rPr>
        <w:t>特此公告。</w:t>
      </w:r>
    </w:p>
    <w:p w14:paraId="2113ABF2" w14:textId="77777777" w:rsidR="00DC563F" w:rsidRPr="00C3747C" w:rsidRDefault="00000000">
      <w:pPr>
        <w:widowControl w:val="0"/>
        <w:kinsoku/>
        <w:autoSpaceDE/>
        <w:autoSpaceDN/>
        <w:adjustRightInd/>
        <w:snapToGrid/>
        <w:spacing w:line="360" w:lineRule="auto"/>
        <w:ind w:firstLineChars="200" w:firstLine="560"/>
        <w:jc w:val="right"/>
        <w:textAlignment w:val="auto"/>
        <w:rPr>
          <w:rFonts w:ascii="仿宋" w:eastAsia="仿宋" w:hAnsi="仿宋" w:hint="eastAsia"/>
          <w:sz w:val="28"/>
          <w:szCs w:val="28"/>
          <w:lang w:eastAsia="zh-CN"/>
        </w:rPr>
      </w:pPr>
      <w:r w:rsidRPr="00C3747C">
        <w:rPr>
          <w:rFonts w:ascii="仿宋" w:eastAsia="仿宋" w:hAnsi="仿宋" w:hint="eastAsia"/>
          <w:sz w:val="28"/>
          <w:szCs w:val="28"/>
          <w:lang w:eastAsia="zh-CN"/>
        </w:rPr>
        <w:t>广东天亿马信息产业股份有限公司</w:t>
      </w:r>
    </w:p>
    <w:p w14:paraId="1DC69490" w14:textId="77777777" w:rsidR="00DC563F" w:rsidRPr="00C3747C" w:rsidRDefault="00000000">
      <w:pPr>
        <w:widowControl w:val="0"/>
        <w:kinsoku/>
        <w:autoSpaceDE/>
        <w:autoSpaceDN/>
        <w:adjustRightInd/>
        <w:snapToGrid/>
        <w:spacing w:line="360" w:lineRule="auto"/>
        <w:ind w:firstLineChars="200" w:firstLine="560"/>
        <w:jc w:val="right"/>
        <w:textAlignment w:val="auto"/>
        <w:rPr>
          <w:rFonts w:ascii="仿宋" w:eastAsia="仿宋" w:hAnsi="仿宋" w:hint="eastAsia"/>
          <w:sz w:val="28"/>
          <w:szCs w:val="28"/>
          <w:lang w:eastAsia="zh-CN"/>
        </w:rPr>
      </w:pPr>
      <w:r w:rsidRPr="00C3747C">
        <w:rPr>
          <w:rFonts w:ascii="仿宋" w:eastAsia="仿宋" w:hAnsi="仿宋" w:hint="eastAsia"/>
          <w:sz w:val="28"/>
          <w:szCs w:val="28"/>
          <w:lang w:eastAsia="zh-CN"/>
        </w:rPr>
        <w:t>董事会</w:t>
      </w:r>
    </w:p>
    <w:p w14:paraId="1219AFAB" w14:textId="206258D7" w:rsidR="00DC563F" w:rsidRPr="00C3747C" w:rsidRDefault="00000000">
      <w:pPr>
        <w:widowControl w:val="0"/>
        <w:kinsoku/>
        <w:autoSpaceDE/>
        <w:autoSpaceDN/>
        <w:adjustRightInd/>
        <w:snapToGrid/>
        <w:spacing w:line="360" w:lineRule="auto"/>
        <w:ind w:firstLineChars="200" w:firstLine="560"/>
        <w:jc w:val="right"/>
        <w:textAlignment w:val="auto"/>
        <w:rPr>
          <w:rFonts w:ascii="仿宋" w:eastAsia="仿宋" w:hAnsi="仿宋" w:hint="eastAsia"/>
          <w:sz w:val="28"/>
          <w:szCs w:val="28"/>
          <w:lang w:eastAsia="zh-CN"/>
        </w:rPr>
      </w:pPr>
      <w:r w:rsidRPr="00C3747C">
        <w:rPr>
          <w:rFonts w:ascii="仿宋" w:eastAsia="仿宋" w:hAnsi="仿宋" w:hint="eastAsia"/>
          <w:sz w:val="28"/>
          <w:szCs w:val="28"/>
          <w:lang w:eastAsia="zh-CN"/>
        </w:rPr>
        <w:t>2025年11月19日</w:t>
      </w:r>
    </w:p>
    <w:p w14:paraId="4DB0CC74" w14:textId="77777777" w:rsidR="00DC563F" w:rsidRPr="00C3747C" w:rsidRDefault="00DC563F">
      <w:pPr>
        <w:widowControl w:val="0"/>
        <w:kinsoku/>
        <w:autoSpaceDE/>
        <w:autoSpaceDN/>
        <w:adjustRightInd/>
        <w:snapToGrid/>
        <w:spacing w:line="360" w:lineRule="auto"/>
        <w:ind w:firstLineChars="200" w:firstLine="560"/>
        <w:jc w:val="right"/>
        <w:textAlignment w:val="auto"/>
        <w:rPr>
          <w:rFonts w:ascii="仿宋" w:eastAsia="仿宋" w:hAnsi="仿宋" w:cs="仿宋" w:hint="eastAsia"/>
          <w:snapToGrid/>
          <w:kern w:val="2"/>
          <w:sz w:val="28"/>
          <w:szCs w:val="28"/>
          <w:lang w:eastAsia="zh-CN"/>
        </w:rPr>
      </w:pPr>
    </w:p>
    <w:sectPr w:rsidR="00DC563F" w:rsidRPr="00C3747C">
      <w:footerReference w:type="default" r:id="rId6"/>
      <w:pgSz w:w="11907" w:h="16839"/>
      <w:pgMar w:top="1431" w:right="1730" w:bottom="1202" w:left="1785" w:header="0" w:footer="9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0D0644" w14:textId="77777777" w:rsidR="002F52AE" w:rsidRDefault="002F52AE">
      <w:r>
        <w:separator/>
      </w:r>
    </w:p>
  </w:endnote>
  <w:endnote w:type="continuationSeparator" w:id="0">
    <w:p w14:paraId="71BAFD21" w14:textId="77777777" w:rsidR="002F52AE" w:rsidRDefault="002F5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PingFang SC">
    <w:altName w:val="宋体"/>
    <w:charset w:val="86"/>
    <w:family w:val="auto"/>
    <w:pitch w:val="default"/>
    <w:sig w:usb0="00000000" w:usb1="00000000" w:usb2="00000017"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7408522"/>
    </w:sdtPr>
    <w:sdtContent>
      <w:p w14:paraId="20E9BB6C" w14:textId="77777777" w:rsidR="00DC563F" w:rsidRDefault="00000000">
        <w:pPr>
          <w:pStyle w:val="a8"/>
          <w:jc w:val="center"/>
        </w:pPr>
        <w:r>
          <w:fldChar w:fldCharType="begin"/>
        </w:r>
        <w:r>
          <w:instrText>PAGE   \* MERGEFORMAT</w:instrText>
        </w:r>
        <w:r>
          <w:fldChar w:fldCharType="separate"/>
        </w:r>
        <w:r>
          <w:rPr>
            <w:lang w:val="zh-CN" w:eastAsia="zh-CN"/>
          </w:rPr>
          <w:t>6</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844234" w14:textId="77777777" w:rsidR="002F52AE" w:rsidRDefault="002F52AE">
      <w:r>
        <w:separator/>
      </w:r>
    </w:p>
  </w:footnote>
  <w:footnote w:type="continuationSeparator" w:id="0">
    <w:p w14:paraId="55C11516" w14:textId="77777777" w:rsidR="002F52AE" w:rsidRDefault="002F52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isplayBackgroundShape/>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rsids>
    <w:rsidRoot w:val="007B6D87"/>
    <w:rsid w:val="95FFBBE4"/>
    <w:rsid w:val="E7338B51"/>
    <w:rsid w:val="0000461C"/>
    <w:rsid w:val="000349A4"/>
    <w:rsid w:val="00035185"/>
    <w:rsid w:val="000545F9"/>
    <w:rsid w:val="000603AF"/>
    <w:rsid w:val="00064F26"/>
    <w:rsid w:val="00074A8D"/>
    <w:rsid w:val="000C2516"/>
    <w:rsid w:val="000C70B2"/>
    <w:rsid w:val="000D281E"/>
    <w:rsid w:val="001047EE"/>
    <w:rsid w:val="00154E6C"/>
    <w:rsid w:val="00183ACD"/>
    <w:rsid w:val="001C0D01"/>
    <w:rsid w:val="00243632"/>
    <w:rsid w:val="00255063"/>
    <w:rsid w:val="00266E17"/>
    <w:rsid w:val="002B6717"/>
    <w:rsid w:val="002F3A15"/>
    <w:rsid w:val="002F52AE"/>
    <w:rsid w:val="003061F7"/>
    <w:rsid w:val="00342578"/>
    <w:rsid w:val="00365FB0"/>
    <w:rsid w:val="00391703"/>
    <w:rsid w:val="003B1948"/>
    <w:rsid w:val="003E407D"/>
    <w:rsid w:val="0043732E"/>
    <w:rsid w:val="0044044B"/>
    <w:rsid w:val="004512C7"/>
    <w:rsid w:val="0049696B"/>
    <w:rsid w:val="004D613D"/>
    <w:rsid w:val="00505CF6"/>
    <w:rsid w:val="00507ABF"/>
    <w:rsid w:val="00542884"/>
    <w:rsid w:val="005720C3"/>
    <w:rsid w:val="005868DA"/>
    <w:rsid w:val="0059730C"/>
    <w:rsid w:val="005A70A6"/>
    <w:rsid w:val="005C7FEB"/>
    <w:rsid w:val="005E50EF"/>
    <w:rsid w:val="00600F50"/>
    <w:rsid w:val="00603070"/>
    <w:rsid w:val="006B0215"/>
    <w:rsid w:val="006D63DE"/>
    <w:rsid w:val="0071687E"/>
    <w:rsid w:val="00777CDD"/>
    <w:rsid w:val="007B6D87"/>
    <w:rsid w:val="007B7EAE"/>
    <w:rsid w:val="007C1A77"/>
    <w:rsid w:val="007C1D66"/>
    <w:rsid w:val="008121EB"/>
    <w:rsid w:val="008640FC"/>
    <w:rsid w:val="00867B30"/>
    <w:rsid w:val="008720D3"/>
    <w:rsid w:val="00881BE4"/>
    <w:rsid w:val="0089588E"/>
    <w:rsid w:val="008A30E2"/>
    <w:rsid w:val="008A344F"/>
    <w:rsid w:val="008C16A1"/>
    <w:rsid w:val="008D67CF"/>
    <w:rsid w:val="009648FA"/>
    <w:rsid w:val="0097567A"/>
    <w:rsid w:val="00994F04"/>
    <w:rsid w:val="009D798C"/>
    <w:rsid w:val="00A100BA"/>
    <w:rsid w:val="00A10D30"/>
    <w:rsid w:val="00A25189"/>
    <w:rsid w:val="00A61A66"/>
    <w:rsid w:val="00A84D76"/>
    <w:rsid w:val="00A97940"/>
    <w:rsid w:val="00AB01E4"/>
    <w:rsid w:val="00AE455A"/>
    <w:rsid w:val="00AF22DE"/>
    <w:rsid w:val="00B14C75"/>
    <w:rsid w:val="00B72F67"/>
    <w:rsid w:val="00C026C5"/>
    <w:rsid w:val="00C3747C"/>
    <w:rsid w:val="00C400D1"/>
    <w:rsid w:val="00C959E8"/>
    <w:rsid w:val="00C95A52"/>
    <w:rsid w:val="00CA16BE"/>
    <w:rsid w:val="00D1762C"/>
    <w:rsid w:val="00D75BBE"/>
    <w:rsid w:val="00D80E2E"/>
    <w:rsid w:val="00DC4545"/>
    <w:rsid w:val="00DC563F"/>
    <w:rsid w:val="00E360DB"/>
    <w:rsid w:val="00E43A94"/>
    <w:rsid w:val="00E53B68"/>
    <w:rsid w:val="00E73EC9"/>
    <w:rsid w:val="00E74B03"/>
    <w:rsid w:val="00EA4D0B"/>
    <w:rsid w:val="00F47646"/>
    <w:rsid w:val="00F7089B"/>
    <w:rsid w:val="00F73A8F"/>
    <w:rsid w:val="00FD24DE"/>
    <w:rsid w:val="00FF1767"/>
    <w:rsid w:val="084047E3"/>
    <w:rsid w:val="15075DF3"/>
    <w:rsid w:val="176F718A"/>
    <w:rsid w:val="183B52E9"/>
    <w:rsid w:val="1A3F5464"/>
    <w:rsid w:val="22DB3219"/>
    <w:rsid w:val="27790FBC"/>
    <w:rsid w:val="2F81043B"/>
    <w:rsid w:val="3203711A"/>
    <w:rsid w:val="44572601"/>
    <w:rsid w:val="4DA2439C"/>
    <w:rsid w:val="53CF0923"/>
    <w:rsid w:val="64B64A19"/>
    <w:rsid w:val="64F354E7"/>
    <w:rsid w:val="6BC12E5D"/>
    <w:rsid w:val="70BB40F3"/>
    <w:rsid w:val="722C0B88"/>
    <w:rsid w:val="79DBC11F"/>
    <w:rsid w:val="7BED8E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1996FD"/>
  <w15:docId w15:val="{DA9CD6C5-7DC0-4C15-AE83-03CA8261B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style>
  <w:style w:type="paragraph" w:styleId="a5">
    <w:name w:val="Body Text"/>
    <w:basedOn w:val="a"/>
    <w:semiHidden/>
    <w:qFormat/>
    <w:rPr>
      <w:rFonts w:ascii="PingFang SC" w:eastAsia="PingFang SC" w:hAnsi="PingFang SC" w:cs="PingFang SC"/>
      <w:sz w:val="24"/>
      <w:szCs w:val="24"/>
    </w:rPr>
  </w:style>
  <w:style w:type="paragraph" w:styleId="a6">
    <w:name w:val="Balloon Text"/>
    <w:basedOn w:val="a"/>
    <w:link w:val="a7"/>
    <w:qFormat/>
    <w:rPr>
      <w:sz w:val="18"/>
      <w:szCs w:val="18"/>
    </w:rPr>
  </w:style>
  <w:style w:type="paragraph" w:styleId="a8">
    <w:name w:val="footer"/>
    <w:basedOn w:val="a"/>
    <w:link w:val="a9"/>
    <w:uiPriority w:val="99"/>
    <w:qFormat/>
    <w:pPr>
      <w:tabs>
        <w:tab w:val="center" w:pos="4153"/>
        <w:tab w:val="right" w:pos="8306"/>
      </w:tabs>
    </w:pPr>
    <w:rPr>
      <w:sz w:val="18"/>
      <w:szCs w:val="18"/>
    </w:rPr>
  </w:style>
  <w:style w:type="paragraph" w:styleId="aa">
    <w:name w:val="header"/>
    <w:basedOn w:val="a"/>
    <w:link w:val="ab"/>
    <w:qFormat/>
    <w:pPr>
      <w:tabs>
        <w:tab w:val="center" w:pos="4153"/>
        <w:tab w:val="right" w:pos="8306"/>
      </w:tabs>
      <w:jc w:val="center"/>
    </w:pPr>
    <w:rPr>
      <w:sz w:val="18"/>
      <w:szCs w:val="18"/>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修订1"/>
    <w:hidden/>
    <w:uiPriority w:val="99"/>
    <w:unhideWhenUsed/>
    <w:qFormat/>
    <w:rPr>
      <w:rFonts w:eastAsia="Arial"/>
      <w:snapToGrid w:val="0"/>
      <w:color w:val="000000"/>
      <w:sz w:val="21"/>
      <w:szCs w:val="21"/>
      <w:lang w:eastAsia="en-US"/>
    </w:rPr>
  </w:style>
  <w:style w:type="character" w:customStyle="1" w:styleId="ab">
    <w:name w:val="页眉 字符"/>
    <w:basedOn w:val="a0"/>
    <w:link w:val="aa"/>
    <w:qFormat/>
    <w:rPr>
      <w:rFonts w:eastAsia="Arial"/>
      <w:snapToGrid w:val="0"/>
      <w:color w:val="000000"/>
      <w:sz w:val="18"/>
      <w:szCs w:val="18"/>
      <w:lang w:eastAsia="en-US"/>
    </w:rPr>
  </w:style>
  <w:style w:type="character" w:customStyle="1" w:styleId="a9">
    <w:name w:val="页脚 字符"/>
    <w:basedOn w:val="a0"/>
    <w:link w:val="a8"/>
    <w:uiPriority w:val="99"/>
    <w:qFormat/>
    <w:rPr>
      <w:rFonts w:eastAsia="Arial"/>
      <w:snapToGrid w:val="0"/>
      <w:color w:val="000000"/>
      <w:sz w:val="18"/>
      <w:szCs w:val="18"/>
      <w:lang w:eastAsia="en-US"/>
    </w:rPr>
  </w:style>
  <w:style w:type="character" w:customStyle="1" w:styleId="a7">
    <w:name w:val="批注框文本 字符"/>
    <w:basedOn w:val="a0"/>
    <w:link w:val="a6"/>
    <w:qFormat/>
    <w:rPr>
      <w:rFonts w:eastAsia="Arial"/>
      <w:snapToGrid w:val="0"/>
      <w:color w:val="000000"/>
      <w:sz w:val="18"/>
      <w:szCs w:val="18"/>
      <w:lang w:eastAsia="en-US"/>
    </w:rPr>
  </w:style>
  <w:style w:type="character" w:customStyle="1" w:styleId="a4">
    <w:name w:val="批注文字 字符"/>
    <w:basedOn w:val="a0"/>
    <w:link w:val="a3"/>
    <w:qFormat/>
    <w:rPr>
      <w:rFonts w:eastAsia="Arial"/>
      <w:snapToGrid w:val="0"/>
      <w:color w:val="000000"/>
      <w:sz w:val="21"/>
      <w:szCs w:val="21"/>
      <w:lang w:eastAsia="en-US"/>
    </w:rPr>
  </w:style>
  <w:style w:type="character" w:customStyle="1" w:styleId="ad">
    <w:name w:val="批注主题 字符"/>
    <w:basedOn w:val="a4"/>
    <w:link w:val="ac"/>
    <w:qFormat/>
    <w:rPr>
      <w:rFonts w:eastAsia="Arial"/>
      <w:b/>
      <w:bCs/>
      <w:snapToGrid w:val="0"/>
      <w:color w:val="000000"/>
      <w:sz w:val="21"/>
      <w:szCs w:val="21"/>
      <w:lang w:eastAsia="en-US"/>
    </w:rPr>
  </w:style>
  <w:style w:type="paragraph" w:customStyle="1" w:styleId="2">
    <w:name w:val="修订2"/>
    <w:hidden/>
    <w:uiPriority w:val="99"/>
    <w:unhideWhenUsed/>
    <w:qFormat/>
    <w:rPr>
      <w:rFonts w:eastAsia="Arial"/>
      <w:snapToGrid w:val="0"/>
      <w:color w:val="000000"/>
      <w:sz w:val="21"/>
      <w:szCs w:val="21"/>
      <w:lang w:eastAsia="en-US"/>
    </w:rPr>
  </w:style>
  <w:style w:type="paragraph" w:styleId="af">
    <w:name w:val="Revision"/>
    <w:hidden/>
    <w:uiPriority w:val="99"/>
    <w:unhideWhenUsed/>
    <w:rsid w:val="00C3747C"/>
    <w:rPr>
      <w:rFonts w:eastAsia="Arial"/>
      <w:snapToGrid w:val="0"/>
      <w:color w:val="000000"/>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539</Words>
  <Characters>3078</Characters>
  <Application>Microsoft Office Word</Application>
  <DocSecurity>0</DocSecurity>
  <Lines>25</Lines>
  <Paragraphs>7</Paragraphs>
  <ScaleCrop>false</ScaleCrop>
  <Company>Microsoft</Company>
  <LinksUpToDate>false</LinksUpToDate>
  <CharactersWithSpaces>3610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松 张</dc:creator>
  <cp:lastModifiedBy>GTHTHAO</cp:lastModifiedBy>
  <cp:revision>62</cp:revision>
  <dcterms:created xsi:type="dcterms:W3CDTF">2025-06-06T22:36:00Z</dcterms:created>
  <dcterms:modified xsi:type="dcterms:W3CDTF">2025-11-18T07:06:00Z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2025-06-13T16:12:47Z</vt:filetime>
  </property>
  <property fmtid="{D5CDD505-2E9C-101B-9397-08002B2CF9AE}" pid="4" name="KSOProductBuildVer">
    <vt:lpwstr>2052-12.1.0.23542</vt:lpwstr>
  </property>
  <property fmtid="{D5CDD505-2E9C-101B-9397-08002B2CF9AE}" pid="5" name="ICV">
    <vt:lpwstr>8462723751178D370EE04B68E7A3C690_42</vt:lpwstr>
  </property>
  <property fmtid="{D5CDD505-2E9C-101B-9397-08002B2CF9AE}" pid="6" name="KSOTemplateDocerSaveRecord">
    <vt:lpwstr>eyJoZGlkIjoiYjc3NTVmODk5OWI4YTU0YmU5MTlhYzJjMjBkNzFlNmEiLCJ1c2VySWQiOiIyNDMwNTgyMjAifQ==</vt:lpwstr>
  </property>
</Properties>
</file>