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ECC61" w14:textId="1326A2E9" w:rsidR="00C35967" w:rsidRDefault="007F7386">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w:t>
      </w:r>
      <w:r>
        <w:rPr>
          <w:rFonts w:ascii="仿宋" w:eastAsia="仿宋" w:hAnsi="仿宋" w:cs="Times New Roman" w:hint="eastAsia"/>
          <w:sz w:val="28"/>
          <w:szCs w:val="20"/>
          <w:lang w:eastAsia="zh-CN"/>
        </w:rPr>
        <w:t xml:space="preserve">301178    </w:t>
      </w:r>
      <w:r>
        <w:rPr>
          <w:rFonts w:ascii="仿宋" w:eastAsia="仿宋" w:hAnsi="仿宋" w:cs="Times New Roman" w:hint="eastAsia"/>
          <w:sz w:val="28"/>
          <w:szCs w:val="20"/>
          <w:lang w:eastAsia="zh-CN"/>
        </w:rPr>
        <w:t>证券简称：天亿马</w:t>
      </w:r>
      <w:r>
        <w:rPr>
          <w:rFonts w:ascii="仿宋" w:eastAsia="仿宋" w:hAnsi="仿宋" w:cs="Times New Roman" w:hint="eastAsia"/>
          <w:sz w:val="28"/>
          <w:szCs w:val="20"/>
          <w:lang w:eastAsia="zh-CN"/>
        </w:rPr>
        <w:t xml:space="preserve">    </w:t>
      </w:r>
      <w:r>
        <w:rPr>
          <w:rFonts w:ascii="仿宋" w:eastAsia="仿宋" w:hAnsi="仿宋" w:cs="Times New Roman" w:hint="eastAsia"/>
          <w:sz w:val="28"/>
          <w:szCs w:val="20"/>
          <w:lang w:eastAsia="zh-CN"/>
        </w:rPr>
        <w:t>公告编号：</w:t>
      </w:r>
      <w:r>
        <w:rPr>
          <w:rFonts w:ascii="仿宋" w:eastAsia="仿宋" w:hAnsi="仿宋" w:cs="Times New Roman" w:hint="eastAsia"/>
          <w:sz w:val="28"/>
          <w:szCs w:val="20"/>
          <w:lang w:eastAsia="zh-CN"/>
        </w:rPr>
        <w:t>2025-</w:t>
      </w:r>
      <w:r>
        <w:rPr>
          <w:rFonts w:ascii="仿宋" w:eastAsia="仿宋" w:hAnsi="仿宋" w:cs="Times New Roman" w:hint="eastAsia"/>
          <w:sz w:val="28"/>
          <w:szCs w:val="20"/>
          <w:lang w:eastAsia="zh-CN"/>
        </w:rPr>
        <w:t>0</w:t>
      </w:r>
      <w:r>
        <w:rPr>
          <w:rFonts w:ascii="仿宋" w:eastAsia="仿宋" w:hAnsi="仿宋" w:cs="Times New Roman" w:hint="eastAsia"/>
          <w:sz w:val="28"/>
          <w:szCs w:val="20"/>
          <w:lang w:eastAsia="zh-CN"/>
        </w:rPr>
        <w:t>95</w:t>
      </w:r>
    </w:p>
    <w:p w14:paraId="41339C99" w14:textId="77777777" w:rsidR="00C35967" w:rsidRDefault="007F7386">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740B80FB" w14:textId="77777777" w:rsidR="00C35967" w:rsidRDefault="007F7386">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关于发行股份及支付现金购买资产并募集配套资金</w:t>
      </w:r>
    </w:p>
    <w:p w14:paraId="1865C6F5" w14:textId="77777777" w:rsidR="00C35967" w:rsidRDefault="007F7386">
      <w:pPr>
        <w:widowControl w:val="0"/>
        <w:kinsoku/>
        <w:snapToGrid/>
        <w:spacing w:line="360" w:lineRule="auto"/>
        <w:jc w:val="center"/>
        <w:textAlignment w:val="auto"/>
        <w:rPr>
          <w:rFonts w:ascii="宋体" w:eastAsia="宋体" w:hAnsi="宋体" w:cs="宋体"/>
          <w:sz w:val="30"/>
          <w:szCs w:val="30"/>
          <w:lang w:eastAsia="zh-CN"/>
        </w:rPr>
      </w:pPr>
      <w:r>
        <w:rPr>
          <w:rFonts w:ascii="黑体" w:eastAsia="黑体" w:hAnsi="黑体" w:cs="Times New Roman" w:hint="eastAsia"/>
          <w:snapToGrid/>
          <w:kern w:val="2"/>
          <w:sz w:val="36"/>
          <w:szCs w:val="36"/>
          <w:lang w:eastAsia="zh-CN"/>
        </w:rPr>
        <w:t>暨关联交易事项的一般风险提示性公告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C35967" w14:paraId="5A9F8D6B" w14:textId="77777777">
        <w:trPr>
          <w:trHeight w:val="776"/>
        </w:trPr>
        <w:tc>
          <w:tcPr>
            <w:tcW w:w="7962" w:type="dxa"/>
          </w:tcPr>
          <w:p w14:paraId="138E715C" w14:textId="77777777" w:rsidR="00C35967" w:rsidRDefault="007F7386">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C35967" w:rsidRDefault="00C35967">
      <w:pPr>
        <w:spacing w:line="360" w:lineRule="auto"/>
        <w:rPr>
          <w:rFonts w:ascii="宋体" w:eastAsia="宋体" w:hAnsi="宋体" w:cs="宋体"/>
          <w:sz w:val="24"/>
          <w:szCs w:val="24"/>
          <w:lang w:eastAsia="zh-CN"/>
        </w:rPr>
      </w:pPr>
    </w:p>
    <w:p w14:paraId="56B579B7" w14:textId="77777777" w:rsidR="00C35967" w:rsidRDefault="007F7386">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r>
        <w:rPr>
          <w:rFonts w:ascii="仿宋" w:eastAsia="仿宋" w:hAnsi="仿宋" w:cs="仿宋"/>
          <w:snapToGrid/>
          <w:kern w:val="2"/>
          <w:sz w:val="28"/>
          <w:szCs w:val="28"/>
          <w:lang w:eastAsia="zh-CN"/>
        </w:rPr>
        <w:t>（以下简称</w:t>
      </w:r>
      <w:r>
        <w:rPr>
          <w:rFonts w:ascii="仿宋" w:eastAsia="仿宋" w:hAnsi="仿宋" w:cs="仿宋"/>
          <w:snapToGrid/>
          <w:kern w:val="2"/>
          <w:sz w:val="28"/>
          <w:szCs w:val="28"/>
          <w:lang w:eastAsia="zh-CN"/>
        </w:rPr>
        <w:t>“</w:t>
      </w:r>
      <w:r>
        <w:rPr>
          <w:rFonts w:ascii="仿宋" w:eastAsia="仿宋" w:hAnsi="仿宋" w:cs="仿宋"/>
          <w:snapToGrid/>
          <w:kern w:val="2"/>
          <w:sz w:val="28"/>
          <w:szCs w:val="28"/>
          <w:lang w:eastAsia="zh-CN"/>
        </w:rPr>
        <w:t>公司</w:t>
      </w:r>
      <w:r>
        <w:rPr>
          <w:rFonts w:ascii="仿宋" w:eastAsia="仿宋" w:hAnsi="仿宋" w:cs="仿宋"/>
          <w:snapToGrid/>
          <w:kern w:val="2"/>
          <w:sz w:val="28"/>
          <w:szCs w:val="28"/>
          <w:lang w:eastAsia="zh-CN"/>
        </w:rPr>
        <w:t>”</w:t>
      </w:r>
      <w:r>
        <w:rPr>
          <w:rFonts w:ascii="仿宋" w:eastAsia="仿宋" w:hAnsi="仿宋" w:cs="仿宋"/>
          <w:snapToGrid/>
          <w:kern w:val="2"/>
          <w:sz w:val="28"/>
          <w:szCs w:val="28"/>
          <w:lang w:eastAsia="zh-CN"/>
        </w:rPr>
        <w:t>）</w:t>
      </w:r>
      <w:r>
        <w:rPr>
          <w:rFonts w:ascii="仿宋" w:eastAsia="仿宋" w:hAnsi="仿宋" w:cs="仿宋" w:hint="eastAsia"/>
          <w:snapToGrid/>
          <w:kern w:val="2"/>
          <w:sz w:val="28"/>
          <w:szCs w:val="28"/>
          <w:lang w:eastAsia="zh-CN"/>
        </w:rPr>
        <w:t>拟通过发行股份及支付现金的方式购买广东星云开物科技股份有限公司（以下简称“标的公司”）</w:t>
      </w:r>
      <w:r>
        <w:rPr>
          <w:rFonts w:ascii="仿宋" w:eastAsia="仿宋" w:hAnsi="仿宋" w:cs="仿宋"/>
          <w:snapToGrid/>
          <w:kern w:val="2"/>
          <w:sz w:val="28"/>
          <w:szCs w:val="28"/>
          <w:lang w:eastAsia="zh-CN"/>
        </w:rPr>
        <w:t>98.5632%</w:t>
      </w:r>
      <w:r>
        <w:rPr>
          <w:rFonts w:ascii="仿宋" w:eastAsia="仿宋" w:hAnsi="仿宋" w:cs="仿宋" w:hint="eastAsia"/>
          <w:snapToGrid/>
          <w:kern w:val="2"/>
          <w:sz w:val="28"/>
          <w:szCs w:val="28"/>
          <w:lang w:eastAsia="zh-CN"/>
        </w:rPr>
        <w:t>股权（以下简称“标的资产”）并募集配套资金（以下简称“本次交易”）。</w:t>
      </w:r>
    </w:p>
    <w:p w14:paraId="0B0B3E18" w14:textId="4C44762C" w:rsidR="00C35967" w:rsidRDefault="007F7386">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hint="eastAsia"/>
          <w:snapToGrid/>
          <w:kern w:val="2"/>
          <w:sz w:val="28"/>
          <w:szCs w:val="28"/>
          <w:lang w:eastAsia="zh-CN"/>
        </w:rPr>
        <w:t>日，公司与</w:t>
      </w:r>
      <w:r>
        <w:rPr>
          <w:rFonts w:ascii="仿宋" w:eastAsia="仿宋" w:hAnsi="仿宋" w:cs="仿宋" w:hint="eastAsia"/>
          <w:snapToGrid/>
          <w:kern w:val="2"/>
          <w:sz w:val="28"/>
          <w:szCs w:val="28"/>
          <w:lang w:eastAsia="zh-CN"/>
        </w:rPr>
        <w:t>交易对方、杨裕雄及马学沛</w:t>
      </w:r>
      <w:r>
        <w:rPr>
          <w:rFonts w:ascii="仿宋" w:eastAsia="仿宋" w:hAnsi="仿宋" w:cs="仿宋" w:hint="eastAsia"/>
          <w:snapToGrid/>
          <w:kern w:val="2"/>
          <w:sz w:val="28"/>
          <w:szCs w:val="28"/>
          <w:lang w:eastAsia="zh-CN"/>
        </w:rPr>
        <w:t>就本次交易签署了附条件生效的《发行股份及支付现金购买资产协议》。</w:t>
      </w:r>
    </w:p>
    <w:p w14:paraId="4959E5AD" w14:textId="77777777" w:rsidR="00C35967" w:rsidRDefault="007F7386">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bookmarkStart w:id="0" w:name="OLE_LINK114"/>
      <w:r>
        <w:rPr>
          <w:rFonts w:ascii="仿宋" w:eastAsia="仿宋" w:hAnsi="仿宋" w:cs="仿宋"/>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hint="eastAsia"/>
          <w:snapToGrid/>
          <w:kern w:val="2"/>
          <w:sz w:val="28"/>
          <w:szCs w:val="28"/>
          <w:lang w:eastAsia="zh-CN"/>
        </w:rPr>
        <w:t>日</w:t>
      </w:r>
      <w:bookmarkEnd w:id="0"/>
      <w:r>
        <w:rPr>
          <w:rFonts w:ascii="仿宋" w:eastAsia="仿宋" w:hAnsi="仿宋" w:cs="仿宋" w:hint="eastAsia"/>
          <w:snapToGrid/>
          <w:kern w:val="2"/>
          <w:sz w:val="28"/>
          <w:szCs w:val="28"/>
          <w:lang w:eastAsia="zh-CN"/>
        </w:rPr>
        <w:t>，公司召开第三届董事会第三十二次会议，审议通过了《关于公司符合发行股份及支付现金购买资产并募集配套资金暨关联交易相关法律法规规定条件的议案》等与本次交易相关的议案，具体内容详见公司于</w:t>
      </w:r>
      <w:r>
        <w:rPr>
          <w:rFonts w:ascii="仿宋" w:eastAsia="仿宋" w:hAnsi="仿宋" w:cs="仿宋"/>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24</w:t>
      </w:r>
      <w:r>
        <w:rPr>
          <w:rFonts w:ascii="仿宋" w:eastAsia="仿宋" w:hAnsi="仿宋" w:cs="仿宋" w:hint="eastAsia"/>
          <w:snapToGrid/>
          <w:kern w:val="2"/>
          <w:sz w:val="28"/>
          <w:szCs w:val="28"/>
          <w:lang w:eastAsia="zh-CN"/>
        </w:rPr>
        <w:t>日披露的《第三届董事会第三十二次会议决议公告》等相关公告。本次交易预计构成重大资产重组及关联交易。</w:t>
      </w:r>
    </w:p>
    <w:p w14:paraId="18CCF837" w14:textId="03CB047E" w:rsidR="00C35967" w:rsidRDefault="007F7386">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11</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18</w:t>
      </w:r>
      <w:r>
        <w:rPr>
          <w:rFonts w:ascii="仿宋" w:eastAsia="仿宋" w:hAnsi="仿宋" w:cs="仿宋" w:hint="eastAsia"/>
          <w:snapToGrid/>
          <w:kern w:val="2"/>
          <w:sz w:val="28"/>
          <w:szCs w:val="28"/>
          <w:lang w:eastAsia="zh-CN"/>
        </w:rPr>
        <w:t>日，公司召开第四届董事会第</w:t>
      </w:r>
      <w:r>
        <w:rPr>
          <w:rFonts w:ascii="仿宋" w:eastAsia="仿宋" w:hAnsi="仿宋" w:cs="仿宋" w:hint="eastAsia"/>
          <w:snapToGrid/>
          <w:kern w:val="2"/>
          <w:sz w:val="28"/>
          <w:szCs w:val="28"/>
          <w:lang w:eastAsia="zh-CN"/>
        </w:rPr>
        <w:t>三</w:t>
      </w:r>
      <w:r>
        <w:rPr>
          <w:rFonts w:ascii="仿宋" w:eastAsia="仿宋" w:hAnsi="仿宋" w:cs="仿宋" w:hint="eastAsia"/>
          <w:snapToGrid/>
          <w:kern w:val="2"/>
          <w:sz w:val="28"/>
          <w:szCs w:val="28"/>
          <w:lang w:eastAsia="zh-CN"/>
        </w:rPr>
        <w:t>次会议，审议通过了《关于</w:t>
      </w:r>
      <w:r>
        <w:rPr>
          <w:rFonts w:ascii="仿宋" w:eastAsia="仿宋" w:hAnsi="仿宋" w:cs="仿宋"/>
          <w:snapToGrid/>
          <w:kern w:val="2"/>
          <w:sz w:val="28"/>
          <w:szCs w:val="28"/>
          <w:lang w:eastAsia="zh-CN"/>
        </w:rPr>
        <w:t>&lt;</w:t>
      </w:r>
      <w:r>
        <w:rPr>
          <w:rFonts w:ascii="仿宋" w:eastAsia="仿宋" w:hAnsi="仿宋" w:cs="仿宋" w:hint="eastAsia"/>
          <w:snapToGrid/>
          <w:kern w:val="2"/>
          <w:sz w:val="28"/>
          <w:szCs w:val="28"/>
          <w:lang w:eastAsia="zh-CN"/>
        </w:rPr>
        <w:t>广东天亿马信息产业股份有限公司发行股份及支付现金购买资产并募集配套资金暨关联交易报告书（草案）</w:t>
      </w:r>
      <w:r>
        <w:rPr>
          <w:rFonts w:ascii="仿宋" w:eastAsia="仿宋" w:hAnsi="仿宋" w:cs="仿宋"/>
          <w:snapToGrid/>
          <w:kern w:val="2"/>
          <w:sz w:val="28"/>
          <w:szCs w:val="28"/>
          <w:lang w:eastAsia="zh-CN"/>
        </w:rPr>
        <w:t>&gt;</w:t>
      </w:r>
      <w:r>
        <w:rPr>
          <w:rFonts w:ascii="仿宋" w:eastAsia="仿宋" w:hAnsi="仿宋" w:cs="仿宋" w:hint="eastAsia"/>
          <w:snapToGrid/>
          <w:kern w:val="2"/>
          <w:sz w:val="28"/>
          <w:szCs w:val="28"/>
          <w:lang w:eastAsia="zh-CN"/>
        </w:rPr>
        <w:t>及其摘要的议案》等与本次交易相关的议案，具体内容详见公司于本公告同日披露的相关公告。本次交易预计构成重大资产重组及关联交易。</w:t>
      </w:r>
    </w:p>
    <w:p w14:paraId="0A5B0BB5" w14:textId="7ECB2520" w:rsidR="00C35967" w:rsidRDefault="007F7386">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根据《深圳证券交易所上市公司自律监管指引第</w:t>
      </w:r>
      <w:r>
        <w:rPr>
          <w:rFonts w:ascii="仿宋" w:eastAsia="仿宋" w:hAnsi="仿宋" w:cs="仿宋"/>
          <w:snapToGrid/>
          <w:kern w:val="2"/>
          <w:sz w:val="28"/>
          <w:szCs w:val="28"/>
          <w:lang w:eastAsia="zh-CN"/>
        </w:rPr>
        <w:t>8</w:t>
      </w:r>
      <w:r>
        <w:rPr>
          <w:rFonts w:ascii="仿宋" w:eastAsia="仿宋" w:hAnsi="仿宋" w:cs="仿宋" w:hint="eastAsia"/>
          <w:snapToGrid/>
          <w:kern w:val="2"/>
          <w:sz w:val="28"/>
          <w:szCs w:val="28"/>
          <w:lang w:eastAsia="zh-CN"/>
        </w:rPr>
        <w:t>号——重大资产重组》的相关规定，公司首次披露重组事项至召开相关股东</w:t>
      </w:r>
      <w:r>
        <w:rPr>
          <w:rFonts w:ascii="仿宋" w:eastAsia="仿宋" w:hAnsi="仿宋" w:cs="仿宋" w:hint="eastAsia"/>
          <w:snapToGrid/>
          <w:kern w:val="2"/>
          <w:sz w:val="28"/>
          <w:szCs w:val="28"/>
          <w:lang w:eastAsia="zh-CN"/>
        </w:rPr>
        <w:t>会</w:t>
      </w:r>
      <w:r>
        <w:rPr>
          <w:rFonts w:ascii="仿宋" w:eastAsia="仿宋" w:hAnsi="仿宋" w:cs="仿宋" w:hint="eastAsia"/>
          <w:snapToGrid/>
          <w:kern w:val="2"/>
          <w:sz w:val="28"/>
          <w:szCs w:val="28"/>
          <w:lang w:eastAsia="zh-CN"/>
        </w:rPr>
        <w:lastRenderedPageBreak/>
        <w:t>前，如本次交易涉嫌内幕交易被中国证监会立案调查或者被司法机关立案侦查的，公司将暂停本次重组进程，不得将本次重组提交股东</w:t>
      </w:r>
      <w:r>
        <w:rPr>
          <w:rFonts w:ascii="仿宋" w:eastAsia="仿宋" w:hAnsi="仿宋" w:cs="仿宋" w:hint="eastAsia"/>
          <w:snapToGrid/>
          <w:kern w:val="2"/>
          <w:sz w:val="28"/>
          <w:szCs w:val="28"/>
          <w:lang w:eastAsia="zh-CN"/>
        </w:rPr>
        <w:t>会进行审议。</w:t>
      </w:r>
    </w:p>
    <w:p w14:paraId="61DCDB4B" w14:textId="2E4952B9" w:rsidR="00C35967" w:rsidRDefault="007F7386">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w:t>
      </w:r>
      <w:r>
        <w:rPr>
          <w:rFonts w:ascii="仿宋" w:eastAsia="仿宋" w:hAnsi="仿宋" w:cs="仿宋" w:hint="eastAsia"/>
          <w:snapToGrid/>
          <w:kern w:val="2"/>
          <w:sz w:val="28"/>
          <w:szCs w:val="28"/>
          <w:lang w:eastAsia="zh-CN"/>
        </w:rPr>
        <w:t>尚需经公司股东会审议通过</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深圳证券交易所审核通过</w:t>
      </w:r>
      <w:r w:rsidR="00992DEF">
        <w:rPr>
          <w:rFonts w:ascii="仿宋" w:eastAsia="仿宋" w:hAnsi="仿宋" w:cs="仿宋" w:hint="eastAsia"/>
          <w:snapToGrid/>
          <w:kern w:val="2"/>
          <w:sz w:val="28"/>
          <w:szCs w:val="28"/>
          <w:lang w:eastAsia="zh-CN"/>
        </w:rPr>
        <w:t>并经</w:t>
      </w:r>
      <w:r>
        <w:rPr>
          <w:rFonts w:ascii="仿宋" w:eastAsia="仿宋" w:hAnsi="仿宋" w:cs="仿宋" w:hint="eastAsia"/>
          <w:snapToGrid/>
          <w:kern w:val="2"/>
          <w:sz w:val="28"/>
          <w:szCs w:val="28"/>
          <w:lang w:eastAsia="zh-CN"/>
        </w:rPr>
        <w:t>中国证监会予以注册</w:t>
      </w:r>
      <w:r>
        <w:rPr>
          <w:rFonts w:ascii="仿宋" w:eastAsia="仿宋" w:hAnsi="仿宋" w:cs="仿宋" w:hint="eastAsia"/>
          <w:snapToGrid/>
          <w:kern w:val="2"/>
          <w:sz w:val="28"/>
          <w:szCs w:val="28"/>
          <w:lang w:eastAsia="zh-CN"/>
        </w:rPr>
        <w:t>后方可实施，本次交易能否</w:t>
      </w:r>
      <w:r>
        <w:rPr>
          <w:rFonts w:ascii="仿宋" w:eastAsia="仿宋" w:hAnsi="仿宋" w:cs="仿宋" w:hint="eastAsia"/>
          <w:snapToGrid/>
          <w:kern w:val="2"/>
          <w:sz w:val="28"/>
          <w:szCs w:val="28"/>
          <w:lang w:eastAsia="zh-CN"/>
        </w:rPr>
        <w:t>取得上述</w:t>
      </w:r>
      <w:r>
        <w:rPr>
          <w:rFonts w:ascii="仿宋" w:eastAsia="仿宋" w:hAnsi="仿宋" w:cs="仿宋" w:hint="eastAsia"/>
          <w:snapToGrid/>
          <w:kern w:val="2"/>
          <w:sz w:val="28"/>
          <w:szCs w:val="28"/>
          <w:lang w:eastAsia="zh-CN"/>
        </w:rPr>
        <w:t>批准</w:t>
      </w:r>
      <w:r>
        <w:rPr>
          <w:rFonts w:ascii="仿宋" w:eastAsia="仿宋" w:hAnsi="仿宋" w:cs="仿宋" w:hint="eastAsia"/>
          <w:snapToGrid/>
          <w:kern w:val="2"/>
          <w:sz w:val="28"/>
          <w:szCs w:val="28"/>
          <w:lang w:eastAsia="zh-CN"/>
        </w:rPr>
        <w:t>和注册</w:t>
      </w:r>
      <w:r>
        <w:rPr>
          <w:rFonts w:ascii="仿宋" w:eastAsia="仿宋" w:hAnsi="仿宋" w:cs="仿宋" w:hint="eastAsia"/>
          <w:snapToGrid/>
          <w:kern w:val="2"/>
          <w:sz w:val="28"/>
          <w:szCs w:val="28"/>
          <w:lang w:eastAsia="zh-CN"/>
        </w:rPr>
        <w:t>，以及最终获得批准</w:t>
      </w:r>
      <w:r>
        <w:rPr>
          <w:rFonts w:ascii="仿宋" w:eastAsia="仿宋" w:hAnsi="仿宋" w:cs="仿宋" w:hint="eastAsia"/>
          <w:snapToGrid/>
          <w:kern w:val="2"/>
          <w:sz w:val="28"/>
          <w:szCs w:val="28"/>
          <w:lang w:eastAsia="zh-CN"/>
        </w:rPr>
        <w:t>和注册</w:t>
      </w:r>
      <w:r>
        <w:rPr>
          <w:rFonts w:ascii="仿宋" w:eastAsia="仿宋" w:hAnsi="仿宋" w:cs="仿宋" w:hint="eastAsia"/>
          <w:snapToGrid/>
          <w:kern w:val="2"/>
          <w:sz w:val="28"/>
          <w:szCs w:val="28"/>
          <w:lang w:eastAsia="zh-CN"/>
        </w:rPr>
        <w:t>的时间</w:t>
      </w:r>
      <w:r>
        <w:rPr>
          <w:rFonts w:ascii="仿宋" w:eastAsia="仿宋" w:hAnsi="仿宋" w:cs="仿宋" w:hint="eastAsia"/>
          <w:snapToGrid/>
          <w:kern w:val="2"/>
          <w:sz w:val="28"/>
          <w:szCs w:val="28"/>
          <w:lang w:eastAsia="zh-CN"/>
        </w:rPr>
        <w:t>均</w:t>
      </w:r>
      <w:r>
        <w:rPr>
          <w:rFonts w:ascii="仿宋" w:eastAsia="仿宋" w:hAnsi="仿宋" w:cs="仿宋" w:hint="eastAsia"/>
          <w:snapToGrid/>
          <w:kern w:val="2"/>
          <w:sz w:val="28"/>
          <w:szCs w:val="28"/>
          <w:lang w:eastAsia="zh-CN"/>
        </w:rPr>
        <w:t>存在不确定性。后续公司将根据本次交易的进展情况，严格按照有关法律法规的规定和要求及时履行信息披露义务，有关信息均以公司指定信息披露媒体发布的公告为准。敬请广大投资者关注相关公告，理性投资并注意投资风险。</w:t>
      </w:r>
    </w:p>
    <w:p w14:paraId="0AAC58B3" w14:textId="77777777" w:rsidR="00C35967" w:rsidRDefault="007F7386">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310B3FFF" w14:textId="77777777" w:rsidR="00C35967" w:rsidRDefault="00C35967">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p>
    <w:p w14:paraId="28C132AD" w14:textId="77777777" w:rsidR="00C35967" w:rsidRDefault="00C35967">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p>
    <w:p w14:paraId="10D3778A" w14:textId="77777777" w:rsidR="00C35967" w:rsidRDefault="007F7386">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48351A5D" w14:textId="77777777" w:rsidR="00C35967" w:rsidRDefault="007F7386">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07F2A555" w14:textId="232E0611" w:rsidR="00C35967" w:rsidRDefault="007F7386">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 xml:space="preserve"> </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11</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19</w:t>
      </w:r>
      <w:r>
        <w:rPr>
          <w:rFonts w:ascii="仿宋" w:eastAsia="仿宋" w:hAnsi="仿宋" w:cs="仿宋" w:hint="eastAsia"/>
          <w:snapToGrid/>
          <w:kern w:val="2"/>
          <w:sz w:val="28"/>
          <w:szCs w:val="28"/>
          <w:lang w:eastAsia="zh-CN"/>
        </w:rPr>
        <w:t>日</w:t>
      </w:r>
    </w:p>
    <w:sectPr w:rsidR="00C35967">
      <w:footerReference w:type="default" r:id="rId6"/>
      <w:pgSz w:w="11907" w:h="16839"/>
      <w:pgMar w:top="1431" w:right="1730" w:bottom="1202" w:left="1785" w:header="0" w:footer="9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3A7E2" w14:textId="77777777" w:rsidR="007F7386" w:rsidRDefault="007F7386">
      <w:r>
        <w:separator/>
      </w:r>
    </w:p>
  </w:endnote>
  <w:endnote w:type="continuationSeparator" w:id="0">
    <w:p w14:paraId="6BCF036B" w14:textId="77777777" w:rsidR="007F7386" w:rsidRDefault="007F73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7408522"/>
    </w:sdtPr>
    <w:sdtEndPr/>
    <w:sdtContent>
      <w:p w14:paraId="20E9BB6C" w14:textId="77777777" w:rsidR="00C35967" w:rsidRDefault="007F7386">
        <w:pPr>
          <w:pStyle w:val="a7"/>
          <w:jc w:val="center"/>
        </w:pPr>
        <w:r>
          <w:fldChar w:fldCharType="begin"/>
        </w:r>
        <w:r>
          <w:instrText>PAGE   \* MERGEFORMAT</w:instrText>
        </w:r>
        <w:r>
          <w:fldChar w:fldCharType="separate"/>
        </w:r>
        <w:r>
          <w:rPr>
            <w:lang w:val="zh-CN" w:eastAsia="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EB979" w14:textId="77777777" w:rsidR="007F7386" w:rsidRDefault="007F7386">
      <w:r>
        <w:separator/>
      </w:r>
    </w:p>
  </w:footnote>
  <w:footnote w:type="continuationSeparator" w:id="0">
    <w:p w14:paraId="390598B2" w14:textId="77777777" w:rsidR="007F7386" w:rsidRDefault="007F738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trackRevisions/>
  <w:defaultTabStop w:val="4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7B6D87"/>
    <w:rsid w:val="95FFBBE4"/>
    <w:rsid w:val="E7338B51"/>
    <w:rsid w:val="00020359"/>
    <w:rsid w:val="00035185"/>
    <w:rsid w:val="000545F9"/>
    <w:rsid w:val="00255063"/>
    <w:rsid w:val="00266E17"/>
    <w:rsid w:val="00296CFA"/>
    <w:rsid w:val="002F3A15"/>
    <w:rsid w:val="003061F7"/>
    <w:rsid w:val="00397BC7"/>
    <w:rsid w:val="003B760E"/>
    <w:rsid w:val="004968A8"/>
    <w:rsid w:val="004A65DB"/>
    <w:rsid w:val="004F33F1"/>
    <w:rsid w:val="005720C3"/>
    <w:rsid w:val="00600F50"/>
    <w:rsid w:val="006B1047"/>
    <w:rsid w:val="006B4388"/>
    <w:rsid w:val="006D63DE"/>
    <w:rsid w:val="00721E77"/>
    <w:rsid w:val="00777CDD"/>
    <w:rsid w:val="007B6D87"/>
    <w:rsid w:val="007C1A77"/>
    <w:rsid w:val="007F7386"/>
    <w:rsid w:val="008640FC"/>
    <w:rsid w:val="008705F5"/>
    <w:rsid w:val="008A3372"/>
    <w:rsid w:val="008E0438"/>
    <w:rsid w:val="008E79B5"/>
    <w:rsid w:val="00992DEF"/>
    <w:rsid w:val="00994F04"/>
    <w:rsid w:val="00A100BA"/>
    <w:rsid w:val="00A34DD9"/>
    <w:rsid w:val="00A518AD"/>
    <w:rsid w:val="00A848C0"/>
    <w:rsid w:val="00A84D76"/>
    <w:rsid w:val="00A97940"/>
    <w:rsid w:val="00AD15F8"/>
    <w:rsid w:val="00B14C75"/>
    <w:rsid w:val="00B4093D"/>
    <w:rsid w:val="00C2414D"/>
    <w:rsid w:val="00C35967"/>
    <w:rsid w:val="00C41F35"/>
    <w:rsid w:val="00C5113E"/>
    <w:rsid w:val="00C575DF"/>
    <w:rsid w:val="00C959E8"/>
    <w:rsid w:val="00D36C7B"/>
    <w:rsid w:val="00D80E2E"/>
    <w:rsid w:val="00DC4545"/>
    <w:rsid w:val="00DF7E3A"/>
    <w:rsid w:val="00E53B68"/>
    <w:rsid w:val="00ED5C8C"/>
    <w:rsid w:val="0245337C"/>
    <w:rsid w:val="084047E3"/>
    <w:rsid w:val="18550589"/>
    <w:rsid w:val="1A3F5464"/>
    <w:rsid w:val="2F1D2F16"/>
    <w:rsid w:val="30CB47C9"/>
    <w:rsid w:val="44572601"/>
    <w:rsid w:val="47994212"/>
    <w:rsid w:val="4DA2439C"/>
    <w:rsid w:val="64F354E7"/>
    <w:rsid w:val="6BF0309A"/>
    <w:rsid w:val="70BB40F3"/>
    <w:rsid w:val="79DBC11F"/>
    <w:rsid w:val="7BED8E92"/>
    <w:rsid w:val="7C191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23FEC2"/>
  <w15:docId w15:val="{4D15FC67-18E0-46C1-BF02-ECAB62658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pPr>
    <w:rPr>
      <w:sz w:val="18"/>
      <w:szCs w:val="18"/>
    </w:rPr>
  </w:style>
  <w:style w:type="paragraph" w:styleId="a9">
    <w:name w:val="header"/>
    <w:basedOn w:val="a"/>
    <w:link w:val="aa"/>
    <w:qFormat/>
    <w:pPr>
      <w:tabs>
        <w:tab w:val="center" w:pos="4153"/>
        <w:tab w:val="right" w:pos="8306"/>
      </w:tabs>
      <w:jc w:val="center"/>
    </w:pPr>
    <w:rPr>
      <w:sz w:val="18"/>
      <w:szCs w:val="18"/>
    </w:rPr>
  </w:style>
  <w:style w:type="character" w:styleId="ab">
    <w:name w:val="annotation reference"/>
    <w:basedOn w:val="a0"/>
    <w:qFormat/>
    <w:rPr>
      <w:sz w:val="21"/>
      <w:szCs w:val="21"/>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eastAsia="Arial"/>
      <w:snapToGrid w:val="0"/>
      <w:color w:val="000000"/>
      <w:sz w:val="21"/>
      <w:szCs w:val="21"/>
      <w:lang w:eastAsia="en-US"/>
    </w:rPr>
  </w:style>
  <w:style w:type="character" w:customStyle="1" w:styleId="aa">
    <w:name w:val="页眉 字符"/>
    <w:basedOn w:val="a0"/>
    <w:link w:val="a9"/>
    <w:qFormat/>
    <w:rPr>
      <w:rFonts w:eastAsia="Arial"/>
      <w:snapToGrid w:val="0"/>
      <w:color w:val="000000"/>
      <w:sz w:val="18"/>
      <w:szCs w:val="18"/>
      <w:lang w:eastAsia="en-US"/>
    </w:rPr>
  </w:style>
  <w:style w:type="character" w:customStyle="1" w:styleId="a8">
    <w:name w:val="页脚 字符"/>
    <w:basedOn w:val="a0"/>
    <w:link w:val="a7"/>
    <w:uiPriority w:val="99"/>
    <w:qFormat/>
    <w:rPr>
      <w:rFonts w:eastAsia="Arial"/>
      <w:snapToGrid w:val="0"/>
      <w:color w:val="000000"/>
      <w:sz w:val="18"/>
      <w:szCs w:val="18"/>
      <w:lang w:eastAsia="en-US"/>
    </w:rPr>
  </w:style>
  <w:style w:type="character" w:customStyle="1" w:styleId="a6">
    <w:name w:val="批注框文本 字符"/>
    <w:basedOn w:val="a0"/>
    <w:link w:val="a5"/>
    <w:qFormat/>
    <w:rPr>
      <w:rFonts w:eastAsia="Arial"/>
      <w:snapToGrid w:val="0"/>
      <w:color w:val="000000"/>
      <w:sz w:val="18"/>
      <w:szCs w:val="18"/>
      <w:lang w:eastAsia="en-US"/>
    </w:rPr>
  </w:style>
  <w:style w:type="paragraph" w:customStyle="1" w:styleId="2">
    <w:name w:val="修订2"/>
    <w:hidden/>
    <w:uiPriority w:val="99"/>
    <w:unhideWhenUsed/>
    <w:qFormat/>
    <w:rPr>
      <w:rFonts w:eastAsia="Arial"/>
      <w:snapToGrid w:val="0"/>
      <w:color w:val="000000"/>
      <w:sz w:val="21"/>
      <w:szCs w:val="21"/>
      <w:lang w:eastAsia="en-US"/>
    </w:rPr>
  </w:style>
  <w:style w:type="paragraph" w:customStyle="1" w:styleId="3">
    <w:name w:val="修订3"/>
    <w:hidden/>
    <w:uiPriority w:val="99"/>
    <w:unhideWhenUsed/>
    <w:rPr>
      <w:rFonts w:eastAsia="Arial"/>
      <w:snapToGrid w:val="0"/>
      <w:color w:val="000000"/>
      <w:sz w:val="21"/>
      <w:szCs w:val="21"/>
      <w:lang w:eastAsia="en-US"/>
    </w:rPr>
  </w:style>
  <w:style w:type="paragraph" w:styleId="ac">
    <w:name w:val="Revision"/>
    <w:hidden/>
    <w:uiPriority w:val="99"/>
    <w:semiHidden/>
    <w:rsid w:val="00992DEF"/>
    <w:rPr>
      <w:rFonts w:eastAsia="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144</Words>
  <Characters>824</Characters>
  <Application>Microsoft Office Word</Application>
  <DocSecurity>0</DocSecurity>
  <Lines>6</Lines>
  <Paragraphs>1</Paragraphs>
  <ScaleCrop>false</ScaleCrop>
  <Company>Microsoft</Company>
  <LinksUpToDate>false</LinksUpToDate>
  <CharactersWithSpaces>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GTHT-IBD</cp:lastModifiedBy>
  <cp:revision>25</cp:revision>
  <dcterms:created xsi:type="dcterms:W3CDTF">2025-06-06T22:36:00Z</dcterms:created>
  <dcterms:modified xsi:type="dcterms:W3CDTF">2025-11-17T16:27:00Z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2052-12.1.0.23542</vt:lpwstr>
  </property>
  <property fmtid="{D5CDD505-2E9C-101B-9397-08002B2CF9AE}" pid="5" name="ICV">
    <vt:lpwstr>8462723751178D370EE04B68E7A3C690_42</vt:lpwstr>
  </property>
  <property fmtid="{D5CDD505-2E9C-101B-9397-08002B2CF9AE}" pid="6" name="KSOTemplateDocerSaveRecord">
    <vt:lpwstr>eyJoZGlkIjoiMzEwNTM5NzYwMDRjMzkwZTVkZjY2ODkwMGIxNGU0OTUiLCJ1c2VySWQiOiIzNjg4Nzg3ODIifQ==</vt:lpwstr>
  </property>
</Properties>
</file>