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9CE23" w14:textId="77777777" w:rsidR="00E71532" w:rsidRDefault="00000000">
      <w:pPr>
        <w:widowControl w:val="0"/>
        <w:kinsoku/>
        <w:autoSpaceDE/>
        <w:autoSpaceDN/>
        <w:adjustRightInd/>
        <w:snapToGrid/>
        <w:spacing w:beforeLines="50" w:before="120" w:afterLines="50" w:after="120" w:line="360" w:lineRule="auto"/>
        <w:ind w:left="11"/>
        <w:jc w:val="center"/>
        <w:textAlignment w:val="auto"/>
        <w:rPr>
          <w:rFonts w:ascii="Times New Roman" w:eastAsia="黑体" w:hAnsi="Times New Roman" w:cs="Times New Roman"/>
          <w:bCs/>
          <w:snapToGrid/>
          <w:kern w:val="2"/>
          <w:sz w:val="32"/>
          <w:szCs w:val="32"/>
          <w:lang w:eastAsia="zh-CN"/>
        </w:rPr>
      </w:pPr>
      <w:r>
        <w:rPr>
          <w:rFonts w:ascii="Times New Roman" w:eastAsia="黑体" w:hAnsi="Times New Roman" w:cs="Times New Roman" w:hint="eastAsia"/>
          <w:bCs/>
          <w:snapToGrid/>
          <w:kern w:val="2"/>
          <w:sz w:val="32"/>
          <w:szCs w:val="32"/>
          <w:lang w:eastAsia="zh-CN"/>
        </w:rPr>
        <w:t>广东天亿马信息产业股份有限公司董事会</w:t>
      </w:r>
    </w:p>
    <w:p w14:paraId="0565EE68" w14:textId="77777777" w:rsidR="00E71532" w:rsidRDefault="00000000">
      <w:pPr>
        <w:widowControl w:val="0"/>
        <w:kinsoku/>
        <w:autoSpaceDE/>
        <w:autoSpaceDN/>
        <w:adjustRightInd/>
        <w:snapToGrid/>
        <w:spacing w:beforeLines="50" w:before="120" w:afterLines="50" w:after="120" w:line="360" w:lineRule="auto"/>
        <w:ind w:left="11"/>
        <w:jc w:val="center"/>
        <w:textAlignment w:val="auto"/>
        <w:rPr>
          <w:rFonts w:ascii="黑体" w:eastAsia="黑体" w:hAnsi="黑体" w:cs="宋体" w:hint="eastAsia"/>
          <w:b/>
          <w:spacing w:val="-3"/>
          <w:sz w:val="28"/>
          <w:szCs w:val="28"/>
          <w:lang w:eastAsia="zh-CN"/>
        </w:rPr>
      </w:pPr>
      <w:r>
        <w:rPr>
          <w:rFonts w:ascii="Times New Roman" w:eastAsia="黑体" w:hAnsi="Times New Roman" w:cs="Times New Roman" w:hint="eastAsia"/>
          <w:bCs/>
          <w:snapToGrid/>
          <w:kern w:val="2"/>
          <w:sz w:val="32"/>
          <w:szCs w:val="32"/>
          <w:lang w:eastAsia="zh-CN"/>
        </w:rPr>
        <w:t>关于评估机构的独立性、评估假设前提的合理性、评估方法与评估目的相关性以及评估定价的公允性的说明</w:t>
      </w:r>
    </w:p>
    <w:p w14:paraId="3277CF85" w14:textId="77777777" w:rsidR="00E71532" w:rsidRDefault="00E71532">
      <w:pPr>
        <w:spacing w:line="360" w:lineRule="auto"/>
        <w:rPr>
          <w:rFonts w:ascii="Times New Roman" w:eastAsia="宋体" w:hAnsi="Times New Roman" w:cs="宋体"/>
          <w:lang w:eastAsia="zh-CN"/>
        </w:rPr>
      </w:pPr>
    </w:p>
    <w:p w14:paraId="3960DC96" w14:textId="77777777" w:rsidR="00E71532" w:rsidRDefault="00E71532">
      <w:pPr>
        <w:spacing w:line="360" w:lineRule="auto"/>
        <w:rPr>
          <w:rFonts w:ascii="Times New Roman" w:eastAsia="宋体" w:hAnsi="Times New Roman" w:cs="宋体"/>
          <w:lang w:eastAsia="zh-CN"/>
        </w:rPr>
      </w:pPr>
    </w:p>
    <w:p w14:paraId="53FB33F8" w14:textId="66618AE0" w:rsidR="00E71532" w:rsidRDefault="00000000">
      <w:pPr>
        <w:pStyle w:val="a4"/>
        <w:spacing w:before="109" w:line="360" w:lineRule="auto"/>
        <w:ind w:left="23" w:firstLineChars="200" w:firstLine="480"/>
        <w:rPr>
          <w:rFonts w:ascii="仿宋" w:eastAsia="仿宋" w:hAnsi="仿宋" w:hint="eastAsia"/>
          <w:lang w:eastAsia="zh-CN"/>
        </w:rPr>
      </w:pPr>
      <w:r>
        <w:rPr>
          <w:rFonts w:ascii="仿宋" w:eastAsia="仿宋" w:hAnsi="仿宋" w:hint="eastAsia"/>
          <w:lang w:eastAsia="zh-CN"/>
        </w:rPr>
        <w:t>广东天亿马信息产业股份有限公司（以下简称“公司”）拟通过发行股份及支付现金</w:t>
      </w:r>
      <w:r w:rsidR="009B2C0A" w:rsidRPr="009B2C0A">
        <w:rPr>
          <w:rFonts w:ascii="仿宋" w:eastAsia="仿宋" w:hAnsi="仿宋" w:hint="eastAsia"/>
          <w:lang w:eastAsia="zh-CN"/>
        </w:rPr>
        <w:t>方式</w:t>
      </w:r>
      <w:r>
        <w:rPr>
          <w:rFonts w:ascii="仿宋" w:eastAsia="仿宋" w:hAnsi="仿宋" w:hint="eastAsia"/>
          <w:lang w:eastAsia="zh-CN"/>
        </w:rPr>
        <w:t>购买广东星云开物科技股份有限公司（以下简称“标的公司”）</w:t>
      </w:r>
      <w:r>
        <w:rPr>
          <w:rFonts w:ascii="仿宋" w:eastAsia="仿宋" w:hAnsi="仿宋" w:cs="Arial"/>
          <w:lang w:eastAsia="zh-CN"/>
        </w:rPr>
        <w:t>98.5632%</w:t>
      </w:r>
      <w:r>
        <w:rPr>
          <w:rFonts w:ascii="仿宋" w:eastAsia="仿宋" w:hAnsi="仿宋" w:cs="Arial" w:hint="eastAsia"/>
          <w:lang w:eastAsia="zh-CN"/>
        </w:rPr>
        <w:t>股权（以下简称“标的资产”）</w:t>
      </w:r>
      <w:r>
        <w:rPr>
          <w:rFonts w:ascii="仿宋" w:eastAsia="仿宋" w:hAnsi="仿宋" w:hint="eastAsia"/>
          <w:lang w:eastAsia="zh-CN"/>
        </w:rPr>
        <w:t>，并向实际控制人之一马学沛先生发行股份募集配套资金（以下简称“本次交易”）。</w:t>
      </w:r>
    </w:p>
    <w:p w14:paraId="514254A9" w14:textId="616F70C7" w:rsidR="00E71532" w:rsidRDefault="00000000">
      <w:pPr>
        <w:spacing w:beforeLines="50" w:before="120" w:line="360" w:lineRule="auto"/>
        <w:ind w:firstLineChars="200" w:firstLine="480"/>
        <w:rPr>
          <w:rFonts w:ascii="仿宋" w:eastAsia="仿宋" w:hAnsi="仿宋" w:hint="eastAsia"/>
          <w:sz w:val="24"/>
          <w:szCs w:val="24"/>
          <w:lang w:eastAsia="zh-CN"/>
        </w:rPr>
      </w:pPr>
      <w:r>
        <w:rPr>
          <w:rFonts w:ascii="仿宋" w:eastAsia="仿宋" w:hAnsi="仿宋" w:hint="eastAsia"/>
          <w:sz w:val="24"/>
          <w:szCs w:val="24"/>
          <w:lang w:eastAsia="zh-CN"/>
        </w:rPr>
        <w:t>为本次交易之目的，公司聘请了符合《证券法》规定的资产评估机构金证（上海）资产评估有限公司（以下简称“金证评估”）以2025年6月30日为基准日，对标的资产涉及的标的公司股东全部权益价值进行评估并出具了相应的评估报告。根据《上市公司重大资产重组管理办法》规定，公司董事会认真审阅本次评估的相关资料后，就本次交易评估机构的独立性、评估假设前提的合理性、评估方法与评估目的的相关性、评估定价的公允性发表如下意见：</w:t>
      </w:r>
    </w:p>
    <w:p w14:paraId="58461B15" w14:textId="77777777" w:rsidR="00E71532" w:rsidRDefault="00000000">
      <w:pPr>
        <w:spacing w:beforeLines="50" w:before="120" w:line="360" w:lineRule="auto"/>
        <w:ind w:firstLineChars="200" w:firstLine="482"/>
        <w:rPr>
          <w:rFonts w:ascii="仿宋" w:eastAsia="仿宋" w:hAnsi="仿宋" w:hint="eastAsia"/>
          <w:b/>
          <w:bCs/>
          <w:sz w:val="24"/>
          <w:szCs w:val="24"/>
          <w:lang w:eastAsia="zh-CN"/>
        </w:rPr>
      </w:pPr>
      <w:r>
        <w:rPr>
          <w:rFonts w:ascii="仿宋" w:eastAsia="仿宋" w:hAnsi="仿宋" w:hint="eastAsia"/>
          <w:b/>
          <w:bCs/>
          <w:sz w:val="24"/>
          <w:szCs w:val="24"/>
          <w:lang w:eastAsia="zh-CN"/>
        </w:rPr>
        <w:t>一、评估机构具有独立性</w:t>
      </w:r>
    </w:p>
    <w:p w14:paraId="42759076" w14:textId="7ED5A688" w:rsidR="00E71532" w:rsidRDefault="00000000">
      <w:pPr>
        <w:spacing w:beforeLines="50" w:before="120" w:line="360" w:lineRule="auto"/>
        <w:ind w:firstLineChars="200" w:firstLine="480"/>
        <w:rPr>
          <w:rFonts w:ascii="仿宋" w:eastAsia="仿宋" w:hAnsi="仿宋" w:hint="eastAsia"/>
          <w:sz w:val="24"/>
          <w:szCs w:val="24"/>
          <w:lang w:eastAsia="zh-CN"/>
        </w:rPr>
      </w:pPr>
      <w:r>
        <w:rPr>
          <w:rFonts w:ascii="仿宋" w:eastAsia="仿宋" w:hAnsi="仿宋" w:hint="eastAsia"/>
          <w:sz w:val="24"/>
          <w:szCs w:val="24"/>
          <w:lang w:eastAsia="zh-CN"/>
        </w:rPr>
        <w:t>本次交易聘请的评估机构金证评估符合《证券法》规定，具备专业胜任能力。除正常的业务往来关系外，金证评估及经办人员与公司、标的公司及本次交易的交易对方及所涉各方均无其他关联关系，亦不存在除专业收费外的现实及预期的利益关系或冲突，本次评估机构的选聘程序合规，评估机构具有独立性。</w:t>
      </w:r>
    </w:p>
    <w:p w14:paraId="3519F849" w14:textId="77777777" w:rsidR="00E71532" w:rsidRDefault="00000000">
      <w:pPr>
        <w:spacing w:beforeLines="50" w:before="120" w:line="360" w:lineRule="auto"/>
        <w:ind w:firstLineChars="200" w:firstLine="482"/>
        <w:rPr>
          <w:rFonts w:ascii="仿宋" w:eastAsia="仿宋" w:hAnsi="仿宋" w:hint="eastAsia"/>
          <w:b/>
          <w:bCs/>
          <w:sz w:val="24"/>
          <w:szCs w:val="24"/>
          <w:lang w:eastAsia="zh-CN"/>
        </w:rPr>
      </w:pPr>
      <w:r>
        <w:rPr>
          <w:rFonts w:ascii="仿宋" w:eastAsia="仿宋" w:hAnsi="仿宋" w:hint="eastAsia"/>
          <w:b/>
          <w:bCs/>
          <w:sz w:val="24"/>
          <w:szCs w:val="24"/>
          <w:lang w:eastAsia="zh-CN"/>
        </w:rPr>
        <w:t>二、评估假设前提具有合理性</w:t>
      </w:r>
    </w:p>
    <w:p w14:paraId="021921CD" w14:textId="711D1182" w:rsidR="00E71532" w:rsidRDefault="00000000">
      <w:pPr>
        <w:spacing w:beforeLines="50" w:before="120" w:line="360" w:lineRule="auto"/>
        <w:ind w:firstLineChars="200" w:firstLine="480"/>
        <w:rPr>
          <w:rFonts w:ascii="仿宋" w:eastAsia="仿宋" w:hAnsi="仿宋" w:hint="eastAsia"/>
          <w:sz w:val="24"/>
          <w:szCs w:val="24"/>
          <w:lang w:eastAsia="zh-CN"/>
        </w:rPr>
      </w:pPr>
      <w:r>
        <w:rPr>
          <w:rFonts w:ascii="仿宋" w:eastAsia="仿宋" w:hAnsi="仿宋" w:hint="eastAsia"/>
          <w:sz w:val="24"/>
          <w:szCs w:val="24"/>
          <w:lang w:eastAsia="zh-CN"/>
        </w:rPr>
        <w:t>金证评估和其评估人员为本次交易出具的相关资产评估报告所设定的评估假设前提和限制条件符合国家有关法规与规定，遵循了市场通用的惯例和准则，符合评估对象的实际情况，评估假设前提具有合理性。</w:t>
      </w:r>
    </w:p>
    <w:p w14:paraId="6FB5549F" w14:textId="77777777" w:rsidR="00E71532" w:rsidRDefault="00000000">
      <w:pPr>
        <w:spacing w:beforeLines="50" w:before="120" w:line="360" w:lineRule="auto"/>
        <w:ind w:firstLineChars="200" w:firstLine="482"/>
        <w:rPr>
          <w:rFonts w:ascii="仿宋" w:eastAsia="仿宋" w:hAnsi="仿宋" w:hint="eastAsia"/>
          <w:b/>
          <w:bCs/>
          <w:sz w:val="24"/>
          <w:szCs w:val="24"/>
          <w:lang w:eastAsia="zh-CN"/>
        </w:rPr>
      </w:pPr>
      <w:r>
        <w:rPr>
          <w:rFonts w:ascii="仿宋" w:eastAsia="仿宋" w:hAnsi="仿宋" w:hint="eastAsia"/>
          <w:b/>
          <w:bCs/>
          <w:sz w:val="24"/>
          <w:szCs w:val="24"/>
          <w:lang w:eastAsia="zh-CN"/>
        </w:rPr>
        <w:t>三、评估方法与评估目的相关性一致</w:t>
      </w:r>
    </w:p>
    <w:p w14:paraId="3981B843" w14:textId="17F4C7FF" w:rsidR="00E71532" w:rsidRDefault="00000000">
      <w:pPr>
        <w:spacing w:beforeLines="50" w:before="120" w:line="360" w:lineRule="auto"/>
        <w:ind w:firstLineChars="200" w:firstLine="480"/>
        <w:rPr>
          <w:rFonts w:ascii="仿宋" w:eastAsia="仿宋" w:hAnsi="仿宋" w:hint="eastAsia"/>
          <w:sz w:val="24"/>
          <w:szCs w:val="24"/>
          <w:lang w:eastAsia="zh-CN"/>
        </w:rPr>
      </w:pPr>
      <w:r>
        <w:rPr>
          <w:rFonts w:ascii="仿宋" w:eastAsia="仿宋" w:hAnsi="仿宋" w:hint="eastAsia"/>
          <w:sz w:val="24"/>
          <w:szCs w:val="24"/>
          <w:lang w:eastAsia="zh-CN"/>
        </w:rPr>
        <w:t>本次评估的目的是确定标的资产于评估基准日的市场价值，为本次交易提供价值参考依据。评估机构实际评估的资产范围与委托评估的资产范围一致；本次</w:t>
      </w:r>
      <w:r>
        <w:rPr>
          <w:rFonts w:ascii="仿宋" w:eastAsia="仿宋" w:hAnsi="仿宋" w:hint="eastAsia"/>
          <w:sz w:val="24"/>
          <w:szCs w:val="24"/>
          <w:lang w:eastAsia="zh-CN"/>
        </w:rPr>
        <w:lastRenderedPageBreak/>
        <w:t>资产评估工作按照国家有关法规与行业规范的要求，遵循了独立性、客观性、科学性、公正性等原则，履行了必要的评估程序，对标的资产在评估基准日的市场价值进行了评估，评估方法选用恰当，评估方法与评估目的相关性一致。</w:t>
      </w:r>
    </w:p>
    <w:p w14:paraId="5B41134D" w14:textId="77777777" w:rsidR="00E71532" w:rsidRDefault="00000000">
      <w:pPr>
        <w:spacing w:beforeLines="50" w:before="120" w:line="360" w:lineRule="auto"/>
        <w:ind w:firstLineChars="200" w:firstLine="482"/>
        <w:rPr>
          <w:rFonts w:ascii="仿宋" w:eastAsia="仿宋" w:hAnsi="仿宋" w:hint="eastAsia"/>
          <w:b/>
          <w:bCs/>
          <w:sz w:val="24"/>
          <w:szCs w:val="24"/>
          <w:lang w:eastAsia="zh-CN"/>
        </w:rPr>
      </w:pPr>
      <w:r>
        <w:rPr>
          <w:rFonts w:ascii="仿宋" w:eastAsia="仿宋" w:hAnsi="仿宋" w:hint="eastAsia"/>
          <w:b/>
          <w:bCs/>
          <w:sz w:val="24"/>
          <w:szCs w:val="24"/>
          <w:lang w:eastAsia="zh-CN"/>
        </w:rPr>
        <w:t>四、</w:t>
      </w:r>
      <w:bookmarkStart w:id="0" w:name="OLE_LINK1"/>
      <w:r>
        <w:rPr>
          <w:rFonts w:ascii="仿宋" w:eastAsia="仿宋" w:hAnsi="仿宋" w:hint="eastAsia"/>
          <w:b/>
          <w:bCs/>
          <w:sz w:val="24"/>
          <w:szCs w:val="24"/>
          <w:lang w:eastAsia="zh-CN"/>
        </w:rPr>
        <w:t>评估定价具有公允性</w:t>
      </w:r>
      <w:bookmarkEnd w:id="0"/>
    </w:p>
    <w:p w14:paraId="13B21B19" w14:textId="77777777" w:rsidR="00E71532" w:rsidRDefault="00000000">
      <w:pPr>
        <w:pStyle w:val="a4"/>
        <w:spacing w:before="109" w:line="360" w:lineRule="auto"/>
        <w:ind w:left="23" w:firstLineChars="200" w:firstLine="480"/>
        <w:jc w:val="both"/>
        <w:rPr>
          <w:rFonts w:ascii="仿宋" w:eastAsia="仿宋" w:hAnsi="仿宋" w:hint="eastAsia"/>
          <w:lang w:eastAsia="zh-CN"/>
        </w:rPr>
      </w:pPr>
      <w:bookmarkStart w:id="1" w:name="_Hlk213148833"/>
      <w:r>
        <w:rPr>
          <w:rFonts w:ascii="仿宋" w:eastAsia="仿宋" w:hAnsi="仿宋" w:hint="eastAsia"/>
          <w:lang w:eastAsia="zh-CN"/>
        </w:rPr>
        <w:t>在本次评估过程中，金证评估根据有关资产评估的法律法规，本着独立、客观、公正的原则实施了必要的评估程序，在评估过程中运用的评估方法适当，评估结果客观、公正地反映了标的资产在评估基准日的实际状况；本次交易标的资产定价以金证评估出具的评估报告为参考依据，并经交易各方综合协商确定，定价方式合理，评估定价公允，符合相关法律法规及《公司章程》的规定，不会损害公司及股东特别是中小股东的利益</w:t>
      </w:r>
      <w:bookmarkEnd w:id="1"/>
      <w:r>
        <w:rPr>
          <w:rFonts w:ascii="仿宋" w:eastAsia="仿宋" w:hAnsi="仿宋" w:hint="eastAsia"/>
          <w:lang w:eastAsia="zh-CN"/>
        </w:rPr>
        <w:t>。</w:t>
      </w:r>
    </w:p>
    <w:p w14:paraId="6265E216" w14:textId="77777777" w:rsidR="00E71532" w:rsidRDefault="00000000">
      <w:pPr>
        <w:pStyle w:val="a4"/>
        <w:spacing w:before="109" w:line="360" w:lineRule="auto"/>
        <w:ind w:left="23" w:firstLineChars="200" w:firstLine="480"/>
        <w:rPr>
          <w:rFonts w:ascii="仿宋" w:eastAsia="仿宋" w:hAnsi="仿宋" w:hint="eastAsia"/>
          <w:lang w:eastAsia="zh-CN"/>
        </w:rPr>
      </w:pPr>
      <w:r>
        <w:rPr>
          <w:rFonts w:ascii="仿宋" w:eastAsia="仿宋" w:hAnsi="仿宋" w:hint="eastAsia"/>
          <w:lang w:eastAsia="zh-CN"/>
        </w:rPr>
        <w:t>综上所述，针对本次交易，公司聘请的评估机构具有独立性，评估假设前提具有合理性，评估方法与评估目的相关性一致，评估定价具有公允性。</w:t>
      </w:r>
    </w:p>
    <w:p w14:paraId="75B3C778" w14:textId="77777777" w:rsidR="00E71532" w:rsidRDefault="00000000">
      <w:pPr>
        <w:pStyle w:val="a4"/>
        <w:spacing w:before="109" w:line="360" w:lineRule="auto"/>
        <w:ind w:left="23" w:firstLineChars="200" w:firstLine="480"/>
        <w:rPr>
          <w:rFonts w:ascii="仿宋" w:eastAsia="仿宋" w:hAnsi="仿宋" w:hint="eastAsia"/>
          <w:lang w:eastAsia="zh-CN"/>
        </w:rPr>
      </w:pPr>
      <w:r>
        <w:rPr>
          <w:rFonts w:ascii="仿宋" w:eastAsia="仿宋" w:hAnsi="仿宋" w:hint="eastAsia"/>
          <w:lang w:eastAsia="zh-CN"/>
        </w:rPr>
        <w:t>特此说明。</w:t>
      </w:r>
    </w:p>
    <w:p w14:paraId="2BEC3385" w14:textId="77777777" w:rsidR="00E71532" w:rsidRDefault="00000000">
      <w:pPr>
        <w:pStyle w:val="a4"/>
        <w:spacing w:before="119" w:line="360" w:lineRule="auto"/>
        <w:ind w:left="22" w:right="97" w:firstLine="481"/>
        <w:jc w:val="both"/>
        <w:rPr>
          <w:rFonts w:ascii="仿宋" w:eastAsia="仿宋" w:hAnsi="仿宋" w:cs="仿宋" w:hint="eastAsia"/>
          <w:spacing w:val="-7"/>
          <w:lang w:eastAsia="zh-CN"/>
        </w:rPr>
      </w:pPr>
      <w:r>
        <w:rPr>
          <w:rFonts w:ascii="仿宋" w:eastAsia="仿宋" w:hAnsi="仿宋" w:cs="仿宋" w:hint="eastAsia"/>
          <w:spacing w:val="-7"/>
          <w:lang w:eastAsia="zh-CN"/>
        </w:rPr>
        <w:t>（以下无正文）</w:t>
      </w:r>
    </w:p>
    <w:p w14:paraId="1F814FAF" w14:textId="77777777" w:rsidR="00E71532" w:rsidRDefault="00E71532">
      <w:pPr>
        <w:pStyle w:val="a4"/>
        <w:spacing w:before="119" w:line="360" w:lineRule="auto"/>
        <w:ind w:left="22" w:right="97" w:firstLine="481"/>
        <w:jc w:val="both"/>
        <w:rPr>
          <w:rFonts w:ascii="仿宋" w:eastAsia="仿宋" w:hAnsi="仿宋" w:cs="仿宋" w:hint="eastAsia"/>
          <w:spacing w:val="-7"/>
          <w:lang w:eastAsia="zh-CN"/>
        </w:rPr>
        <w:sectPr w:rsidR="00E71532">
          <w:footerReference w:type="default" r:id="rId6"/>
          <w:pgSz w:w="11907" w:h="16839"/>
          <w:pgMar w:top="1431" w:right="1720" w:bottom="1152" w:left="1785" w:header="0" w:footer="996" w:gutter="0"/>
          <w:cols w:space="720"/>
        </w:sectPr>
      </w:pPr>
    </w:p>
    <w:p w14:paraId="3EDAA24C" w14:textId="4D9E0FD2" w:rsidR="00E71532" w:rsidRDefault="0077034D">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lastRenderedPageBreak/>
        <w:t>（本页无正文，为《广东天亿马信息产业股份有限公司董事会关于评估机构的独立性、评估假设前提的合理性、评估方法与评估目的相关性以及评估定价的公允性的说明》之盖章页）</w:t>
      </w:r>
    </w:p>
    <w:p w14:paraId="64912083" w14:textId="77777777" w:rsidR="00E71532" w:rsidRPr="0077034D" w:rsidRDefault="00E71532">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2E9938CD" w14:textId="77777777" w:rsidR="00E71532" w:rsidRDefault="00E71532">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4724E9F0" w14:textId="77777777" w:rsidR="00E71532" w:rsidRDefault="00E71532">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6E2F7161" w14:textId="77777777" w:rsidR="00E71532" w:rsidRDefault="00E71532">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2D1D843C" w14:textId="77777777" w:rsidR="00E71532" w:rsidRDefault="00E71532">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6066BE26" w14:textId="77777777" w:rsidR="00E71532" w:rsidRDefault="00E71532">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1B195787" w14:textId="77777777" w:rsidR="00E71532" w:rsidRDefault="00E71532">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0BB7B47C" w14:textId="77777777" w:rsidR="00E71532" w:rsidRDefault="00E71532">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110C9D9E" w14:textId="77777777" w:rsidR="00E71532" w:rsidRDefault="00E71532">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6099952A" w14:textId="77777777" w:rsidR="00E71532" w:rsidRDefault="00000000">
      <w:pPr>
        <w:widowControl w:val="0"/>
        <w:kinsoku/>
        <w:autoSpaceDE/>
        <w:autoSpaceDN/>
        <w:adjustRightInd/>
        <w:snapToGrid/>
        <w:spacing w:before="120" w:after="120" w:line="440" w:lineRule="exact"/>
        <w:jc w:val="right"/>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t>广东天亿马信息产业股份有限公司</w:t>
      </w:r>
    </w:p>
    <w:p w14:paraId="7EFC5288" w14:textId="77777777" w:rsidR="00E71532" w:rsidRDefault="00000000">
      <w:pPr>
        <w:widowControl w:val="0"/>
        <w:kinsoku/>
        <w:autoSpaceDE/>
        <w:autoSpaceDN/>
        <w:adjustRightInd/>
        <w:snapToGrid/>
        <w:spacing w:before="120" w:after="120" w:line="440" w:lineRule="exact"/>
        <w:jc w:val="right"/>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t>董事会</w:t>
      </w:r>
    </w:p>
    <w:p w14:paraId="30F72949" w14:textId="1FFBCDAC" w:rsidR="00E71532" w:rsidRDefault="001243B4">
      <w:pPr>
        <w:widowControl w:val="0"/>
        <w:kinsoku/>
        <w:autoSpaceDE/>
        <w:autoSpaceDN/>
        <w:adjustRightInd/>
        <w:snapToGrid/>
        <w:spacing w:before="120" w:after="120" w:line="440" w:lineRule="exact"/>
        <w:jc w:val="right"/>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t>2025</w:t>
      </w:r>
      <w:r w:rsidR="00000000">
        <w:rPr>
          <w:rFonts w:ascii="仿宋" w:eastAsia="仿宋" w:hAnsi="仿宋" w:cs="仿宋" w:hint="eastAsia"/>
          <w:snapToGrid/>
          <w:kern w:val="2"/>
          <w:sz w:val="24"/>
          <w:szCs w:val="24"/>
          <w:lang w:eastAsia="zh-CN"/>
        </w:rPr>
        <w:t>年</w:t>
      </w:r>
      <w:r>
        <w:rPr>
          <w:rFonts w:ascii="仿宋" w:eastAsia="仿宋" w:hAnsi="仿宋" w:cs="仿宋" w:hint="eastAsia"/>
          <w:snapToGrid/>
          <w:kern w:val="2"/>
          <w:sz w:val="24"/>
          <w:szCs w:val="24"/>
          <w:lang w:eastAsia="zh-CN"/>
        </w:rPr>
        <w:t>11</w:t>
      </w:r>
      <w:r w:rsidR="00000000">
        <w:rPr>
          <w:rFonts w:ascii="仿宋" w:eastAsia="仿宋" w:hAnsi="仿宋" w:cs="仿宋" w:hint="eastAsia"/>
          <w:snapToGrid/>
          <w:kern w:val="2"/>
          <w:sz w:val="24"/>
          <w:szCs w:val="24"/>
          <w:lang w:eastAsia="zh-CN"/>
        </w:rPr>
        <w:t>月</w:t>
      </w:r>
      <w:r>
        <w:rPr>
          <w:rFonts w:ascii="仿宋" w:eastAsia="仿宋" w:hAnsi="仿宋" w:cs="仿宋" w:hint="eastAsia"/>
          <w:snapToGrid/>
          <w:kern w:val="2"/>
          <w:sz w:val="24"/>
          <w:szCs w:val="24"/>
          <w:lang w:eastAsia="zh-CN"/>
        </w:rPr>
        <w:t>18</w:t>
      </w:r>
      <w:r w:rsidR="00000000">
        <w:rPr>
          <w:rFonts w:ascii="仿宋" w:eastAsia="仿宋" w:hAnsi="仿宋" w:cs="仿宋" w:hint="eastAsia"/>
          <w:snapToGrid/>
          <w:kern w:val="2"/>
          <w:sz w:val="24"/>
          <w:szCs w:val="24"/>
          <w:lang w:eastAsia="zh-CN"/>
        </w:rPr>
        <w:t>日</w:t>
      </w:r>
    </w:p>
    <w:p w14:paraId="14F7B55B" w14:textId="77777777" w:rsidR="00E71532" w:rsidRDefault="00E71532">
      <w:pPr>
        <w:pStyle w:val="a4"/>
        <w:spacing w:before="1" w:line="360" w:lineRule="auto"/>
        <w:ind w:right="28"/>
        <w:jc w:val="both"/>
        <w:rPr>
          <w:rFonts w:ascii="仿宋" w:eastAsia="仿宋" w:hAnsi="仿宋" w:cs="仿宋" w:hint="eastAsia"/>
        </w:rPr>
      </w:pPr>
    </w:p>
    <w:p w14:paraId="791DDA43" w14:textId="77777777" w:rsidR="00E71532" w:rsidRDefault="00E71532">
      <w:pPr>
        <w:pStyle w:val="a4"/>
        <w:spacing w:before="109" w:line="360" w:lineRule="auto"/>
        <w:ind w:left="23" w:firstLineChars="200" w:firstLine="480"/>
        <w:rPr>
          <w:rFonts w:ascii="仿宋" w:eastAsia="仿宋" w:hAnsi="仿宋" w:hint="eastAsia"/>
          <w:lang w:eastAsia="zh-CN"/>
        </w:rPr>
      </w:pPr>
    </w:p>
    <w:p w14:paraId="3F9AB903" w14:textId="77777777" w:rsidR="00E71532" w:rsidRDefault="00E71532">
      <w:pPr>
        <w:pStyle w:val="a4"/>
        <w:spacing w:before="109" w:line="360" w:lineRule="auto"/>
        <w:ind w:left="23" w:firstLineChars="200" w:firstLine="500"/>
        <w:rPr>
          <w:rFonts w:ascii="Times New Roman" w:eastAsia="宋体" w:hAnsi="Times New Roman" w:cstheme="minorEastAsia"/>
          <w:spacing w:val="10"/>
          <w:lang w:eastAsia="zh-CN"/>
        </w:rPr>
      </w:pPr>
    </w:p>
    <w:p w14:paraId="2013391D" w14:textId="77777777" w:rsidR="00E71532" w:rsidRDefault="00E71532">
      <w:pPr>
        <w:pStyle w:val="a4"/>
        <w:spacing w:before="109" w:line="360" w:lineRule="auto"/>
        <w:ind w:left="23" w:firstLineChars="200" w:firstLine="500"/>
        <w:rPr>
          <w:rFonts w:ascii="Times New Roman" w:eastAsia="宋体" w:hAnsi="Times New Roman" w:cstheme="minorEastAsia"/>
          <w:spacing w:val="10"/>
          <w:lang w:eastAsia="zh-CN"/>
        </w:rPr>
      </w:pPr>
    </w:p>
    <w:sectPr w:rsidR="00E7153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1680E" w14:textId="77777777" w:rsidR="00027A23" w:rsidRDefault="00027A23">
      <w:r>
        <w:separator/>
      </w:r>
    </w:p>
  </w:endnote>
  <w:endnote w:type="continuationSeparator" w:id="0">
    <w:p w14:paraId="0499BB5C" w14:textId="77777777" w:rsidR="00027A23" w:rsidRDefault="00027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448848823"/>
      <w:docPartObj>
        <w:docPartGallery w:val="Page Numbers (Bottom of Page)"/>
        <w:docPartUnique/>
      </w:docPartObj>
    </w:sdtPr>
    <w:sdtContent>
      <w:p w14:paraId="099A6498" w14:textId="5BD1C43E" w:rsidR="002D5A84" w:rsidRPr="002D5A84" w:rsidRDefault="002D5A84">
        <w:pPr>
          <w:pStyle w:val="a7"/>
          <w:jc w:val="center"/>
          <w:rPr>
            <w:rFonts w:ascii="Times New Roman" w:hAnsi="Times New Roman" w:cs="Times New Roman"/>
          </w:rPr>
        </w:pPr>
        <w:r w:rsidRPr="002D5A84">
          <w:rPr>
            <w:rFonts w:ascii="Times New Roman" w:hAnsi="Times New Roman" w:cs="Times New Roman"/>
          </w:rPr>
          <w:fldChar w:fldCharType="begin"/>
        </w:r>
        <w:r w:rsidRPr="002D5A84">
          <w:rPr>
            <w:rFonts w:ascii="Times New Roman" w:hAnsi="Times New Roman" w:cs="Times New Roman"/>
          </w:rPr>
          <w:instrText>PAGE   \* MERGEFORMAT</w:instrText>
        </w:r>
        <w:r w:rsidRPr="002D5A84">
          <w:rPr>
            <w:rFonts w:ascii="Times New Roman" w:hAnsi="Times New Roman" w:cs="Times New Roman"/>
          </w:rPr>
          <w:fldChar w:fldCharType="separate"/>
        </w:r>
        <w:r w:rsidRPr="002D5A84">
          <w:rPr>
            <w:rFonts w:ascii="Times New Roman" w:hAnsi="Times New Roman" w:cs="Times New Roman"/>
            <w:lang w:val="zh-CN" w:eastAsia="zh-CN"/>
          </w:rPr>
          <w:t>2</w:t>
        </w:r>
        <w:r w:rsidRPr="002D5A84">
          <w:rPr>
            <w:rFonts w:ascii="Times New Roman" w:hAnsi="Times New Roman" w:cs="Times New Roman"/>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33457727"/>
      <w:docPartObj>
        <w:docPartGallery w:val="Page Numbers (Bottom of Page)"/>
        <w:docPartUnique/>
      </w:docPartObj>
    </w:sdtPr>
    <w:sdtContent>
      <w:p w14:paraId="152263BE" w14:textId="77777777" w:rsidR="002D5A84" w:rsidRPr="002D5A84" w:rsidRDefault="002D5A84" w:rsidP="002D5A84">
        <w:pPr>
          <w:pStyle w:val="a7"/>
          <w:jc w:val="center"/>
          <w:rPr>
            <w:rFonts w:ascii="Times New Roman" w:hAnsi="Times New Roman" w:cs="Times New Roman"/>
          </w:rPr>
        </w:pPr>
        <w:r w:rsidRPr="002D5A84">
          <w:rPr>
            <w:rFonts w:ascii="Times New Roman" w:hAnsi="Times New Roman" w:cs="Times New Roman"/>
          </w:rPr>
          <w:fldChar w:fldCharType="begin"/>
        </w:r>
        <w:r w:rsidRPr="002D5A84">
          <w:rPr>
            <w:rFonts w:ascii="Times New Roman" w:hAnsi="Times New Roman" w:cs="Times New Roman"/>
          </w:rPr>
          <w:instrText>PAGE   \* MERGEFORMAT</w:instrText>
        </w:r>
        <w:r w:rsidRPr="002D5A84">
          <w:rPr>
            <w:rFonts w:ascii="Times New Roman" w:hAnsi="Times New Roman" w:cs="Times New Roman"/>
          </w:rPr>
          <w:fldChar w:fldCharType="separate"/>
        </w:r>
        <w:r>
          <w:rPr>
            <w:rFonts w:ascii="Times New Roman" w:hAnsi="Times New Roman" w:cs="Times New Roman"/>
          </w:rPr>
          <w:t>2</w:t>
        </w:r>
        <w:r w:rsidRPr="002D5A84">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492CD" w14:textId="77777777" w:rsidR="00027A23" w:rsidRDefault="00027A23">
      <w:r>
        <w:separator/>
      </w:r>
    </w:p>
  </w:footnote>
  <w:footnote w:type="continuationSeparator" w:id="0">
    <w:p w14:paraId="0D4ABE37" w14:textId="77777777" w:rsidR="00027A23" w:rsidRDefault="00027A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bordersDoNotSurroundHeader/>
  <w:bordersDoNotSurroundFooter/>
  <w:defaultTabStop w:val="420"/>
  <w:noPunctuationKerning/>
  <w:characterSpacingControl w:val="doNotCompress"/>
  <w:hdrShapeDefaults>
    <o:shapedefaults v:ext="edit" spidmax="2050"/>
  </w:hdrShapeDefaults>
  <w:footnotePr>
    <w:footnote w:id="-1"/>
    <w:footnote w:id="0"/>
  </w:footnotePr>
  <w:endnotePr>
    <w:endnote w:id="-1"/>
    <w:endnote w:id="0"/>
  </w:endnotePr>
  <w:compat>
    <w:spaceForUL/>
    <w:ulTrailSpace/>
    <w:doNotExpandShiftReturn/>
    <w:doNotWrapTextWithPunct/>
    <w:doNotUseEastAsianBreakRules/>
    <w:useFELayout/>
    <w:doNotUseIndentAsNumberingTabStop/>
    <w:compatSetting w:name="compatibilityMode" w:uri="http://schemas.microsoft.com/office/word" w:val="14"/>
    <w:compatSetting w:name="useWord2013TrackBottomHyphenation" w:uri="http://schemas.microsoft.com/office/word" w:val="1"/>
  </w:compat>
  <w:docVars>
    <w:docVar w:name="commondata" w:val="eyJoZGlkIjoiMWViMTY3NTUxZjU3ZjBkMmE5NzkyOTZhNDc1MmQ4NTMifQ=="/>
  </w:docVars>
  <w:rsids>
    <w:rsidRoot w:val="001006BB"/>
    <w:rsid w:val="9E7FC992"/>
    <w:rsid w:val="BF7E75C8"/>
    <w:rsid w:val="FCFF7A11"/>
    <w:rsid w:val="FF7E538A"/>
    <w:rsid w:val="FFD7E931"/>
    <w:rsid w:val="0000461C"/>
    <w:rsid w:val="00027A23"/>
    <w:rsid w:val="0004679C"/>
    <w:rsid w:val="00046D8C"/>
    <w:rsid w:val="00062347"/>
    <w:rsid w:val="00064F26"/>
    <w:rsid w:val="000A3E50"/>
    <w:rsid w:val="000D0BCB"/>
    <w:rsid w:val="000F38AD"/>
    <w:rsid w:val="000F4A1A"/>
    <w:rsid w:val="001006BB"/>
    <w:rsid w:val="001243B4"/>
    <w:rsid w:val="001A741F"/>
    <w:rsid w:val="001D5E68"/>
    <w:rsid w:val="001F7675"/>
    <w:rsid w:val="002D5A84"/>
    <w:rsid w:val="002E72C2"/>
    <w:rsid w:val="003061F7"/>
    <w:rsid w:val="00357CE4"/>
    <w:rsid w:val="003859E2"/>
    <w:rsid w:val="003C00F2"/>
    <w:rsid w:val="00435989"/>
    <w:rsid w:val="004D7CA7"/>
    <w:rsid w:val="0055201E"/>
    <w:rsid w:val="005B4C69"/>
    <w:rsid w:val="005C7555"/>
    <w:rsid w:val="005D2783"/>
    <w:rsid w:val="00613159"/>
    <w:rsid w:val="006236EE"/>
    <w:rsid w:val="006849DB"/>
    <w:rsid w:val="006E647A"/>
    <w:rsid w:val="0077034D"/>
    <w:rsid w:val="007864A7"/>
    <w:rsid w:val="007B74BA"/>
    <w:rsid w:val="007D12AE"/>
    <w:rsid w:val="008346DC"/>
    <w:rsid w:val="008B7F28"/>
    <w:rsid w:val="008C2F8B"/>
    <w:rsid w:val="00967D9D"/>
    <w:rsid w:val="009B2C0A"/>
    <w:rsid w:val="009D7B90"/>
    <w:rsid w:val="00AA71C8"/>
    <w:rsid w:val="00AB6FA9"/>
    <w:rsid w:val="00AD35F2"/>
    <w:rsid w:val="00B144BB"/>
    <w:rsid w:val="00B452DA"/>
    <w:rsid w:val="00C13A07"/>
    <w:rsid w:val="00C65B1A"/>
    <w:rsid w:val="00C82906"/>
    <w:rsid w:val="00CA31E8"/>
    <w:rsid w:val="00CC2D87"/>
    <w:rsid w:val="00E71532"/>
    <w:rsid w:val="00EC3BED"/>
    <w:rsid w:val="00EF0566"/>
    <w:rsid w:val="00F11E2A"/>
    <w:rsid w:val="00F6064B"/>
    <w:rsid w:val="0FA8263D"/>
    <w:rsid w:val="122E0946"/>
    <w:rsid w:val="15954633"/>
    <w:rsid w:val="19EFBB04"/>
    <w:rsid w:val="1CF65148"/>
    <w:rsid w:val="3F12330D"/>
    <w:rsid w:val="4ACF16D4"/>
    <w:rsid w:val="586F0CDC"/>
    <w:rsid w:val="5FBE9C2D"/>
    <w:rsid w:val="6F655571"/>
    <w:rsid w:val="71405C84"/>
    <w:rsid w:val="74055864"/>
    <w:rsid w:val="75393720"/>
    <w:rsid w:val="76F579F5"/>
    <w:rsid w:val="7AAD1D53"/>
    <w:rsid w:val="7E9F97E8"/>
    <w:rsid w:val="7FFEA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02A96D"/>
  <w15:docId w15:val="{D0C573E4-A607-4A77-82BF-3B76F75B3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pPr>
    <w:rPr>
      <w:sz w:val="18"/>
    </w:rPr>
  </w:style>
  <w:style w:type="paragraph" w:styleId="a9">
    <w:name w:val="header"/>
    <w:basedOn w:val="a"/>
    <w:link w:val="aa"/>
    <w:qFormat/>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aa">
    <w:name w:val="页眉 字符"/>
    <w:basedOn w:val="a0"/>
    <w:link w:val="a9"/>
    <w:qFormat/>
    <w:rPr>
      <w:rFonts w:ascii="Arial" w:eastAsia="Arial" w:hAnsi="Arial" w:cs="Arial"/>
      <w:snapToGrid w:val="0"/>
      <w:color w:val="000000"/>
      <w:sz w:val="18"/>
      <w:szCs w:val="18"/>
      <w:lang w:eastAsia="en-US"/>
    </w:rPr>
  </w:style>
  <w:style w:type="character" w:customStyle="1" w:styleId="a6">
    <w:name w:val="批注框文本 字符"/>
    <w:basedOn w:val="a0"/>
    <w:link w:val="a5"/>
    <w:qFormat/>
    <w:rPr>
      <w:rFonts w:ascii="Arial" w:eastAsia="Arial" w:hAnsi="Arial" w:cs="Arial"/>
      <w:snapToGrid w:val="0"/>
      <w:color w:val="000000"/>
      <w:sz w:val="18"/>
      <w:szCs w:val="18"/>
      <w:lang w:eastAsia="en-US"/>
    </w:rPr>
  </w:style>
  <w:style w:type="paragraph" w:customStyle="1" w:styleId="1">
    <w:name w:val="修订1"/>
    <w:hidden/>
    <w:uiPriority w:val="99"/>
    <w:unhideWhenUsed/>
    <w:qFormat/>
    <w:rPr>
      <w:rFonts w:ascii="Arial" w:eastAsia="Arial" w:hAnsi="Arial" w:cs="Arial"/>
      <w:snapToGrid w:val="0"/>
      <w:color w:val="000000"/>
      <w:sz w:val="21"/>
      <w:szCs w:val="21"/>
      <w:lang w:eastAsia="en-US"/>
    </w:rPr>
  </w:style>
  <w:style w:type="paragraph" w:styleId="ab">
    <w:name w:val="Revision"/>
    <w:hidden/>
    <w:uiPriority w:val="99"/>
    <w:unhideWhenUsed/>
    <w:rsid w:val="009B2C0A"/>
    <w:rPr>
      <w:rFonts w:ascii="Arial" w:eastAsia="Arial" w:hAnsi="Arial" w:cs="Arial"/>
      <w:snapToGrid w:val="0"/>
      <w:color w:val="000000"/>
      <w:sz w:val="21"/>
      <w:szCs w:val="21"/>
      <w:lang w:eastAsia="en-US"/>
    </w:rPr>
  </w:style>
  <w:style w:type="character" w:customStyle="1" w:styleId="a8">
    <w:name w:val="页脚 字符"/>
    <w:basedOn w:val="a0"/>
    <w:link w:val="a7"/>
    <w:uiPriority w:val="99"/>
    <w:rsid w:val="002D5A84"/>
    <w:rPr>
      <w:rFonts w:ascii="Arial" w:eastAsia="Arial" w:hAnsi="Arial" w:cs="Arial"/>
      <w:snapToGrid w:val="0"/>
      <w:color w:val="000000"/>
      <w:sz w:val="18"/>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187</Words>
  <Characters>1066</Characters>
  <Application>Microsoft Office Word</Application>
  <DocSecurity>0</DocSecurity>
  <Lines>8</Lines>
  <Paragraphs>2</Paragraphs>
  <ScaleCrop>false</ScaleCrop>
  <Company>Microsoft</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姜坤</dc:creator>
  <cp:lastModifiedBy>GTHTHAO</cp:lastModifiedBy>
  <cp:revision>23</cp:revision>
  <dcterms:created xsi:type="dcterms:W3CDTF">2024-10-16T19:37:00Z</dcterms:created>
  <dcterms:modified xsi:type="dcterms:W3CDTF">2025-11-18T06:48:00Z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2025-05-20T11:35:08Z</vt:filetime>
  </property>
  <property fmtid="{D5CDD505-2E9C-101B-9397-08002B2CF9AE}" pid="4" name="KSOProductBuildVer">
    <vt:lpwstr>2052-12.1.0.23542</vt:lpwstr>
  </property>
  <property fmtid="{D5CDD505-2E9C-101B-9397-08002B2CF9AE}" pid="5" name="ICV">
    <vt:lpwstr>D38054016E03F4A31D202C68F8C38FD8_43</vt:lpwstr>
  </property>
  <property fmtid="{D5CDD505-2E9C-101B-9397-08002B2CF9AE}" pid="6" name="KSOTemplateDocerSaveRecord">
    <vt:lpwstr>eyJoZGlkIjoiMzEwNTM5NzYwMDRjMzkwZTVkZjY2ODkwMGIxNGU0OTUiLCJ1c2VySWQiOiIzNjg4Nzg3ODIifQ==</vt:lpwstr>
  </property>
</Properties>
</file>