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ED4DF" w14:textId="77777777" w:rsidR="007B268B" w:rsidRDefault="00FC6617">
      <w:pPr>
        <w:spacing w:after="160" w:line="360" w:lineRule="auto"/>
        <w:ind w:left="10"/>
        <w:jc w:val="center"/>
        <w:rPr>
          <w:rFonts w:ascii="Times New Roman" w:eastAsia="黑体" w:hAnsi="Times New Roman" w:cs="Times New Roman"/>
          <w:bCs/>
          <w:sz w:val="32"/>
          <w:szCs w:val="32"/>
        </w:rPr>
      </w:pPr>
      <w:bookmarkStart w:id="0" w:name="OLE_LINK1"/>
      <w:r>
        <w:rPr>
          <w:rFonts w:ascii="Times New Roman" w:eastAsia="黑体" w:hAnsi="Times New Roman" w:cs="Times New Roman" w:hint="eastAsia"/>
          <w:bCs/>
          <w:sz w:val="32"/>
          <w:szCs w:val="32"/>
        </w:rPr>
        <w:t>广东天亿马信息产业股份有限公司董事会</w:t>
      </w:r>
    </w:p>
    <w:p w14:paraId="29A91DFE" w14:textId="77777777" w:rsidR="007B268B" w:rsidRDefault="00FC6617">
      <w:pPr>
        <w:spacing w:after="160" w:line="360" w:lineRule="auto"/>
        <w:ind w:left="10"/>
        <w:jc w:val="center"/>
        <w:rPr>
          <w:rFonts w:ascii="Times New Roman" w:eastAsia="黑体" w:hAnsi="Times New Roman" w:cs="Times New Roman"/>
          <w:bCs/>
          <w:sz w:val="32"/>
          <w:szCs w:val="32"/>
        </w:rPr>
      </w:pPr>
      <w:r>
        <w:rPr>
          <w:rFonts w:ascii="Times New Roman" w:eastAsia="黑体" w:hAnsi="Times New Roman" w:cs="Times New Roman" w:hint="eastAsia"/>
          <w:bCs/>
          <w:sz w:val="32"/>
          <w:szCs w:val="32"/>
        </w:rPr>
        <w:t>关于本次交易摊薄即期回报的情况分析及填补措施与相关承诺的说明</w:t>
      </w:r>
    </w:p>
    <w:p w14:paraId="57F06ED7" w14:textId="77777777" w:rsidR="007B268B" w:rsidRDefault="007B268B">
      <w:pPr>
        <w:spacing w:after="160" w:line="360" w:lineRule="auto"/>
        <w:ind w:firstLineChars="200" w:firstLine="480"/>
        <w:jc w:val="center"/>
        <w:rPr>
          <w:rFonts w:ascii="Times New Roman" w:eastAsia="宋体" w:hAnsi="Times New Roman" w:cs="Times New Roman"/>
          <w:sz w:val="24"/>
          <w:szCs w:val="24"/>
        </w:rPr>
      </w:pPr>
    </w:p>
    <w:bookmarkEnd w:id="0"/>
    <w:p w14:paraId="6E146A04" w14:textId="0015A110"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广东天亿马信息产业股份有限公司（以下简称“公司”</w:t>
      </w:r>
      <w:r w:rsidR="001F1B94">
        <w:rPr>
          <w:rFonts w:ascii="仿宋" w:eastAsia="仿宋" w:hAnsi="仿宋" w:cs="仿宋" w:hint="eastAsia"/>
          <w:sz w:val="24"/>
          <w:szCs w:val="24"/>
        </w:rPr>
        <w:t>或</w:t>
      </w:r>
      <w:r w:rsidR="001709EB">
        <w:rPr>
          <w:rFonts w:ascii="仿宋" w:eastAsia="仿宋" w:hAnsi="仿宋" w:cs="仿宋" w:hint="eastAsia"/>
          <w:sz w:val="24"/>
          <w:szCs w:val="24"/>
        </w:rPr>
        <w:t>“上市公司”</w:t>
      </w:r>
      <w:r>
        <w:rPr>
          <w:rFonts w:ascii="仿宋" w:eastAsia="仿宋" w:hAnsi="仿宋" w:cs="仿宋" w:hint="eastAsia"/>
          <w:sz w:val="24"/>
          <w:szCs w:val="24"/>
        </w:rPr>
        <w:t>）拟通过发行股份及支付现金的方式购买广东星云开物科技股份有限公司（以下简称“标的公司”）</w:t>
      </w:r>
      <w:r>
        <w:rPr>
          <w:rFonts w:ascii="仿宋" w:eastAsia="仿宋" w:hAnsi="仿宋" w:cs="仿宋"/>
          <w:sz w:val="24"/>
          <w:szCs w:val="24"/>
        </w:rPr>
        <w:t>98.5632%</w:t>
      </w:r>
      <w:r>
        <w:rPr>
          <w:rFonts w:ascii="仿宋" w:eastAsia="仿宋" w:hAnsi="仿宋" w:cs="仿宋" w:hint="eastAsia"/>
          <w:sz w:val="24"/>
          <w:szCs w:val="24"/>
        </w:rPr>
        <w:t>股</w:t>
      </w:r>
      <w:r w:rsidR="00EA00DB" w:rsidRPr="00EA00DB">
        <w:rPr>
          <w:rFonts w:ascii="仿宋" w:eastAsia="仿宋" w:hAnsi="仿宋" w:cs="仿宋" w:hint="eastAsia"/>
          <w:sz w:val="24"/>
          <w:szCs w:val="24"/>
        </w:rPr>
        <w:t>权（以下简称“标的资产”）</w:t>
      </w:r>
      <w:r>
        <w:rPr>
          <w:rFonts w:ascii="仿宋" w:eastAsia="仿宋" w:hAnsi="仿宋" w:cs="仿宋" w:hint="eastAsia"/>
          <w:sz w:val="24"/>
          <w:szCs w:val="24"/>
        </w:rPr>
        <w:t>并募集配套资金（以下简称“本次交易”）。</w:t>
      </w:r>
    </w:p>
    <w:p w14:paraId="32CD3067"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根据《国务院办公厅关于进一步加强资本市场中小投资者合法权益保护工作的意见》（国办发[2013]110号）、《国务院关于进一步促进资本市场健康发展的若干意见》（国发[2014]17号）以及《关于首发及再融资、重大资产重组摊薄即期回报有关事项的指导意见》（中国证券监督管理委员会公告[2015]31号）等相关规定，为保障中小投资者知情权，维护中小投资者利益，公司就本次交易对即期回报摊薄的影响进行了认真分析和计算，现将本次交易对公司主要财务指标的影响说明如下：</w:t>
      </w:r>
    </w:p>
    <w:p w14:paraId="2219F30C"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如无特别说明，本说明中所涉及的简称或名词释义与《广东天亿马信息产业股份有限公司发行股份及支付现金购买资产并募集配套资金暨关联交易报告书（草案）》中披露的释义相同。</w:t>
      </w:r>
    </w:p>
    <w:p w14:paraId="53E93C34" w14:textId="77777777"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hint="eastAsia"/>
          <w:b/>
          <w:bCs/>
          <w:sz w:val="24"/>
          <w:szCs w:val="24"/>
        </w:rPr>
        <w:t>一、本次重组摊薄即期回报对上市公司每股收益的影响</w:t>
      </w:r>
    </w:p>
    <w:p w14:paraId="16F09E87"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根据备考审阅报告，在不考虑募集配套资金的情况下，本次交易前后上市公司的主要财务数据和指标对比情况如下：</w:t>
      </w:r>
    </w:p>
    <w:p w14:paraId="27FE5738" w14:textId="77777777" w:rsidR="007B268B" w:rsidRDefault="00FC6617">
      <w:pPr>
        <w:pStyle w:val="009"/>
        <w:rPr>
          <w:rFonts w:eastAsia="仿宋"/>
        </w:rPr>
      </w:pPr>
      <w:r>
        <w:rPr>
          <w:rFonts w:eastAsia="仿宋"/>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3"/>
        <w:gridCol w:w="1529"/>
        <w:gridCol w:w="1531"/>
        <w:gridCol w:w="1529"/>
      </w:tblGrid>
      <w:tr w:rsidR="007B268B" w14:paraId="2C871180" w14:textId="77777777">
        <w:trPr>
          <w:trHeight w:val="397"/>
          <w:tblHeader/>
          <w:jc w:val="center"/>
        </w:trPr>
        <w:tc>
          <w:tcPr>
            <w:tcW w:w="2308" w:type="pct"/>
            <w:vMerge w:val="restart"/>
            <w:tcMar>
              <w:top w:w="0" w:type="dxa"/>
              <w:left w:w="108" w:type="dxa"/>
              <w:bottom w:w="0" w:type="dxa"/>
              <w:right w:w="108" w:type="dxa"/>
            </w:tcMar>
            <w:vAlign w:val="center"/>
          </w:tcPr>
          <w:p w14:paraId="6364BF55" w14:textId="77777777" w:rsidR="007B268B" w:rsidRDefault="00FC6617">
            <w:pPr>
              <w:jc w:val="center"/>
              <w:rPr>
                <w:rFonts w:ascii="Times New Roman" w:eastAsia="仿宋" w:hAnsi="Times New Roman" w:cs="Times New Roman"/>
                <w:b/>
                <w:spacing w:val="-5"/>
                <w:szCs w:val="21"/>
              </w:rPr>
            </w:pPr>
            <w:r>
              <w:rPr>
                <w:rFonts w:ascii="Times New Roman" w:eastAsia="仿宋" w:hAnsi="Times New Roman" w:cs="Times New Roman"/>
                <w:b/>
                <w:spacing w:val="-5"/>
                <w:szCs w:val="21"/>
              </w:rPr>
              <w:t>项目</w:t>
            </w:r>
          </w:p>
        </w:tc>
        <w:tc>
          <w:tcPr>
            <w:tcW w:w="2692" w:type="pct"/>
            <w:gridSpan w:val="3"/>
            <w:tcMar>
              <w:top w:w="0" w:type="dxa"/>
              <w:left w:w="108" w:type="dxa"/>
              <w:bottom w:w="0" w:type="dxa"/>
              <w:right w:w="108" w:type="dxa"/>
            </w:tcMar>
            <w:vAlign w:val="center"/>
          </w:tcPr>
          <w:p w14:paraId="2B0CFE5D" w14:textId="77777777" w:rsidR="007B268B" w:rsidRDefault="00FC6617">
            <w:pPr>
              <w:jc w:val="center"/>
              <w:rPr>
                <w:rFonts w:ascii="Times New Roman" w:eastAsia="仿宋" w:hAnsi="Times New Roman" w:cs="Times New Roman"/>
                <w:b/>
                <w:szCs w:val="21"/>
              </w:rPr>
            </w:pPr>
            <w:r>
              <w:rPr>
                <w:rFonts w:ascii="Times New Roman" w:eastAsia="仿宋" w:hAnsi="Times New Roman" w:cs="Times New Roman"/>
                <w:b/>
                <w:szCs w:val="21"/>
              </w:rPr>
              <w:t>2025</w:t>
            </w:r>
            <w:r>
              <w:rPr>
                <w:rFonts w:ascii="Times New Roman" w:eastAsia="仿宋" w:hAnsi="Times New Roman" w:cs="Times New Roman"/>
                <w:b/>
                <w:szCs w:val="21"/>
              </w:rPr>
              <w:t>年</w:t>
            </w:r>
            <w:r>
              <w:rPr>
                <w:rFonts w:ascii="Times New Roman" w:eastAsia="仿宋" w:hAnsi="Times New Roman" w:cs="Times New Roman"/>
                <w:b/>
                <w:szCs w:val="21"/>
              </w:rPr>
              <w:t>6</w:t>
            </w:r>
            <w:r>
              <w:rPr>
                <w:rFonts w:ascii="Times New Roman" w:eastAsia="仿宋" w:hAnsi="Times New Roman" w:cs="Times New Roman"/>
                <w:b/>
                <w:szCs w:val="21"/>
              </w:rPr>
              <w:t>月</w:t>
            </w:r>
            <w:r>
              <w:rPr>
                <w:rFonts w:ascii="Times New Roman" w:eastAsia="仿宋" w:hAnsi="Times New Roman" w:cs="Times New Roman"/>
                <w:b/>
                <w:szCs w:val="21"/>
              </w:rPr>
              <w:t>30</w:t>
            </w:r>
            <w:r>
              <w:rPr>
                <w:rFonts w:ascii="Times New Roman" w:eastAsia="仿宋" w:hAnsi="Times New Roman" w:cs="Times New Roman"/>
                <w:b/>
                <w:szCs w:val="21"/>
              </w:rPr>
              <w:t>日</w:t>
            </w:r>
            <w:r>
              <w:rPr>
                <w:rFonts w:ascii="Times New Roman" w:eastAsia="仿宋" w:hAnsi="Times New Roman" w:cs="Times New Roman"/>
                <w:b/>
                <w:szCs w:val="21"/>
              </w:rPr>
              <w:t>/2025</w:t>
            </w:r>
            <w:r>
              <w:rPr>
                <w:rFonts w:ascii="Times New Roman" w:eastAsia="仿宋" w:hAnsi="Times New Roman" w:cs="Times New Roman"/>
                <w:b/>
                <w:szCs w:val="21"/>
              </w:rPr>
              <w:t>年</w:t>
            </w:r>
            <w:r>
              <w:rPr>
                <w:rFonts w:ascii="Times New Roman" w:eastAsia="仿宋" w:hAnsi="Times New Roman" w:cs="Times New Roman"/>
                <w:b/>
                <w:szCs w:val="21"/>
              </w:rPr>
              <w:t>1-6</w:t>
            </w:r>
            <w:r>
              <w:rPr>
                <w:rFonts w:ascii="Times New Roman" w:eastAsia="仿宋" w:hAnsi="Times New Roman" w:cs="Times New Roman"/>
                <w:b/>
                <w:szCs w:val="21"/>
              </w:rPr>
              <w:t>月</w:t>
            </w:r>
          </w:p>
        </w:tc>
      </w:tr>
      <w:tr w:rsidR="007B268B" w14:paraId="64DC52BB" w14:textId="77777777">
        <w:trPr>
          <w:trHeight w:val="397"/>
          <w:tblHeader/>
          <w:jc w:val="center"/>
        </w:trPr>
        <w:tc>
          <w:tcPr>
            <w:tcW w:w="2308" w:type="pct"/>
            <w:vMerge/>
            <w:tcMar>
              <w:top w:w="0" w:type="dxa"/>
              <w:left w:w="108" w:type="dxa"/>
              <w:bottom w:w="0" w:type="dxa"/>
              <w:right w:w="108" w:type="dxa"/>
            </w:tcMar>
            <w:vAlign w:val="center"/>
          </w:tcPr>
          <w:p w14:paraId="54B71B90" w14:textId="77777777" w:rsidR="007B268B" w:rsidRDefault="007B268B">
            <w:pPr>
              <w:jc w:val="center"/>
              <w:rPr>
                <w:rFonts w:ascii="Times New Roman" w:eastAsia="仿宋" w:hAnsi="Times New Roman" w:cs="Times New Roman"/>
                <w:b/>
                <w:szCs w:val="21"/>
              </w:rPr>
            </w:pPr>
          </w:p>
        </w:tc>
        <w:tc>
          <w:tcPr>
            <w:tcW w:w="897" w:type="pct"/>
            <w:tcMar>
              <w:top w:w="0" w:type="dxa"/>
              <w:left w:w="108" w:type="dxa"/>
              <w:bottom w:w="0" w:type="dxa"/>
              <w:right w:w="108" w:type="dxa"/>
            </w:tcMar>
            <w:vAlign w:val="center"/>
          </w:tcPr>
          <w:p w14:paraId="0FA948C5" w14:textId="77777777" w:rsidR="007B268B" w:rsidRDefault="00FC6617">
            <w:pPr>
              <w:jc w:val="center"/>
              <w:rPr>
                <w:rFonts w:ascii="Times New Roman" w:eastAsia="仿宋" w:hAnsi="Times New Roman" w:cs="Times New Roman"/>
                <w:b/>
                <w:szCs w:val="21"/>
              </w:rPr>
            </w:pPr>
            <w:r>
              <w:rPr>
                <w:rFonts w:ascii="Times New Roman" w:eastAsia="仿宋" w:hAnsi="Times New Roman" w:cs="Times New Roman"/>
                <w:b/>
                <w:spacing w:val="-4"/>
                <w:szCs w:val="21"/>
              </w:rPr>
              <w:t>交易前</w:t>
            </w:r>
          </w:p>
        </w:tc>
        <w:tc>
          <w:tcPr>
            <w:tcW w:w="898" w:type="pct"/>
            <w:tcMar>
              <w:top w:w="0" w:type="dxa"/>
              <w:left w:w="108" w:type="dxa"/>
              <w:bottom w:w="0" w:type="dxa"/>
              <w:right w:w="108" w:type="dxa"/>
            </w:tcMar>
            <w:vAlign w:val="center"/>
          </w:tcPr>
          <w:p w14:paraId="6C595ECB" w14:textId="77777777" w:rsidR="007B268B" w:rsidRDefault="00FC6617">
            <w:pPr>
              <w:jc w:val="center"/>
              <w:rPr>
                <w:rFonts w:ascii="Times New Roman" w:eastAsia="仿宋" w:hAnsi="Times New Roman" w:cs="Times New Roman"/>
                <w:b/>
                <w:spacing w:val="-4"/>
                <w:szCs w:val="21"/>
              </w:rPr>
            </w:pPr>
            <w:r>
              <w:rPr>
                <w:rFonts w:ascii="Times New Roman" w:eastAsia="仿宋" w:hAnsi="Times New Roman" w:cs="Times New Roman"/>
                <w:b/>
                <w:spacing w:val="-4"/>
                <w:szCs w:val="21"/>
              </w:rPr>
              <w:t>交易后</w:t>
            </w:r>
          </w:p>
          <w:p w14:paraId="3B96788C" w14:textId="77777777" w:rsidR="007B268B" w:rsidRDefault="00FC6617">
            <w:pPr>
              <w:jc w:val="center"/>
              <w:rPr>
                <w:rFonts w:ascii="Times New Roman" w:eastAsia="仿宋" w:hAnsi="Times New Roman" w:cs="Times New Roman"/>
                <w:b/>
                <w:szCs w:val="21"/>
              </w:rPr>
            </w:pPr>
            <w:r>
              <w:rPr>
                <w:rFonts w:ascii="Times New Roman" w:eastAsia="仿宋" w:hAnsi="Times New Roman" w:cs="Times New Roman"/>
                <w:b/>
                <w:spacing w:val="-4"/>
                <w:szCs w:val="21"/>
              </w:rPr>
              <w:t>（备考）</w:t>
            </w:r>
          </w:p>
        </w:tc>
        <w:tc>
          <w:tcPr>
            <w:tcW w:w="897" w:type="pct"/>
            <w:tcMar>
              <w:top w:w="0" w:type="dxa"/>
              <w:left w:w="108" w:type="dxa"/>
              <w:bottom w:w="0" w:type="dxa"/>
              <w:right w:w="108" w:type="dxa"/>
            </w:tcMar>
            <w:vAlign w:val="center"/>
          </w:tcPr>
          <w:p w14:paraId="169B74CB" w14:textId="77777777" w:rsidR="007B268B" w:rsidRDefault="00FC6617">
            <w:pPr>
              <w:jc w:val="center"/>
              <w:rPr>
                <w:rFonts w:ascii="Times New Roman" w:eastAsia="仿宋" w:hAnsi="Times New Roman" w:cs="Times New Roman"/>
                <w:b/>
                <w:szCs w:val="21"/>
              </w:rPr>
            </w:pPr>
            <w:r>
              <w:rPr>
                <w:rFonts w:ascii="Times New Roman" w:eastAsia="仿宋" w:hAnsi="Times New Roman" w:cs="Times New Roman"/>
                <w:b/>
                <w:spacing w:val="-5"/>
                <w:szCs w:val="21"/>
              </w:rPr>
              <w:t>变动率</w:t>
            </w:r>
          </w:p>
        </w:tc>
      </w:tr>
      <w:tr w:rsidR="00EA00DB" w14:paraId="33122669" w14:textId="77777777">
        <w:trPr>
          <w:trHeight w:val="397"/>
          <w:jc w:val="center"/>
        </w:trPr>
        <w:tc>
          <w:tcPr>
            <w:tcW w:w="2308" w:type="pct"/>
            <w:tcMar>
              <w:top w:w="0" w:type="dxa"/>
              <w:left w:w="108" w:type="dxa"/>
              <w:bottom w:w="0" w:type="dxa"/>
              <w:right w:w="108" w:type="dxa"/>
            </w:tcMar>
            <w:vAlign w:val="center"/>
          </w:tcPr>
          <w:p w14:paraId="735EB89B" w14:textId="77777777" w:rsidR="00EA00DB" w:rsidRDefault="00EA00DB">
            <w:pPr>
              <w:jc w:val="left"/>
              <w:rPr>
                <w:rFonts w:ascii="Times New Roman" w:eastAsia="仿宋" w:hAnsi="Times New Roman" w:cs="Times New Roman"/>
                <w:szCs w:val="21"/>
              </w:rPr>
            </w:pPr>
            <w:r>
              <w:rPr>
                <w:rFonts w:ascii="Times New Roman" w:eastAsia="仿宋" w:hAnsi="Times New Roman" w:cs="Times New Roman"/>
                <w:szCs w:val="21"/>
                <w14:ligatures w14:val="standardContextual"/>
              </w:rPr>
              <w:t>归属于母公司股东的净利润（万元）</w:t>
            </w:r>
          </w:p>
        </w:tc>
        <w:tc>
          <w:tcPr>
            <w:tcW w:w="897" w:type="pct"/>
            <w:tcMar>
              <w:top w:w="0" w:type="dxa"/>
              <w:left w:w="108" w:type="dxa"/>
              <w:bottom w:w="0" w:type="dxa"/>
              <w:right w:w="108" w:type="dxa"/>
            </w:tcMar>
            <w:vAlign w:val="center"/>
          </w:tcPr>
          <w:p w14:paraId="13DD08FF" w14:textId="062DE2B2" w:rsidR="00EA00DB" w:rsidRDefault="00EA00DB">
            <w:pPr>
              <w:widowControl/>
              <w:jc w:val="right"/>
              <w:textAlignment w:val="center"/>
              <w:rPr>
                <w:rFonts w:ascii="Times New Roman" w:eastAsia="仿宋" w:hAnsi="Times New Roman" w:cs="Times New Roman"/>
                <w:szCs w:val="21"/>
              </w:rPr>
            </w:pPr>
            <w:r>
              <w:rPr>
                <w:rFonts w:ascii="Times New Roman" w:hAnsi="Times New Roman" w:cs="Times New Roman"/>
                <w:color w:val="000000"/>
                <w:szCs w:val="21"/>
              </w:rPr>
              <w:t>605.91</w:t>
            </w:r>
          </w:p>
        </w:tc>
        <w:tc>
          <w:tcPr>
            <w:tcW w:w="898" w:type="pct"/>
            <w:tcMar>
              <w:top w:w="0" w:type="dxa"/>
              <w:left w:w="108" w:type="dxa"/>
              <w:bottom w:w="0" w:type="dxa"/>
              <w:right w:w="108" w:type="dxa"/>
            </w:tcMar>
            <w:vAlign w:val="center"/>
          </w:tcPr>
          <w:p w14:paraId="21AEEDB0" w14:textId="2797B33A" w:rsidR="00EA00DB" w:rsidRDefault="00EA00DB">
            <w:pPr>
              <w:widowControl/>
              <w:jc w:val="right"/>
              <w:rPr>
                <w:rFonts w:ascii="Times New Roman" w:eastAsia="仿宋" w:hAnsi="Times New Roman" w:cs="Times New Roman"/>
                <w:color w:val="000000"/>
                <w:kern w:val="0"/>
                <w:szCs w:val="21"/>
              </w:rPr>
            </w:pPr>
            <w:r>
              <w:rPr>
                <w:rFonts w:ascii="Times New Roman" w:hAnsi="Times New Roman" w:cs="Times New Roman"/>
                <w:color w:val="000000"/>
                <w:szCs w:val="21"/>
              </w:rPr>
              <w:t>5,984.14</w:t>
            </w:r>
          </w:p>
        </w:tc>
        <w:tc>
          <w:tcPr>
            <w:tcW w:w="897" w:type="pct"/>
            <w:tcMar>
              <w:top w:w="0" w:type="dxa"/>
              <w:left w:w="108" w:type="dxa"/>
              <w:bottom w:w="0" w:type="dxa"/>
              <w:right w:w="108" w:type="dxa"/>
            </w:tcMar>
            <w:vAlign w:val="center"/>
          </w:tcPr>
          <w:p w14:paraId="4EE1449D" w14:textId="6A8C77F1" w:rsidR="00EA00DB" w:rsidRDefault="00EA00DB">
            <w:pPr>
              <w:widowControl/>
              <w:ind w:firstLine="420"/>
              <w:jc w:val="right"/>
              <w:textAlignment w:val="center"/>
              <w:rPr>
                <w:rFonts w:ascii="Times New Roman" w:eastAsia="仿宋" w:hAnsi="Times New Roman" w:cs="Times New Roman"/>
                <w:szCs w:val="21"/>
              </w:rPr>
            </w:pPr>
            <w:r>
              <w:rPr>
                <w:rFonts w:ascii="Times New Roman" w:hAnsi="Times New Roman" w:cs="Times New Roman"/>
                <w:color w:val="000000"/>
                <w:szCs w:val="21"/>
              </w:rPr>
              <w:t>887.63%</w:t>
            </w:r>
          </w:p>
        </w:tc>
      </w:tr>
      <w:tr w:rsidR="00EA00DB" w14:paraId="2A26F07D" w14:textId="77777777">
        <w:trPr>
          <w:trHeight w:val="397"/>
          <w:jc w:val="center"/>
        </w:trPr>
        <w:tc>
          <w:tcPr>
            <w:tcW w:w="2308" w:type="pct"/>
            <w:tcMar>
              <w:top w:w="0" w:type="dxa"/>
              <w:left w:w="108" w:type="dxa"/>
              <w:bottom w:w="0" w:type="dxa"/>
              <w:right w:w="108" w:type="dxa"/>
            </w:tcMar>
            <w:vAlign w:val="center"/>
          </w:tcPr>
          <w:p w14:paraId="5A5848C9" w14:textId="77777777" w:rsidR="00EA00DB" w:rsidRDefault="00EA00DB">
            <w:pPr>
              <w:jc w:val="left"/>
              <w:rPr>
                <w:rFonts w:ascii="Times New Roman" w:eastAsia="仿宋" w:hAnsi="Times New Roman" w:cs="Times New Roman"/>
                <w:szCs w:val="21"/>
              </w:rPr>
            </w:pPr>
            <w:r>
              <w:rPr>
                <w:rFonts w:ascii="Times New Roman" w:eastAsia="仿宋" w:hAnsi="Times New Roman" w:cs="Times New Roman"/>
                <w:szCs w:val="21"/>
                <w14:ligatures w14:val="standardContextual"/>
              </w:rPr>
              <w:t>基本每股收益（元</w:t>
            </w:r>
            <w:r>
              <w:rPr>
                <w:rFonts w:ascii="Times New Roman" w:eastAsia="仿宋" w:hAnsi="Times New Roman" w:cs="Times New Roman"/>
                <w:szCs w:val="21"/>
                <w14:ligatures w14:val="standardContextual"/>
              </w:rPr>
              <w:t>/</w:t>
            </w:r>
            <w:r>
              <w:rPr>
                <w:rFonts w:ascii="Times New Roman" w:eastAsia="仿宋" w:hAnsi="Times New Roman" w:cs="Times New Roman"/>
                <w:szCs w:val="21"/>
                <w14:ligatures w14:val="standardContextual"/>
              </w:rPr>
              <w:t>股）</w:t>
            </w:r>
          </w:p>
        </w:tc>
        <w:tc>
          <w:tcPr>
            <w:tcW w:w="897" w:type="pct"/>
            <w:tcMar>
              <w:top w:w="0" w:type="dxa"/>
              <w:left w:w="108" w:type="dxa"/>
              <w:bottom w:w="0" w:type="dxa"/>
              <w:right w:w="108" w:type="dxa"/>
            </w:tcMar>
            <w:vAlign w:val="center"/>
          </w:tcPr>
          <w:p w14:paraId="07ED1B2B" w14:textId="44F85DE1" w:rsidR="00EA00DB" w:rsidRDefault="00EA00DB">
            <w:pPr>
              <w:widowControl/>
              <w:jc w:val="right"/>
              <w:textAlignment w:val="center"/>
              <w:rPr>
                <w:rFonts w:ascii="Times New Roman" w:eastAsia="仿宋" w:hAnsi="Times New Roman" w:cs="Times New Roman"/>
                <w:szCs w:val="21"/>
              </w:rPr>
            </w:pPr>
            <w:r>
              <w:rPr>
                <w:rFonts w:ascii="Times New Roman" w:hAnsi="Times New Roman" w:cs="Times New Roman"/>
                <w:color w:val="000000"/>
                <w:szCs w:val="21"/>
              </w:rPr>
              <w:t>0.09</w:t>
            </w:r>
          </w:p>
        </w:tc>
        <w:tc>
          <w:tcPr>
            <w:tcW w:w="898" w:type="pct"/>
            <w:tcMar>
              <w:top w:w="0" w:type="dxa"/>
              <w:left w:w="108" w:type="dxa"/>
              <w:bottom w:w="0" w:type="dxa"/>
              <w:right w:w="108" w:type="dxa"/>
            </w:tcMar>
            <w:vAlign w:val="center"/>
          </w:tcPr>
          <w:p w14:paraId="2E37F36D" w14:textId="4BA263EA" w:rsidR="00EA00DB" w:rsidRDefault="00EA00DB">
            <w:pPr>
              <w:widowControl/>
              <w:jc w:val="right"/>
              <w:textAlignment w:val="center"/>
              <w:rPr>
                <w:rFonts w:ascii="Times New Roman" w:eastAsia="仿宋" w:hAnsi="Times New Roman" w:cs="Times New Roman"/>
                <w:szCs w:val="21"/>
              </w:rPr>
            </w:pPr>
            <w:r>
              <w:rPr>
                <w:rFonts w:ascii="Times New Roman" w:hAnsi="Times New Roman" w:cs="Times New Roman"/>
                <w:color w:val="000000"/>
                <w:szCs w:val="21"/>
              </w:rPr>
              <w:t>0.67</w:t>
            </w:r>
          </w:p>
        </w:tc>
        <w:tc>
          <w:tcPr>
            <w:tcW w:w="897" w:type="pct"/>
            <w:tcMar>
              <w:top w:w="0" w:type="dxa"/>
              <w:left w:w="108" w:type="dxa"/>
              <w:bottom w:w="0" w:type="dxa"/>
              <w:right w:w="108" w:type="dxa"/>
            </w:tcMar>
            <w:vAlign w:val="center"/>
          </w:tcPr>
          <w:p w14:paraId="338255EB" w14:textId="4DC065B5" w:rsidR="00EA00DB" w:rsidRDefault="00EA00DB">
            <w:pPr>
              <w:widowControl/>
              <w:ind w:firstLine="420"/>
              <w:jc w:val="right"/>
              <w:textAlignment w:val="center"/>
              <w:rPr>
                <w:rFonts w:ascii="Times New Roman" w:eastAsia="仿宋" w:hAnsi="Times New Roman" w:cs="Times New Roman"/>
                <w:szCs w:val="21"/>
              </w:rPr>
            </w:pPr>
            <w:r>
              <w:rPr>
                <w:rFonts w:ascii="Times New Roman" w:hAnsi="Times New Roman" w:cs="Times New Roman"/>
                <w:color w:val="000000"/>
                <w:szCs w:val="21"/>
              </w:rPr>
              <w:t>641.97%</w:t>
            </w:r>
          </w:p>
        </w:tc>
      </w:tr>
      <w:tr w:rsidR="00EA00DB" w14:paraId="74D0F1FD" w14:textId="77777777">
        <w:trPr>
          <w:trHeight w:val="397"/>
          <w:tblHeader/>
          <w:jc w:val="center"/>
        </w:trPr>
        <w:tc>
          <w:tcPr>
            <w:tcW w:w="2308" w:type="pct"/>
            <w:vMerge w:val="restart"/>
            <w:tcMar>
              <w:top w:w="0" w:type="dxa"/>
              <w:left w:w="108" w:type="dxa"/>
              <w:bottom w:w="0" w:type="dxa"/>
              <w:right w:w="108" w:type="dxa"/>
            </w:tcMar>
            <w:vAlign w:val="center"/>
          </w:tcPr>
          <w:p w14:paraId="32E4B644" w14:textId="77777777" w:rsidR="00EA00DB" w:rsidRDefault="00EA00DB">
            <w:pPr>
              <w:jc w:val="center"/>
              <w:rPr>
                <w:rFonts w:ascii="Times New Roman" w:eastAsia="仿宋" w:hAnsi="Times New Roman" w:cs="Times New Roman"/>
                <w:b/>
                <w:szCs w:val="21"/>
              </w:rPr>
            </w:pPr>
            <w:r>
              <w:rPr>
                <w:rFonts w:ascii="Times New Roman" w:eastAsia="仿宋" w:hAnsi="Times New Roman" w:cs="Times New Roman"/>
                <w:b/>
                <w:spacing w:val="-5"/>
                <w:szCs w:val="21"/>
              </w:rPr>
              <w:t>项目</w:t>
            </w:r>
          </w:p>
        </w:tc>
        <w:tc>
          <w:tcPr>
            <w:tcW w:w="2692" w:type="pct"/>
            <w:gridSpan w:val="3"/>
            <w:tcMar>
              <w:top w:w="0" w:type="dxa"/>
              <w:left w:w="108" w:type="dxa"/>
              <w:bottom w:w="0" w:type="dxa"/>
              <w:right w:w="108" w:type="dxa"/>
            </w:tcMar>
            <w:vAlign w:val="center"/>
          </w:tcPr>
          <w:p w14:paraId="0B3113CA" w14:textId="77777777" w:rsidR="00EA00DB" w:rsidRDefault="00EA00DB">
            <w:pPr>
              <w:jc w:val="center"/>
              <w:rPr>
                <w:rFonts w:ascii="Times New Roman" w:eastAsia="仿宋" w:hAnsi="Times New Roman" w:cs="Times New Roman"/>
                <w:b/>
                <w:szCs w:val="21"/>
              </w:rPr>
            </w:pPr>
            <w:r>
              <w:rPr>
                <w:rFonts w:ascii="Times New Roman" w:eastAsia="仿宋" w:hAnsi="Times New Roman" w:cs="Times New Roman"/>
                <w:b/>
                <w:szCs w:val="21"/>
              </w:rPr>
              <w:t>2024</w:t>
            </w:r>
            <w:r>
              <w:rPr>
                <w:rFonts w:ascii="Times New Roman" w:eastAsia="仿宋" w:hAnsi="Times New Roman" w:cs="Times New Roman"/>
                <w:b/>
                <w:szCs w:val="21"/>
              </w:rPr>
              <w:t>年</w:t>
            </w:r>
            <w:r>
              <w:rPr>
                <w:rFonts w:ascii="Times New Roman" w:eastAsia="仿宋" w:hAnsi="Times New Roman" w:cs="Times New Roman"/>
                <w:b/>
                <w:szCs w:val="21"/>
              </w:rPr>
              <w:t>12</w:t>
            </w:r>
            <w:r>
              <w:rPr>
                <w:rFonts w:ascii="Times New Roman" w:eastAsia="仿宋" w:hAnsi="Times New Roman" w:cs="Times New Roman"/>
                <w:b/>
                <w:szCs w:val="21"/>
              </w:rPr>
              <w:t>月</w:t>
            </w:r>
            <w:r>
              <w:rPr>
                <w:rFonts w:ascii="Times New Roman" w:eastAsia="仿宋" w:hAnsi="Times New Roman" w:cs="Times New Roman"/>
                <w:b/>
                <w:szCs w:val="21"/>
              </w:rPr>
              <w:t>31</w:t>
            </w:r>
            <w:r>
              <w:rPr>
                <w:rFonts w:ascii="Times New Roman" w:eastAsia="仿宋" w:hAnsi="Times New Roman" w:cs="Times New Roman"/>
                <w:b/>
                <w:szCs w:val="21"/>
              </w:rPr>
              <w:t>日</w:t>
            </w:r>
            <w:r>
              <w:rPr>
                <w:rFonts w:ascii="Times New Roman" w:eastAsia="仿宋" w:hAnsi="Times New Roman" w:cs="Times New Roman"/>
                <w:b/>
                <w:szCs w:val="21"/>
              </w:rPr>
              <w:t>/2024</w:t>
            </w:r>
            <w:r>
              <w:rPr>
                <w:rFonts w:ascii="Times New Roman" w:eastAsia="仿宋" w:hAnsi="Times New Roman" w:cs="Times New Roman"/>
                <w:b/>
                <w:szCs w:val="21"/>
              </w:rPr>
              <w:t>年度</w:t>
            </w:r>
          </w:p>
        </w:tc>
      </w:tr>
      <w:tr w:rsidR="00EA00DB" w14:paraId="41054A1C" w14:textId="77777777">
        <w:trPr>
          <w:trHeight w:val="397"/>
          <w:tblHeader/>
          <w:jc w:val="center"/>
        </w:trPr>
        <w:tc>
          <w:tcPr>
            <w:tcW w:w="2308" w:type="pct"/>
            <w:vMerge/>
            <w:tcMar>
              <w:top w:w="0" w:type="dxa"/>
              <w:left w:w="108" w:type="dxa"/>
              <w:bottom w:w="0" w:type="dxa"/>
              <w:right w:w="108" w:type="dxa"/>
            </w:tcMar>
            <w:vAlign w:val="center"/>
          </w:tcPr>
          <w:p w14:paraId="0EE06D4D" w14:textId="77777777" w:rsidR="00EA00DB" w:rsidRDefault="00EA00DB">
            <w:pPr>
              <w:jc w:val="center"/>
              <w:rPr>
                <w:rFonts w:ascii="Times New Roman" w:eastAsia="仿宋" w:hAnsi="Times New Roman" w:cs="Times New Roman"/>
                <w:b/>
                <w:szCs w:val="21"/>
              </w:rPr>
            </w:pPr>
          </w:p>
        </w:tc>
        <w:tc>
          <w:tcPr>
            <w:tcW w:w="897" w:type="pct"/>
            <w:tcMar>
              <w:top w:w="0" w:type="dxa"/>
              <w:left w:w="108" w:type="dxa"/>
              <w:bottom w:w="0" w:type="dxa"/>
              <w:right w:w="108" w:type="dxa"/>
            </w:tcMar>
            <w:vAlign w:val="center"/>
          </w:tcPr>
          <w:p w14:paraId="52CDD626" w14:textId="77777777" w:rsidR="00EA00DB" w:rsidRDefault="00EA00DB">
            <w:pPr>
              <w:jc w:val="center"/>
              <w:rPr>
                <w:rFonts w:ascii="Times New Roman" w:eastAsia="仿宋" w:hAnsi="Times New Roman" w:cs="Times New Roman"/>
                <w:b/>
                <w:szCs w:val="21"/>
              </w:rPr>
            </w:pPr>
            <w:r>
              <w:rPr>
                <w:rFonts w:ascii="Times New Roman" w:eastAsia="仿宋" w:hAnsi="Times New Roman" w:cs="Times New Roman"/>
                <w:b/>
                <w:spacing w:val="-4"/>
                <w:szCs w:val="21"/>
              </w:rPr>
              <w:t>交易前</w:t>
            </w:r>
          </w:p>
        </w:tc>
        <w:tc>
          <w:tcPr>
            <w:tcW w:w="898" w:type="pct"/>
            <w:tcMar>
              <w:top w:w="0" w:type="dxa"/>
              <w:left w:w="108" w:type="dxa"/>
              <w:bottom w:w="0" w:type="dxa"/>
              <w:right w:w="108" w:type="dxa"/>
            </w:tcMar>
            <w:vAlign w:val="center"/>
          </w:tcPr>
          <w:p w14:paraId="3D9D4BF8" w14:textId="77777777" w:rsidR="00EA00DB" w:rsidRDefault="00EA00DB">
            <w:pPr>
              <w:jc w:val="center"/>
              <w:rPr>
                <w:rFonts w:ascii="Times New Roman" w:eastAsia="仿宋" w:hAnsi="Times New Roman" w:cs="Times New Roman"/>
                <w:b/>
                <w:spacing w:val="-4"/>
                <w:szCs w:val="21"/>
              </w:rPr>
            </w:pPr>
            <w:r>
              <w:rPr>
                <w:rFonts w:ascii="Times New Roman" w:eastAsia="仿宋" w:hAnsi="Times New Roman" w:cs="Times New Roman"/>
                <w:b/>
                <w:spacing w:val="-4"/>
                <w:szCs w:val="21"/>
              </w:rPr>
              <w:t>交易后</w:t>
            </w:r>
          </w:p>
          <w:p w14:paraId="56782C9A" w14:textId="77777777" w:rsidR="00EA00DB" w:rsidRDefault="00EA00DB">
            <w:pPr>
              <w:jc w:val="center"/>
              <w:rPr>
                <w:rFonts w:ascii="Times New Roman" w:eastAsia="仿宋" w:hAnsi="Times New Roman" w:cs="Times New Roman"/>
                <w:b/>
                <w:szCs w:val="21"/>
              </w:rPr>
            </w:pPr>
            <w:r>
              <w:rPr>
                <w:rFonts w:ascii="Times New Roman" w:eastAsia="仿宋" w:hAnsi="Times New Roman" w:cs="Times New Roman"/>
                <w:b/>
                <w:spacing w:val="-4"/>
                <w:szCs w:val="21"/>
              </w:rPr>
              <w:t>（备考）</w:t>
            </w:r>
          </w:p>
        </w:tc>
        <w:tc>
          <w:tcPr>
            <w:tcW w:w="897" w:type="pct"/>
            <w:tcMar>
              <w:top w:w="0" w:type="dxa"/>
              <w:left w:w="108" w:type="dxa"/>
              <w:bottom w:w="0" w:type="dxa"/>
              <w:right w:w="108" w:type="dxa"/>
            </w:tcMar>
            <w:vAlign w:val="center"/>
          </w:tcPr>
          <w:p w14:paraId="5B540309" w14:textId="77777777" w:rsidR="00EA00DB" w:rsidRDefault="00EA00DB">
            <w:pPr>
              <w:jc w:val="center"/>
              <w:rPr>
                <w:rFonts w:ascii="Times New Roman" w:eastAsia="仿宋" w:hAnsi="Times New Roman" w:cs="Times New Roman"/>
                <w:b/>
                <w:szCs w:val="21"/>
              </w:rPr>
            </w:pPr>
            <w:r>
              <w:rPr>
                <w:rFonts w:ascii="Times New Roman" w:eastAsia="仿宋" w:hAnsi="Times New Roman" w:cs="Times New Roman"/>
                <w:b/>
                <w:spacing w:val="-5"/>
                <w:szCs w:val="21"/>
              </w:rPr>
              <w:t>变动率</w:t>
            </w:r>
          </w:p>
        </w:tc>
      </w:tr>
      <w:tr w:rsidR="00B2205B" w14:paraId="70289939" w14:textId="77777777">
        <w:trPr>
          <w:trHeight w:val="397"/>
          <w:jc w:val="center"/>
        </w:trPr>
        <w:tc>
          <w:tcPr>
            <w:tcW w:w="2308" w:type="pct"/>
            <w:tcMar>
              <w:top w:w="0" w:type="dxa"/>
              <w:left w:w="108" w:type="dxa"/>
              <w:bottom w:w="0" w:type="dxa"/>
              <w:right w:w="108" w:type="dxa"/>
            </w:tcMar>
            <w:vAlign w:val="center"/>
          </w:tcPr>
          <w:p w14:paraId="02F8E5D9" w14:textId="77777777" w:rsidR="00B2205B" w:rsidRDefault="00B2205B" w:rsidP="00B2205B">
            <w:pPr>
              <w:jc w:val="left"/>
              <w:rPr>
                <w:rFonts w:ascii="Times New Roman" w:eastAsia="仿宋" w:hAnsi="Times New Roman" w:cs="Times New Roman"/>
                <w:szCs w:val="21"/>
              </w:rPr>
            </w:pPr>
            <w:r>
              <w:rPr>
                <w:rFonts w:ascii="Times New Roman" w:eastAsia="仿宋" w:hAnsi="Times New Roman" w:cs="Times New Roman"/>
                <w:szCs w:val="21"/>
                <w14:ligatures w14:val="standardContextual"/>
              </w:rPr>
              <w:t>归属于母公司股东的净利润（万元）</w:t>
            </w:r>
          </w:p>
        </w:tc>
        <w:tc>
          <w:tcPr>
            <w:tcW w:w="897" w:type="pct"/>
            <w:tcMar>
              <w:top w:w="0" w:type="dxa"/>
              <w:left w:w="108" w:type="dxa"/>
              <w:bottom w:w="0" w:type="dxa"/>
              <w:right w:w="108" w:type="dxa"/>
            </w:tcMar>
            <w:vAlign w:val="center"/>
          </w:tcPr>
          <w:p w14:paraId="219668DC" w14:textId="5BDD1CC2" w:rsidR="00B2205B" w:rsidRPr="00B2205B" w:rsidRDefault="00B2205B" w:rsidP="00B2205B">
            <w:pPr>
              <w:widowControl/>
              <w:jc w:val="right"/>
              <w:textAlignment w:val="center"/>
              <w:rPr>
                <w:rFonts w:ascii="Times New Roman" w:eastAsia="仿宋" w:hAnsi="Times New Roman" w:cs="Times New Roman"/>
                <w:szCs w:val="21"/>
              </w:rPr>
            </w:pPr>
            <w:r w:rsidRPr="00B679F5">
              <w:rPr>
                <w:rFonts w:ascii="Times New Roman" w:hAnsi="Times New Roman" w:cs="Times New Roman"/>
                <w:color w:val="000000"/>
                <w:szCs w:val="21"/>
              </w:rPr>
              <w:t>-4,955.28</w:t>
            </w:r>
          </w:p>
        </w:tc>
        <w:tc>
          <w:tcPr>
            <w:tcW w:w="898" w:type="pct"/>
            <w:tcMar>
              <w:top w:w="0" w:type="dxa"/>
              <w:left w:w="108" w:type="dxa"/>
              <w:bottom w:w="0" w:type="dxa"/>
              <w:right w:w="108" w:type="dxa"/>
            </w:tcMar>
            <w:vAlign w:val="center"/>
          </w:tcPr>
          <w:p w14:paraId="22418E27" w14:textId="3ADC9406" w:rsidR="00B2205B" w:rsidRPr="00B2205B" w:rsidRDefault="00B2205B" w:rsidP="00B2205B">
            <w:pPr>
              <w:widowControl/>
              <w:jc w:val="right"/>
              <w:textAlignment w:val="center"/>
              <w:rPr>
                <w:rFonts w:ascii="Times New Roman" w:eastAsia="仿宋" w:hAnsi="Times New Roman" w:cs="Times New Roman"/>
                <w:szCs w:val="21"/>
              </w:rPr>
            </w:pPr>
            <w:r w:rsidRPr="00B679F5">
              <w:rPr>
                <w:rFonts w:ascii="Times New Roman" w:hAnsi="Times New Roman" w:cs="Times New Roman"/>
                <w:color w:val="000000"/>
                <w:szCs w:val="21"/>
              </w:rPr>
              <w:t>3,632.45</w:t>
            </w:r>
          </w:p>
        </w:tc>
        <w:tc>
          <w:tcPr>
            <w:tcW w:w="897" w:type="pct"/>
            <w:tcMar>
              <w:top w:w="0" w:type="dxa"/>
              <w:left w:w="108" w:type="dxa"/>
              <w:bottom w:w="0" w:type="dxa"/>
              <w:right w:w="108" w:type="dxa"/>
            </w:tcMar>
            <w:vAlign w:val="center"/>
          </w:tcPr>
          <w:p w14:paraId="47F72A8F" w14:textId="61E668EC" w:rsidR="00B2205B" w:rsidRPr="00B2205B" w:rsidRDefault="00B2205B" w:rsidP="00B2205B">
            <w:pPr>
              <w:widowControl/>
              <w:jc w:val="right"/>
              <w:textAlignment w:val="center"/>
              <w:rPr>
                <w:rFonts w:ascii="Times New Roman" w:eastAsia="仿宋" w:hAnsi="Times New Roman" w:cs="Times New Roman"/>
                <w:szCs w:val="21"/>
              </w:rPr>
            </w:pPr>
            <w:r w:rsidRPr="00B679F5">
              <w:rPr>
                <w:rFonts w:ascii="Times New Roman" w:hAnsi="Times New Roman" w:cs="Times New Roman"/>
                <w:color w:val="000000"/>
                <w:szCs w:val="21"/>
              </w:rPr>
              <w:t>173.30%</w:t>
            </w:r>
          </w:p>
        </w:tc>
      </w:tr>
      <w:tr w:rsidR="00B2205B" w14:paraId="2BA9B3BE" w14:textId="77777777">
        <w:trPr>
          <w:trHeight w:val="397"/>
          <w:jc w:val="center"/>
        </w:trPr>
        <w:tc>
          <w:tcPr>
            <w:tcW w:w="2308" w:type="pct"/>
            <w:tcMar>
              <w:top w:w="0" w:type="dxa"/>
              <w:left w:w="108" w:type="dxa"/>
              <w:bottom w:w="0" w:type="dxa"/>
              <w:right w:w="108" w:type="dxa"/>
            </w:tcMar>
            <w:vAlign w:val="center"/>
          </w:tcPr>
          <w:p w14:paraId="608B0169" w14:textId="77777777" w:rsidR="00B2205B" w:rsidRDefault="00B2205B" w:rsidP="00B2205B">
            <w:pPr>
              <w:jc w:val="left"/>
              <w:rPr>
                <w:rFonts w:ascii="Times New Roman" w:eastAsia="仿宋" w:hAnsi="Times New Roman" w:cs="Times New Roman"/>
                <w:szCs w:val="21"/>
              </w:rPr>
            </w:pPr>
            <w:r>
              <w:rPr>
                <w:rFonts w:ascii="Times New Roman" w:eastAsia="仿宋" w:hAnsi="Times New Roman" w:cs="Times New Roman"/>
                <w:szCs w:val="21"/>
                <w14:ligatures w14:val="standardContextual"/>
              </w:rPr>
              <w:t>基本每股收益（元</w:t>
            </w:r>
            <w:r>
              <w:rPr>
                <w:rFonts w:ascii="Times New Roman" w:eastAsia="仿宋" w:hAnsi="Times New Roman" w:cs="Times New Roman"/>
                <w:szCs w:val="21"/>
                <w14:ligatures w14:val="standardContextual"/>
              </w:rPr>
              <w:t>/</w:t>
            </w:r>
            <w:r>
              <w:rPr>
                <w:rFonts w:ascii="Times New Roman" w:eastAsia="仿宋" w:hAnsi="Times New Roman" w:cs="Times New Roman"/>
                <w:szCs w:val="21"/>
                <w14:ligatures w14:val="standardContextual"/>
              </w:rPr>
              <w:t>股）</w:t>
            </w:r>
          </w:p>
        </w:tc>
        <w:tc>
          <w:tcPr>
            <w:tcW w:w="897" w:type="pct"/>
            <w:tcMar>
              <w:top w:w="0" w:type="dxa"/>
              <w:left w:w="108" w:type="dxa"/>
              <w:bottom w:w="0" w:type="dxa"/>
              <w:right w:w="108" w:type="dxa"/>
            </w:tcMar>
            <w:vAlign w:val="center"/>
          </w:tcPr>
          <w:p w14:paraId="4FC213F4" w14:textId="37B976F5" w:rsidR="00B2205B" w:rsidRPr="00B2205B" w:rsidRDefault="00B2205B" w:rsidP="00B2205B">
            <w:pPr>
              <w:widowControl/>
              <w:jc w:val="right"/>
              <w:textAlignment w:val="center"/>
              <w:rPr>
                <w:rFonts w:ascii="Times New Roman" w:eastAsia="仿宋" w:hAnsi="Times New Roman" w:cs="Times New Roman"/>
                <w:szCs w:val="21"/>
              </w:rPr>
            </w:pPr>
            <w:r w:rsidRPr="00B679F5">
              <w:rPr>
                <w:rFonts w:ascii="Times New Roman" w:hAnsi="Times New Roman" w:cs="Times New Roman"/>
                <w:color w:val="000000"/>
                <w:szCs w:val="21"/>
              </w:rPr>
              <w:t>-0.74</w:t>
            </w:r>
          </w:p>
        </w:tc>
        <w:tc>
          <w:tcPr>
            <w:tcW w:w="898" w:type="pct"/>
            <w:tcMar>
              <w:top w:w="0" w:type="dxa"/>
              <w:left w:w="108" w:type="dxa"/>
              <w:bottom w:w="0" w:type="dxa"/>
              <w:right w:w="108" w:type="dxa"/>
            </w:tcMar>
            <w:vAlign w:val="center"/>
          </w:tcPr>
          <w:p w14:paraId="63844650" w14:textId="3B276DB1" w:rsidR="00B2205B" w:rsidRPr="00B2205B" w:rsidRDefault="00B2205B" w:rsidP="00B2205B">
            <w:pPr>
              <w:widowControl/>
              <w:jc w:val="right"/>
              <w:textAlignment w:val="center"/>
              <w:rPr>
                <w:rFonts w:ascii="Times New Roman" w:eastAsia="仿宋" w:hAnsi="Times New Roman" w:cs="Times New Roman"/>
                <w:szCs w:val="21"/>
              </w:rPr>
            </w:pPr>
            <w:r w:rsidRPr="00B679F5">
              <w:rPr>
                <w:rFonts w:ascii="Times New Roman" w:hAnsi="Times New Roman" w:cs="Times New Roman"/>
                <w:color w:val="000000"/>
                <w:szCs w:val="21"/>
              </w:rPr>
              <w:t>0.40</w:t>
            </w:r>
          </w:p>
        </w:tc>
        <w:tc>
          <w:tcPr>
            <w:tcW w:w="897" w:type="pct"/>
            <w:tcMar>
              <w:top w:w="0" w:type="dxa"/>
              <w:left w:w="108" w:type="dxa"/>
              <w:bottom w:w="0" w:type="dxa"/>
              <w:right w:w="108" w:type="dxa"/>
            </w:tcMar>
            <w:vAlign w:val="center"/>
          </w:tcPr>
          <w:p w14:paraId="648A60A0" w14:textId="015E863F" w:rsidR="00B2205B" w:rsidRPr="00B2205B" w:rsidRDefault="00B2205B" w:rsidP="00B2205B">
            <w:pPr>
              <w:widowControl/>
              <w:jc w:val="right"/>
              <w:textAlignment w:val="center"/>
              <w:rPr>
                <w:rFonts w:ascii="Times New Roman" w:eastAsia="仿宋" w:hAnsi="Times New Roman" w:cs="Times New Roman"/>
                <w:szCs w:val="21"/>
              </w:rPr>
            </w:pPr>
            <w:r w:rsidRPr="00B679F5">
              <w:rPr>
                <w:rFonts w:ascii="Times New Roman" w:hAnsi="Times New Roman" w:cs="Times New Roman"/>
                <w:color w:val="000000"/>
                <w:szCs w:val="21"/>
              </w:rPr>
              <w:t>154.05%</w:t>
            </w:r>
          </w:p>
        </w:tc>
      </w:tr>
    </w:tbl>
    <w:p w14:paraId="28613CCB" w14:textId="77777777" w:rsidR="007B268B" w:rsidRDefault="00FC6617">
      <w:pPr>
        <w:pStyle w:val="006"/>
        <w:ind w:firstLine="420"/>
        <w:rPr>
          <w:rFonts w:eastAsia="仿宋" w:cs="Times New Roman"/>
        </w:rPr>
      </w:pPr>
      <w:r>
        <w:rPr>
          <w:rFonts w:eastAsia="仿宋" w:cs="Times New Roman"/>
        </w:rPr>
        <w:t>注：变动率</w:t>
      </w:r>
      <w:r>
        <w:rPr>
          <w:rFonts w:eastAsia="仿宋" w:cs="Times New Roman"/>
        </w:rPr>
        <w:t>=</w:t>
      </w:r>
      <w:r>
        <w:rPr>
          <w:rFonts w:eastAsia="仿宋" w:cs="Times New Roman"/>
        </w:rPr>
        <w:t>（交易后</w:t>
      </w:r>
      <w:r>
        <w:rPr>
          <w:rFonts w:eastAsia="仿宋" w:cs="Times New Roman"/>
        </w:rPr>
        <w:t>-</w:t>
      </w:r>
      <w:r>
        <w:rPr>
          <w:rFonts w:eastAsia="仿宋" w:cs="Times New Roman"/>
        </w:rPr>
        <w:t>交易前）</w:t>
      </w:r>
      <w:r>
        <w:rPr>
          <w:rFonts w:eastAsia="仿宋" w:cs="Times New Roman"/>
        </w:rPr>
        <w:t>/</w:t>
      </w:r>
      <w:r>
        <w:rPr>
          <w:rFonts w:eastAsia="仿宋" w:cs="Times New Roman"/>
        </w:rPr>
        <w:t>交易前绝对值</w:t>
      </w:r>
    </w:p>
    <w:p w14:paraId="0B8577BA" w14:textId="77777777"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b/>
          <w:bCs/>
          <w:sz w:val="24"/>
          <w:szCs w:val="24"/>
        </w:rPr>
        <w:t>二、本次重组摊薄即期回报的风险提示</w:t>
      </w:r>
    </w:p>
    <w:p w14:paraId="3565F723"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345A1431" w14:textId="2250D9EF"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b/>
          <w:bCs/>
          <w:sz w:val="24"/>
          <w:szCs w:val="24"/>
        </w:rPr>
        <w:t>三、上市公司</w:t>
      </w:r>
      <w:r w:rsidR="001F1B94">
        <w:rPr>
          <w:rFonts w:ascii="仿宋" w:eastAsia="仿宋" w:hAnsi="仿宋" w:cs="仿宋" w:hint="eastAsia"/>
          <w:b/>
          <w:bCs/>
          <w:sz w:val="24"/>
          <w:szCs w:val="24"/>
        </w:rPr>
        <w:t>为</w:t>
      </w:r>
      <w:r>
        <w:rPr>
          <w:rFonts w:ascii="仿宋" w:eastAsia="仿宋" w:hAnsi="仿宋" w:cs="仿宋"/>
          <w:b/>
          <w:bCs/>
          <w:sz w:val="24"/>
          <w:szCs w:val="24"/>
        </w:rPr>
        <w:t>防范本次重组摊薄即期回报及提高未来回报能力采取的措施</w:t>
      </w:r>
    </w:p>
    <w:p w14:paraId="34CF471E"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为保护投资者利益，防范即期回报被摊薄的风险，提高对上市公司股东的回报能力，上市公司拟采取以下具体措施，以降低本次重组可能摊薄上市公司即期回报的影响：</w:t>
      </w:r>
    </w:p>
    <w:p w14:paraId="0EE82B9C" w14:textId="77777777"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hint="eastAsia"/>
          <w:b/>
          <w:bCs/>
          <w:sz w:val="24"/>
          <w:szCs w:val="24"/>
        </w:rPr>
        <w:t>1、尽快实现标的公司的预期效益</w:t>
      </w:r>
    </w:p>
    <w:p w14:paraId="7BDDADC0" w14:textId="1A376848"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本次交易完成后，上市公司将尽可能调动标的公司各方面资源，及时、高效</w:t>
      </w:r>
      <w:r w:rsidR="001F1B94">
        <w:rPr>
          <w:rFonts w:ascii="仿宋" w:eastAsia="仿宋" w:hAnsi="仿宋" w:cs="仿宋" w:hint="eastAsia"/>
          <w:sz w:val="24"/>
          <w:szCs w:val="24"/>
        </w:rPr>
        <w:t>地</w:t>
      </w:r>
      <w:r>
        <w:rPr>
          <w:rFonts w:ascii="仿宋" w:eastAsia="仿宋" w:hAnsi="仿宋" w:cs="仿宋" w:hint="eastAsia"/>
          <w:sz w:val="24"/>
          <w:szCs w:val="24"/>
        </w:rPr>
        <w:t>完成标的公司的经营计划，充分发挥协同效应，增强公司的盈利能力，尽快实现企业预期效益。</w:t>
      </w:r>
    </w:p>
    <w:p w14:paraId="025F93CB" w14:textId="77777777"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hint="eastAsia"/>
          <w:b/>
          <w:bCs/>
          <w:sz w:val="24"/>
          <w:szCs w:val="24"/>
        </w:rPr>
        <w:t>2、不断完善公司治理，提高公司运营效率</w:t>
      </w:r>
    </w:p>
    <w:p w14:paraId="27B57BBC"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本次交易前，上市公司已按照《公司法》《证券法》《上市公司治理准则》等法律法规，建立了较为完善、健全的公司法人治理结构和内部控制制度管理体系，形成了设置合理、运行有效、权责分明、运作良好的公司治理与经营框架，保证了上市公司各项经营活动的正常有序进行。本次交易完成后，上市公司将进一步完善公司治理结构，进一步提高经营和管理水平，全面有效地提高公司运营效率。</w:t>
      </w:r>
    </w:p>
    <w:p w14:paraId="78589C7C" w14:textId="77777777"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hint="eastAsia"/>
          <w:b/>
          <w:bCs/>
          <w:sz w:val="24"/>
          <w:szCs w:val="24"/>
        </w:rPr>
        <w:t>3、不断完善利润分配政策，维护全体股东利益</w:t>
      </w:r>
    </w:p>
    <w:p w14:paraId="4088AC2D"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本次交易完成后，上市公司将根据《上市公司监管指引第3号——上市公司现金分红（2025年修正）》及《监管规则适用指引——发行类第10号》等相关规定，结合公司的实际情况，广泛听取有关各方尤其是独立董事、中小股东的意见和建议，不断完善利润分配政策，增加分配政策执行的透明度，维护全体股东利益，在保证上市公司可持续发展的前提下兼顾对股东合理的投资回报，更好地</w:t>
      </w:r>
      <w:r>
        <w:rPr>
          <w:rFonts w:ascii="仿宋" w:eastAsia="仿宋" w:hAnsi="仿宋" w:cs="仿宋" w:hint="eastAsia"/>
          <w:sz w:val="24"/>
          <w:szCs w:val="24"/>
        </w:rPr>
        <w:lastRenderedPageBreak/>
        <w:t>维护上市公司股东及投资者利益。</w:t>
      </w:r>
    </w:p>
    <w:p w14:paraId="415AB81C" w14:textId="12C55E66"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hint="eastAsia"/>
          <w:b/>
          <w:bCs/>
          <w:sz w:val="24"/>
          <w:szCs w:val="24"/>
        </w:rPr>
        <w:t>四、上市公司控股股东、实际控制人</w:t>
      </w:r>
      <w:r w:rsidR="001A52D0">
        <w:rPr>
          <w:rFonts w:ascii="仿宋" w:eastAsia="仿宋" w:hAnsi="仿宋" w:cs="仿宋" w:hint="eastAsia"/>
          <w:b/>
          <w:bCs/>
          <w:sz w:val="24"/>
          <w:szCs w:val="24"/>
        </w:rPr>
        <w:t>及董事、高级管理人员</w:t>
      </w:r>
      <w:r>
        <w:rPr>
          <w:rFonts w:ascii="仿宋" w:eastAsia="仿宋" w:hAnsi="仿宋" w:cs="仿宋" w:hint="eastAsia"/>
          <w:b/>
          <w:bCs/>
          <w:sz w:val="24"/>
          <w:szCs w:val="24"/>
        </w:rPr>
        <w:t>关于</w:t>
      </w:r>
      <w:r w:rsidR="001A52D0">
        <w:rPr>
          <w:rFonts w:ascii="仿宋" w:eastAsia="仿宋" w:hAnsi="仿宋" w:cs="仿宋" w:hint="eastAsia"/>
          <w:b/>
          <w:bCs/>
          <w:sz w:val="24"/>
          <w:szCs w:val="24"/>
        </w:rPr>
        <w:t>本次重组</w:t>
      </w:r>
      <w:r>
        <w:rPr>
          <w:rFonts w:ascii="仿宋" w:eastAsia="仿宋" w:hAnsi="仿宋" w:cs="仿宋" w:hint="eastAsia"/>
          <w:b/>
          <w:bCs/>
          <w:sz w:val="24"/>
          <w:szCs w:val="24"/>
        </w:rPr>
        <w:t>摊薄即期回报采取填补措施的承诺</w:t>
      </w:r>
    </w:p>
    <w:p w14:paraId="1C68D4D7"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上市公司控股股东、实际控制人已出具《关于本次重组摊薄即期回报采取填补措施的承诺函》，承诺内容如下：</w:t>
      </w:r>
    </w:p>
    <w:p w14:paraId="0D14CA86"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“1、本人承诺不越权干预上市公司经营管理活动，也不采用其他方式损害上市公司利益。</w:t>
      </w:r>
    </w:p>
    <w:p w14:paraId="71AA3910"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2、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55962797"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3、如本人违反上述承诺并因此给上市公司或者上市公司股东造成损失的，本人将依法承担赔偿责任。”</w:t>
      </w:r>
    </w:p>
    <w:p w14:paraId="7C799FEC"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上市公司董事、高级管理人员已出具《关于本次重组摊薄即期回报采取填补措施的承诺函》，承诺内容如下：</w:t>
      </w:r>
    </w:p>
    <w:p w14:paraId="739A9BEA" w14:textId="38C3335A"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“1、本人承诺忠实、勤勉地履行上市公司董事或高级管理人员的职责，维护公司和全体股东的合法权益</w:t>
      </w:r>
      <w:r w:rsidR="001F1B94">
        <w:rPr>
          <w:rFonts w:ascii="仿宋" w:eastAsia="仿宋" w:hAnsi="仿宋" w:cs="仿宋" w:hint="eastAsia"/>
          <w:sz w:val="24"/>
          <w:szCs w:val="24"/>
        </w:rPr>
        <w:t>。</w:t>
      </w:r>
    </w:p>
    <w:p w14:paraId="0D5C586C"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2、本人承诺不无偿或以不公平条件向其他单位或者个人输送利益，也不采用其他方式损害上市公司利益。</w:t>
      </w:r>
    </w:p>
    <w:p w14:paraId="2AB8D6D1"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3、本人承诺对本人的职务消费行为进行约束。</w:t>
      </w:r>
    </w:p>
    <w:p w14:paraId="1015D084"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4、本人承诺不得动用上市公司资产从事与本人履行职责无关的投资、消费活动。</w:t>
      </w:r>
    </w:p>
    <w:p w14:paraId="2FED2176"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5、本人承诺支持董事会或薪酬与考核委员会制订薪酬制度时，应与上市公司填补回报措施的执行情况相挂钩。</w:t>
      </w:r>
    </w:p>
    <w:p w14:paraId="3729669D" w14:textId="3395E00C"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6、未法权限范围内，促使拟公告的股权激励计划设置的行权条件将与上市公司填补回报措施的执行情况相挂钩。</w:t>
      </w:r>
    </w:p>
    <w:p w14:paraId="4A525818"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7、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07617810"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lastRenderedPageBreak/>
        <w:t>8、本人承诺切实履行上市公司制定的有关填补回报措施以及本人对此作出的任何有关填补回报措施的承诺，若本人违反该等承诺并给上市公司或者投资者造成损失的，本人将依法承担相应的法律责任。”</w:t>
      </w:r>
    </w:p>
    <w:p w14:paraId="76523696" w14:textId="77777777" w:rsidR="007B268B" w:rsidRDefault="00FC6617">
      <w:pPr>
        <w:adjustRightInd w:val="0"/>
        <w:snapToGrid w:val="0"/>
        <w:spacing w:line="360" w:lineRule="auto"/>
        <w:ind w:firstLineChars="200" w:firstLine="482"/>
        <w:contextualSpacing/>
        <w:rPr>
          <w:rFonts w:ascii="仿宋" w:eastAsia="仿宋" w:hAnsi="仿宋" w:cs="仿宋" w:hint="eastAsia"/>
          <w:b/>
          <w:bCs/>
          <w:sz w:val="24"/>
          <w:szCs w:val="24"/>
        </w:rPr>
      </w:pPr>
      <w:r>
        <w:rPr>
          <w:rFonts w:ascii="仿宋" w:eastAsia="仿宋" w:hAnsi="仿宋" w:cs="仿宋" w:hint="eastAsia"/>
          <w:b/>
          <w:bCs/>
          <w:sz w:val="24"/>
          <w:szCs w:val="24"/>
        </w:rPr>
        <w:t>五、相关审议程序</w:t>
      </w:r>
    </w:p>
    <w:p w14:paraId="1CB10080" w14:textId="60146C34"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bookmarkStart w:id="1" w:name="OLE_LINK122"/>
      <w:r>
        <w:rPr>
          <w:rFonts w:ascii="仿宋" w:eastAsia="仿宋" w:hAnsi="仿宋" w:cs="仿宋" w:hint="eastAsia"/>
          <w:sz w:val="24"/>
          <w:szCs w:val="24"/>
        </w:rPr>
        <w:t>本次交易已经上市公司第三届董事会第三十二次会议、第三届监事会第二十八次会议、</w:t>
      </w:r>
      <w:bookmarkStart w:id="2" w:name="OLE_LINK115"/>
      <w:r>
        <w:rPr>
          <w:rFonts w:ascii="仿宋" w:eastAsia="仿宋" w:hAnsi="仿宋" w:cs="仿宋" w:hint="eastAsia"/>
          <w:sz w:val="24"/>
          <w:szCs w:val="24"/>
        </w:rPr>
        <w:t>第三届董事会第四次</w:t>
      </w:r>
      <w:bookmarkEnd w:id="2"/>
      <w:r>
        <w:rPr>
          <w:rFonts w:ascii="仿宋" w:eastAsia="仿宋" w:hAnsi="仿宋" w:cs="仿宋" w:hint="eastAsia"/>
          <w:sz w:val="24"/>
          <w:szCs w:val="24"/>
        </w:rPr>
        <w:t>独立董事专门会议以及第四届董事会第</w:t>
      </w:r>
      <w:r w:rsidR="001A52D0">
        <w:rPr>
          <w:rFonts w:ascii="仿宋" w:eastAsia="仿宋" w:hAnsi="仿宋" w:cs="仿宋" w:hint="eastAsia"/>
          <w:sz w:val="24"/>
          <w:szCs w:val="24"/>
        </w:rPr>
        <w:t>三</w:t>
      </w:r>
      <w:r>
        <w:rPr>
          <w:rFonts w:ascii="仿宋" w:eastAsia="仿宋" w:hAnsi="仿宋" w:cs="仿宋" w:hint="eastAsia"/>
          <w:sz w:val="24"/>
          <w:szCs w:val="24"/>
        </w:rPr>
        <w:t>次会议、第四届董事会第一次独立董事专门会议审议通过，并将提交公司股东会审议表决，以进一步维护中小投资者的权益。</w:t>
      </w:r>
      <w:bookmarkEnd w:id="1"/>
    </w:p>
    <w:p w14:paraId="77E09DD7" w14:textId="77777777" w:rsidR="007B268B" w:rsidRDefault="00FC6617">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特此说明。</w:t>
      </w:r>
    </w:p>
    <w:p w14:paraId="11D312C8" w14:textId="77777777" w:rsidR="007B268B" w:rsidRDefault="00FC6617">
      <w:pPr>
        <w:rPr>
          <w:rFonts w:ascii="仿宋" w:eastAsia="仿宋" w:hAnsi="仿宋" w:cs="仿宋" w:hint="eastAsia"/>
          <w:sz w:val="24"/>
          <w:szCs w:val="24"/>
        </w:rPr>
      </w:pPr>
      <w:r>
        <w:rPr>
          <w:rFonts w:ascii="仿宋" w:eastAsia="仿宋" w:hAnsi="仿宋" w:cs="仿宋" w:hint="eastAsia"/>
          <w:sz w:val="24"/>
          <w:szCs w:val="24"/>
        </w:rPr>
        <w:br w:type="page"/>
      </w:r>
    </w:p>
    <w:p w14:paraId="2EF2F629" w14:textId="28162A6D" w:rsidR="007B268B" w:rsidRDefault="00FC6617">
      <w:pPr>
        <w:spacing w:before="120" w:after="120" w:line="440" w:lineRule="exact"/>
        <w:rPr>
          <w:rFonts w:ascii="仿宋" w:eastAsia="仿宋" w:hAnsi="仿宋" w:cs="仿宋" w:hint="eastAsia"/>
          <w:sz w:val="24"/>
          <w:szCs w:val="24"/>
        </w:rPr>
      </w:pPr>
      <w:r>
        <w:rPr>
          <w:rFonts w:ascii="仿宋" w:eastAsia="仿宋" w:hAnsi="仿宋" w:cs="仿宋" w:hint="eastAsia"/>
          <w:sz w:val="24"/>
          <w:szCs w:val="24"/>
        </w:rPr>
        <w:lastRenderedPageBreak/>
        <w:t>（本页无正文，为《广东天亿马信息产业股份有限公司董事会关于本次交易摊薄即期回报的情况分析及填补措施与相关承诺的说明》之盖章页）</w:t>
      </w:r>
    </w:p>
    <w:p w14:paraId="2B61C933"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286A4E2E"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22766C2A"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3814ED39"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3F4C416C"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1D0B3712"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3A1F3D6A"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50FBF2BD"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64825360"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1A5BC9CC"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56F24206" w14:textId="77777777" w:rsidR="007B268B" w:rsidRDefault="007B268B">
      <w:pPr>
        <w:adjustRightInd w:val="0"/>
        <w:snapToGrid w:val="0"/>
        <w:spacing w:line="360" w:lineRule="auto"/>
        <w:ind w:firstLineChars="200" w:firstLine="420"/>
        <w:contextualSpacing/>
        <w:rPr>
          <w:rFonts w:ascii="仿宋" w:eastAsia="仿宋" w:hAnsi="仿宋" w:cs="仿宋" w:hint="eastAsia"/>
        </w:rPr>
      </w:pPr>
    </w:p>
    <w:p w14:paraId="52AB7C11" w14:textId="77777777" w:rsidR="007B268B" w:rsidRDefault="007B268B">
      <w:pPr>
        <w:adjustRightInd w:val="0"/>
        <w:snapToGrid w:val="0"/>
        <w:spacing w:line="360" w:lineRule="auto"/>
        <w:ind w:firstLineChars="200" w:firstLine="420"/>
        <w:contextualSpacing/>
        <w:jc w:val="right"/>
        <w:rPr>
          <w:rFonts w:ascii="仿宋" w:eastAsia="仿宋" w:hAnsi="仿宋" w:cs="仿宋" w:hint="eastAsia"/>
        </w:rPr>
      </w:pPr>
    </w:p>
    <w:p w14:paraId="18F909C2" w14:textId="77777777" w:rsidR="007B268B" w:rsidRDefault="00FC6617">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广东天亿马信息产业股份有限公司</w:t>
      </w:r>
    </w:p>
    <w:p w14:paraId="125ACFB1" w14:textId="77777777" w:rsidR="007B268B" w:rsidRDefault="00FC6617">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董事会</w:t>
      </w:r>
    </w:p>
    <w:p w14:paraId="0A8BEDCB" w14:textId="42B2EC5B" w:rsidR="007B268B" w:rsidRDefault="00C87082">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2025</w:t>
      </w:r>
      <w:r w:rsidR="00FC6617">
        <w:rPr>
          <w:rFonts w:ascii="仿宋" w:eastAsia="仿宋" w:hAnsi="仿宋" w:cs="仿宋" w:hint="eastAsia"/>
          <w:sz w:val="24"/>
          <w:szCs w:val="24"/>
        </w:rPr>
        <w:t>年</w:t>
      </w:r>
      <w:r>
        <w:rPr>
          <w:rFonts w:ascii="仿宋" w:eastAsia="仿宋" w:hAnsi="仿宋" w:cs="仿宋" w:hint="eastAsia"/>
          <w:sz w:val="24"/>
          <w:szCs w:val="24"/>
        </w:rPr>
        <w:t>11</w:t>
      </w:r>
      <w:r w:rsidR="00FC6617">
        <w:rPr>
          <w:rFonts w:ascii="仿宋" w:eastAsia="仿宋" w:hAnsi="仿宋" w:cs="仿宋" w:hint="eastAsia"/>
          <w:sz w:val="24"/>
          <w:szCs w:val="24"/>
        </w:rPr>
        <w:t>月</w:t>
      </w:r>
      <w:r>
        <w:rPr>
          <w:rFonts w:ascii="仿宋" w:eastAsia="仿宋" w:hAnsi="仿宋" w:cs="仿宋" w:hint="eastAsia"/>
          <w:sz w:val="24"/>
          <w:szCs w:val="24"/>
        </w:rPr>
        <w:t>18</w:t>
      </w:r>
      <w:r w:rsidR="00FC6617">
        <w:rPr>
          <w:rFonts w:ascii="仿宋" w:eastAsia="仿宋" w:hAnsi="仿宋" w:cs="仿宋" w:hint="eastAsia"/>
          <w:sz w:val="24"/>
          <w:szCs w:val="24"/>
        </w:rPr>
        <w:t>日</w:t>
      </w:r>
    </w:p>
    <w:p w14:paraId="7C682F21" w14:textId="77777777" w:rsidR="007B268B" w:rsidRDefault="007B268B">
      <w:pPr>
        <w:adjustRightInd w:val="0"/>
        <w:snapToGrid w:val="0"/>
        <w:spacing w:line="360" w:lineRule="auto"/>
        <w:ind w:firstLineChars="200" w:firstLine="480"/>
        <w:contextualSpacing/>
        <w:rPr>
          <w:rFonts w:ascii="仿宋" w:eastAsia="仿宋" w:hAnsi="仿宋" w:cs="仿宋" w:hint="eastAsia"/>
          <w:sz w:val="24"/>
          <w:szCs w:val="24"/>
        </w:rPr>
      </w:pPr>
    </w:p>
    <w:p w14:paraId="39469886" w14:textId="77777777" w:rsidR="007B268B" w:rsidRDefault="007B268B">
      <w:pPr>
        <w:adjustRightInd w:val="0"/>
        <w:snapToGrid w:val="0"/>
        <w:spacing w:line="360" w:lineRule="auto"/>
        <w:ind w:firstLineChars="2400" w:firstLine="5760"/>
        <w:contextualSpacing/>
        <w:jc w:val="right"/>
        <w:rPr>
          <w:rFonts w:ascii="仿宋" w:eastAsia="仿宋" w:hAnsi="仿宋" w:cs="仿宋" w:hint="eastAsia"/>
          <w:sz w:val="24"/>
          <w:szCs w:val="24"/>
          <w:highlight w:val="yellow"/>
        </w:rPr>
      </w:pPr>
    </w:p>
    <w:sectPr w:rsidR="007B268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15705" w14:textId="77777777" w:rsidR="00CA6DF6" w:rsidRDefault="00CA6DF6" w:rsidP="001709EB">
      <w:r>
        <w:separator/>
      </w:r>
    </w:p>
  </w:endnote>
  <w:endnote w:type="continuationSeparator" w:id="0">
    <w:p w14:paraId="7F1FD100" w14:textId="77777777" w:rsidR="00CA6DF6" w:rsidRDefault="00CA6DF6" w:rsidP="00170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581372663"/>
      <w:docPartObj>
        <w:docPartGallery w:val="Page Numbers (Bottom of Page)"/>
        <w:docPartUnique/>
      </w:docPartObj>
    </w:sdtPr>
    <w:sdtContent>
      <w:p w14:paraId="1EAD094E" w14:textId="1FC1F3A6" w:rsidR="00A11F89" w:rsidRPr="00A11F89" w:rsidRDefault="00A11F89">
        <w:pPr>
          <w:pStyle w:val="a7"/>
          <w:jc w:val="center"/>
          <w:rPr>
            <w:rFonts w:ascii="Times New Roman" w:hAnsi="Times New Roman" w:cs="Times New Roman"/>
          </w:rPr>
        </w:pPr>
        <w:r w:rsidRPr="00A11F89">
          <w:rPr>
            <w:rFonts w:ascii="Times New Roman" w:hAnsi="Times New Roman" w:cs="Times New Roman"/>
          </w:rPr>
          <w:fldChar w:fldCharType="begin"/>
        </w:r>
        <w:r w:rsidRPr="00A11F89">
          <w:rPr>
            <w:rFonts w:ascii="Times New Roman" w:hAnsi="Times New Roman" w:cs="Times New Roman"/>
          </w:rPr>
          <w:instrText>PAGE   \* MERGEFORMAT</w:instrText>
        </w:r>
        <w:r w:rsidRPr="00A11F89">
          <w:rPr>
            <w:rFonts w:ascii="Times New Roman" w:hAnsi="Times New Roman" w:cs="Times New Roman"/>
          </w:rPr>
          <w:fldChar w:fldCharType="separate"/>
        </w:r>
        <w:r w:rsidRPr="00A11F89">
          <w:rPr>
            <w:rFonts w:ascii="Times New Roman" w:hAnsi="Times New Roman" w:cs="Times New Roman"/>
            <w:lang w:val="zh-CN"/>
          </w:rPr>
          <w:t>2</w:t>
        </w:r>
        <w:r w:rsidRPr="00A11F89">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EEAC3" w14:textId="77777777" w:rsidR="00CA6DF6" w:rsidRDefault="00CA6DF6" w:rsidP="001709EB">
      <w:r>
        <w:separator/>
      </w:r>
    </w:p>
  </w:footnote>
  <w:footnote w:type="continuationSeparator" w:id="0">
    <w:p w14:paraId="68667ABA" w14:textId="77777777" w:rsidR="00CA6DF6" w:rsidRDefault="00CA6DF6" w:rsidP="001709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29FA"/>
    <w:rsid w:val="0000461C"/>
    <w:rsid w:val="00011261"/>
    <w:rsid w:val="00042501"/>
    <w:rsid w:val="00064F26"/>
    <w:rsid w:val="00065F9F"/>
    <w:rsid w:val="00071A00"/>
    <w:rsid w:val="00081FB0"/>
    <w:rsid w:val="000831C3"/>
    <w:rsid w:val="000836AD"/>
    <w:rsid w:val="00090327"/>
    <w:rsid w:val="000A7170"/>
    <w:rsid w:val="000B1BFA"/>
    <w:rsid w:val="000C4332"/>
    <w:rsid w:val="000D1EC7"/>
    <w:rsid w:val="000F0AB1"/>
    <w:rsid w:val="000F4851"/>
    <w:rsid w:val="000F4A58"/>
    <w:rsid w:val="000F553F"/>
    <w:rsid w:val="0011663A"/>
    <w:rsid w:val="001235D9"/>
    <w:rsid w:val="001308D5"/>
    <w:rsid w:val="00154E6C"/>
    <w:rsid w:val="001709EB"/>
    <w:rsid w:val="00171568"/>
    <w:rsid w:val="00172369"/>
    <w:rsid w:val="00183031"/>
    <w:rsid w:val="00183B07"/>
    <w:rsid w:val="00185094"/>
    <w:rsid w:val="001A4FE6"/>
    <w:rsid w:val="001A52D0"/>
    <w:rsid w:val="001A731F"/>
    <w:rsid w:val="001B324B"/>
    <w:rsid w:val="001B60F5"/>
    <w:rsid w:val="001C3FE8"/>
    <w:rsid w:val="001C5C2C"/>
    <w:rsid w:val="001D50CD"/>
    <w:rsid w:val="001F1B94"/>
    <w:rsid w:val="0020207F"/>
    <w:rsid w:val="002041A3"/>
    <w:rsid w:val="00204D15"/>
    <w:rsid w:val="002156C2"/>
    <w:rsid w:val="00215854"/>
    <w:rsid w:val="0023170A"/>
    <w:rsid w:val="00235B60"/>
    <w:rsid w:val="0025301D"/>
    <w:rsid w:val="00253629"/>
    <w:rsid w:val="002678BE"/>
    <w:rsid w:val="0029294A"/>
    <w:rsid w:val="002A33D0"/>
    <w:rsid w:val="002A3F99"/>
    <w:rsid w:val="002A4E0E"/>
    <w:rsid w:val="002B642D"/>
    <w:rsid w:val="002C15D4"/>
    <w:rsid w:val="002C7AC4"/>
    <w:rsid w:val="002D0E23"/>
    <w:rsid w:val="002D2EB5"/>
    <w:rsid w:val="002D3884"/>
    <w:rsid w:val="002D4211"/>
    <w:rsid w:val="002D7F55"/>
    <w:rsid w:val="002E29C3"/>
    <w:rsid w:val="002E7FF2"/>
    <w:rsid w:val="003002D0"/>
    <w:rsid w:val="00303FAA"/>
    <w:rsid w:val="003074C1"/>
    <w:rsid w:val="003418F3"/>
    <w:rsid w:val="00347422"/>
    <w:rsid w:val="003559CD"/>
    <w:rsid w:val="003578EB"/>
    <w:rsid w:val="00361D5C"/>
    <w:rsid w:val="0036413F"/>
    <w:rsid w:val="00364ECA"/>
    <w:rsid w:val="0036730E"/>
    <w:rsid w:val="003735EB"/>
    <w:rsid w:val="00374982"/>
    <w:rsid w:val="0037781E"/>
    <w:rsid w:val="00393DE6"/>
    <w:rsid w:val="003951B5"/>
    <w:rsid w:val="003E50EB"/>
    <w:rsid w:val="003F1314"/>
    <w:rsid w:val="003F63F9"/>
    <w:rsid w:val="004170E0"/>
    <w:rsid w:val="00417A3F"/>
    <w:rsid w:val="00423535"/>
    <w:rsid w:val="00435340"/>
    <w:rsid w:val="0043622B"/>
    <w:rsid w:val="00442A23"/>
    <w:rsid w:val="004506ED"/>
    <w:rsid w:val="00454C69"/>
    <w:rsid w:val="00460C1C"/>
    <w:rsid w:val="004763F6"/>
    <w:rsid w:val="00477540"/>
    <w:rsid w:val="00483609"/>
    <w:rsid w:val="004920AA"/>
    <w:rsid w:val="004943D5"/>
    <w:rsid w:val="004A2815"/>
    <w:rsid w:val="004A33A2"/>
    <w:rsid w:val="004C1584"/>
    <w:rsid w:val="004C5250"/>
    <w:rsid w:val="004C55E0"/>
    <w:rsid w:val="004C7810"/>
    <w:rsid w:val="004D113D"/>
    <w:rsid w:val="004D3B04"/>
    <w:rsid w:val="004E286C"/>
    <w:rsid w:val="0050675C"/>
    <w:rsid w:val="00522237"/>
    <w:rsid w:val="00522518"/>
    <w:rsid w:val="0053507D"/>
    <w:rsid w:val="005456FA"/>
    <w:rsid w:val="00547A3C"/>
    <w:rsid w:val="0058312C"/>
    <w:rsid w:val="00592E78"/>
    <w:rsid w:val="005A0CB1"/>
    <w:rsid w:val="005A15D3"/>
    <w:rsid w:val="005B0AAE"/>
    <w:rsid w:val="005C1A75"/>
    <w:rsid w:val="005C2F04"/>
    <w:rsid w:val="005C58B5"/>
    <w:rsid w:val="005C7555"/>
    <w:rsid w:val="005D0395"/>
    <w:rsid w:val="005E3A7D"/>
    <w:rsid w:val="005E514E"/>
    <w:rsid w:val="005F18DB"/>
    <w:rsid w:val="006133C8"/>
    <w:rsid w:val="00624B59"/>
    <w:rsid w:val="006332D1"/>
    <w:rsid w:val="0064342F"/>
    <w:rsid w:val="006478C0"/>
    <w:rsid w:val="00647E5A"/>
    <w:rsid w:val="00667FCF"/>
    <w:rsid w:val="00671535"/>
    <w:rsid w:val="00680F3B"/>
    <w:rsid w:val="00681D01"/>
    <w:rsid w:val="006864C5"/>
    <w:rsid w:val="006950B4"/>
    <w:rsid w:val="006A5806"/>
    <w:rsid w:val="006A651D"/>
    <w:rsid w:val="006C1AF0"/>
    <w:rsid w:val="006C7AFA"/>
    <w:rsid w:val="006D545B"/>
    <w:rsid w:val="006E2051"/>
    <w:rsid w:val="006F06DD"/>
    <w:rsid w:val="006F2BC0"/>
    <w:rsid w:val="0070413C"/>
    <w:rsid w:val="00705BCD"/>
    <w:rsid w:val="00706C23"/>
    <w:rsid w:val="00724115"/>
    <w:rsid w:val="00732726"/>
    <w:rsid w:val="00735AFF"/>
    <w:rsid w:val="00757A85"/>
    <w:rsid w:val="007604F8"/>
    <w:rsid w:val="007803B6"/>
    <w:rsid w:val="00795B91"/>
    <w:rsid w:val="007A0E12"/>
    <w:rsid w:val="007B10FF"/>
    <w:rsid w:val="007B268B"/>
    <w:rsid w:val="007B60C8"/>
    <w:rsid w:val="007D0CB6"/>
    <w:rsid w:val="007D23B9"/>
    <w:rsid w:val="007E72EC"/>
    <w:rsid w:val="008018DB"/>
    <w:rsid w:val="00812C54"/>
    <w:rsid w:val="008434A0"/>
    <w:rsid w:val="00855833"/>
    <w:rsid w:val="00857E05"/>
    <w:rsid w:val="0086450C"/>
    <w:rsid w:val="00865DAF"/>
    <w:rsid w:val="008917AB"/>
    <w:rsid w:val="00895A24"/>
    <w:rsid w:val="008A37E3"/>
    <w:rsid w:val="008B23E6"/>
    <w:rsid w:val="008C45B9"/>
    <w:rsid w:val="008C4CF5"/>
    <w:rsid w:val="008C5CE2"/>
    <w:rsid w:val="008C754D"/>
    <w:rsid w:val="008E4CDF"/>
    <w:rsid w:val="008E6489"/>
    <w:rsid w:val="008F7F6F"/>
    <w:rsid w:val="00904A26"/>
    <w:rsid w:val="00907989"/>
    <w:rsid w:val="009177AC"/>
    <w:rsid w:val="00921A57"/>
    <w:rsid w:val="00954277"/>
    <w:rsid w:val="00954464"/>
    <w:rsid w:val="009573D2"/>
    <w:rsid w:val="009623FE"/>
    <w:rsid w:val="00962909"/>
    <w:rsid w:val="00971583"/>
    <w:rsid w:val="009732F0"/>
    <w:rsid w:val="00976194"/>
    <w:rsid w:val="009767BB"/>
    <w:rsid w:val="0099628A"/>
    <w:rsid w:val="009A0A04"/>
    <w:rsid w:val="009A4253"/>
    <w:rsid w:val="009D0DE4"/>
    <w:rsid w:val="009D40DC"/>
    <w:rsid w:val="009D798C"/>
    <w:rsid w:val="009F7699"/>
    <w:rsid w:val="00A00DBA"/>
    <w:rsid w:val="00A11F89"/>
    <w:rsid w:val="00A35168"/>
    <w:rsid w:val="00A43B9D"/>
    <w:rsid w:val="00A521D3"/>
    <w:rsid w:val="00A707F3"/>
    <w:rsid w:val="00A71A44"/>
    <w:rsid w:val="00A7794C"/>
    <w:rsid w:val="00AA0DE3"/>
    <w:rsid w:val="00AA236A"/>
    <w:rsid w:val="00AB6E07"/>
    <w:rsid w:val="00AD7BE2"/>
    <w:rsid w:val="00AF2947"/>
    <w:rsid w:val="00B005F2"/>
    <w:rsid w:val="00B0113D"/>
    <w:rsid w:val="00B13E98"/>
    <w:rsid w:val="00B2205B"/>
    <w:rsid w:val="00B232F4"/>
    <w:rsid w:val="00B31455"/>
    <w:rsid w:val="00B322D3"/>
    <w:rsid w:val="00B679F5"/>
    <w:rsid w:val="00B856D0"/>
    <w:rsid w:val="00B904F2"/>
    <w:rsid w:val="00B9070E"/>
    <w:rsid w:val="00B95D3C"/>
    <w:rsid w:val="00B96FED"/>
    <w:rsid w:val="00BA00C5"/>
    <w:rsid w:val="00BA175B"/>
    <w:rsid w:val="00BB3F8E"/>
    <w:rsid w:val="00BB7918"/>
    <w:rsid w:val="00BC0182"/>
    <w:rsid w:val="00BD41C8"/>
    <w:rsid w:val="00BD431E"/>
    <w:rsid w:val="00BF0ADC"/>
    <w:rsid w:val="00BF6CAB"/>
    <w:rsid w:val="00BF6F0B"/>
    <w:rsid w:val="00C07050"/>
    <w:rsid w:val="00C10344"/>
    <w:rsid w:val="00C10716"/>
    <w:rsid w:val="00C35E4D"/>
    <w:rsid w:val="00C400D1"/>
    <w:rsid w:val="00C467AB"/>
    <w:rsid w:val="00C476EE"/>
    <w:rsid w:val="00C5016F"/>
    <w:rsid w:val="00C7009A"/>
    <w:rsid w:val="00C7093F"/>
    <w:rsid w:val="00C70B6E"/>
    <w:rsid w:val="00C74ABF"/>
    <w:rsid w:val="00C84D43"/>
    <w:rsid w:val="00C87082"/>
    <w:rsid w:val="00C96AE9"/>
    <w:rsid w:val="00CA569B"/>
    <w:rsid w:val="00CA6DF6"/>
    <w:rsid w:val="00CB4859"/>
    <w:rsid w:val="00CB58E0"/>
    <w:rsid w:val="00CD2F25"/>
    <w:rsid w:val="00CD4F3F"/>
    <w:rsid w:val="00CD5364"/>
    <w:rsid w:val="00CE0CE4"/>
    <w:rsid w:val="00D0057A"/>
    <w:rsid w:val="00D06D77"/>
    <w:rsid w:val="00D15D04"/>
    <w:rsid w:val="00D415A1"/>
    <w:rsid w:val="00D425CE"/>
    <w:rsid w:val="00D63020"/>
    <w:rsid w:val="00D84028"/>
    <w:rsid w:val="00DA0528"/>
    <w:rsid w:val="00DA29FA"/>
    <w:rsid w:val="00DB1A33"/>
    <w:rsid w:val="00DB557E"/>
    <w:rsid w:val="00DB581C"/>
    <w:rsid w:val="00DD0B5C"/>
    <w:rsid w:val="00DD0F04"/>
    <w:rsid w:val="00DD2D70"/>
    <w:rsid w:val="00DD3F77"/>
    <w:rsid w:val="00DE5D73"/>
    <w:rsid w:val="00DF5162"/>
    <w:rsid w:val="00DF79C6"/>
    <w:rsid w:val="00E00C97"/>
    <w:rsid w:val="00E060E2"/>
    <w:rsid w:val="00E06516"/>
    <w:rsid w:val="00E067DB"/>
    <w:rsid w:val="00E07CC9"/>
    <w:rsid w:val="00E336A4"/>
    <w:rsid w:val="00E33F6D"/>
    <w:rsid w:val="00E3487F"/>
    <w:rsid w:val="00E6600E"/>
    <w:rsid w:val="00E71F1F"/>
    <w:rsid w:val="00E73DBF"/>
    <w:rsid w:val="00E74FB3"/>
    <w:rsid w:val="00E9283A"/>
    <w:rsid w:val="00E95BCE"/>
    <w:rsid w:val="00E9642D"/>
    <w:rsid w:val="00EA00DB"/>
    <w:rsid w:val="00EC2695"/>
    <w:rsid w:val="00EC6265"/>
    <w:rsid w:val="00ED1162"/>
    <w:rsid w:val="00ED705D"/>
    <w:rsid w:val="00EE6677"/>
    <w:rsid w:val="00EE771D"/>
    <w:rsid w:val="00EF1450"/>
    <w:rsid w:val="00EF15B5"/>
    <w:rsid w:val="00EF4587"/>
    <w:rsid w:val="00F04086"/>
    <w:rsid w:val="00F11C96"/>
    <w:rsid w:val="00F12EA9"/>
    <w:rsid w:val="00F6203F"/>
    <w:rsid w:val="00F70577"/>
    <w:rsid w:val="00F800A8"/>
    <w:rsid w:val="00F85259"/>
    <w:rsid w:val="00F97173"/>
    <w:rsid w:val="00F97E46"/>
    <w:rsid w:val="00FB057F"/>
    <w:rsid w:val="00FB2DFA"/>
    <w:rsid w:val="00FB4284"/>
    <w:rsid w:val="00FC38D0"/>
    <w:rsid w:val="00FC6617"/>
    <w:rsid w:val="00FE698F"/>
    <w:rsid w:val="00FF7090"/>
    <w:rsid w:val="00FF7796"/>
    <w:rsid w:val="01CB731F"/>
    <w:rsid w:val="02203E9A"/>
    <w:rsid w:val="042B1DAE"/>
    <w:rsid w:val="08EC4E47"/>
    <w:rsid w:val="0D8C4B49"/>
    <w:rsid w:val="14185D9B"/>
    <w:rsid w:val="19DB58B4"/>
    <w:rsid w:val="1C1B0F6D"/>
    <w:rsid w:val="206E4903"/>
    <w:rsid w:val="21542A45"/>
    <w:rsid w:val="21D94BA3"/>
    <w:rsid w:val="256356AB"/>
    <w:rsid w:val="2FBF53EA"/>
    <w:rsid w:val="320329AC"/>
    <w:rsid w:val="34B04074"/>
    <w:rsid w:val="350F09AF"/>
    <w:rsid w:val="37E63077"/>
    <w:rsid w:val="38157E81"/>
    <w:rsid w:val="3A440E4C"/>
    <w:rsid w:val="3D1951DA"/>
    <w:rsid w:val="3E335F4A"/>
    <w:rsid w:val="40A06EE9"/>
    <w:rsid w:val="42BF5173"/>
    <w:rsid w:val="44912FB6"/>
    <w:rsid w:val="47C148F2"/>
    <w:rsid w:val="4DAF1984"/>
    <w:rsid w:val="4E544429"/>
    <w:rsid w:val="4F3914E2"/>
    <w:rsid w:val="50B4617C"/>
    <w:rsid w:val="555F6A99"/>
    <w:rsid w:val="5C6430DF"/>
    <w:rsid w:val="5E2C27BF"/>
    <w:rsid w:val="62FB6C04"/>
    <w:rsid w:val="63AF3C04"/>
    <w:rsid w:val="65363141"/>
    <w:rsid w:val="67F52494"/>
    <w:rsid w:val="6EB702EE"/>
    <w:rsid w:val="71D707D4"/>
    <w:rsid w:val="732700DF"/>
    <w:rsid w:val="749B3DA3"/>
    <w:rsid w:val="74D148BB"/>
    <w:rsid w:val="74F71921"/>
    <w:rsid w:val="7BE349AD"/>
    <w:rsid w:val="7C74BF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87F05A"/>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
    <w:next w:val="a"/>
    <w:link w:val="30"/>
    <w:unhideWhenUsed/>
    <w:qFormat/>
    <w:pPr>
      <w:keepNext/>
      <w:keepLines/>
      <w:spacing w:before="260" w:after="260" w:line="415" w:lineRule="auto"/>
      <w:outlineLvl w:val="2"/>
    </w:pPr>
    <w:rPr>
      <w:rFonts w:ascii="宋体" w:eastAsia="宋体" w:hAnsi="宋体"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semiHidden/>
    <w:unhideWhenUsed/>
    <w:qFormat/>
    <w:rPr>
      <w:color w:val="0000FF"/>
      <w:u w:val="single"/>
    </w:rPr>
  </w:style>
  <w:style w:type="character" w:styleId="af">
    <w:name w:val="annotation reference"/>
    <w:basedOn w:val="a0"/>
    <w:uiPriority w:val="99"/>
    <w:semiHidden/>
    <w:unhideWhenUsed/>
    <w:qFormat/>
    <w:rPr>
      <w:sz w:val="21"/>
      <w:szCs w:val="21"/>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styleId="af0">
    <w:name w:val="No Spacing"/>
    <w:uiPriority w:val="1"/>
    <w:qFormat/>
    <w:pPr>
      <w:widowControl w:val="0"/>
      <w:jc w:val="both"/>
    </w:pPr>
    <w:rPr>
      <w:kern w:val="2"/>
      <w:sz w:val="21"/>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f1">
    <w:name w:val="List Paragraph"/>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qFormat/>
  </w:style>
  <w:style w:type="character" w:customStyle="1" w:styleId="ac">
    <w:name w:val="批注主题 字符"/>
    <w:basedOn w:val="a4"/>
    <w:link w:val="ab"/>
    <w:uiPriority w:val="99"/>
    <w:semiHidden/>
    <w:qFormat/>
    <w:rPr>
      <w:b/>
      <w:bCs/>
    </w:rPr>
  </w:style>
  <w:style w:type="character" w:customStyle="1" w:styleId="-AChar">
    <w:name w:val="正文-A Char"/>
    <w:link w:val="-A"/>
    <w:qFormat/>
    <w:rPr>
      <w:sz w:val="24"/>
      <w:szCs w:val="24"/>
    </w:rPr>
  </w:style>
  <w:style w:type="paragraph" w:customStyle="1" w:styleId="-A">
    <w:name w:val="正文-A"/>
    <w:basedOn w:val="a"/>
    <w:link w:val="-AChar"/>
    <w:qFormat/>
    <w:pPr>
      <w:adjustRightInd w:val="0"/>
      <w:snapToGrid w:val="0"/>
      <w:spacing w:beforeLines="50" w:afterLines="50" w:line="360" w:lineRule="auto"/>
      <w:ind w:firstLineChars="200" w:firstLine="480"/>
    </w:pPr>
    <w:rPr>
      <w:sz w:val="24"/>
      <w:szCs w:val="24"/>
    </w:rPr>
  </w:style>
  <w:style w:type="paragraph" w:customStyle="1" w:styleId="1">
    <w:name w:val="修订1"/>
    <w:hidden/>
    <w:uiPriority w:val="99"/>
    <w:semiHidden/>
    <w:qFormat/>
    <w:rPr>
      <w:kern w:val="2"/>
      <w:sz w:val="21"/>
      <w:szCs w:val="22"/>
    </w:rPr>
  </w:style>
  <w:style w:type="character" w:customStyle="1" w:styleId="30">
    <w:name w:val="标题 3 字符"/>
    <w:basedOn w:val="a0"/>
    <w:link w:val="3"/>
    <w:qFormat/>
    <w:rPr>
      <w:rFonts w:ascii="宋体" w:eastAsia="宋体" w:hAnsi="宋体" w:cs="Times New Roman"/>
      <w:b/>
      <w:bCs/>
      <w:sz w:val="32"/>
      <w:szCs w:val="32"/>
    </w:rPr>
  </w:style>
  <w:style w:type="character" w:customStyle="1" w:styleId="highlight">
    <w:name w:val="highlight"/>
    <w:basedOn w:val="a0"/>
    <w:qFormat/>
  </w:style>
  <w:style w:type="paragraph" w:customStyle="1" w:styleId="2">
    <w:name w:val="修订2"/>
    <w:hidden/>
    <w:uiPriority w:val="99"/>
    <w:unhideWhenUsed/>
    <w:qFormat/>
    <w:rPr>
      <w:kern w:val="2"/>
      <w:sz w:val="21"/>
      <w:szCs w:val="22"/>
    </w:rPr>
  </w:style>
  <w:style w:type="paragraph" w:customStyle="1" w:styleId="31">
    <w:name w:val="修订3"/>
    <w:hidden/>
    <w:uiPriority w:val="99"/>
    <w:unhideWhenUsed/>
    <w:qFormat/>
    <w:rPr>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4">
    <w:name w:val="修订4"/>
    <w:hidden/>
    <w:uiPriority w:val="99"/>
    <w:unhideWhenUsed/>
    <w:qFormat/>
    <w:rPr>
      <w:kern w:val="2"/>
      <w:sz w:val="21"/>
      <w:szCs w:val="22"/>
    </w:rPr>
  </w:style>
  <w:style w:type="paragraph" w:customStyle="1" w:styleId="005">
    <w:name w:val="005正文"/>
    <w:link w:val="005Char"/>
    <w:qFormat/>
    <w:pPr>
      <w:widowControl w:val="0"/>
      <w:spacing w:beforeLines="50" w:before="50" w:line="360" w:lineRule="auto"/>
      <w:ind w:firstLineChars="200" w:firstLine="200"/>
      <w:jc w:val="both"/>
    </w:pPr>
    <w:rPr>
      <w:rFonts w:ascii="Times New Roman" w:eastAsia="宋体" w:hAnsi="Times New Roman" w:cs="Times New Roman"/>
      <w:kern w:val="2"/>
      <w:sz w:val="24"/>
      <w:szCs w:val="22"/>
    </w:rPr>
  </w:style>
  <w:style w:type="paragraph" w:customStyle="1" w:styleId="006">
    <w:name w:val="006备注"/>
    <w:qFormat/>
    <w:pPr>
      <w:widowControl w:val="0"/>
      <w:ind w:firstLineChars="200" w:firstLine="200"/>
      <w:jc w:val="both"/>
    </w:pPr>
    <w:rPr>
      <w:rFonts w:ascii="Times New Roman" w:eastAsia="宋体" w:hAnsi="Times New Roman" w:cs="Arial"/>
      <w:bCs/>
      <w:kern w:val="2"/>
      <w:sz w:val="21"/>
      <w:szCs w:val="22"/>
    </w:rPr>
  </w:style>
  <w:style w:type="paragraph" w:customStyle="1" w:styleId="009">
    <w:name w:val="009单位"/>
    <w:qFormat/>
    <w:pPr>
      <w:keepNext/>
      <w:widowControl w:val="0"/>
      <w:jc w:val="right"/>
    </w:pPr>
    <w:rPr>
      <w:rFonts w:ascii="Times New Roman" w:eastAsia="宋体" w:hAnsi="Times New Roman" w:cs="Times New Roman"/>
      <w:kern w:val="2"/>
      <w:sz w:val="21"/>
      <w:szCs w:val="22"/>
    </w:rPr>
  </w:style>
  <w:style w:type="character" w:customStyle="1" w:styleId="005Char">
    <w:name w:val="005正文 Char"/>
    <w:link w:val="005"/>
    <w:qFormat/>
    <w:rPr>
      <w:rFonts w:ascii="Times New Roman" w:eastAsia="宋体" w:hAnsi="Times New Roman" w:cs="Times New Roman"/>
      <w:kern w:val="2"/>
      <w:sz w:val="24"/>
      <w:szCs w:val="22"/>
    </w:rPr>
  </w:style>
  <w:style w:type="paragraph" w:styleId="af2">
    <w:name w:val="Revision"/>
    <w:hidden/>
    <w:uiPriority w:val="99"/>
    <w:unhideWhenUsed/>
    <w:rsid w:val="001A52D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392</Words>
  <Characters>2238</Characters>
  <Application>Microsoft Office Word</Application>
  <DocSecurity>0</DocSecurity>
  <Lines>18</Lines>
  <Paragraphs>5</Paragraphs>
  <ScaleCrop>false</ScaleCrop>
  <Company>Microsoft</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hs0942</dc:creator>
  <cp:lastModifiedBy>GTHTHAO</cp:lastModifiedBy>
  <cp:revision>30</cp:revision>
  <dcterms:created xsi:type="dcterms:W3CDTF">2025-03-11T17:25:00Z</dcterms:created>
  <dcterms:modified xsi:type="dcterms:W3CDTF">2025-11-18T06:57:00Z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eyJoZGlkIjoiMzEwNTM5NzYwMDRjMzkwZTVkZjY2ODkwMGIxNGU0OTUiLCJ1c2VySWQiOiIzNjg4Nzg3ODIifQ==</vt:lpwstr>
  </property>
  <property fmtid="{D5CDD505-2E9C-101B-9397-08002B2CF9AE}" pid="3" name="KSOProductBuildVer">
    <vt:lpwstr>2052-12.1.0.23125</vt:lpwstr>
  </property>
  <property fmtid="{D5CDD505-2E9C-101B-9397-08002B2CF9AE}" pid="4" name="ICV">
    <vt:lpwstr>75EC1F8FAC6C4715BAE2940A93EA8717_12</vt:lpwstr>
  </property>
</Properties>
</file>