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82578" w14:textId="77777777" w:rsidR="00667DB2" w:rsidRDefault="009F02F4">
      <w:pPr>
        <w:spacing w:line="360" w:lineRule="auto"/>
        <w:jc w:val="center"/>
        <w:rPr>
          <w:rFonts w:ascii="Times New Roman" w:eastAsia="黑体" w:hAnsi="Times New Roman" w:cs="Times New Roman"/>
          <w:bCs/>
          <w:sz w:val="36"/>
          <w:szCs w:val="36"/>
        </w:rPr>
      </w:pPr>
      <w:r>
        <w:rPr>
          <w:rFonts w:ascii="Times New Roman" w:eastAsia="黑体" w:hAnsi="Times New Roman" w:cs="Times New Roman" w:hint="eastAsia"/>
          <w:bCs/>
          <w:sz w:val="36"/>
          <w:szCs w:val="36"/>
        </w:rPr>
        <w:t>广东天亿马信息产业股份有限公司董事会</w:t>
      </w:r>
    </w:p>
    <w:p w14:paraId="2E920374" w14:textId="77777777" w:rsidR="00667DB2" w:rsidRDefault="009F02F4">
      <w:pPr>
        <w:spacing w:line="360" w:lineRule="auto"/>
        <w:jc w:val="center"/>
        <w:rPr>
          <w:rFonts w:ascii="Times New Roman" w:eastAsia="黑体" w:hAnsi="Times New Roman" w:cs="Times New Roman"/>
          <w:bCs/>
          <w:sz w:val="36"/>
          <w:szCs w:val="36"/>
        </w:rPr>
      </w:pPr>
      <w:r>
        <w:rPr>
          <w:rFonts w:ascii="Times New Roman" w:eastAsia="黑体" w:hAnsi="Times New Roman" w:cs="Times New Roman" w:hint="eastAsia"/>
          <w:bCs/>
          <w:sz w:val="36"/>
          <w:szCs w:val="36"/>
        </w:rPr>
        <w:t>关于本次交易构成重大资产重组、不构成重组上市情形的说明</w:t>
      </w:r>
    </w:p>
    <w:p w14:paraId="3C145B34" w14:textId="77777777" w:rsidR="00667DB2" w:rsidRDefault="00667DB2">
      <w:pPr>
        <w:jc w:val="center"/>
        <w:rPr>
          <w:rFonts w:ascii="Times New Roman" w:eastAsia="宋体" w:hAnsi="Times New Roman" w:cs="Times New Roman"/>
          <w:b/>
          <w:sz w:val="28"/>
        </w:rPr>
      </w:pPr>
    </w:p>
    <w:p w14:paraId="6E146A04" w14:textId="5CA552A3" w:rsidR="00667DB2" w:rsidRDefault="009F02F4">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广东天亿马信息产业股份有限公司（以下简称</w:t>
      </w:r>
      <w:r w:rsidRPr="009F02F4">
        <w:rPr>
          <w:rFonts w:ascii="仿宋" w:eastAsia="仿宋" w:hAnsi="仿宋" w:cs="仿宋" w:hint="eastAsia"/>
          <w:sz w:val="24"/>
          <w:szCs w:val="24"/>
        </w:rPr>
        <w:t>“上市公司”</w:t>
      </w:r>
      <w:r>
        <w:rPr>
          <w:rFonts w:ascii="仿宋" w:eastAsia="仿宋" w:hAnsi="仿宋" w:cs="仿宋" w:hint="eastAsia"/>
          <w:sz w:val="24"/>
          <w:szCs w:val="24"/>
        </w:rPr>
        <w:t>、“公司”）拟通过发行股份及支付现金的方式购买广东星云开物科技股份有限公司（以下简称</w:t>
      </w:r>
      <w:r w:rsidDel="009F02F4">
        <w:rPr>
          <w:rFonts w:ascii="仿宋" w:eastAsia="仿宋" w:hAnsi="仿宋" w:cs="仿宋" w:hint="eastAsia"/>
          <w:sz w:val="24"/>
          <w:szCs w:val="24"/>
        </w:rPr>
        <w:t xml:space="preserve"> </w:t>
      </w:r>
      <w:r>
        <w:rPr>
          <w:rFonts w:ascii="仿宋" w:eastAsia="仿宋" w:hAnsi="仿宋" w:cs="仿宋" w:hint="eastAsia"/>
          <w:sz w:val="24"/>
          <w:szCs w:val="24"/>
        </w:rPr>
        <w:t>“标的公司”）</w:t>
      </w:r>
      <w:r>
        <w:rPr>
          <w:rFonts w:ascii="仿宋" w:eastAsia="仿宋" w:hAnsi="仿宋" w:cs="仿宋"/>
          <w:sz w:val="24"/>
          <w:szCs w:val="24"/>
        </w:rPr>
        <w:t>98.5632%</w:t>
      </w:r>
      <w:r>
        <w:rPr>
          <w:rFonts w:ascii="仿宋" w:eastAsia="仿宋" w:hAnsi="仿宋" w:cs="仿宋" w:hint="eastAsia"/>
          <w:sz w:val="24"/>
          <w:szCs w:val="24"/>
        </w:rPr>
        <w:t>股权</w:t>
      </w:r>
      <w:r w:rsidR="00664FCE" w:rsidRPr="00664FCE">
        <w:rPr>
          <w:rFonts w:ascii="仿宋" w:eastAsia="仿宋" w:hAnsi="仿宋" w:cs="仿宋" w:hint="eastAsia"/>
          <w:sz w:val="24"/>
          <w:szCs w:val="24"/>
        </w:rPr>
        <w:t>（以下简称“标的资产”）</w:t>
      </w:r>
      <w:r>
        <w:rPr>
          <w:rFonts w:ascii="仿宋" w:eastAsia="仿宋" w:hAnsi="仿宋" w:cs="仿宋" w:hint="eastAsia"/>
          <w:sz w:val="24"/>
          <w:szCs w:val="24"/>
        </w:rPr>
        <w:t>并募集配套资金（以下简称“本次交易”）。</w:t>
      </w:r>
    </w:p>
    <w:p w14:paraId="6A8A4A4A" w14:textId="77777777" w:rsidR="00667DB2" w:rsidRDefault="009F02F4">
      <w:pPr>
        <w:adjustRightInd w:val="0"/>
        <w:snapToGrid w:val="0"/>
        <w:spacing w:beforeLines="50" w:before="156" w:afterLines="50" w:after="156" w:line="360" w:lineRule="auto"/>
        <w:ind w:firstLineChars="200" w:firstLine="482"/>
        <w:contextualSpacing/>
        <w:rPr>
          <w:rFonts w:ascii="仿宋" w:eastAsia="仿宋" w:hAnsi="仿宋" w:cs="仿宋" w:hint="eastAsia"/>
          <w:b/>
          <w:bCs/>
          <w:sz w:val="24"/>
          <w:szCs w:val="24"/>
        </w:rPr>
      </w:pPr>
      <w:bookmarkStart w:id="0" w:name="_Hlk211356316"/>
      <w:r>
        <w:rPr>
          <w:rFonts w:ascii="仿宋" w:eastAsia="仿宋" w:hAnsi="仿宋" w:cs="仿宋" w:hint="eastAsia"/>
          <w:b/>
          <w:bCs/>
          <w:sz w:val="24"/>
          <w:szCs w:val="24"/>
        </w:rPr>
        <w:t>一、本次交易构成重大资产重组</w:t>
      </w:r>
    </w:p>
    <w:p w14:paraId="7526C512" w14:textId="4A0FAB11" w:rsidR="00667DB2" w:rsidRDefault="009F02F4">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本次交易中，上市公司拟购买标的公司</w:t>
      </w:r>
      <w:r>
        <w:rPr>
          <w:rFonts w:ascii="仿宋" w:eastAsia="仿宋" w:hAnsi="仿宋" w:cs="仿宋"/>
          <w:sz w:val="24"/>
          <w:szCs w:val="24"/>
        </w:rPr>
        <w:t>98.5632%</w:t>
      </w:r>
      <w:r>
        <w:rPr>
          <w:rFonts w:ascii="仿宋" w:eastAsia="仿宋" w:hAnsi="仿宋" w:cs="仿宋" w:hint="eastAsia"/>
          <w:sz w:val="24"/>
          <w:szCs w:val="24"/>
        </w:rPr>
        <w:t>股权。</w:t>
      </w:r>
      <w:r w:rsidRPr="009F02F4">
        <w:rPr>
          <w:rFonts w:ascii="仿宋" w:eastAsia="仿宋" w:hAnsi="仿宋" w:cs="仿宋" w:hint="eastAsia"/>
          <w:sz w:val="24"/>
          <w:szCs w:val="24"/>
        </w:rPr>
        <w:t>标的公司</w:t>
      </w:r>
      <w:r>
        <w:rPr>
          <w:rFonts w:ascii="仿宋" w:eastAsia="仿宋" w:hAnsi="仿宋" w:cs="仿宋" w:hint="eastAsia"/>
          <w:sz w:val="24"/>
          <w:szCs w:val="24"/>
        </w:rPr>
        <w:t>经审计的最近一年资产总额、资产净额</w:t>
      </w:r>
      <w:r w:rsidR="00060EB6">
        <w:rPr>
          <w:rFonts w:ascii="仿宋" w:eastAsia="仿宋" w:hAnsi="仿宋" w:cs="仿宋" w:hint="eastAsia"/>
          <w:sz w:val="24"/>
          <w:szCs w:val="24"/>
        </w:rPr>
        <w:t>（与交易金额孰高）</w:t>
      </w:r>
      <w:r>
        <w:rPr>
          <w:rFonts w:ascii="仿宋" w:eastAsia="仿宋" w:hAnsi="仿宋" w:cs="仿宋" w:hint="eastAsia"/>
          <w:sz w:val="24"/>
          <w:szCs w:val="24"/>
        </w:rPr>
        <w:t>及最近一年的营业收入占上市公司最近一个会计年度经审计的合并财务报告相关指标的比例如下：</w:t>
      </w:r>
    </w:p>
    <w:p w14:paraId="6B6348D6" w14:textId="77777777" w:rsidR="00667DB2" w:rsidRDefault="009F02F4">
      <w:pPr>
        <w:keepNext/>
        <w:jc w:val="right"/>
        <w:rPr>
          <w:rFonts w:ascii="仿宋" w:eastAsia="仿宋" w:hAnsi="仿宋" w:cs="Times New Roman" w:hint="eastAsia"/>
        </w:rPr>
      </w:pPr>
      <w:r>
        <w:rPr>
          <w:rFonts w:ascii="仿宋" w:eastAsia="仿宋" w:hAnsi="仿宋" w:cs="Times New Roman" w:hint="eastAsia"/>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0"/>
        <w:gridCol w:w="2051"/>
        <w:gridCol w:w="2051"/>
        <w:gridCol w:w="2050"/>
      </w:tblGrid>
      <w:tr w:rsidR="00667DB2" w14:paraId="3C41E0DB" w14:textId="77777777">
        <w:trPr>
          <w:trHeight w:val="397"/>
          <w:tblHeader/>
          <w:jc w:val="center"/>
        </w:trPr>
        <w:tc>
          <w:tcPr>
            <w:tcW w:w="1390" w:type="pct"/>
            <w:tcMar>
              <w:top w:w="0" w:type="dxa"/>
              <w:left w:w="108" w:type="dxa"/>
              <w:bottom w:w="0" w:type="dxa"/>
              <w:right w:w="108" w:type="dxa"/>
            </w:tcMar>
            <w:vAlign w:val="center"/>
          </w:tcPr>
          <w:p w14:paraId="5AEE18FA" w14:textId="77777777" w:rsidR="00667DB2" w:rsidRDefault="009F02F4">
            <w:pPr>
              <w:keepNext/>
              <w:jc w:val="center"/>
              <w:rPr>
                <w:rFonts w:ascii="仿宋" w:eastAsia="仿宋" w:hAnsi="仿宋" w:cs="Times New Roman" w:hint="eastAsia"/>
                <w:b/>
                <w:szCs w:val="21"/>
              </w:rPr>
            </w:pPr>
            <w:bookmarkStart w:id="1" w:name="_Hlk198716358"/>
            <w:r>
              <w:rPr>
                <w:rFonts w:ascii="仿宋" w:eastAsia="仿宋" w:hAnsi="仿宋" w:cs="Times New Roman"/>
                <w:b/>
                <w:szCs w:val="21"/>
              </w:rPr>
              <w:t>项目</w:t>
            </w:r>
          </w:p>
        </w:tc>
        <w:tc>
          <w:tcPr>
            <w:tcW w:w="1203" w:type="pct"/>
            <w:tcMar>
              <w:top w:w="0" w:type="dxa"/>
              <w:left w:w="108" w:type="dxa"/>
              <w:bottom w:w="0" w:type="dxa"/>
              <w:right w:w="108" w:type="dxa"/>
            </w:tcMar>
            <w:vAlign w:val="center"/>
          </w:tcPr>
          <w:p w14:paraId="7B410390" w14:textId="77777777" w:rsidR="00667DB2" w:rsidRDefault="009F02F4">
            <w:pPr>
              <w:keepNext/>
              <w:jc w:val="center"/>
              <w:rPr>
                <w:rFonts w:ascii="仿宋" w:eastAsia="仿宋" w:hAnsi="仿宋" w:cs="Times New Roman" w:hint="eastAsia"/>
                <w:b/>
                <w:szCs w:val="21"/>
              </w:rPr>
            </w:pPr>
            <w:r>
              <w:rPr>
                <w:rFonts w:ascii="仿宋" w:eastAsia="仿宋" w:hAnsi="仿宋" w:cs="Times New Roman"/>
                <w:b/>
                <w:szCs w:val="21"/>
              </w:rPr>
              <w:t>资产总额与交易金额孰高</w:t>
            </w:r>
          </w:p>
        </w:tc>
        <w:tc>
          <w:tcPr>
            <w:tcW w:w="1203" w:type="pct"/>
            <w:tcMar>
              <w:top w:w="0" w:type="dxa"/>
              <w:left w:w="108" w:type="dxa"/>
              <w:bottom w:w="0" w:type="dxa"/>
              <w:right w:w="108" w:type="dxa"/>
            </w:tcMar>
            <w:vAlign w:val="center"/>
          </w:tcPr>
          <w:p w14:paraId="083295DD" w14:textId="77777777" w:rsidR="00667DB2" w:rsidRDefault="009F02F4">
            <w:pPr>
              <w:keepNext/>
              <w:jc w:val="center"/>
              <w:rPr>
                <w:rFonts w:ascii="仿宋" w:eastAsia="仿宋" w:hAnsi="仿宋" w:cs="Times New Roman" w:hint="eastAsia"/>
                <w:b/>
                <w:szCs w:val="21"/>
              </w:rPr>
            </w:pPr>
            <w:r>
              <w:rPr>
                <w:rFonts w:ascii="仿宋" w:eastAsia="仿宋" w:hAnsi="仿宋" w:cs="Times New Roman"/>
                <w:b/>
                <w:szCs w:val="21"/>
              </w:rPr>
              <w:t>资产净额与交易金额孰高</w:t>
            </w:r>
          </w:p>
        </w:tc>
        <w:tc>
          <w:tcPr>
            <w:tcW w:w="1203" w:type="pct"/>
            <w:tcMar>
              <w:top w:w="0" w:type="dxa"/>
              <w:left w:w="108" w:type="dxa"/>
              <w:bottom w:w="0" w:type="dxa"/>
              <w:right w:w="108" w:type="dxa"/>
            </w:tcMar>
            <w:vAlign w:val="center"/>
          </w:tcPr>
          <w:p w14:paraId="17ABFE27" w14:textId="77777777" w:rsidR="00667DB2" w:rsidRDefault="009F02F4">
            <w:pPr>
              <w:keepNext/>
              <w:jc w:val="center"/>
              <w:rPr>
                <w:rFonts w:ascii="仿宋" w:eastAsia="仿宋" w:hAnsi="仿宋" w:cs="Times New Roman" w:hint="eastAsia"/>
                <w:b/>
                <w:szCs w:val="21"/>
              </w:rPr>
            </w:pPr>
            <w:r>
              <w:rPr>
                <w:rFonts w:ascii="仿宋" w:eastAsia="仿宋" w:hAnsi="仿宋" w:cs="Times New Roman"/>
                <w:b/>
                <w:szCs w:val="21"/>
              </w:rPr>
              <w:t>营业收入</w:t>
            </w:r>
          </w:p>
        </w:tc>
      </w:tr>
      <w:tr w:rsidR="00667DB2" w14:paraId="487D44C4" w14:textId="77777777">
        <w:trPr>
          <w:trHeight w:val="397"/>
          <w:jc w:val="center"/>
        </w:trPr>
        <w:tc>
          <w:tcPr>
            <w:tcW w:w="1390" w:type="pct"/>
            <w:tcMar>
              <w:top w:w="0" w:type="dxa"/>
              <w:left w:w="108" w:type="dxa"/>
              <w:bottom w:w="0" w:type="dxa"/>
              <w:right w:w="108" w:type="dxa"/>
            </w:tcMar>
            <w:vAlign w:val="center"/>
          </w:tcPr>
          <w:p w14:paraId="465BFE5C" w14:textId="30134F21" w:rsidR="00667DB2" w:rsidRDefault="009F02F4">
            <w:pPr>
              <w:jc w:val="center"/>
              <w:rPr>
                <w:rFonts w:ascii="仿宋" w:eastAsia="仿宋" w:hAnsi="仿宋" w:cs="Times New Roman" w:hint="eastAsia"/>
                <w:szCs w:val="21"/>
              </w:rPr>
            </w:pPr>
            <w:r>
              <w:rPr>
                <w:rFonts w:ascii="仿宋" w:eastAsia="仿宋" w:hAnsi="仿宋" w:cs="Times New Roman"/>
                <w:szCs w:val="21"/>
              </w:rPr>
              <w:t>标的</w:t>
            </w:r>
            <w:r w:rsidR="00664FCE">
              <w:rPr>
                <w:rFonts w:ascii="仿宋" w:eastAsia="仿宋" w:hAnsi="仿宋" w:cs="Times New Roman" w:hint="eastAsia"/>
                <w:szCs w:val="21"/>
              </w:rPr>
              <w:t>资产</w:t>
            </w:r>
          </w:p>
        </w:tc>
        <w:tc>
          <w:tcPr>
            <w:tcW w:w="2052" w:type="dxa"/>
            <w:tcMar>
              <w:top w:w="0" w:type="dxa"/>
              <w:left w:w="108" w:type="dxa"/>
              <w:bottom w:w="0" w:type="dxa"/>
              <w:right w:w="108" w:type="dxa"/>
            </w:tcMar>
            <w:vAlign w:val="center"/>
          </w:tcPr>
          <w:p w14:paraId="5239F03A" w14:textId="77777777" w:rsidR="00667DB2" w:rsidRDefault="009F02F4">
            <w:pPr>
              <w:widowControl/>
              <w:jc w:val="right"/>
              <w:textAlignment w:val="center"/>
              <w:rPr>
                <w:rFonts w:ascii="仿宋" w:eastAsia="仿宋" w:hAnsi="仿宋" w:cs="Times New Roman" w:hint="eastAsia"/>
                <w:szCs w:val="21"/>
              </w:rPr>
            </w:pPr>
            <w:r>
              <w:rPr>
                <w:rFonts w:ascii="仿宋" w:eastAsia="仿宋" w:hAnsi="仿宋" w:cs="Times New Roman"/>
                <w:color w:val="000000"/>
                <w:kern w:val="0"/>
                <w:szCs w:val="21"/>
                <w:lang w:bidi="ar"/>
              </w:rPr>
              <w:t>1</w:t>
            </w:r>
            <w:r>
              <w:rPr>
                <w:rFonts w:ascii="仿宋" w:eastAsia="仿宋" w:hAnsi="仿宋" w:cs="Times New Roman" w:hint="eastAsia"/>
                <w:color w:val="000000"/>
                <w:kern w:val="0"/>
                <w:szCs w:val="21"/>
                <w:lang w:bidi="ar"/>
              </w:rPr>
              <w:t>18,850.53</w:t>
            </w:r>
          </w:p>
        </w:tc>
        <w:tc>
          <w:tcPr>
            <w:tcW w:w="2052" w:type="dxa"/>
            <w:tcMar>
              <w:top w:w="0" w:type="dxa"/>
              <w:left w:w="108" w:type="dxa"/>
              <w:bottom w:w="0" w:type="dxa"/>
              <w:right w:w="108" w:type="dxa"/>
            </w:tcMar>
            <w:vAlign w:val="center"/>
          </w:tcPr>
          <w:p w14:paraId="13C1D4FD" w14:textId="77777777" w:rsidR="00667DB2" w:rsidRDefault="009F02F4">
            <w:pPr>
              <w:widowControl/>
              <w:jc w:val="right"/>
              <w:textAlignment w:val="center"/>
              <w:rPr>
                <w:rFonts w:ascii="仿宋" w:eastAsia="仿宋" w:hAnsi="仿宋" w:cs="Times New Roman" w:hint="eastAsia"/>
                <w:szCs w:val="21"/>
              </w:rPr>
            </w:pPr>
            <w:r>
              <w:rPr>
                <w:rFonts w:ascii="仿宋" w:eastAsia="仿宋" w:hAnsi="仿宋" w:cs="Times New Roman"/>
                <w:color w:val="000000"/>
                <w:kern w:val="0"/>
                <w:szCs w:val="21"/>
                <w:lang w:bidi="ar"/>
              </w:rPr>
              <w:t>1</w:t>
            </w:r>
            <w:r>
              <w:rPr>
                <w:rFonts w:ascii="仿宋" w:eastAsia="仿宋" w:hAnsi="仿宋" w:cs="Times New Roman" w:hint="eastAsia"/>
                <w:color w:val="000000"/>
                <w:kern w:val="0"/>
                <w:szCs w:val="21"/>
                <w:lang w:bidi="ar"/>
              </w:rPr>
              <w:t>18,850.53</w:t>
            </w:r>
          </w:p>
        </w:tc>
        <w:tc>
          <w:tcPr>
            <w:tcW w:w="2052" w:type="dxa"/>
            <w:tcMar>
              <w:top w:w="0" w:type="dxa"/>
              <w:left w:w="108" w:type="dxa"/>
              <w:bottom w:w="0" w:type="dxa"/>
              <w:right w:w="108" w:type="dxa"/>
            </w:tcMar>
            <w:vAlign w:val="center"/>
          </w:tcPr>
          <w:p w14:paraId="0E14A150" w14:textId="04D461F3" w:rsidR="00667DB2" w:rsidRDefault="009F02F4">
            <w:pPr>
              <w:widowControl/>
              <w:spacing w:before="50" w:after="50"/>
              <w:jc w:val="right"/>
              <w:textAlignment w:val="center"/>
              <w:rPr>
                <w:rFonts w:ascii="仿宋" w:eastAsia="仿宋" w:hAnsi="仿宋" w:cs="Times New Roman" w:hint="eastAsia"/>
                <w:color w:val="000000"/>
                <w:szCs w:val="21"/>
                <w:highlight w:val="yellow"/>
              </w:rPr>
            </w:pPr>
            <w:r>
              <w:rPr>
                <w:rFonts w:ascii="仿宋" w:eastAsia="仿宋" w:hAnsi="仿宋" w:cs="Times New Roman"/>
                <w:color w:val="000000"/>
                <w:kern w:val="0"/>
                <w:szCs w:val="21"/>
                <w:lang w:bidi="ar"/>
              </w:rPr>
              <w:t>44,7</w:t>
            </w:r>
            <w:r>
              <w:rPr>
                <w:rFonts w:ascii="仿宋" w:eastAsia="仿宋" w:hAnsi="仿宋" w:cs="Times New Roman" w:hint="eastAsia"/>
                <w:color w:val="000000"/>
                <w:kern w:val="0"/>
                <w:szCs w:val="21"/>
                <w:lang w:bidi="ar"/>
              </w:rPr>
              <w:t>16</w:t>
            </w:r>
            <w:r>
              <w:rPr>
                <w:rFonts w:ascii="仿宋" w:eastAsia="仿宋" w:hAnsi="仿宋" w:cs="Times New Roman"/>
                <w:color w:val="000000"/>
                <w:kern w:val="0"/>
                <w:szCs w:val="21"/>
                <w:lang w:bidi="ar"/>
              </w:rPr>
              <w:t>.</w:t>
            </w:r>
            <w:r>
              <w:rPr>
                <w:rFonts w:ascii="仿宋" w:eastAsia="仿宋" w:hAnsi="仿宋" w:cs="Times New Roman" w:hint="eastAsia"/>
                <w:color w:val="000000"/>
                <w:kern w:val="0"/>
                <w:szCs w:val="21"/>
                <w:lang w:bidi="ar"/>
              </w:rPr>
              <w:t>44</w:t>
            </w:r>
          </w:p>
        </w:tc>
      </w:tr>
      <w:tr w:rsidR="00667DB2" w14:paraId="10517AC3" w14:textId="77777777">
        <w:trPr>
          <w:trHeight w:val="397"/>
          <w:jc w:val="center"/>
        </w:trPr>
        <w:tc>
          <w:tcPr>
            <w:tcW w:w="1390" w:type="pct"/>
            <w:tcMar>
              <w:top w:w="0" w:type="dxa"/>
              <w:left w:w="108" w:type="dxa"/>
              <w:bottom w:w="0" w:type="dxa"/>
              <w:right w:w="108" w:type="dxa"/>
            </w:tcMar>
            <w:vAlign w:val="center"/>
          </w:tcPr>
          <w:p w14:paraId="08C3F0B8" w14:textId="77777777" w:rsidR="00667DB2" w:rsidRDefault="009F02F4">
            <w:pPr>
              <w:jc w:val="center"/>
              <w:rPr>
                <w:rFonts w:ascii="仿宋" w:eastAsia="仿宋" w:hAnsi="仿宋" w:cs="Times New Roman" w:hint="eastAsia"/>
                <w:szCs w:val="21"/>
              </w:rPr>
            </w:pPr>
            <w:r>
              <w:rPr>
                <w:rFonts w:ascii="仿宋" w:eastAsia="仿宋" w:hAnsi="仿宋" w:cs="Times New Roman"/>
                <w:szCs w:val="21"/>
              </w:rPr>
              <w:t>上市公司</w:t>
            </w:r>
          </w:p>
        </w:tc>
        <w:tc>
          <w:tcPr>
            <w:tcW w:w="2052" w:type="dxa"/>
            <w:tcMar>
              <w:top w:w="0" w:type="dxa"/>
              <w:left w:w="108" w:type="dxa"/>
              <w:bottom w:w="0" w:type="dxa"/>
              <w:right w:w="108" w:type="dxa"/>
            </w:tcMar>
            <w:vAlign w:val="center"/>
          </w:tcPr>
          <w:p w14:paraId="5FF66A54" w14:textId="77777777" w:rsidR="00667DB2" w:rsidRDefault="009F02F4">
            <w:pPr>
              <w:widowControl/>
              <w:jc w:val="right"/>
              <w:textAlignment w:val="center"/>
              <w:rPr>
                <w:rFonts w:ascii="仿宋" w:eastAsia="仿宋" w:hAnsi="仿宋" w:cs="Times New Roman" w:hint="eastAsia"/>
                <w:szCs w:val="21"/>
              </w:rPr>
            </w:pPr>
            <w:r>
              <w:rPr>
                <w:rFonts w:ascii="仿宋" w:eastAsia="仿宋" w:hAnsi="仿宋" w:cs="Times New Roman"/>
                <w:color w:val="000000"/>
                <w:kern w:val="0"/>
                <w:szCs w:val="21"/>
                <w:lang w:bidi="ar"/>
              </w:rPr>
              <w:t>133,376.68</w:t>
            </w:r>
          </w:p>
        </w:tc>
        <w:tc>
          <w:tcPr>
            <w:tcW w:w="2052" w:type="dxa"/>
            <w:tcMar>
              <w:top w:w="0" w:type="dxa"/>
              <w:left w:w="108" w:type="dxa"/>
              <w:bottom w:w="0" w:type="dxa"/>
              <w:right w:w="108" w:type="dxa"/>
            </w:tcMar>
            <w:vAlign w:val="center"/>
          </w:tcPr>
          <w:p w14:paraId="0B5A0E28" w14:textId="77777777" w:rsidR="00667DB2" w:rsidRDefault="009F02F4">
            <w:pPr>
              <w:widowControl/>
              <w:jc w:val="right"/>
              <w:textAlignment w:val="center"/>
              <w:rPr>
                <w:rFonts w:ascii="仿宋" w:eastAsia="仿宋" w:hAnsi="仿宋" w:cs="Times New Roman" w:hint="eastAsia"/>
                <w:szCs w:val="21"/>
              </w:rPr>
            </w:pPr>
            <w:r>
              <w:rPr>
                <w:rFonts w:ascii="仿宋" w:eastAsia="仿宋" w:hAnsi="仿宋" w:cs="Times New Roman"/>
                <w:color w:val="000000"/>
                <w:kern w:val="0"/>
                <w:szCs w:val="21"/>
                <w:lang w:bidi="ar"/>
              </w:rPr>
              <w:t>75,825.02</w:t>
            </w:r>
          </w:p>
        </w:tc>
        <w:tc>
          <w:tcPr>
            <w:tcW w:w="2052" w:type="dxa"/>
            <w:tcMar>
              <w:top w:w="0" w:type="dxa"/>
              <w:left w:w="108" w:type="dxa"/>
              <w:bottom w:w="0" w:type="dxa"/>
              <w:right w:w="108" w:type="dxa"/>
            </w:tcMar>
            <w:vAlign w:val="center"/>
          </w:tcPr>
          <w:p w14:paraId="18DDCEC1" w14:textId="77777777" w:rsidR="00667DB2" w:rsidRDefault="009F02F4">
            <w:pPr>
              <w:widowControl/>
              <w:spacing w:before="50" w:after="50"/>
              <w:jc w:val="right"/>
              <w:textAlignment w:val="center"/>
              <w:rPr>
                <w:rFonts w:ascii="仿宋" w:eastAsia="仿宋" w:hAnsi="仿宋" w:cs="Times New Roman" w:hint="eastAsia"/>
                <w:szCs w:val="21"/>
                <w:highlight w:val="yellow"/>
              </w:rPr>
            </w:pPr>
            <w:r>
              <w:rPr>
                <w:rFonts w:ascii="仿宋" w:eastAsia="仿宋" w:hAnsi="仿宋" w:cs="Times New Roman"/>
                <w:color w:val="000000"/>
                <w:kern w:val="0"/>
                <w:szCs w:val="21"/>
                <w:lang w:bidi="ar"/>
              </w:rPr>
              <w:t>22,363.30</w:t>
            </w:r>
          </w:p>
        </w:tc>
      </w:tr>
      <w:tr w:rsidR="00667DB2" w14:paraId="1252BE58" w14:textId="77777777">
        <w:trPr>
          <w:trHeight w:val="397"/>
          <w:jc w:val="center"/>
        </w:trPr>
        <w:tc>
          <w:tcPr>
            <w:tcW w:w="1390" w:type="pct"/>
            <w:tcMar>
              <w:top w:w="0" w:type="dxa"/>
              <w:left w:w="108" w:type="dxa"/>
              <w:bottom w:w="0" w:type="dxa"/>
              <w:right w:w="108" w:type="dxa"/>
            </w:tcMar>
            <w:vAlign w:val="center"/>
          </w:tcPr>
          <w:p w14:paraId="20DF4A9B" w14:textId="77777777" w:rsidR="00667DB2" w:rsidRDefault="009F02F4">
            <w:pPr>
              <w:jc w:val="center"/>
              <w:rPr>
                <w:rFonts w:ascii="仿宋" w:eastAsia="仿宋" w:hAnsi="仿宋" w:cs="Times New Roman" w:hint="eastAsia"/>
                <w:b/>
                <w:szCs w:val="21"/>
              </w:rPr>
            </w:pPr>
            <w:r>
              <w:rPr>
                <w:rFonts w:ascii="仿宋" w:eastAsia="仿宋" w:hAnsi="仿宋" w:cs="Times New Roman"/>
                <w:b/>
                <w:szCs w:val="21"/>
              </w:rPr>
              <w:t>占比</w:t>
            </w:r>
          </w:p>
        </w:tc>
        <w:tc>
          <w:tcPr>
            <w:tcW w:w="2052" w:type="dxa"/>
            <w:tcMar>
              <w:top w:w="0" w:type="dxa"/>
              <w:left w:w="108" w:type="dxa"/>
              <w:bottom w:w="0" w:type="dxa"/>
              <w:right w:w="108" w:type="dxa"/>
            </w:tcMar>
            <w:vAlign w:val="center"/>
          </w:tcPr>
          <w:p w14:paraId="313DE5E4" w14:textId="77777777" w:rsidR="00667DB2" w:rsidRDefault="009F02F4">
            <w:pPr>
              <w:widowControl/>
              <w:spacing w:before="50" w:after="50"/>
              <w:jc w:val="right"/>
              <w:textAlignment w:val="center"/>
              <w:rPr>
                <w:rFonts w:ascii="仿宋" w:eastAsia="仿宋" w:hAnsi="仿宋" w:cs="Times New Roman" w:hint="eastAsia"/>
                <w:b/>
                <w:bCs/>
                <w:color w:val="000000"/>
                <w:kern w:val="0"/>
                <w:szCs w:val="21"/>
                <w:lang w:bidi="ar"/>
              </w:rPr>
            </w:pPr>
            <w:r>
              <w:rPr>
                <w:rFonts w:ascii="仿宋" w:eastAsia="仿宋" w:hAnsi="仿宋" w:cs="Times New Roman"/>
                <w:b/>
                <w:bCs/>
                <w:color w:val="000000"/>
                <w:kern w:val="0"/>
                <w:szCs w:val="21"/>
                <w:lang w:bidi="ar"/>
              </w:rPr>
              <w:t>89.11%</w:t>
            </w:r>
          </w:p>
        </w:tc>
        <w:tc>
          <w:tcPr>
            <w:tcW w:w="2052" w:type="dxa"/>
            <w:tcMar>
              <w:top w:w="0" w:type="dxa"/>
              <w:left w:w="108" w:type="dxa"/>
              <w:bottom w:w="0" w:type="dxa"/>
              <w:right w:w="108" w:type="dxa"/>
            </w:tcMar>
            <w:vAlign w:val="center"/>
          </w:tcPr>
          <w:p w14:paraId="2EA91D8B" w14:textId="77777777" w:rsidR="00667DB2" w:rsidRDefault="009F02F4">
            <w:pPr>
              <w:widowControl/>
              <w:spacing w:before="50" w:after="50"/>
              <w:jc w:val="right"/>
              <w:textAlignment w:val="center"/>
              <w:rPr>
                <w:rFonts w:ascii="仿宋" w:eastAsia="仿宋" w:hAnsi="仿宋" w:cs="Times New Roman" w:hint="eastAsia"/>
                <w:b/>
                <w:bCs/>
                <w:color w:val="000000"/>
                <w:kern w:val="0"/>
                <w:szCs w:val="21"/>
                <w:lang w:bidi="ar"/>
              </w:rPr>
            </w:pPr>
            <w:r>
              <w:rPr>
                <w:rFonts w:ascii="仿宋" w:eastAsia="仿宋" w:hAnsi="仿宋" w:cs="Times New Roman"/>
                <w:b/>
                <w:bCs/>
                <w:color w:val="000000"/>
                <w:kern w:val="0"/>
                <w:szCs w:val="21"/>
                <w:lang w:bidi="ar"/>
              </w:rPr>
              <w:t>156.74%</w:t>
            </w:r>
          </w:p>
        </w:tc>
        <w:tc>
          <w:tcPr>
            <w:tcW w:w="2052" w:type="dxa"/>
            <w:tcMar>
              <w:top w:w="0" w:type="dxa"/>
              <w:left w:w="108" w:type="dxa"/>
              <w:bottom w:w="0" w:type="dxa"/>
              <w:right w:w="108" w:type="dxa"/>
            </w:tcMar>
            <w:vAlign w:val="center"/>
          </w:tcPr>
          <w:p w14:paraId="28DF1C70" w14:textId="62BE53EF" w:rsidR="00667DB2" w:rsidRDefault="009F02F4">
            <w:pPr>
              <w:widowControl/>
              <w:spacing w:before="50" w:after="50"/>
              <w:jc w:val="right"/>
              <w:textAlignment w:val="center"/>
              <w:rPr>
                <w:rFonts w:ascii="仿宋" w:eastAsia="仿宋" w:hAnsi="仿宋" w:cs="Times New Roman" w:hint="eastAsia"/>
                <w:b/>
                <w:bCs/>
                <w:color w:val="000000"/>
                <w:szCs w:val="21"/>
                <w:highlight w:val="yellow"/>
              </w:rPr>
            </w:pPr>
            <w:r>
              <w:rPr>
                <w:rFonts w:ascii="仿宋" w:eastAsia="仿宋" w:hAnsi="仿宋" w:cs="Times New Roman" w:hint="eastAsia"/>
                <w:b/>
                <w:bCs/>
                <w:color w:val="000000"/>
                <w:kern w:val="0"/>
                <w:szCs w:val="21"/>
                <w:lang w:bidi="ar"/>
              </w:rPr>
              <w:t>199.95</w:t>
            </w:r>
            <w:r>
              <w:rPr>
                <w:rFonts w:ascii="仿宋" w:eastAsia="仿宋" w:hAnsi="仿宋" w:cs="Times New Roman"/>
                <w:b/>
                <w:bCs/>
                <w:color w:val="000000"/>
                <w:kern w:val="0"/>
                <w:szCs w:val="21"/>
                <w:lang w:bidi="ar"/>
              </w:rPr>
              <w:t>%</w:t>
            </w:r>
          </w:p>
        </w:tc>
      </w:tr>
    </w:tbl>
    <w:bookmarkEnd w:id="1"/>
    <w:p w14:paraId="0B5CFEA7" w14:textId="3EF3EAD4" w:rsidR="00667DB2" w:rsidRDefault="009F02F4">
      <w:pPr>
        <w:ind w:firstLineChars="200" w:firstLine="420"/>
        <w:rPr>
          <w:rFonts w:ascii="仿宋" w:eastAsia="仿宋" w:hAnsi="仿宋" w:cs="Arial" w:hint="eastAsia"/>
          <w:bCs/>
        </w:rPr>
      </w:pPr>
      <w:r>
        <w:rPr>
          <w:rFonts w:ascii="仿宋" w:eastAsia="仿宋" w:hAnsi="仿宋" w:cs="Arial" w:hint="eastAsia"/>
          <w:bCs/>
        </w:rPr>
        <w:t>注：上市公司、</w:t>
      </w:r>
      <w:r w:rsidR="00664FCE">
        <w:rPr>
          <w:rFonts w:ascii="仿宋" w:eastAsia="仿宋" w:hAnsi="仿宋" w:cs="Arial" w:hint="eastAsia"/>
          <w:bCs/>
        </w:rPr>
        <w:t>标的公司</w:t>
      </w:r>
      <w:r>
        <w:rPr>
          <w:rFonts w:ascii="仿宋" w:eastAsia="仿宋" w:hAnsi="仿宋" w:cs="Arial" w:hint="eastAsia"/>
          <w:bCs/>
        </w:rPr>
        <w:t>的财务数据为2024年经审计财务数据。</w:t>
      </w:r>
    </w:p>
    <w:p w14:paraId="0B672B74" w14:textId="27BE46EB" w:rsidR="00667DB2" w:rsidRDefault="005B589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因此</w:t>
      </w:r>
      <w:r w:rsidR="009F02F4">
        <w:rPr>
          <w:rFonts w:ascii="仿宋" w:eastAsia="仿宋" w:hAnsi="仿宋" w:cs="仿宋" w:hint="eastAsia"/>
          <w:sz w:val="24"/>
          <w:szCs w:val="24"/>
        </w:rPr>
        <w:t>，本次交易将达到《上市公司重大资产重组管理办法》第十二条规定的重大资产重组标准，本次交易构成重大资产重组。</w:t>
      </w:r>
    </w:p>
    <w:p w14:paraId="6949D4E8" w14:textId="77777777" w:rsidR="00667DB2" w:rsidRDefault="009F02F4">
      <w:pPr>
        <w:adjustRightInd w:val="0"/>
        <w:snapToGrid w:val="0"/>
        <w:spacing w:beforeLines="50" w:before="156" w:afterLines="50" w:after="156" w:line="360" w:lineRule="auto"/>
        <w:ind w:firstLineChars="200" w:firstLine="482"/>
        <w:contextualSpacing/>
        <w:rPr>
          <w:rFonts w:ascii="仿宋" w:eastAsia="仿宋" w:hAnsi="仿宋" w:cs="仿宋" w:hint="eastAsia"/>
          <w:b/>
          <w:bCs/>
          <w:sz w:val="24"/>
          <w:szCs w:val="24"/>
        </w:rPr>
      </w:pPr>
      <w:r>
        <w:rPr>
          <w:rFonts w:ascii="仿宋" w:eastAsia="仿宋" w:hAnsi="仿宋" w:cs="仿宋" w:hint="eastAsia"/>
          <w:b/>
          <w:bCs/>
          <w:sz w:val="24"/>
          <w:szCs w:val="24"/>
        </w:rPr>
        <w:t>二、本次交易不构成重组上市</w:t>
      </w:r>
    </w:p>
    <w:p w14:paraId="14F23F3F" w14:textId="77777777" w:rsidR="00667DB2" w:rsidRDefault="009F02F4">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本次交易前后，公司的实际控制人均为林明玲女士及马学沛先生，本次交易不会导致公司控制权变更；且本次交易前36个月内，公司的实际控制权未发生变化。因此，本次交易不构成《上市公司重大资产重组管理办法》第十三条规定的重组上市。</w:t>
      </w:r>
    </w:p>
    <w:bookmarkEnd w:id="0"/>
    <w:p w14:paraId="11D312C8" w14:textId="77777777" w:rsidR="00667DB2" w:rsidRDefault="009F02F4">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特此说明。</w:t>
      </w:r>
    </w:p>
    <w:p w14:paraId="39469886" w14:textId="77777777" w:rsidR="00667DB2" w:rsidRDefault="009F02F4">
      <w:pPr>
        <w:rPr>
          <w:rFonts w:ascii="仿宋" w:eastAsia="仿宋" w:hAnsi="仿宋" w:cs="仿宋" w:hint="eastAsia"/>
          <w:sz w:val="24"/>
          <w:szCs w:val="24"/>
        </w:rPr>
      </w:pPr>
      <w:r>
        <w:rPr>
          <w:rFonts w:ascii="仿宋" w:eastAsia="仿宋" w:hAnsi="仿宋" w:cs="仿宋" w:hint="eastAsia"/>
          <w:sz w:val="24"/>
          <w:szCs w:val="24"/>
        </w:rPr>
        <w:br w:type="page"/>
      </w:r>
    </w:p>
    <w:p w14:paraId="634918E5" w14:textId="025332C9" w:rsidR="00667DB2" w:rsidRDefault="009F02F4">
      <w:pPr>
        <w:spacing w:before="120" w:after="120" w:line="440" w:lineRule="exact"/>
        <w:rPr>
          <w:rFonts w:ascii="仿宋" w:eastAsia="仿宋" w:hAnsi="仿宋" w:cs="仿宋" w:hint="eastAsia"/>
          <w:sz w:val="24"/>
          <w:szCs w:val="24"/>
        </w:rPr>
      </w:pPr>
      <w:r>
        <w:rPr>
          <w:rFonts w:ascii="仿宋" w:eastAsia="仿宋" w:hAnsi="仿宋" w:cs="仿宋" w:hint="eastAsia"/>
          <w:sz w:val="24"/>
          <w:szCs w:val="24"/>
        </w:rPr>
        <w:lastRenderedPageBreak/>
        <w:t>（本页无正文，为《广东天亿马信息产业股份有限公司董事会关于本次交易构成重大资产重组、不构成重组上市情形的说明》之盖章页）</w:t>
      </w:r>
    </w:p>
    <w:p w14:paraId="094563FF" w14:textId="540A5715" w:rsidR="00667DB2" w:rsidRDefault="00667DB2">
      <w:pPr>
        <w:adjustRightInd w:val="0"/>
        <w:snapToGrid w:val="0"/>
        <w:spacing w:line="360" w:lineRule="auto"/>
        <w:ind w:firstLineChars="200" w:firstLine="420"/>
        <w:contextualSpacing/>
        <w:rPr>
          <w:rFonts w:ascii="仿宋" w:eastAsia="仿宋" w:hAnsi="仿宋" w:cs="仿宋" w:hint="eastAsia"/>
        </w:rPr>
      </w:pPr>
    </w:p>
    <w:p w14:paraId="7A5B2017" w14:textId="77777777" w:rsidR="00667DB2" w:rsidRDefault="00667DB2">
      <w:pPr>
        <w:adjustRightInd w:val="0"/>
        <w:snapToGrid w:val="0"/>
        <w:spacing w:line="360" w:lineRule="auto"/>
        <w:ind w:firstLineChars="200" w:firstLine="420"/>
        <w:contextualSpacing/>
        <w:rPr>
          <w:rFonts w:ascii="仿宋" w:eastAsia="仿宋" w:hAnsi="仿宋" w:cs="仿宋" w:hint="eastAsia"/>
        </w:rPr>
      </w:pPr>
    </w:p>
    <w:p w14:paraId="70EEE703" w14:textId="77777777" w:rsidR="00667DB2" w:rsidRDefault="00667DB2">
      <w:pPr>
        <w:adjustRightInd w:val="0"/>
        <w:snapToGrid w:val="0"/>
        <w:spacing w:line="360" w:lineRule="auto"/>
        <w:ind w:firstLineChars="200" w:firstLine="420"/>
        <w:contextualSpacing/>
        <w:rPr>
          <w:rFonts w:ascii="仿宋" w:eastAsia="仿宋" w:hAnsi="仿宋" w:cs="仿宋" w:hint="eastAsia"/>
        </w:rPr>
      </w:pPr>
    </w:p>
    <w:p w14:paraId="1EEDEFFA" w14:textId="77777777" w:rsidR="00667DB2" w:rsidRDefault="00667DB2">
      <w:pPr>
        <w:adjustRightInd w:val="0"/>
        <w:snapToGrid w:val="0"/>
        <w:spacing w:line="360" w:lineRule="auto"/>
        <w:ind w:firstLineChars="200" w:firstLine="420"/>
        <w:contextualSpacing/>
        <w:rPr>
          <w:rFonts w:ascii="仿宋" w:eastAsia="仿宋" w:hAnsi="仿宋" w:cs="仿宋" w:hint="eastAsia"/>
        </w:rPr>
      </w:pPr>
    </w:p>
    <w:p w14:paraId="085F7BB0" w14:textId="77777777" w:rsidR="00667DB2" w:rsidRDefault="00667DB2">
      <w:pPr>
        <w:adjustRightInd w:val="0"/>
        <w:snapToGrid w:val="0"/>
        <w:spacing w:line="360" w:lineRule="auto"/>
        <w:ind w:firstLineChars="200" w:firstLine="420"/>
        <w:contextualSpacing/>
        <w:rPr>
          <w:rFonts w:ascii="仿宋" w:eastAsia="仿宋" w:hAnsi="仿宋" w:cs="仿宋" w:hint="eastAsia"/>
        </w:rPr>
      </w:pPr>
    </w:p>
    <w:p w14:paraId="59852ED0" w14:textId="77777777" w:rsidR="00667DB2" w:rsidRDefault="00667DB2">
      <w:pPr>
        <w:adjustRightInd w:val="0"/>
        <w:snapToGrid w:val="0"/>
        <w:spacing w:line="360" w:lineRule="auto"/>
        <w:ind w:firstLineChars="200" w:firstLine="420"/>
        <w:contextualSpacing/>
        <w:rPr>
          <w:rFonts w:ascii="仿宋" w:eastAsia="仿宋" w:hAnsi="仿宋" w:cs="仿宋" w:hint="eastAsia"/>
        </w:rPr>
      </w:pPr>
    </w:p>
    <w:p w14:paraId="530CF097" w14:textId="77777777" w:rsidR="00667DB2" w:rsidRDefault="00667DB2">
      <w:pPr>
        <w:adjustRightInd w:val="0"/>
        <w:snapToGrid w:val="0"/>
        <w:spacing w:line="360" w:lineRule="auto"/>
        <w:ind w:firstLineChars="200" w:firstLine="420"/>
        <w:contextualSpacing/>
        <w:rPr>
          <w:rFonts w:ascii="仿宋" w:eastAsia="仿宋" w:hAnsi="仿宋" w:cs="仿宋" w:hint="eastAsia"/>
        </w:rPr>
      </w:pPr>
    </w:p>
    <w:p w14:paraId="38BB5757" w14:textId="77777777" w:rsidR="00667DB2" w:rsidRDefault="00667DB2">
      <w:pPr>
        <w:adjustRightInd w:val="0"/>
        <w:snapToGrid w:val="0"/>
        <w:spacing w:line="360" w:lineRule="auto"/>
        <w:ind w:firstLineChars="200" w:firstLine="420"/>
        <w:contextualSpacing/>
        <w:rPr>
          <w:rFonts w:ascii="仿宋" w:eastAsia="仿宋" w:hAnsi="仿宋" w:cs="仿宋" w:hint="eastAsia"/>
        </w:rPr>
      </w:pPr>
    </w:p>
    <w:p w14:paraId="7E7377B8" w14:textId="77777777" w:rsidR="00667DB2" w:rsidRDefault="00667DB2">
      <w:pPr>
        <w:adjustRightInd w:val="0"/>
        <w:snapToGrid w:val="0"/>
        <w:spacing w:line="360" w:lineRule="auto"/>
        <w:ind w:firstLineChars="200" w:firstLine="420"/>
        <w:contextualSpacing/>
        <w:rPr>
          <w:rFonts w:ascii="仿宋" w:eastAsia="仿宋" w:hAnsi="仿宋" w:cs="仿宋" w:hint="eastAsia"/>
        </w:rPr>
      </w:pPr>
    </w:p>
    <w:p w14:paraId="22584C0A" w14:textId="77777777" w:rsidR="00667DB2" w:rsidRDefault="00667DB2">
      <w:pPr>
        <w:adjustRightInd w:val="0"/>
        <w:snapToGrid w:val="0"/>
        <w:spacing w:line="360" w:lineRule="auto"/>
        <w:contextualSpacing/>
        <w:rPr>
          <w:rFonts w:ascii="仿宋" w:eastAsia="仿宋" w:hAnsi="仿宋" w:cs="仿宋" w:hint="eastAsia"/>
        </w:rPr>
      </w:pPr>
    </w:p>
    <w:p w14:paraId="7F452586" w14:textId="77777777" w:rsidR="00667DB2" w:rsidRDefault="009F02F4">
      <w:pPr>
        <w:spacing w:before="120" w:after="120" w:line="440" w:lineRule="exact"/>
        <w:jc w:val="right"/>
        <w:rPr>
          <w:rFonts w:ascii="仿宋" w:eastAsia="仿宋" w:hAnsi="仿宋" w:cs="仿宋" w:hint="eastAsia"/>
          <w:sz w:val="24"/>
          <w:szCs w:val="24"/>
        </w:rPr>
      </w:pPr>
      <w:r>
        <w:rPr>
          <w:rFonts w:ascii="仿宋" w:eastAsia="仿宋" w:hAnsi="仿宋" w:cs="仿宋" w:hint="eastAsia"/>
          <w:sz w:val="24"/>
          <w:szCs w:val="24"/>
        </w:rPr>
        <w:t>广东天亿马信息产业股份有限公司</w:t>
      </w:r>
    </w:p>
    <w:p w14:paraId="779A54E3" w14:textId="77777777" w:rsidR="00667DB2" w:rsidRDefault="009F02F4">
      <w:pPr>
        <w:spacing w:before="120" w:after="120" w:line="440" w:lineRule="exact"/>
        <w:jc w:val="right"/>
        <w:rPr>
          <w:rFonts w:ascii="仿宋" w:eastAsia="仿宋" w:hAnsi="仿宋" w:cs="仿宋" w:hint="eastAsia"/>
          <w:sz w:val="24"/>
          <w:szCs w:val="24"/>
        </w:rPr>
      </w:pPr>
      <w:r>
        <w:rPr>
          <w:rFonts w:ascii="仿宋" w:eastAsia="仿宋" w:hAnsi="仿宋" w:cs="仿宋" w:hint="eastAsia"/>
          <w:sz w:val="24"/>
          <w:szCs w:val="24"/>
        </w:rPr>
        <w:t>董事会</w:t>
      </w:r>
    </w:p>
    <w:p w14:paraId="652E81B9" w14:textId="42675765" w:rsidR="00667DB2" w:rsidRDefault="005353CB">
      <w:pPr>
        <w:spacing w:before="120" w:after="120" w:line="440" w:lineRule="exact"/>
        <w:jc w:val="right"/>
        <w:rPr>
          <w:rFonts w:ascii="仿宋" w:eastAsia="仿宋" w:hAnsi="仿宋" w:cs="仿宋" w:hint="eastAsia"/>
          <w:sz w:val="24"/>
          <w:szCs w:val="24"/>
        </w:rPr>
      </w:pPr>
      <w:r>
        <w:rPr>
          <w:rFonts w:ascii="仿宋" w:eastAsia="仿宋" w:hAnsi="仿宋" w:cs="仿宋" w:hint="eastAsia"/>
          <w:sz w:val="24"/>
          <w:szCs w:val="24"/>
        </w:rPr>
        <w:t>2025</w:t>
      </w:r>
      <w:r w:rsidR="009F02F4">
        <w:rPr>
          <w:rFonts w:ascii="仿宋" w:eastAsia="仿宋" w:hAnsi="仿宋" w:cs="仿宋" w:hint="eastAsia"/>
          <w:sz w:val="24"/>
          <w:szCs w:val="24"/>
        </w:rPr>
        <w:t>年</w:t>
      </w:r>
      <w:r>
        <w:rPr>
          <w:rFonts w:ascii="仿宋" w:eastAsia="仿宋" w:hAnsi="仿宋" w:cs="仿宋" w:hint="eastAsia"/>
          <w:sz w:val="24"/>
          <w:szCs w:val="24"/>
        </w:rPr>
        <w:t>11</w:t>
      </w:r>
      <w:r w:rsidR="009F02F4">
        <w:rPr>
          <w:rFonts w:ascii="仿宋" w:eastAsia="仿宋" w:hAnsi="仿宋" w:cs="仿宋" w:hint="eastAsia"/>
          <w:sz w:val="24"/>
          <w:szCs w:val="24"/>
        </w:rPr>
        <w:t>月</w:t>
      </w:r>
      <w:r>
        <w:rPr>
          <w:rFonts w:ascii="仿宋" w:eastAsia="仿宋" w:hAnsi="仿宋" w:cs="仿宋" w:hint="eastAsia"/>
          <w:sz w:val="24"/>
          <w:szCs w:val="24"/>
        </w:rPr>
        <w:t>18</w:t>
      </w:r>
      <w:r w:rsidR="009F02F4">
        <w:rPr>
          <w:rFonts w:ascii="仿宋" w:eastAsia="仿宋" w:hAnsi="仿宋" w:cs="仿宋" w:hint="eastAsia"/>
          <w:sz w:val="24"/>
          <w:szCs w:val="24"/>
        </w:rPr>
        <w:t>日</w:t>
      </w:r>
    </w:p>
    <w:p w14:paraId="46D3ABFF" w14:textId="77777777" w:rsidR="00667DB2" w:rsidRDefault="00667DB2">
      <w:pPr>
        <w:adjustRightInd w:val="0"/>
        <w:snapToGrid w:val="0"/>
        <w:spacing w:line="360" w:lineRule="auto"/>
        <w:ind w:firstLineChars="200" w:firstLine="480"/>
        <w:contextualSpacing/>
        <w:rPr>
          <w:rFonts w:ascii="仿宋" w:eastAsia="仿宋" w:hAnsi="仿宋" w:cs="仿宋" w:hint="eastAsia"/>
          <w:sz w:val="24"/>
          <w:szCs w:val="24"/>
        </w:rPr>
      </w:pPr>
    </w:p>
    <w:sectPr w:rsidR="00667DB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37F778" w14:textId="77777777" w:rsidR="002036BA" w:rsidRDefault="002036BA" w:rsidP="009A25A7">
      <w:r>
        <w:separator/>
      </w:r>
    </w:p>
  </w:endnote>
  <w:endnote w:type="continuationSeparator" w:id="0">
    <w:p w14:paraId="33D65409" w14:textId="77777777" w:rsidR="002036BA" w:rsidRDefault="002036BA" w:rsidP="009A2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38422630"/>
      <w:docPartObj>
        <w:docPartGallery w:val="Page Numbers (Bottom of Page)"/>
        <w:docPartUnique/>
      </w:docPartObj>
    </w:sdtPr>
    <w:sdtContent>
      <w:p w14:paraId="4270ED8F" w14:textId="6B6424B0" w:rsidR="00F40A6B" w:rsidRPr="00F40A6B" w:rsidRDefault="00F40A6B">
        <w:pPr>
          <w:pStyle w:val="a7"/>
          <w:jc w:val="center"/>
          <w:rPr>
            <w:rFonts w:ascii="Times New Roman" w:hAnsi="Times New Roman" w:cs="Times New Roman"/>
          </w:rPr>
        </w:pPr>
        <w:r w:rsidRPr="00F40A6B">
          <w:rPr>
            <w:rFonts w:ascii="Times New Roman" w:hAnsi="Times New Roman" w:cs="Times New Roman"/>
          </w:rPr>
          <w:fldChar w:fldCharType="begin"/>
        </w:r>
        <w:r w:rsidRPr="00F40A6B">
          <w:rPr>
            <w:rFonts w:ascii="Times New Roman" w:hAnsi="Times New Roman" w:cs="Times New Roman"/>
          </w:rPr>
          <w:instrText>PAGE   \* MERGEFORMAT</w:instrText>
        </w:r>
        <w:r w:rsidRPr="00F40A6B">
          <w:rPr>
            <w:rFonts w:ascii="Times New Roman" w:hAnsi="Times New Roman" w:cs="Times New Roman"/>
          </w:rPr>
          <w:fldChar w:fldCharType="separate"/>
        </w:r>
        <w:r w:rsidRPr="00F40A6B">
          <w:rPr>
            <w:rFonts w:ascii="Times New Roman" w:hAnsi="Times New Roman" w:cs="Times New Roman"/>
            <w:lang w:val="zh-CN"/>
          </w:rPr>
          <w:t>2</w:t>
        </w:r>
        <w:r w:rsidRPr="00F40A6B">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83FA6B" w14:textId="77777777" w:rsidR="002036BA" w:rsidRDefault="002036BA" w:rsidP="009A25A7">
      <w:r>
        <w:separator/>
      </w:r>
    </w:p>
  </w:footnote>
  <w:footnote w:type="continuationSeparator" w:id="0">
    <w:p w14:paraId="24BFA32A" w14:textId="77777777" w:rsidR="002036BA" w:rsidRDefault="002036BA" w:rsidP="009A25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29FA"/>
    <w:rsid w:val="0000461C"/>
    <w:rsid w:val="00011261"/>
    <w:rsid w:val="00042501"/>
    <w:rsid w:val="00060EB6"/>
    <w:rsid w:val="00064F26"/>
    <w:rsid w:val="00065F9F"/>
    <w:rsid w:val="00071A00"/>
    <w:rsid w:val="00081FB0"/>
    <w:rsid w:val="000831C3"/>
    <w:rsid w:val="000836AD"/>
    <w:rsid w:val="00090327"/>
    <w:rsid w:val="000A7170"/>
    <w:rsid w:val="000B1BFA"/>
    <w:rsid w:val="000C4332"/>
    <w:rsid w:val="000D1EC7"/>
    <w:rsid w:val="000F0AB1"/>
    <w:rsid w:val="000F15CD"/>
    <w:rsid w:val="000F4851"/>
    <w:rsid w:val="000F4A58"/>
    <w:rsid w:val="000F553F"/>
    <w:rsid w:val="0011663A"/>
    <w:rsid w:val="001235D9"/>
    <w:rsid w:val="001308D5"/>
    <w:rsid w:val="0014322E"/>
    <w:rsid w:val="00171568"/>
    <w:rsid w:val="00172369"/>
    <w:rsid w:val="00183031"/>
    <w:rsid w:val="00183B07"/>
    <w:rsid w:val="00185094"/>
    <w:rsid w:val="001A4FE6"/>
    <w:rsid w:val="001A731F"/>
    <w:rsid w:val="001B324B"/>
    <w:rsid w:val="001B52EF"/>
    <w:rsid w:val="001B60F5"/>
    <w:rsid w:val="001C3FE8"/>
    <w:rsid w:val="001C5C2C"/>
    <w:rsid w:val="001D50CD"/>
    <w:rsid w:val="001E2C7E"/>
    <w:rsid w:val="0020207F"/>
    <w:rsid w:val="002036BA"/>
    <w:rsid w:val="002041A3"/>
    <w:rsid w:val="00204D15"/>
    <w:rsid w:val="002156C2"/>
    <w:rsid w:val="00215854"/>
    <w:rsid w:val="0023170A"/>
    <w:rsid w:val="00235B60"/>
    <w:rsid w:val="00253629"/>
    <w:rsid w:val="002678BE"/>
    <w:rsid w:val="0029294A"/>
    <w:rsid w:val="002A33D0"/>
    <w:rsid w:val="002A4E0E"/>
    <w:rsid w:val="002B642D"/>
    <w:rsid w:val="002C15D4"/>
    <w:rsid w:val="002C7AC4"/>
    <w:rsid w:val="002D0E23"/>
    <w:rsid w:val="002D2EB5"/>
    <w:rsid w:val="002D3884"/>
    <w:rsid w:val="002D4211"/>
    <w:rsid w:val="002D7F55"/>
    <w:rsid w:val="002E29C3"/>
    <w:rsid w:val="002E7FF2"/>
    <w:rsid w:val="003002D0"/>
    <w:rsid w:val="00303FAA"/>
    <w:rsid w:val="003074C1"/>
    <w:rsid w:val="00327D7C"/>
    <w:rsid w:val="003418F3"/>
    <w:rsid w:val="00347422"/>
    <w:rsid w:val="003559CD"/>
    <w:rsid w:val="003578EB"/>
    <w:rsid w:val="00361D5C"/>
    <w:rsid w:val="0036413F"/>
    <w:rsid w:val="00364ECA"/>
    <w:rsid w:val="0036730E"/>
    <w:rsid w:val="003735EB"/>
    <w:rsid w:val="00374982"/>
    <w:rsid w:val="0037781E"/>
    <w:rsid w:val="00393DE6"/>
    <w:rsid w:val="003951B5"/>
    <w:rsid w:val="003959AB"/>
    <w:rsid w:val="003E50EB"/>
    <w:rsid w:val="003F1314"/>
    <w:rsid w:val="003F63F9"/>
    <w:rsid w:val="004170E0"/>
    <w:rsid w:val="00417A3F"/>
    <w:rsid w:val="00423535"/>
    <w:rsid w:val="00435340"/>
    <w:rsid w:val="0043622B"/>
    <w:rsid w:val="00442A23"/>
    <w:rsid w:val="004506ED"/>
    <w:rsid w:val="00460C1C"/>
    <w:rsid w:val="00477540"/>
    <w:rsid w:val="004920AA"/>
    <w:rsid w:val="004943D5"/>
    <w:rsid w:val="004A2815"/>
    <w:rsid w:val="004A33A2"/>
    <w:rsid w:val="004C1584"/>
    <w:rsid w:val="004C5250"/>
    <w:rsid w:val="004C55E0"/>
    <w:rsid w:val="004D113D"/>
    <w:rsid w:val="004D3B04"/>
    <w:rsid w:val="004E286C"/>
    <w:rsid w:val="0050675C"/>
    <w:rsid w:val="00522237"/>
    <w:rsid w:val="005353CB"/>
    <w:rsid w:val="005456FA"/>
    <w:rsid w:val="00547A3C"/>
    <w:rsid w:val="0058312C"/>
    <w:rsid w:val="00592E78"/>
    <w:rsid w:val="005A0CB1"/>
    <w:rsid w:val="005A15D3"/>
    <w:rsid w:val="005B0AAE"/>
    <w:rsid w:val="005B5897"/>
    <w:rsid w:val="005C1A75"/>
    <w:rsid w:val="005C2F04"/>
    <w:rsid w:val="005C58B5"/>
    <w:rsid w:val="005D0395"/>
    <w:rsid w:val="005D05D0"/>
    <w:rsid w:val="005E3A7D"/>
    <w:rsid w:val="005E514E"/>
    <w:rsid w:val="005F18DB"/>
    <w:rsid w:val="006133C8"/>
    <w:rsid w:val="00624B59"/>
    <w:rsid w:val="006332D1"/>
    <w:rsid w:val="0064342F"/>
    <w:rsid w:val="006478C0"/>
    <w:rsid w:val="00647E5A"/>
    <w:rsid w:val="00664FCE"/>
    <w:rsid w:val="00667DB2"/>
    <w:rsid w:val="00667FCF"/>
    <w:rsid w:val="00671535"/>
    <w:rsid w:val="00680F3B"/>
    <w:rsid w:val="00681D01"/>
    <w:rsid w:val="006864C5"/>
    <w:rsid w:val="006950B4"/>
    <w:rsid w:val="006A5806"/>
    <w:rsid w:val="006A651D"/>
    <w:rsid w:val="006C1AF0"/>
    <w:rsid w:val="006C6D5D"/>
    <w:rsid w:val="006C7AFA"/>
    <w:rsid w:val="006D545B"/>
    <w:rsid w:val="006E2051"/>
    <w:rsid w:val="006E43A3"/>
    <w:rsid w:val="006E57BC"/>
    <w:rsid w:val="006F06DD"/>
    <w:rsid w:val="006F2BC0"/>
    <w:rsid w:val="00702663"/>
    <w:rsid w:val="00703DB2"/>
    <w:rsid w:val="0070413C"/>
    <w:rsid w:val="00705BCD"/>
    <w:rsid w:val="00706C23"/>
    <w:rsid w:val="00724115"/>
    <w:rsid w:val="00727451"/>
    <w:rsid w:val="00732726"/>
    <w:rsid w:val="00735AFF"/>
    <w:rsid w:val="00757A85"/>
    <w:rsid w:val="007604F8"/>
    <w:rsid w:val="007803B6"/>
    <w:rsid w:val="00795B91"/>
    <w:rsid w:val="007A0E12"/>
    <w:rsid w:val="007A5257"/>
    <w:rsid w:val="007B10FF"/>
    <w:rsid w:val="007D0CB6"/>
    <w:rsid w:val="007D23B9"/>
    <w:rsid w:val="007E72EC"/>
    <w:rsid w:val="008018DB"/>
    <w:rsid w:val="00812C54"/>
    <w:rsid w:val="008434A0"/>
    <w:rsid w:val="00855833"/>
    <w:rsid w:val="00857E05"/>
    <w:rsid w:val="0086450C"/>
    <w:rsid w:val="00895A24"/>
    <w:rsid w:val="008A37E3"/>
    <w:rsid w:val="008B23E6"/>
    <w:rsid w:val="008C45B9"/>
    <w:rsid w:val="008C4CF5"/>
    <w:rsid w:val="008C5CE2"/>
    <w:rsid w:val="008C754D"/>
    <w:rsid w:val="008E4CDF"/>
    <w:rsid w:val="008E6489"/>
    <w:rsid w:val="008F7F6F"/>
    <w:rsid w:val="00904A26"/>
    <w:rsid w:val="00907989"/>
    <w:rsid w:val="009177AC"/>
    <w:rsid w:val="00921A57"/>
    <w:rsid w:val="00954277"/>
    <w:rsid w:val="00954464"/>
    <w:rsid w:val="009573D2"/>
    <w:rsid w:val="009623FE"/>
    <w:rsid w:val="00962909"/>
    <w:rsid w:val="00971583"/>
    <w:rsid w:val="009732F0"/>
    <w:rsid w:val="00976194"/>
    <w:rsid w:val="009767BB"/>
    <w:rsid w:val="0099628A"/>
    <w:rsid w:val="009A0A04"/>
    <w:rsid w:val="009A25A7"/>
    <w:rsid w:val="009A4253"/>
    <w:rsid w:val="009D40DC"/>
    <w:rsid w:val="009F02F4"/>
    <w:rsid w:val="009F7699"/>
    <w:rsid w:val="00A35168"/>
    <w:rsid w:val="00A43B9D"/>
    <w:rsid w:val="00A521D3"/>
    <w:rsid w:val="00A707F3"/>
    <w:rsid w:val="00A71A44"/>
    <w:rsid w:val="00A7794C"/>
    <w:rsid w:val="00AA0DE3"/>
    <w:rsid w:val="00AA236A"/>
    <w:rsid w:val="00AD15F8"/>
    <w:rsid w:val="00AE0B47"/>
    <w:rsid w:val="00AF2947"/>
    <w:rsid w:val="00B005F2"/>
    <w:rsid w:val="00B0113D"/>
    <w:rsid w:val="00B13E98"/>
    <w:rsid w:val="00B232F4"/>
    <w:rsid w:val="00B265CB"/>
    <w:rsid w:val="00B31455"/>
    <w:rsid w:val="00B322D3"/>
    <w:rsid w:val="00B73FB5"/>
    <w:rsid w:val="00B904F2"/>
    <w:rsid w:val="00B9070E"/>
    <w:rsid w:val="00B95D3C"/>
    <w:rsid w:val="00B96FED"/>
    <w:rsid w:val="00BA00C5"/>
    <w:rsid w:val="00BA175B"/>
    <w:rsid w:val="00BB3F8E"/>
    <w:rsid w:val="00BB7918"/>
    <w:rsid w:val="00BD41C8"/>
    <w:rsid w:val="00BD431E"/>
    <w:rsid w:val="00BF0ADC"/>
    <w:rsid w:val="00BF6CAB"/>
    <w:rsid w:val="00BF6F0B"/>
    <w:rsid w:val="00C07050"/>
    <w:rsid w:val="00C10344"/>
    <w:rsid w:val="00C10716"/>
    <w:rsid w:val="00C35E4D"/>
    <w:rsid w:val="00C400D1"/>
    <w:rsid w:val="00C467AB"/>
    <w:rsid w:val="00C476EE"/>
    <w:rsid w:val="00C5016F"/>
    <w:rsid w:val="00C70B6E"/>
    <w:rsid w:val="00C84D43"/>
    <w:rsid w:val="00C96AE9"/>
    <w:rsid w:val="00CA569B"/>
    <w:rsid w:val="00CB4859"/>
    <w:rsid w:val="00CB58E0"/>
    <w:rsid w:val="00CD2F25"/>
    <w:rsid w:val="00CD4F3F"/>
    <w:rsid w:val="00CD5364"/>
    <w:rsid w:val="00CE0CE4"/>
    <w:rsid w:val="00D0057A"/>
    <w:rsid w:val="00D06D77"/>
    <w:rsid w:val="00D130CF"/>
    <w:rsid w:val="00D15D04"/>
    <w:rsid w:val="00D415A1"/>
    <w:rsid w:val="00D425CE"/>
    <w:rsid w:val="00D63020"/>
    <w:rsid w:val="00D84028"/>
    <w:rsid w:val="00DA0528"/>
    <w:rsid w:val="00DA29FA"/>
    <w:rsid w:val="00DB1A33"/>
    <w:rsid w:val="00DB1E6C"/>
    <w:rsid w:val="00DB557E"/>
    <w:rsid w:val="00DB581C"/>
    <w:rsid w:val="00DD0F04"/>
    <w:rsid w:val="00DD2D70"/>
    <w:rsid w:val="00DD3F77"/>
    <w:rsid w:val="00DE5D73"/>
    <w:rsid w:val="00DF5162"/>
    <w:rsid w:val="00DF79C6"/>
    <w:rsid w:val="00E00C97"/>
    <w:rsid w:val="00E060E2"/>
    <w:rsid w:val="00E06516"/>
    <w:rsid w:val="00E067DB"/>
    <w:rsid w:val="00E07CC9"/>
    <w:rsid w:val="00E336A4"/>
    <w:rsid w:val="00E33F6D"/>
    <w:rsid w:val="00E3487F"/>
    <w:rsid w:val="00E6600E"/>
    <w:rsid w:val="00E71F1F"/>
    <w:rsid w:val="00E73DBF"/>
    <w:rsid w:val="00E74FB3"/>
    <w:rsid w:val="00E9283A"/>
    <w:rsid w:val="00E95BCE"/>
    <w:rsid w:val="00E9642D"/>
    <w:rsid w:val="00EC2695"/>
    <w:rsid w:val="00EC6265"/>
    <w:rsid w:val="00ED1162"/>
    <w:rsid w:val="00ED705D"/>
    <w:rsid w:val="00EE6677"/>
    <w:rsid w:val="00EE771D"/>
    <w:rsid w:val="00EF15B5"/>
    <w:rsid w:val="00EF4587"/>
    <w:rsid w:val="00F04086"/>
    <w:rsid w:val="00F11C96"/>
    <w:rsid w:val="00F12EA9"/>
    <w:rsid w:val="00F40A6B"/>
    <w:rsid w:val="00F42280"/>
    <w:rsid w:val="00F6203F"/>
    <w:rsid w:val="00F70577"/>
    <w:rsid w:val="00F800A8"/>
    <w:rsid w:val="00F85259"/>
    <w:rsid w:val="00F97173"/>
    <w:rsid w:val="00FB057F"/>
    <w:rsid w:val="00FB2DFA"/>
    <w:rsid w:val="00FB4284"/>
    <w:rsid w:val="00FE4991"/>
    <w:rsid w:val="00FE698F"/>
    <w:rsid w:val="00FF7090"/>
    <w:rsid w:val="00FF7796"/>
    <w:rsid w:val="01CB731F"/>
    <w:rsid w:val="02203E9A"/>
    <w:rsid w:val="042B1DAE"/>
    <w:rsid w:val="04686C37"/>
    <w:rsid w:val="08EC4E47"/>
    <w:rsid w:val="0D8C4B49"/>
    <w:rsid w:val="14185D9B"/>
    <w:rsid w:val="19DB58B4"/>
    <w:rsid w:val="1C1B0F6D"/>
    <w:rsid w:val="21542A45"/>
    <w:rsid w:val="21D94BA3"/>
    <w:rsid w:val="256356AB"/>
    <w:rsid w:val="2FBF53EA"/>
    <w:rsid w:val="320329AC"/>
    <w:rsid w:val="33541E8B"/>
    <w:rsid w:val="34B04074"/>
    <w:rsid w:val="350F09AF"/>
    <w:rsid w:val="37E63077"/>
    <w:rsid w:val="38157E81"/>
    <w:rsid w:val="3A440E4C"/>
    <w:rsid w:val="3D1951DA"/>
    <w:rsid w:val="3E335F4A"/>
    <w:rsid w:val="40A06EE9"/>
    <w:rsid w:val="42BF5173"/>
    <w:rsid w:val="44912FB6"/>
    <w:rsid w:val="4DAF1984"/>
    <w:rsid w:val="4E544429"/>
    <w:rsid w:val="4F3914E2"/>
    <w:rsid w:val="555F6A99"/>
    <w:rsid w:val="5C6430DF"/>
    <w:rsid w:val="5E2C27BF"/>
    <w:rsid w:val="62FB6C04"/>
    <w:rsid w:val="63AF3C04"/>
    <w:rsid w:val="63F94623"/>
    <w:rsid w:val="67F52494"/>
    <w:rsid w:val="6EB702EE"/>
    <w:rsid w:val="71D707D4"/>
    <w:rsid w:val="732700DF"/>
    <w:rsid w:val="749B3DA3"/>
    <w:rsid w:val="74D148BB"/>
    <w:rsid w:val="74F71921"/>
    <w:rsid w:val="75F442B6"/>
    <w:rsid w:val="7BE349AD"/>
    <w:rsid w:val="7C74BF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63798A"/>
  <w15:docId w15:val="{DD84AD58-4CF1-4665-93E7-E3DBD060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3">
    <w:name w:val="heading 3"/>
    <w:basedOn w:val="a"/>
    <w:next w:val="a"/>
    <w:link w:val="30"/>
    <w:unhideWhenUsed/>
    <w:qFormat/>
    <w:pPr>
      <w:keepNext/>
      <w:keepLines/>
      <w:spacing w:before="260" w:after="260" w:line="415" w:lineRule="auto"/>
      <w:outlineLvl w:val="2"/>
    </w:pPr>
    <w:rPr>
      <w:rFonts w:ascii="宋体" w:eastAsia="宋体" w:hAnsi="宋体"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semiHidden/>
    <w:unhideWhenUsed/>
    <w:qFormat/>
    <w:rPr>
      <w:color w:val="0000FF"/>
      <w:u w:val="single"/>
    </w:rPr>
  </w:style>
  <w:style w:type="character" w:styleId="af">
    <w:name w:val="annotation reference"/>
    <w:basedOn w:val="a0"/>
    <w:uiPriority w:val="99"/>
    <w:semiHidden/>
    <w:unhideWhenUsed/>
    <w:qFormat/>
    <w:rPr>
      <w:sz w:val="21"/>
      <w:szCs w:val="21"/>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paragraph" w:styleId="af0">
    <w:name w:val="No Spacing"/>
    <w:uiPriority w:val="1"/>
    <w:qFormat/>
    <w:pPr>
      <w:widowControl w:val="0"/>
      <w:jc w:val="both"/>
    </w:pPr>
    <w:rPr>
      <w:kern w:val="2"/>
      <w:sz w:val="21"/>
      <w:szCs w:val="2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fontstyle01">
    <w:name w:val="fontstyle01"/>
    <w:basedOn w:val="a0"/>
    <w:qFormat/>
    <w:rPr>
      <w:rFonts w:ascii="宋体" w:eastAsia="宋体" w:hAnsi="宋体" w:hint="eastAsia"/>
      <w:color w:val="000000"/>
      <w:sz w:val="24"/>
      <w:szCs w:val="24"/>
    </w:rPr>
  </w:style>
  <w:style w:type="paragraph" w:styleId="af1">
    <w:name w:val="List Paragraph"/>
    <w:basedOn w:val="a"/>
    <w:uiPriority w:val="34"/>
    <w:qFormat/>
    <w:pPr>
      <w:ind w:firstLineChars="200" w:firstLine="420"/>
    </w:p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qFormat/>
  </w:style>
  <w:style w:type="character" w:customStyle="1" w:styleId="ac">
    <w:name w:val="批注主题 字符"/>
    <w:basedOn w:val="a4"/>
    <w:link w:val="ab"/>
    <w:uiPriority w:val="99"/>
    <w:semiHidden/>
    <w:qFormat/>
    <w:rPr>
      <w:b/>
      <w:bCs/>
    </w:rPr>
  </w:style>
  <w:style w:type="character" w:customStyle="1" w:styleId="-AChar">
    <w:name w:val="正文-A Char"/>
    <w:link w:val="-A"/>
    <w:qFormat/>
    <w:rPr>
      <w:sz w:val="24"/>
      <w:szCs w:val="24"/>
    </w:rPr>
  </w:style>
  <w:style w:type="paragraph" w:customStyle="1" w:styleId="-A">
    <w:name w:val="正文-A"/>
    <w:basedOn w:val="a"/>
    <w:link w:val="-AChar"/>
    <w:qFormat/>
    <w:pPr>
      <w:adjustRightInd w:val="0"/>
      <w:snapToGrid w:val="0"/>
      <w:spacing w:beforeLines="50" w:afterLines="50" w:line="360" w:lineRule="auto"/>
      <w:ind w:firstLineChars="200" w:firstLine="480"/>
    </w:pPr>
    <w:rPr>
      <w:sz w:val="24"/>
      <w:szCs w:val="24"/>
    </w:rPr>
  </w:style>
  <w:style w:type="paragraph" w:customStyle="1" w:styleId="1">
    <w:name w:val="修订1"/>
    <w:hidden/>
    <w:uiPriority w:val="99"/>
    <w:semiHidden/>
    <w:qFormat/>
    <w:rPr>
      <w:kern w:val="2"/>
      <w:sz w:val="21"/>
      <w:szCs w:val="22"/>
    </w:rPr>
  </w:style>
  <w:style w:type="character" w:customStyle="1" w:styleId="30">
    <w:name w:val="标题 3 字符"/>
    <w:basedOn w:val="a0"/>
    <w:link w:val="3"/>
    <w:qFormat/>
    <w:rPr>
      <w:rFonts w:ascii="宋体" w:eastAsia="宋体" w:hAnsi="宋体" w:cs="Times New Roman"/>
      <w:b/>
      <w:bCs/>
      <w:sz w:val="32"/>
      <w:szCs w:val="32"/>
    </w:rPr>
  </w:style>
  <w:style w:type="character" w:customStyle="1" w:styleId="highlight">
    <w:name w:val="highlight"/>
    <w:basedOn w:val="a0"/>
    <w:qFormat/>
  </w:style>
  <w:style w:type="paragraph" w:customStyle="1" w:styleId="2">
    <w:name w:val="修订2"/>
    <w:hidden/>
    <w:uiPriority w:val="99"/>
    <w:unhideWhenUsed/>
    <w:qFormat/>
    <w:rPr>
      <w:kern w:val="2"/>
      <w:sz w:val="21"/>
      <w:szCs w:val="22"/>
    </w:rPr>
  </w:style>
  <w:style w:type="paragraph" w:customStyle="1" w:styleId="31">
    <w:name w:val="修订3"/>
    <w:hidden/>
    <w:uiPriority w:val="99"/>
    <w:unhideWhenUsed/>
    <w:qFormat/>
    <w:rPr>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4">
    <w:name w:val="修订4"/>
    <w:hidden/>
    <w:uiPriority w:val="99"/>
    <w:unhideWhenUsed/>
    <w:qFormat/>
    <w:rPr>
      <w:kern w:val="2"/>
      <w:sz w:val="21"/>
      <w:szCs w:val="22"/>
    </w:rPr>
  </w:style>
  <w:style w:type="paragraph" w:styleId="af2">
    <w:name w:val="Revision"/>
    <w:hidden/>
    <w:uiPriority w:val="99"/>
    <w:unhideWhenUsed/>
    <w:rsid w:val="009A25A7"/>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111</Words>
  <Characters>637</Characters>
  <Application>Microsoft Office Word</Application>
  <DocSecurity>0</DocSecurity>
  <Lines>5</Lines>
  <Paragraphs>1</Paragraphs>
  <ScaleCrop>false</ScaleCrop>
  <Company>Microsoft</Company>
  <LinksUpToDate>false</LinksUpToDate>
  <CharactersWithSpaces>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hs0942</dc:creator>
  <cp:lastModifiedBy>GTHTHAO</cp:lastModifiedBy>
  <cp:revision>27</cp:revision>
  <dcterms:created xsi:type="dcterms:W3CDTF">2025-03-11T17:25:00Z</dcterms:created>
  <dcterms:modified xsi:type="dcterms:W3CDTF">2025-11-18T06:58:00Z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eyJoZGlkIjoiMzEwNTM5NzYwMDRjMzkwZTVkZjY2ODkwMGIxNGU0OTUiLCJ1c2VySWQiOiIzNjg4Nzg3ODIifQ==</vt:lpwstr>
  </property>
  <property fmtid="{D5CDD505-2E9C-101B-9397-08002B2CF9AE}" pid="3" name="KSOProductBuildVer">
    <vt:lpwstr>2052-12.1.0.23125</vt:lpwstr>
  </property>
  <property fmtid="{D5CDD505-2E9C-101B-9397-08002B2CF9AE}" pid="4" name="ICV">
    <vt:lpwstr>75EC1F8FAC6C4715BAE2940A93EA8717_12</vt:lpwstr>
  </property>
</Properties>
</file>