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5DC033" w14:textId="77777777" w:rsidR="00206339" w:rsidRDefault="00000000">
      <w:pPr>
        <w:adjustRightInd w:val="0"/>
        <w:snapToGrid w:val="0"/>
        <w:spacing w:line="360" w:lineRule="auto"/>
        <w:contextualSpacing/>
        <w:jc w:val="center"/>
        <w:rPr>
          <w:rFonts w:ascii="黑体" w:eastAsia="黑体" w:hAnsi="黑体" w:hint="eastAsia"/>
          <w:bCs/>
          <w:sz w:val="32"/>
          <w:szCs w:val="32"/>
        </w:rPr>
      </w:pPr>
      <w:r>
        <w:rPr>
          <w:rFonts w:ascii="黑体" w:eastAsia="黑体" w:hAnsi="黑体" w:hint="eastAsia"/>
          <w:bCs/>
          <w:sz w:val="32"/>
          <w:szCs w:val="32"/>
        </w:rPr>
        <w:t>广东天亿马信息产业股份有限公司董事会</w:t>
      </w:r>
    </w:p>
    <w:p w14:paraId="06A35466" w14:textId="77777777" w:rsidR="00206339" w:rsidRDefault="00000000">
      <w:pPr>
        <w:adjustRightInd w:val="0"/>
        <w:snapToGrid w:val="0"/>
        <w:spacing w:line="360" w:lineRule="auto"/>
        <w:contextualSpacing/>
        <w:jc w:val="center"/>
        <w:rPr>
          <w:rFonts w:ascii="黑体" w:eastAsia="黑体" w:hAnsi="黑体" w:hint="eastAsia"/>
          <w:bCs/>
          <w:sz w:val="32"/>
          <w:szCs w:val="32"/>
        </w:rPr>
      </w:pPr>
      <w:r>
        <w:rPr>
          <w:rFonts w:ascii="黑体" w:eastAsia="黑体" w:hAnsi="黑体" w:hint="eastAsia"/>
          <w:bCs/>
          <w:sz w:val="32"/>
          <w:szCs w:val="32"/>
        </w:rPr>
        <w:t>关于本次交易相关主体不存在《上市公司监管指引第7号——上市公司重大资产重组相关股票异常交易监管》第十二条及《深圳证券交易所上市公司自律监管指引第8号——重大资产重组（2025年修订）》第三十条规定的不得参与上市公司重大资产重组情形的说明</w:t>
      </w:r>
    </w:p>
    <w:p w14:paraId="42E987E0" w14:textId="77777777" w:rsidR="00206339" w:rsidRDefault="00206339">
      <w:pPr>
        <w:adjustRightInd w:val="0"/>
        <w:snapToGrid w:val="0"/>
        <w:spacing w:line="360" w:lineRule="auto"/>
        <w:ind w:firstLineChars="200" w:firstLine="480"/>
        <w:contextualSpacing/>
        <w:rPr>
          <w:rFonts w:ascii="仿宋" w:eastAsia="仿宋" w:hAnsi="仿宋" w:cs="仿宋" w:hint="eastAsia"/>
          <w:szCs w:val="21"/>
        </w:rPr>
      </w:pPr>
    </w:p>
    <w:p w14:paraId="140E6668" w14:textId="08B4901D" w:rsidR="00206339" w:rsidRDefault="00000000">
      <w:pPr>
        <w:adjustRightInd w:val="0"/>
        <w:snapToGrid w:val="0"/>
        <w:spacing w:line="360" w:lineRule="auto"/>
        <w:ind w:firstLineChars="200" w:firstLine="480"/>
        <w:contextualSpacing/>
        <w:rPr>
          <w:rFonts w:ascii="仿宋" w:eastAsia="仿宋" w:hAnsi="仿宋" w:cs="仿宋" w:hint="eastAsia"/>
          <w:szCs w:val="21"/>
        </w:rPr>
      </w:pPr>
      <w:r>
        <w:rPr>
          <w:rFonts w:ascii="仿宋" w:eastAsia="仿宋" w:hAnsi="仿宋" w:cs="仿宋" w:hint="eastAsia"/>
          <w:szCs w:val="21"/>
        </w:rPr>
        <w:t>广东天亿马信息产业股份有限公司（以下简称“</w:t>
      </w:r>
      <w:r w:rsidR="00D42FF9">
        <w:rPr>
          <w:rFonts w:ascii="仿宋" w:eastAsia="仿宋" w:hAnsi="仿宋" w:cs="仿宋" w:hint="eastAsia"/>
          <w:szCs w:val="21"/>
        </w:rPr>
        <w:t>上市</w:t>
      </w:r>
      <w:r>
        <w:rPr>
          <w:rFonts w:ascii="仿宋" w:eastAsia="仿宋" w:hAnsi="仿宋" w:cs="仿宋" w:hint="eastAsia"/>
          <w:szCs w:val="21"/>
        </w:rPr>
        <w:t>公司”）拟通过发行股份</w:t>
      </w:r>
      <w:r>
        <w:rPr>
          <w:rFonts w:ascii="仿宋" w:eastAsia="仿宋" w:hAnsi="仿宋" w:cs="仿宋" w:hint="eastAsia"/>
        </w:rPr>
        <w:t>及支付现金</w:t>
      </w:r>
      <w:r>
        <w:rPr>
          <w:rFonts w:ascii="仿宋" w:eastAsia="仿宋" w:hAnsi="仿宋" w:cs="仿宋" w:hint="eastAsia"/>
          <w:szCs w:val="21"/>
        </w:rPr>
        <w:t>方式购买广东星云开物科技股份有限公司</w:t>
      </w:r>
      <w:r>
        <w:rPr>
          <w:rFonts w:ascii="仿宋" w:eastAsia="仿宋" w:hAnsi="仿宋" w:cs="仿宋" w:hint="eastAsia"/>
        </w:rPr>
        <w:t>98.5632%</w:t>
      </w:r>
      <w:r>
        <w:rPr>
          <w:rFonts w:ascii="仿宋" w:eastAsia="仿宋" w:hAnsi="仿宋" w:cs="仿宋" w:hint="eastAsia"/>
          <w:szCs w:val="21"/>
        </w:rPr>
        <w:t>股权并募集配套资金（以下简称“本次交易”）。</w:t>
      </w:r>
    </w:p>
    <w:p w14:paraId="077B68F2" w14:textId="77777777" w:rsidR="00206339" w:rsidRDefault="00000000">
      <w:pPr>
        <w:adjustRightInd w:val="0"/>
        <w:snapToGrid w:val="0"/>
        <w:spacing w:line="360" w:lineRule="auto"/>
        <w:ind w:firstLineChars="200" w:firstLine="480"/>
        <w:contextualSpacing/>
        <w:rPr>
          <w:rFonts w:ascii="仿宋" w:eastAsia="仿宋" w:hAnsi="仿宋" w:cs="仿宋" w:hint="eastAsia"/>
          <w:szCs w:val="21"/>
        </w:rPr>
      </w:pPr>
      <w:r>
        <w:rPr>
          <w:rFonts w:ascii="仿宋" w:eastAsia="仿宋" w:hAnsi="仿宋" w:cs="仿宋" w:hint="eastAsia"/>
          <w:szCs w:val="21"/>
        </w:rPr>
        <w:t>根据《上市公司监管指引第7号——上市公司重大资产重组相关股票异常交易监管》第十二条及《</w:t>
      </w:r>
      <w:bookmarkStart w:id="0" w:name="OLE_LINK1"/>
      <w:r>
        <w:rPr>
          <w:rFonts w:ascii="仿宋" w:eastAsia="仿宋" w:hAnsi="仿宋" w:cs="仿宋" w:hint="eastAsia"/>
          <w:szCs w:val="21"/>
        </w:rPr>
        <w:t>深圳证券交易所上市公司自律监管指引第8号</w:t>
      </w:r>
      <w:bookmarkEnd w:id="0"/>
      <w:r>
        <w:rPr>
          <w:rFonts w:ascii="仿宋" w:eastAsia="仿宋" w:hAnsi="仿宋" w:cs="仿宋" w:hint="eastAsia"/>
          <w:szCs w:val="21"/>
        </w:rPr>
        <w:t>——重大资产重组（2025年修订）》第三十条的规定，上市公司董事会就本次交易相关主体是否存在不得参与任何上市公司重大资产重组情形作出如下说明：</w:t>
      </w:r>
    </w:p>
    <w:p w14:paraId="2475B221" w14:textId="77777777" w:rsidR="00206339" w:rsidRDefault="00000000">
      <w:pPr>
        <w:adjustRightInd w:val="0"/>
        <w:snapToGrid w:val="0"/>
        <w:spacing w:line="360" w:lineRule="auto"/>
        <w:ind w:firstLineChars="200" w:firstLine="480"/>
        <w:contextualSpacing/>
        <w:rPr>
          <w:rFonts w:ascii="仿宋" w:eastAsia="仿宋" w:hAnsi="仿宋" w:cs="仿宋" w:hint="eastAsia"/>
          <w:szCs w:val="21"/>
        </w:rPr>
      </w:pPr>
      <w:r>
        <w:rPr>
          <w:rFonts w:ascii="仿宋" w:eastAsia="仿宋" w:hAnsi="仿宋" w:cs="仿宋" w:hint="eastAsia"/>
          <w:szCs w:val="21"/>
        </w:rPr>
        <w:t>截至本说明出具日，本次交易涉及的《</w:t>
      </w:r>
      <w:bookmarkStart w:id="1" w:name="OLE_LINK2"/>
      <w:r>
        <w:rPr>
          <w:rFonts w:ascii="仿宋" w:eastAsia="仿宋" w:hAnsi="仿宋" w:cs="仿宋" w:hint="eastAsia"/>
          <w:szCs w:val="21"/>
        </w:rPr>
        <w:t>上市公司监管指引第7号——上市公司重大资产重组相关股票异常交易监管</w:t>
      </w:r>
      <w:bookmarkEnd w:id="1"/>
      <w:r>
        <w:rPr>
          <w:rFonts w:ascii="仿宋" w:eastAsia="仿宋" w:hAnsi="仿宋" w:cs="仿宋" w:hint="eastAsia"/>
          <w:szCs w:val="21"/>
        </w:rPr>
        <w:t>》第六条规定的相关主体，不存在因涉嫌与本次交易相关的内幕交易被立案调查或者立案侦查的情形，最近36个月内不存在因涉嫌重大资产重组相关的内幕交易被中国证券监督管理委员会作出行政处罚或者被司法机关依法追究刑事责任的情形。</w:t>
      </w:r>
    </w:p>
    <w:p w14:paraId="523F67E4" w14:textId="77777777" w:rsidR="00206339" w:rsidRDefault="00000000">
      <w:pPr>
        <w:adjustRightInd w:val="0"/>
        <w:snapToGrid w:val="0"/>
        <w:spacing w:line="360" w:lineRule="auto"/>
        <w:ind w:firstLineChars="200" w:firstLine="480"/>
        <w:contextualSpacing/>
        <w:rPr>
          <w:rFonts w:ascii="仿宋" w:eastAsia="仿宋" w:hAnsi="仿宋" w:cs="仿宋" w:hint="eastAsia"/>
          <w:szCs w:val="21"/>
        </w:rPr>
      </w:pPr>
      <w:r>
        <w:rPr>
          <w:rFonts w:ascii="仿宋" w:eastAsia="仿宋" w:hAnsi="仿宋" w:cs="仿宋" w:hint="eastAsia"/>
          <w:szCs w:val="21"/>
        </w:rPr>
        <w:t>综上，本次交易相关主体不存在依据《上市公司监管指引第7号——上市公司重大资产重组相关股票异常交易监管》第十二条及《深圳证券交易所上市公司自律监管指引第8号——重大资产重组（2025年修订）》第三十条规定的不得参与任何上市公司重大资产重组的情形。</w:t>
      </w:r>
    </w:p>
    <w:p w14:paraId="65816FBD" w14:textId="77777777" w:rsidR="00206339" w:rsidRDefault="00000000">
      <w:pPr>
        <w:tabs>
          <w:tab w:val="center" w:pos="4561"/>
        </w:tabs>
        <w:adjustRightInd w:val="0"/>
        <w:snapToGrid w:val="0"/>
        <w:spacing w:line="360" w:lineRule="auto"/>
        <w:ind w:firstLineChars="200" w:firstLine="480"/>
        <w:contextualSpacing/>
        <w:rPr>
          <w:rFonts w:ascii="仿宋" w:eastAsia="仿宋" w:hAnsi="仿宋" w:cs="仿宋" w:hint="eastAsia"/>
        </w:rPr>
      </w:pPr>
      <w:r>
        <w:rPr>
          <w:rFonts w:ascii="仿宋" w:eastAsia="仿宋" w:hAnsi="仿宋" w:cs="仿宋" w:hint="eastAsia"/>
        </w:rPr>
        <w:t>特此说明。</w:t>
      </w:r>
    </w:p>
    <w:p w14:paraId="31A8A4AA" w14:textId="77777777" w:rsidR="00206339" w:rsidRDefault="00000000">
      <w:pPr>
        <w:rPr>
          <w:rFonts w:ascii="仿宋" w:eastAsia="仿宋" w:hAnsi="仿宋" w:cs="仿宋" w:hint="eastAsia"/>
        </w:rPr>
      </w:pPr>
      <w:r>
        <w:rPr>
          <w:rFonts w:ascii="仿宋" w:eastAsia="仿宋" w:hAnsi="仿宋" w:cs="仿宋" w:hint="eastAsia"/>
        </w:rPr>
        <w:br w:type="page"/>
      </w:r>
    </w:p>
    <w:p w14:paraId="2DC1E307" w14:textId="1E75468B" w:rsidR="00206339" w:rsidRDefault="00781947" w:rsidP="00325A2B">
      <w:pPr>
        <w:spacing w:before="120" w:after="120" w:line="440" w:lineRule="exact"/>
        <w:rPr>
          <w:rFonts w:ascii="仿宋" w:eastAsia="仿宋" w:hAnsi="仿宋" w:cs="仿宋" w:hint="eastAsia"/>
        </w:rPr>
      </w:pPr>
      <w:r>
        <w:rPr>
          <w:rFonts w:ascii="仿宋" w:eastAsia="仿宋" w:hAnsi="仿宋" w:cs="仿宋" w:hint="eastAsia"/>
        </w:rPr>
        <w:lastRenderedPageBreak/>
        <w:t>（本页无正文，为《</w:t>
      </w:r>
      <w:r w:rsidR="00325A2B" w:rsidRPr="00325A2B">
        <w:rPr>
          <w:rFonts w:ascii="仿宋" w:eastAsia="仿宋" w:hAnsi="仿宋" w:cs="仿宋" w:hint="eastAsia"/>
        </w:rPr>
        <w:t>广东天亿马信息产业股份有限公司董事会关于本次交易相关主体不存在</w:t>
      </w:r>
      <w:r w:rsidR="001A730B">
        <w:rPr>
          <w:rFonts w:ascii="仿宋" w:eastAsia="仿宋" w:hAnsi="仿宋" w:cs="仿宋" w:hint="eastAsia"/>
        </w:rPr>
        <w:t>&lt;</w:t>
      </w:r>
      <w:r w:rsidR="00325A2B" w:rsidRPr="00325A2B">
        <w:rPr>
          <w:rFonts w:ascii="仿宋" w:eastAsia="仿宋" w:hAnsi="仿宋" w:cs="仿宋" w:hint="eastAsia"/>
        </w:rPr>
        <w:t>上市公司监管指引第7号——上市公司重大资产重组相关股票异常交易监管</w:t>
      </w:r>
      <w:r w:rsidR="001A730B">
        <w:rPr>
          <w:rFonts w:ascii="仿宋" w:eastAsia="仿宋" w:hAnsi="仿宋" w:cs="仿宋" w:hint="eastAsia"/>
        </w:rPr>
        <w:t>&gt;</w:t>
      </w:r>
      <w:r w:rsidR="00325A2B" w:rsidRPr="00325A2B">
        <w:rPr>
          <w:rFonts w:ascii="仿宋" w:eastAsia="仿宋" w:hAnsi="仿宋" w:cs="仿宋" w:hint="eastAsia"/>
        </w:rPr>
        <w:t>第十二条及</w:t>
      </w:r>
      <w:r w:rsidR="001A730B">
        <w:rPr>
          <w:rFonts w:ascii="仿宋" w:eastAsia="仿宋" w:hAnsi="仿宋" w:cs="仿宋" w:hint="eastAsia"/>
        </w:rPr>
        <w:t>&lt;</w:t>
      </w:r>
      <w:r w:rsidR="001A730B" w:rsidRPr="00325A2B">
        <w:rPr>
          <w:rFonts w:ascii="仿宋" w:eastAsia="仿宋" w:hAnsi="仿宋" w:cs="仿宋" w:hint="eastAsia"/>
        </w:rPr>
        <w:t>深圳证券交易所上市公司自律监管指引第8号——重大资产重组（2025年修订）</w:t>
      </w:r>
      <w:r w:rsidR="001A730B">
        <w:rPr>
          <w:rFonts w:ascii="仿宋" w:eastAsia="仿宋" w:hAnsi="仿宋" w:cs="仿宋" w:hint="eastAsia"/>
        </w:rPr>
        <w:t>&gt;</w:t>
      </w:r>
      <w:r w:rsidR="00325A2B" w:rsidRPr="00325A2B">
        <w:rPr>
          <w:rFonts w:ascii="仿宋" w:eastAsia="仿宋" w:hAnsi="仿宋" w:cs="仿宋" w:hint="eastAsia"/>
        </w:rPr>
        <w:t>第三十条规定的不得参与上市公司重大资产重组情形的说明</w:t>
      </w:r>
      <w:r>
        <w:rPr>
          <w:rFonts w:ascii="仿宋" w:eastAsia="仿宋" w:hAnsi="仿宋" w:cs="仿宋" w:hint="eastAsia"/>
        </w:rPr>
        <w:t>》之盖章页）</w:t>
      </w:r>
    </w:p>
    <w:p w14:paraId="022F5226" w14:textId="77777777" w:rsidR="00206339" w:rsidRDefault="00206339">
      <w:pPr>
        <w:adjustRightInd w:val="0"/>
        <w:snapToGrid w:val="0"/>
        <w:spacing w:line="360" w:lineRule="auto"/>
        <w:ind w:firstLineChars="200" w:firstLine="480"/>
        <w:contextualSpacing/>
        <w:rPr>
          <w:rFonts w:ascii="仿宋" w:eastAsia="仿宋" w:hAnsi="仿宋" w:cs="仿宋" w:hint="eastAsia"/>
        </w:rPr>
      </w:pPr>
    </w:p>
    <w:p w14:paraId="6C6F1DAB" w14:textId="77777777" w:rsidR="00206339" w:rsidRDefault="00206339">
      <w:pPr>
        <w:adjustRightInd w:val="0"/>
        <w:snapToGrid w:val="0"/>
        <w:spacing w:line="360" w:lineRule="auto"/>
        <w:ind w:firstLineChars="200" w:firstLine="480"/>
        <w:contextualSpacing/>
        <w:rPr>
          <w:rFonts w:ascii="仿宋" w:eastAsia="仿宋" w:hAnsi="仿宋" w:cs="仿宋" w:hint="eastAsia"/>
        </w:rPr>
      </w:pPr>
    </w:p>
    <w:p w14:paraId="7DD22D38" w14:textId="77777777" w:rsidR="00206339" w:rsidRDefault="00206339">
      <w:pPr>
        <w:adjustRightInd w:val="0"/>
        <w:snapToGrid w:val="0"/>
        <w:spacing w:line="360" w:lineRule="auto"/>
        <w:ind w:firstLineChars="200" w:firstLine="480"/>
        <w:contextualSpacing/>
        <w:rPr>
          <w:rFonts w:ascii="仿宋" w:eastAsia="仿宋" w:hAnsi="仿宋" w:cs="仿宋" w:hint="eastAsia"/>
        </w:rPr>
      </w:pPr>
    </w:p>
    <w:p w14:paraId="031DB71B" w14:textId="77777777" w:rsidR="00206339" w:rsidRDefault="00206339">
      <w:pPr>
        <w:adjustRightInd w:val="0"/>
        <w:snapToGrid w:val="0"/>
        <w:spacing w:line="360" w:lineRule="auto"/>
        <w:ind w:firstLineChars="200" w:firstLine="480"/>
        <w:contextualSpacing/>
        <w:rPr>
          <w:rFonts w:ascii="仿宋" w:eastAsia="仿宋" w:hAnsi="仿宋" w:cs="仿宋" w:hint="eastAsia"/>
        </w:rPr>
      </w:pPr>
    </w:p>
    <w:p w14:paraId="260640BB" w14:textId="77777777" w:rsidR="00206339" w:rsidRDefault="00206339">
      <w:pPr>
        <w:adjustRightInd w:val="0"/>
        <w:snapToGrid w:val="0"/>
        <w:spacing w:line="360" w:lineRule="auto"/>
        <w:contextualSpacing/>
        <w:rPr>
          <w:rFonts w:ascii="仿宋" w:eastAsia="仿宋" w:hAnsi="仿宋" w:cs="仿宋" w:hint="eastAsia"/>
        </w:rPr>
      </w:pPr>
    </w:p>
    <w:p w14:paraId="58EE0912" w14:textId="77777777" w:rsidR="00206339" w:rsidRDefault="00206339">
      <w:pPr>
        <w:adjustRightInd w:val="0"/>
        <w:snapToGrid w:val="0"/>
        <w:spacing w:line="360" w:lineRule="auto"/>
        <w:contextualSpacing/>
        <w:rPr>
          <w:rFonts w:ascii="仿宋" w:eastAsia="仿宋" w:hAnsi="仿宋" w:cs="仿宋" w:hint="eastAsia"/>
        </w:rPr>
      </w:pPr>
    </w:p>
    <w:p w14:paraId="3EDEDECA" w14:textId="77777777" w:rsidR="00206339" w:rsidRDefault="00206339">
      <w:pPr>
        <w:adjustRightInd w:val="0"/>
        <w:snapToGrid w:val="0"/>
        <w:spacing w:line="360" w:lineRule="auto"/>
        <w:contextualSpacing/>
        <w:rPr>
          <w:rFonts w:ascii="仿宋" w:eastAsia="仿宋" w:hAnsi="仿宋" w:cs="仿宋" w:hint="eastAsia"/>
        </w:rPr>
      </w:pPr>
    </w:p>
    <w:p w14:paraId="0715D0C4" w14:textId="77777777" w:rsidR="00206339" w:rsidRDefault="00206339">
      <w:pPr>
        <w:adjustRightInd w:val="0"/>
        <w:snapToGrid w:val="0"/>
        <w:spacing w:line="360" w:lineRule="auto"/>
        <w:ind w:firstLineChars="200" w:firstLine="480"/>
        <w:contextualSpacing/>
        <w:rPr>
          <w:rFonts w:ascii="仿宋" w:eastAsia="仿宋" w:hAnsi="仿宋" w:cs="仿宋" w:hint="eastAsia"/>
        </w:rPr>
      </w:pPr>
    </w:p>
    <w:p w14:paraId="6AF69976" w14:textId="77777777" w:rsidR="00206339" w:rsidRDefault="00000000">
      <w:pPr>
        <w:spacing w:before="120" w:after="120" w:line="440" w:lineRule="exact"/>
        <w:jc w:val="right"/>
        <w:rPr>
          <w:rFonts w:ascii="仿宋" w:eastAsia="仿宋" w:hAnsi="仿宋" w:cs="仿宋" w:hint="eastAsia"/>
        </w:rPr>
      </w:pPr>
      <w:r>
        <w:rPr>
          <w:rFonts w:ascii="仿宋" w:eastAsia="仿宋" w:hAnsi="仿宋" w:cs="仿宋" w:hint="eastAsia"/>
        </w:rPr>
        <w:t>广东天亿马信息产业股份有限公司</w:t>
      </w:r>
    </w:p>
    <w:p w14:paraId="116A2ECB" w14:textId="77777777" w:rsidR="00206339" w:rsidRDefault="00000000">
      <w:pPr>
        <w:spacing w:before="120" w:after="120" w:line="440" w:lineRule="exact"/>
        <w:jc w:val="right"/>
        <w:rPr>
          <w:rFonts w:ascii="仿宋" w:eastAsia="仿宋" w:hAnsi="仿宋" w:cs="仿宋" w:hint="eastAsia"/>
        </w:rPr>
      </w:pPr>
      <w:r>
        <w:rPr>
          <w:rFonts w:ascii="仿宋" w:eastAsia="仿宋" w:hAnsi="仿宋" w:cs="仿宋" w:hint="eastAsia"/>
        </w:rPr>
        <w:t>董事会</w:t>
      </w:r>
    </w:p>
    <w:p w14:paraId="3191DD04" w14:textId="6DF7CC52" w:rsidR="00206339" w:rsidRDefault="001C513C">
      <w:pPr>
        <w:spacing w:before="120" w:after="120" w:line="440" w:lineRule="exact"/>
        <w:jc w:val="right"/>
        <w:rPr>
          <w:rFonts w:ascii="仿宋" w:eastAsia="仿宋" w:hAnsi="仿宋" w:cs="仿宋" w:hint="eastAsia"/>
        </w:rPr>
      </w:pPr>
      <w:r>
        <w:rPr>
          <w:rFonts w:ascii="仿宋" w:eastAsia="仿宋" w:hAnsi="仿宋" w:cs="仿宋" w:hint="eastAsia"/>
        </w:rPr>
        <w:t>2025</w:t>
      </w:r>
      <w:r w:rsidR="00000000">
        <w:rPr>
          <w:rFonts w:ascii="仿宋" w:eastAsia="仿宋" w:hAnsi="仿宋" w:cs="仿宋" w:hint="eastAsia"/>
        </w:rPr>
        <w:t>年</w:t>
      </w:r>
      <w:r>
        <w:rPr>
          <w:rFonts w:ascii="仿宋" w:eastAsia="仿宋" w:hAnsi="仿宋" w:cs="仿宋" w:hint="eastAsia"/>
        </w:rPr>
        <w:t>11</w:t>
      </w:r>
      <w:r w:rsidR="00000000">
        <w:rPr>
          <w:rFonts w:ascii="仿宋" w:eastAsia="仿宋" w:hAnsi="仿宋" w:cs="仿宋" w:hint="eastAsia"/>
        </w:rPr>
        <w:t>月</w:t>
      </w:r>
      <w:r>
        <w:rPr>
          <w:rFonts w:ascii="仿宋" w:eastAsia="仿宋" w:hAnsi="仿宋" w:cs="仿宋" w:hint="eastAsia"/>
        </w:rPr>
        <w:t>18</w:t>
      </w:r>
      <w:r w:rsidR="00000000">
        <w:rPr>
          <w:rFonts w:ascii="仿宋" w:eastAsia="仿宋" w:hAnsi="仿宋" w:cs="仿宋" w:hint="eastAsia"/>
        </w:rPr>
        <w:t>日</w:t>
      </w:r>
    </w:p>
    <w:p w14:paraId="43D8AFEE" w14:textId="77777777" w:rsidR="00206339" w:rsidRDefault="00206339">
      <w:pPr>
        <w:tabs>
          <w:tab w:val="center" w:pos="4561"/>
        </w:tabs>
        <w:adjustRightInd w:val="0"/>
        <w:snapToGrid w:val="0"/>
        <w:spacing w:line="360" w:lineRule="auto"/>
        <w:contextualSpacing/>
        <w:jc w:val="right"/>
        <w:rPr>
          <w:rFonts w:ascii="仿宋" w:eastAsia="仿宋" w:hAnsi="仿宋" w:cs="仿宋" w:hint="eastAsia"/>
        </w:rPr>
      </w:pPr>
    </w:p>
    <w:sectPr w:rsidR="00206339">
      <w:footerReference w:type="even" r:id="rId7"/>
      <w:footerReference w:type="default" r:id="rId8"/>
      <w:pgSz w:w="11906" w:h="16838"/>
      <w:pgMar w:top="1440" w:right="1800" w:bottom="1440" w:left="1800" w:header="851" w:footer="992" w:gutter="0"/>
      <w:cols w:space="425"/>
      <w:docGrid w:type="lines"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81A56F1" w14:textId="77777777" w:rsidR="008217D2" w:rsidRDefault="008217D2">
      <w:pPr>
        <w:spacing w:line="240" w:lineRule="auto"/>
      </w:pPr>
      <w:r>
        <w:separator/>
      </w:r>
    </w:p>
  </w:endnote>
  <w:endnote w:type="continuationSeparator" w:id="0">
    <w:p w14:paraId="0C6CC475" w14:textId="77777777" w:rsidR="008217D2" w:rsidRDefault="008217D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C818BE" w14:textId="77777777" w:rsidR="00206339" w:rsidRDefault="00000000">
    <w:pPr>
      <w:pStyle w:val="a7"/>
      <w:framePr w:wrap="around" w:vAnchor="text" w:hAnchor="margin" w:xAlign="center" w:y="1"/>
      <w:rPr>
        <w:rStyle w:val="ae"/>
        <w:rFonts w:hint="eastAsia"/>
      </w:rPr>
    </w:pPr>
    <w:r>
      <w:rPr>
        <w:rStyle w:val="ae"/>
      </w:rPr>
      <w:fldChar w:fldCharType="begin"/>
    </w:r>
    <w:r>
      <w:rPr>
        <w:rStyle w:val="ae"/>
      </w:rPr>
      <w:instrText xml:space="preserve">PAGE  </w:instrText>
    </w:r>
    <w:r>
      <w:rPr>
        <w:rStyle w:val="ae"/>
      </w:rPr>
      <w:fldChar w:fldCharType="end"/>
    </w:r>
  </w:p>
  <w:p w14:paraId="1669EEC4" w14:textId="77777777" w:rsidR="00206339" w:rsidRDefault="00206339">
    <w:pPr>
      <w:pStyle w:val="a7"/>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DA2066" w14:textId="77777777" w:rsidR="00206339" w:rsidRPr="000E5499" w:rsidRDefault="00000000">
    <w:pPr>
      <w:pStyle w:val="a7"/>
      <w:jc w:val="center"/>
      <w:rPr>
        <w:rFonts w:ascii="Times New Roman" w:hAnsi="Times New Roman" w:cs="Times New Roman"/>
        <w:sz w:val="21"/>
        <w:szCs w:val="21"/>
      </w:rPr>
    </w:pPr>
    <w:r w:rsidRPr="000E5499">
      <w:rPr>
        <w:rFonts w:ascii="Times New Roman" w:hAnsi="Times New Roman" w:cs="Times New Roman"/>
        <w:sz w:val="21"/>
        <w:szCs w:val="21"/>
      </w:rPr>
      <w:fldChar w:fldCharType="begin"/>
    </w:r>
    <w:r w:rsidRPr="000E5499">
      <w:rPr>
        <w:rFonts w:ascii="Times New Roman" w:hAnsi="Times New Roman" w:cs="Times New Roman"/>
        <w:sz w:val="21"/>
        <w:szCs w:val="21"/>
      </w:rPr>
      <w:instrText xml:space="preserve"> PAGE  \* Arabic  \* MERGEFORMAT </w:instrText>
    </w:r>
    <w:r w:rsidRPr="000E5499">
      <w:rPr>
        <w:rFonts w:ascii="Times New Roman" w:hAnsi="Times New Roman" w:cs="Times New Roman"/>
        <w:sz w:val="21"/>
        <w:szCs w:val="21"/>
      </w:rPr>
      <w:fldChar w:fldCharType="separate"/>
    </w:r>
    <w:r w:rsidRPr="000E5499">
      <w:rPr>
        <w:rFonts w:ascii="Times New Roman" w:hAnsi="Times New Roman" w:cs="Times New Roman"/>
        <w:sz w:val="21"/>
        <w:szCs w:val="21"/>
      </w:rPr>
      <w:t>1</w:t>
    </w:r>
    <w:r w:rsidRPr="000E5499">
      <w:rPr>
        <w:rFonts w:ascii="Times New Roman" w:hAnsi="Times New Roman" w:cs="Times New Roman"/>
        <w:sz w:val="21"/>
        <w:szCs w:val="21"/>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6418661" w14:textId="77777777" w:rsidR="008217D2" w:rsidRDefault="008217D2">
      <w:pPr>
        <w:spacing w:after="0"/>
      </w:pPr>
      <w:r>
        <w:separator/>
      </w:r>
    </w:p>
  </w:footnote>
  <w:footnote w:type="continuationSeparator" w:id="0">
    <w:p w14:paraId="4235A193" w14:textId="77777777" w:rsidR="008217D2" w:rsidRDefault="008217D2">
      <w:pPr>
        <w:spacing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0"/>
  <w:bordersDoNotSurroundHeader/>
  <w:bordersDoNotSurroundFooter/>
  <w:defaultTabStop w:val="420"/>
  <w:drawingGridHorizontalSpacing w:val="120"/>
  <w:drawingGridVerticalSpacing w:val="163"/>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NDYwOWU1NzAzMTE5Y2RkMDFjY2MzMzBlYmRhZTk3MmYifQ=="/>
  </w:docVars>
  <w:rsids>
    <w:rsidRoot w:val="0018560D"/>
    <w:rsid w:val="00002D55"/>
    <w:rsid w:val="0000461C"/>
    <w:rsid w:val="00007465"/>
    <w:rsid w:val="000120E6"/>
    <w:rsid w:val="0001238C"/>
    <w:rsid w:val="0001782A"/>
    <w:rsid w:val="000231A5"/>
    <w:rsid w:val="000237B5"/>
    <w:rsid w:val="00027892"/>
    <w:rsid w:val="000300D6"/>
    <w:rsid w:val="00031E5F"/>
    <w:rsid w:val="00033BD2"/>
    <w:rsid w:val="000345FF"/>
    <w:rsid w:val="000444D1"/>
    <w:rsid w:val="00045ED4"/>
    <w:rsid w:val="000526F0"/>
    <w:rsid w:val="000559D7"/>
    <w:rsid w:val="00057F4D"/>
    <w:rsid w:val="00062083"/>
    <w:rsid w:val="00064F26"/>
    <w:rsid w:val="00065478"/>
    <w:rsid w:val="0006726D"/>
    <w:rsid w:val="0007136A"/>
    <w:rsid w:val="00072CD3"/>
    <w:rsid w:val="00074986"/>
    <w:rsid w:val="00075406"/>
    <w:rsid w:val="00081C11"/>
    <w:rsid w:val="00082D02"/>
    <w:rsid w:val="000860AB"/>
    <w:rsid w:val="000870A6"/>
    <w:rsid w:val="00090282"/>
    <w:rsid w:val="00090899"/>
    <w:rsid w:val="000962F9"/>
    <w:rsid w:val="000A1A0C"/>
    <w:rsid w:val="000A3A46"/>
    <w:rsid w:val="000B01DA"/>
    <w:rsid w:val="000B0841"/>
    <w:rsid w:val="000B288E"/>
    <w:rsid w:val="000B5CD5"/>
    <w:rsid w:val="000B6038"/>
    <w:rsid w:val="000B7D26"/>
    <w:rsid w:val="000C4144"/>
    <w:rsid w:val="000C550E"/>
    <w:rsid w:val="000C7484"/>
    <w:rsid w:val="000D3005"/>
    <w:rsid w:val="000D3252"/>
    <w:rsid w:val="000D51A5"/>
    <w:rsid w:val="000E0E6C"/>
    <w:rsid w:val="000E13E1"/>
    <w:rsid w:val="000E2A1A"/>
    <w:rsid w:val="000E4723"/>
    <w:rsid w:val="000E529D"/>
    <w:rsid w:val="000E5499"/>
    <w:rsid w:val="000E5D16"/>
    <w:rsid w:val="000E6B95"/>
    <w:rsid w:val="000F2E7E"/>
    <w:rsid w:val="000F3FE9"/>
    <w:rsid w:val="000F424D"/>
    <w:rsid w:val="000F572D"/>
    <w:rsid w:val="000F72CD"/>
    <w:rsid w:val="00100BD1"/>
    <w:rsid w:val="001017CF"/>
    <w:rsid w:val="00102B0E"/>
    <w:rsid w:val="00102F2C"/>
    <w:rsid w:val="00106A48"/>
    <w:rsid w:val="001071D1"/>
    <w:rsid w:val="00107E72"/>
    <w:rsid w:val="0011239D"/>
    <w:rsid w:val="00115BC7"/>
    <w:rsid w:val="001160DD"/>
    <w:rsid w:val="00116675"/>
    <w:rsid w:val="00117A4A"/>
    <w:rsid w:val="00121E96"/>
    <w:rsid w:val="00122AB4"/>
    <w:rsid w:val="00124B33"/>
    <w:rsid w:val="001276D1"/>
    <w:rsid w:val="001303E6"/>
    <w:rsid w:val="00131DF7"/>
    <w:rsid w:val="001328D9"/>
    <w:rsid w:val="001365F0"/>
    <w:rsid w:val="00136750"/>
    <w:rsid w:val="001404AF"/>
    <w:rsid w:val="00140D3F"/>
    <w:rsid w:val="00142DC5"/>
    <w:rsid w:val="00145C95"/>
    <w:rsid w:val="00155605"/>
    <w:rsid w:val="00162779"/>
    <w:rsid w:val="00163F7D"/>
    <w:rsid w:val="00167F45"/>
    <w:rsid w:val="0017096B"/>
    <w:rsid w:val="00170B05"/>
    <w:rsid w:val="00172976"/>
    <w:rsid w:val="00174019"/>
    <w:rsid w:val="00174529"/>
    <w:rsid w:val="00181053"/>
    <w:rsid w:val="0018560D"/>
    <w:rsid w:val="00187330"/>
    <w:rsid w:val="00193A03"/>
    <w:rsid w:val="00197E67"/>
    <w:rsid w:val="001A275B"/>
    <w:rsid w:val="001A2B93"/>
    <w:rsid w:val="001A38AD"/>
    <w:rsid w:val="001A730B"/>
    <w:rsid w:val="001B2DF5"/>
    <w:rsid w:val="001B31EB"/>
    <w:rsid w:val="001B62D1"/>
    <w:rsid w:val="001C065C"/>
    <w:rsid w:val="001C4EAE"/>
    <w:rsid w:val="001C513C"/>
    <w:rsid w:val="001D3D17"/>
    <w:rsid w:val="001D47A7"/>
    <w:rsid w:val="001D4F73"/>
    <w:rsid w:val="001D73B4"/>
    <w:rsid w:val="001D7A76"/>
    <w:rsid w:val="001E0F24"/>
    <w:rsid w:val="001E5438"/>
    <w:rsid w:val="001E6562"/>
    <w:rsid w:val="001E6826"/>
    <w:rsid w:val="001E736B"/>
    <w:rsid w:val="001F20EA"/>
    <w:rsid w:val="001F61A7"/>
    <w:rsid w:val="00201092"/>
    <w:rsid w:val="00201EAE"/>
    <w:rsid w:val="0020292B"/>
    <w:rsid w:val="00204D15"/>
    <w:rsid w:val="00205455"/>
    <w:rsid w:val="00206339"/>
    <w:rsid w:val="00210AD8"/>
    <w:rsid w:val="00211D89"/>
    <w:rsid w:val="00213BCE"/>
    <w:rsid w:val="002173FB"/>
    <w:rsid w:val="0022037B"/>
    <w:rsid w:val="002226EE"/>
    <w:rsid w:val="002228F4"/>
    <w:rsid w:val="00226A20"/>
    <w:rsid w:val="002278A4"/>
    <w:rsid w:val="00243087"/>
    <w:rsid w:val="002472E9"/>
    <w:rsid w:val="0025154D"/>
    <w:rsid w:val="00252529"/>
    <w:rsid w:val="002549CF"/>
    <w:rsid w:val="0025662C"/>
    <w:rsid w:val="0025706C"/>
    <w:rsid w:val="0026282A"/>
    <w:rsid w:val="002632A6"/>
    <w:rsid w:val="002672D2"/>
    <w:rsid w:val="00273EAC"/>
    <w:rsid w:val="002755F0"/>
    <w:rsid w:val="0027745A"/>
    <w:rsid w:val="00287716"/>
    <w:rsid w:val="00290FD2"/>
    <w:rsid w:val="00291FF0"/>
    <w:rsid w:val="00292445"/>
    <w:rsid w:val="002937EC"/>
    <w:rsid w:val="002A0967"/>
    <w:rsid w:val="002A210D"/>
    <w:rsid w:val="002A3F33"/>
    <w:rsid w:val="002A5256"/>
    <w:rsid w:val="002A7AC0"/>
    <w:rsid w:val="002B3CEE"/>
    <w:rsid w:val="002B6620"/>
    <w:rsid w:val="002B68F3"/>
    <w:rsid w:val="002B7749"/>
    <w:rsid w:val="002B7BB5"/>
    <w:rsid w:val="002C0082"/>
    <w:rsid w:val="002C1D20"/>
    <w:rsid w:val="002C217A"/>
    <w:rsid w:val="002C2E02"/>
    <w:rsid w:val="002C5420"/>
    <w:rsid w:val="002D0273"/>
    <w:rsid w:val="002D2A03"/>
    <w:rsid w:val="002D4699"/>
    <w:rsid w:val="002D5A29"/>
    <w:rsid w:val="002D5C2A"/>
    <w:rsid w:val="002D7D2F"/>
    <w:rsid w:val="002E025C"/>
    <w:rsid w:val="002E2E9B"/>
    <w:rsid w:val="002E76E2"/>
    <w:rsid w:val="002F3EFE"/>
    <w:rsid w:val="002F5696"/>
    <w:rsid w:val="002F59FB"/>
    <w:rsid w:val="002F684A"/>
    <w:rsid w:val="00300D42"/>
    <w:rsid w:val="00306E45"/>
    <w:rsid w:val="00320121"/>
    <w:rsid w:val="00321174"/>
    <w:rsid w:val="00321520"/>
    <w:rsid w:val="0032212F"/>
    <w:rsid w:val="00324D90"/>
    <w:rsid w:val="00325A2B"/>
    <w:rsid w:val="00326A2C"/>
    <w:rsid w:val="00330D0C"/>
    <w:rsid w:val="0033163F"/>
    <w:rsid w:val="003342D6"/>
    <w:rsid w:val="003366C5"/>
    <w:rsid w:val="003407FA"/>
    <w:rsid w:val="003410F9"/>
    <w:rsid w:val="003427F0"/>
    <w:rsid w:val="0034713F"/>
    <w:rsid w:val="003473B0"/>
    <w:rsid w:val="00347796"/>
    <w:rsid w:val="00351359"/>
    <w:rsid w:val="0035218D"/>
    <w:rsid w:val="00352503"/>
    <w:rsid w:val="003527A8"/>
    <w:rsid w:val="00353486"/>
    <w:rsid w:val="003534D9"/>
    <w:rsid w:val="00360362"/>
    <w:rsid w:val="00360807"/>
    <w:rsid w:val="00361146"/>
    <w:rsid w:val="00362394"/>
    <w:rsid w:val="0036264F"/>
    <w:rsid w:val="00362AC0"/>
    <w:rsid w:val="003634EF"/>
    <w:rsid w:val="003636A0"/>
    <w:rsid w:val="003654D8"/>
    <w:rsid w:val="003666FF"/>
    <w:rsid w:val="00366FCC"/>
    <w:rsid w:val="00370243"/>
    <w:rsid w:val="00373E27"/>
    <w:rsid w:val="0037526F"/>
    <w:rsid w:val="00382939"/>
    <w:rsid w:val="00386070"/>
    <w:rsid w:val="00392A48"/>
    <w:rsid w:val="00394C04"/>
    <w:rsid w:val="003A31E8"/>
    <w:rsid w:val="003B6DB6"/>
    <w:rsid w:val="003C1A6F"/>
    <w:rsid w:val="003C1F15"/>
    <w:rsid w:val="003C47D1"/>
    <w:rsid w:val="003C6706"/>
    <w:rsid w:val="003D5E42"/>
    <w:rsid w:val="003E0DA0"/>
    <w:rsid w:val="003E2212"/>
    <w:rsid w:val="003E254C"/>
    <w:rsid w:val="003E2869"/>
    <w:rsid w:val="003E5BEA"/>
    <w:rsid w:val="003E69D5"/>
    <w:rsid w:val="003F045B"/>
    <w:rsid w:val="003F3EDC"/>
    <w:rsid w:val="003F4CA7"/>
    <w:rsid w:val="00402365"/>
    <w:rsid w:val="0040274D"/>
    <w:rsid w:val="00403518"/>
    <w:rsid w:val="00407284"/>
    <w:rsid w:val="00407B48"/>
    <w:rsid w:val="00414174"/>
    <w:rsid w:val="00414C7C"/>
    <w:rsid w:val="004152DE"/>
    <w:rsid w:val="00424990"/>
    <w:rsid w:val="00425027"/>
    <w:rsid w:val="00430FD8"/>
    <w:rsid w:val="004332D4"/>
    <w:rsid w:val="00434073"/>
    <w:rsid w:val="00434F8F"/>
    <w:rsid w:val="00441952"/>
    <w:rsid w:val="004523ED"/>
    <w:rsid w:val="00452F0A"/>
    <w:rsid w:val="004542EF"/>
    <w:rsid w:val="004617A9"/>
    <w:rsid w:val="00470CDC"/>
    <w:rsid w:val="004719C3"/>
    <w:rsid w:val="00473D25"/>
    <w:rsid w:val="0047690D"/>
    <w:rsid w:val="004814C5"/>
    <w:rsid w:val="00484293"/>
    <w:rsid w:val="00485A9C"/>
    <w:rsid w:val="00485D05"/>
    <w:rsid w:val="00486519"/>
    <w:rsid w:val="00490B27"/>
    <w:rsid w:val="004958D2"/>
    <w:rsid w:val="00495D79"/>
    <w:rsid w:val="004974BA"/>
    <w:rsid w:val="004A481B"/>
    <w:rsid w:val="004A48C0"/>
    <w:rsid w:val="004A61FF"/>
    <w:rsid w:val="004B3FC8"/>
    <w:rsid w:val="004C15CB"/>
    <w:rsid w:val="004C6B99"/>
    <w:rsid w:val="004C6D3B"/>
    <w:rsid w:val="004D2829"/>
    <w:rsid w:val="004D33D9"/>
    <w:rsid w:val="004D5500"/>
    <w:rsid w:val="004D660E"/>
    <w:rsid w:val="004E0D01"/>
    <w:rsid w:val="004E2A4F"/>
    <w:rsid w:val="004E4E86"/>
    <w:rsid w:val="004E4F40"/>
    <w:rsid w:val="004F45FC"/>
    <w:rsid w:val="004F4A97"/>
    <w:rsid w:val="004F5A0F"/>
    <w:rsid w:val="005002B7"/>
    <w:rsid w:val="00506AA4"/>
    <w:rsid w:val="005074E7"/>
    <w:rsid w:val="00507510"/>
    <w:rsid w:val="00511BDE"/>
    <w:rsid w:val="00512270"/>
    <w:rsid w:val="005143CC"/>
    <w:rsid w:val="005157AF"/>
    <w:rsid w:val="00523DCA"/>
    <w:rsid w:val="005301C9"/>
    <w:rsid w:val="00530F23"/>
    <w:rsid w:val="00532550"/>
    <w:rsid w:val="00534D72"/>
    <w:rsid w:val="0053544E"/>
    <w:rsid w:val="005377D9"/>
    <w:rsid w:val="0054131D"/>
    <w:rsid w:val="00547CDD"/>
    <w:rsid w:val="00553EAB"/>
    <w:rsid w:val="00554B72"/>
    <w:rsid w:val="00556DD6"/>
    <w:rsid w:val="005716B8"/>
    <w:rsid w:val="0058293A"/>
    <w:rsid w:val="005836C2"/>
    <w:rsid w:val="005860A1"/>
    <w:rsid w:val="00586374"/>
    <w:rsid w:val="005865D8"/>
    <w:rsid w:val="00587011"/>
    <w:rsid w:val="005943A0"/>
    <w:rsid w:val="0059687B"/>
    <w:rsid w:val="005A1A3D"/>
    <w:rsid w:val="005A341B"/>
    <w:rsid w:val="005A3C8A"/>
    <w:rsid w:val="005A5050"/>
    <w:rsid w:val="005B1955"/>
    <w:rsid w:val="005B4C0D"/>
    <w:rsid w:val="005B644F"/>
    <w:rsid w:val="005B7805"/>
    <w:rsid w:val="005B7C02"/>
    <w:rsid w:val="005C2885"/>
    <w:rsid w:val="005C34D8"/>
    <w:rsid w:val="005C5247"/>
    <w:rsid w:val="005D0226"/>
    <w:rsid w:val="005D0869"/>
    <w:rsid w:val="005D281D"/>
    <w:rsid w:val="005D2DCA"/>
    <w:rsid w:val="005D6248"/>
    <w:rsid w:val="005E0330"/>
    <w:rsid w:val="005E0977"/>
    <w:rsid w:val="005E16E1"/>
    <w:rsid w:val="005E3028"/>
    <w:rsid w:val="005E4E4B"/>
    <w:rsid w:val="005E6462"/>
    <w:rsid w:val="005F2DD9"/>
    <w:rsid w:val="005F2FBB"/>
    <w:rsid w:val="005F4295"/>
    <w:rsid w:val="00601981"/>
    <w:rsid w:val="006022B2"/>
    <w:rsid w:val="006024CB"/>
    <w:rsid w:val="00602579"/>
    <w:rsid w:val="00604E3C"/>
    <w:rsid w:val="006053F9"/>
    <w:rsid w:val="00617A1D"/>
    <w:rsid w:val="00617B06"/>
    <w:rsid w:val="006217A5"/>
    <w:rsid w:val="0062381F"/>
    <w:rsid w:val="00623EF5"/>
    <w:rsid w:val="00625A3B"/>
    <w:rsid w:val="00625D11"/>
    <w:rsid w:val="0062709B"/>
    <w:rsid w:val="00627684"/>
    <w:rsid w:val="0063010B"/>
    <w:rsid w:val="006310B2"/>
    <w:rsid w:val="006311F0"/>
    <w:rsid w:val="0063134D"/>
    <w:rsid w:val="0063438A"/>
    <w:rsid w:val="006349AE"/>
    <w:rsid w:val="00635153"/>
    <w:rsid w:val="006418EB"/>
    <w:rsid w:val="00647B3B"/>
    <w:rsid w:val="006521BF"/>
    <w:rsid w:val="0065297F"/>
    <w:rsid w:val="0066026A"/>
    <w:rsid w:val="00660663"/>
    <w:rsid w:val="00662AC4"/>
    <w:rsid w:val="00663283"/>
    <w:rsid w:val="006644DC"/>
    <w:rsid w:val="0066632C"/>
    <w:rsid w:val="00671789"/>
    <w:rsid w:val="006736E1"/>
    <w:rsid w:val="00673F69"/>
    <w:rsid w:val="00674659"/>
    <w:rsid w:val="00675800"/>
    <w:rsid w:val="00675FC1"/>
    <w:rsid w:val="0068620A"/>
    <w:rsid w:val="00686D8C"/>
    <w:rsid w:val="00687AA7"/>
    <w:rsid w:val="0069122F"/>
    <w:rsid w:val="00691CF5"/>
    <w:rsid w:val="00693907"/>
    <w:rsid w:val="006949FC"/>
    <w:rsid w:val="00694F18"/>
    <w:rsid w:val="006A1BBD"/>
    <w:rsid w:val="006A223C"/>
    <w:rsid w:val="006A2697"/>
    <w:rsid w:val="006A5D5D"/>
    <w:rsid w:val="006A622B"/>
    <w:rsid w:val="006B1D5E"/>
    <w:rsid w:val="006B4B81"/>
    <w:rsid w:val="006B571D"/>
    <w:rsid w:val="006B6F87"/>
    <w:rsid w:val="006B7A63"/>
    <w:rsid w:val="006C05BA"/>
    <w:rsid w:val="006C0988"/>
    <w:rsid w:val="006C1046"/>
    <w:rsid w:val="006C1C31"/>
    <w:rsid w:val="006C7FA3"/>
    <w:rsid w:val="006D1CB6"/>
    <w:rsid w:val="006D3E92"/>
    <w:rsid w:val="006D7777"/>
    <w:rsid w:val="006E204F"/>
    <w:rsid w:val="006E5563"/>
    <w:rsid w:val="006E5A3B"/>
    <w:rsid w:val="006E7226"/>
    <w:rsid w:val="006F1BD3"/>
    <w:rsid w:val="006F4BCB"/>
    <w:rsid w:val="006F5A9E"/>
    <w:rsid w:val="006F5D0F"/>
    <w:rsid w:val="006F6C54"/>
    <w:rsid w:val="00702663"/>
    <w:rsid w:val="00705B0F"/>
    <w:rsid w:val="00706433"/>
    <w:rsid w:val="00706AEA"/>
    <w:rsid w:val="00707751"/>
    <w:rsid w:val="00707FEF"/>
    <w:rsid w:val="007102D4"/>
    <w:rsid w:val="00710E3A"/>
    <w:rsid w:val="00711DB4"/>
    <w:rsid w:val="0071319F"/>
    <w:rsid w:val="007202E4"/>
    <w:rsid w:val="00720DB8"/>
    <w:rsid w:val="00721121"/>
    <w:rsid w:val="0072213B"/>
    <w:rsid w:val="00723203"/>
    <w:rsid w:val="00724071"/>
    <w:rsid w:val="007249DA"/>
    <w:rsid w:val="007258B3"/>
    <w:rsid w:val="00725D03"/>
    <w:rsid w:val="007267BA"/>
    <w:rsid w:val="00726AA1"/>
    <w:rsid w:val="00732726"/>
    <w:rsid w:val="00732E86"/>
    <w:rsid w:val="007331B6"/>
    <w:rsid w:val="00737345"/>
    <w:rsid w:val="007415F0"/>
    <w:rsid w:val="00741799"/>
    <w:rsid w:val="00742E32"/>
    <w:rsid w:val="007438E0"/>
    <w:rsid w:val="00747C24"/>
    <w:rsid w:val="00747D06"/>
    <w:rsid w:val="0075419C"/>
    <w:rsid w:val="007577BD"/>
    <w:rsid w:val="0076445F"/>
    <w:rsid w:val="007654A6"/>
    <w:rsid w:val="007712CE"/>
    <w:rsid w:val="00771F50"/>
    <w:rsid w:val="0077363A"/>
    <w:rsid w:val="00774F47"/>
    <w:rsid w:val="007768C5"/>
    <w:rsid w:val="007769BD"/>
    <w:rsid w:val="007802FE"/>
    <w:rsid w:val="007803B6"/>
    <w:rsid w:val="00781947"/>
    <w:rsid w:val="00782C14"/>
    <w:rsid w:val="00790EBF"/>
    <w:rsid w:val="007A061A"/>
    <w:rsid w:val="007A2EA7"/>
    <w:rsid w:val="007A3DD2"/>
    <w:rsid w:val="007B16B9"/>
    <w:rsid w:val="007B1D5B"/>
    <w:rsid w:val="007B45FD"/>
    <w:rsid w:val="007B47D2"/>
    <w:rsid w:val="007B77E2"/>
    <w:rsid w:val="007C5995"/>
    <w:rsid w:val="007C7BBB"/>
    <w:rsid w:val="007D172C"/>
    <w:rsid w:val="007D713D"/>
    <w:rsid w:val="007D7FFA"/>
    <w:rsid w:val="007E5183"/>
    <w:rsid w:val="007E7715"/>
    <w:rsid w:val="007F35E2"/>
    <w:rsid w:val="007F3C49"/>
    <w:rsid w:val="007F55C9"/>
    <w:rsid w:val="007F56ED"/>
    <w:rsid w:val="007F7A3E"/>
    <w:rsid w:val="00800CED"/>
    <w:rsid w:val="00803460"/>
    <w:rsid w:val="008068BB"/>
    <w:rsid w:val="00806D19"/>
    <w:rsid w:val="0082038B"/>
    <w:rsid w:val="00821417"/>
    <w:rsid w:val="008217D2"/>
    <w:rsid w:val="00821A2D"/>
    <w:rsid w:val="008272F3"/>
    <w:rsid w:val="00833393"/>
    <w:rsid w:val="00833B1A"/>
    <w:rsid w:val="00836D02"/>
    <w:rsid w:val="008418BB"/>
    <w:rsid w:val="00841B37"/>
    <w:rsid w:val="00851504"/>
    <w:rsid w:val="00854241"/>
    <w:rsid w:val="00855C7D"/>
    <w:rsid w:val="00864BED"/>
    <w:rsid w:val="0086623A"/>
    <w:rsid w:val="00875103"/>
    <w:rsid w:val="008757C6"/>
    <w:rsid w:val="0088106A"/>
    <w:rsid w:val="00881D3A"/>
    <w:rsid w:val="00885981"/>
    <w:rsid w:val="00893245"/>
    <w:rsid w:val="00894034"/>
    <w:rsid w:val="00895308"/>
    <w:rsid w:val="00895626"/>
    <w:rsid w:val="00896311"/>
    <w:rsid w:val="00897AE0"/>
    <w:rsid w:val="008A207D"/>
    <w:rsid w:val="008A3F7D"/>
    <w:rsid w:val="008A46F2"/>
    <w:rsid w:val="008A4A6A"/>
    <w:rsid w:val="008A5C57"/>
    <w:rsid w:val="008B0E1D"/>
    <w:rsid w:val="008B1964"/>
    <w:rsid w:val="008B23E6"/>
    <w:rsid w:val="008B603B"/>
    <w:rsid w:val="008B6464"/>
    <w:rsid w:val="008D0539"/>
    <w:rsid w:val="008D0E1B"/>
    <w:rsid w:val="008D331D"/>
    <w:rsid w:val="008D509D"/>
    <w:rsid w:val="008D6B28"/>
    <w:rsid w:val="008E2BDA"/>
    <w:rsid w:val="008F0E79"/>
    <w:rsid w:val="008F3E76"/>
    <w:rsid w:val="008F3EBA"/>
    <w:rsid w:val="009006AC"/>
    <w:rsid w:val="00901115"/>
    <w:rsid w:val="00904498"/>
    <w:rsid w:val="009066E1"/>
    <w:rsid w:val="0091068C"/>
    <w:rsid w:val="00913D79"/>
    <w:rsid w:val="00914AC0"/>
    <w:rsid w:val="00915728"/>
    <w:rsid w:val="009330A9"/>
    <w:rsid w:val="00935C29"/>
    <w:rsid w:val="00936697"/>
    <w:rsid w:val="009469F9"/>
    <w:rsid w:val="00950BC2"/>
    <w:rsid w:val="00951760"/>
    <w:rsid w:val="00952AC5"/>
    <w:rsid w:val="00956DFB"/>
    <w:rsid w:val="00960837"/>
    <w:rsid w:val="00965085"/>
    <w:rsid w:val="00974F3F"/>
    <w:rsid w:val="009761F5"/>
    <w:rsid w:val="00976519"/>
    <w:rsid w:val="00980C21"/>
    <w:rsid w:val="00981B66"/>
    <w:rsid w:val="00981ED9"/>
    <w:rsid w:val="00984215"/>
    <w:rsid w:val="009935B4"/>
    <w:rsid w:val="009936CE"/>
    <w:rsid w:val="00995AAD"/>
    <w:rsid w:val="00996E60"/>
    <w:rsid w:val="009A07D3"/>
    <w:rsid w:val="009A3F6C"/>
    <w:rsid w:val="009A45F6"/>
    <w:rsid w:val="009A46CE"/>
    <w:rsid w:val="009A4E30"/>
    <w:rsid w:val="009A6B3C"/>
    <w:rsid w:val="009A73D2"/>
    <w:rsid w:val="009B0C4C"/>
    <w:rsid w:val="009B0D3C"/>
    <w:rsid w:val="009B14D5"/>
    <w:rsid w:val="009B2EC3"/>
    <w:rsid w:val="009B4BE1"/>
    <w:rsid w:val="009B4F0F"/>
    <w:rsid w:val="009B62F9"/>
    <w:rsid w:val="009C0D4C"/>
    <w:rsid w:val="009C19E8"/>
    <w:rsid w:val="009C3B26"/>
    <w:rsid w:val="009C3E18"/>
    <w:rsid w:val="009C5631"/>
    <w:rsid w:val="009D3398"/>
    <w:rsid w:val="009E62B8"/>
    <w:rsid w:val="009E6C23"/>
    <w:rsid w:val="009E7B1A"/>
    <w:rsid w:val="009F0F67"/>
    <w:rsid w:val="009F22E4"/>
    <w:rsid w:val="009F504B"/>
    <w:rsid w:val="00A01022"/>
    <w:rsid w:val="00A143D3"/>
    <w:rsid w:val="00A14857"/>
    <w:rsid w:val="00A149BB"/>
    <w:rsid w:val="00A22004"/>
    <w:rsid w:val="00A228DF"/>
    <w:rsid w:val="00A2295E"/>
    <w:rsid w:val="00A252CA"/>
    <w:rsid w:val="00A27C31"/>
    <w:rsid w:val="00A30124"/>
    <w:rsid w:val="00A314AA"/>
    <w:rsid w:val="00A31BE6"/>
    <w:rsid w:val="00A34570"/>
    <w:rsid w:val="00A436F6"/>
    <w:rsid w:val="00A448A6"/>
    <w:rsid w:val="00A516DA"/>
    <w:rsid w:val="00A54639"/>
    <w:rsid w:val="00A56112"/>
    <w:rsid w:val="00A56348"/>
    <w:rsid w:val="00A56574"/>
    <w:rsid w:val="00A619B3"/>
    <w:rsid w:val="00A66DEA"/>
    <w:rsid w:val="00A7084E"/>
    <w:rsid w:val="00A746FF"/>
    <w:rsid w:val="00A76ECB"/>
    <w:rsid w:val="00A77232"/>
    <w:rsid w:val="00A77E83"/>
    <w:rsid w:val="00A80F65"/>
    <w:rsid w:val="00A81358"/>
    <w:rsid w:val="00A839F6"/>
    <w:rsid w:val="00A843C3"/>
    <w:rsid w:val="00A87FD4"/>
    <w:rsid w:val="00A910A8"/>
    <w:rsid w:val="00A91135"/>
    <w:rsid w:val="00A9738A"/>
    <w:rsid w:val="00AA2F1B"/>
    <w:rsid w:val="00AA2F60"/>
    <w:rsid w:val="00AA7673"/>
    <w:rsid w:val="00AA7A9C"/>
    <w:rsid w:val="00AB263B"/>
    <w:rsid w:val="00AB36B0"/>
    <w:rsid w:val="00AB52B4"/>
    <w:rsid w:val="00AB562A"/>
    <w:rsid w:val="00AB5A58"/>
    <w:rsid w:val="00AB5A9C"/>
    <w:rsid w:val="00AC5DE6"/>
    <w:rsid w:val="00AC74EE"/>
    <w:rsid w:val="00AD0343"/>
    <w:rsid w:val="00AD087F"/>
    <w:rsid w:val="00AD5C9C"/>
    <w:rsid w:val="00AE1A5D"/>
    <w:rsid w:val="00AE2174"/>
    <w:rsid w:val="00AE2C9C"/>
    <w:rsid w:val="00AE397D"/>
    <w:rsid w:val="00AE3D36"/>
    <w:rsid w:val="00AE432B"/>
    <w:rsid w:val="00AE4E99"/>
    <w:rsid w:val="00AF261B"/>
    <w:rsid w:val="00AF5A7A"/>
    <w:rsid w:val="00B00858"/>
    <w:rsid w:val="00B00CE1"/>
    <w:rsid w:val="00B0278F"/>
    <w:rsid w:val="00B035B6"/>
    <w:rsid w:val="00B0380B"/>
    <w:rsid w:val="00B05883"/>
    <w:rsid w:val="00B05D57"/>
    <w:rsid w:val="00B16C88"/>
    <w:rsid w:val="00B16CF6"/>
    <w:rsid w:val="00B17882"/>
    <w:rsid w:val="00B20451"/>
    <w:rsid w:val="00B21A98"/>
    <w:rsid w:val="00B21B76"/>
    <w:rsid w:val="00B22525"/>
    <w:rsid w:val="00B31362"/>
    <w:rsid w:val="00B341B1"/>
    <w:rsid w:val="00B353FC"/>
    <w:rsid w:val="00B4021C"/>
    <w:rsid w:val="00B40440"/>
    <w:rsid w:val="00B414D8"/>
    <w:rsid w:val="00B41F01"/>
    <w:rsid w:val="00B436AA"/>
    <w:rsid w:val="00B43D8B"/>
    <w:rsid w:val="00B446DE"/>
    <w:rsid w:val="00B45355"/>
    <w:rsid w:val="00B45DD6"/>
    <w:rsid w:val="00B50608"/>
    <w:rsid w:val="00B527FB"/>
    <w:rsid w:val="00B55B48"/>
    <w:rsid w:val="00B5774A"/>
    <w:rsid w:val="00B61492"/>
    <w:rsid w:val="00B62322"/>
    <w:rsid w:val="00B64868"/>
    <w:rsid w:val="00B67C14"/>
    <w:rsid w:val="00B71B8D"/>
    <w:rsid w:val="00B72284"/>
    <w:rsid w:val="00B73FB5"/>
    <w:rsid w:val="00B742FC"/>
    <w:rsid w:val="00B7493B"/>
    <w:rsid w:val="00B75D89"/>
    <w:rsid w:val="00B7714C"/>
    <w:rsid w:val="00B81DE6"/>
    <w:rsid w:val="00B844AD"/>
    <w:rsid w:val="00B8616E"/>
    <w:rsid w:val="00B86DCE"/>
    <w:rsid w:val="00B874D7"/>
    <w:rsid w:val="00B9170D"/>
    <w:rsid w:val="00B917D7"/>
    <w:rsid w:val="00BA36A5"/>
    <w:rsid w:val="00BA3909"/>
    <w:rsid w:val="00BB220B"/>
    <w:rsid w:val="00BB256A"/>
    <w:rsid w:val="00BB44D2"/>
    <w:rsid w:val="00BB55BE"/>
    <w:rsid w:val="00BB5BE6"/>
    <w:rsid w:val="00BC143F"/>
    <w:rsid w:val="00BC4000"/>
    <w:rsid w:val="00BC5586"/>
    <w:rsid w:val="00BC66B9"/>
    <w:rsid w:val="00BC7434"/>
    <w:rsid w:val="00BD21BB"/>
    <w:rsid w:val="00BD7F32"/>
    <w:rsid w:val="00BE05D7"/>
    <w:rsid w:val="00BE0A0E"/>
    <w:rsid w:val="00BE2EF6"/>
    <w:rsid w:val="00BE3731"/>
    <w:rsid w:val="00BE4435"/>
    <w:rsid w:val="00BE71FE"/>
    <w:rsid w:val="00BF06C0"/>
    <w:rsid w:val="00BF1F3F"/>
    <w:rsid w:val="00BF2F73"/>
    <w:rsid w:val="00BF471D"/>
    <w:rsid w:val="00BF7964"/>
    <w:rsid w:val="00C034E1"/>
    <w:rsid w:val="00C05DA5"/>
    <w:rsid w:val="00C06C53"/>
    <w:rsid w:val="00C12819"/>
    <w:rsid w:val="00C13C13"/>
    <w:rsid w:val="00C142E7"/>
    <w:rsid w:val="00C14A16"/>
    <w:rsid w:val="00C150D7"/>
    <w:rsid w:val="00C16665"/>
    <w:rsid w:val="00C20442"/>
    <w:rsid w:val="00C214D4"/>
    <w:rsid w:val="00C23E3A"/>
    <w:rsid w:val="00C246C3"/>
    <w:rsid w:val="00C27058"/>
    <w:rsid w:val="00C30C92"/>
    <w:rsid w:val="00C334B9"/>
    <w:rsid w:val="00C3465E"/>
    <w:rsid w:val="00C34C45"/>
    <w:rsid w:val="00C37690"/>
    <w:rsid w:val="00C419E0"/>
    <w:rsid w:val="00C44B68"/>
    <w:rsid w:val="00C4716F"/>
    <w:rsid w:val="00C513AC"/>
    <w:rsid w:val="00C555C1"/>
    <w:rsid w:val="00C6095A"/>
    <w:rsid w:val="00C639A2"/>
    <w:rsid w:val="00C655C3"/>
    <w:rsid w:val="00C65657"/>
    <w:rsid w:val="00C662FC"/>
    <w:rsid w:val="00C739F1"/>
    <w:rsid w:val="00C7754F"/>
    <w:rsid w:val="00C8052E"/>
    <w:rsid w:val="00C859E5"/>
    <w:rsid w:val="00C9059D"/>
    <w:rsid w:val="00C93C0C"/>
    <w:rsid w:val="00C9760F"/>
    <w:rsid w:val="00CA230F"/>
    <w:rsid w:val="00CA271F"/>
    <w:rsid w:val="00CA3956"/>
    <w:rsid w:val="00CA3EA3"/>
    <w:rsid w:val="00CA5AD8"/>
    <w:rsid w:val="00CA760A"/>
    <w:rsid w:val="00CB02D7"/>
    <w:rsid w:val="00CB207B"/>
    <w:rsid w:val="00CB262E"/>
    <w:rsid w:val="00CB29AA"/>
    <w:rsid w:val="00CB2DF9"/>
    <w:rsid w:val="00CB6CB5"/>
    <w:rsid w:val="00CC01B3"/>
    <w:rsid w:val="00CC515D"/>
    <w:rsid w:val="00CC51F5"/>
    <w:rsid w:val="00CC5D63"/>
    <w:rsid w:val="00CC6AAA"/>
    <w:rsid w:val="00CC6B9F"/>
    <w:rsid w:val="00CD129B"/>
    <w:rsid w:val="00CD6D39"/>
    <w:rsid w:val="00CE0997"/>
    <w:rsid w:val="00CE15EF"/>
    <w:rsid w:val="00CE17BF"/>
    <w:rsid w:val="00CE49A7"/>
    <w:rsid w:val="00CE5EDB"/>
    <w:rsid w:val="00CF4198"/>
    <w:rsid w:val="00CF4F2D"/>
    <w:rsid w:val="00CF5D1B"/>
    <w:rsid w:val="00D014CE"/>
    <w:rsid w:val="00D0361B"/>
    <w:rsid w:val="00D04ED9"/>
    <w:rsid w:val="00D05629"/>
    <w:rsid w:val="00D10690"/>
    <w:rsid w:val="00D11ED0"/>
    <w:rsid w:val="00D129E3"/>
    <w:rsid w:val="00D1693F"/>
    <w:rsid w:val="00D16E6A"/>
    <w:rsid w:val="00D22550"/>
    <w:rsid w:val="00D22FA9"/>
    <w:rsid w:val="00D23131"/>
    <w:rsid w:val="00D30299"/>
    <w:rsid w:val="00D30DBC"/>
    <w:rsid w:val="00D3170F"/>
    <w:rsid w:val="00D324A0"/>
    <w:rsid w:val="00D371A8"/>
    <w:rsid w:val="00D41D36"/>
    <w:rsid w:val="00D42FF9"/>
    <w:rsid w:val="00D45471"/>
    <w:rsid w:val="00D45938"/>
    <w:rsid w:val="00D47229"/>
    <w:rsid w:val="00D52BDC"/>
    <w:rsid w:val="00D6260F"/>
    <w:rsid w:val="00D62F14"/>
    <w:rsid w:val="00D66116"/>
    <w:rsid w:val="00D669AA"/>
    <w:rsid w:val="00D7022F"/>
    <w:rsid w:val="00D70349"/>
    <w:rsid w:val="00D71218"/>
    <w:rsid w:val="00D72545"/>
    <w:rsid w:val="00D74A8A"/>
    <w:rsid w:val="00D750D1"/>
    <w:rsid w:val="00D81C17"/>
    <w:rsid w:val="00D872D2"/>
    <w:rsid w:val="00D91141"/>
    <w:rsid w:val="00D9195E"/>
    <w:rsid w:val="00DA1C96"/>
    <w:rsid w:val="00DA347D"/>
    <w:rsid w:val="00DB25C3"/>
    <w:rsid w:val="00DB7E3E"/>
    <w:rsid w:val="00DC0633"/>
    <w:rsid w:val="00DC59C1"/>
    <w:rsid w:val="00DC7310"/>
    <w:rsid w:val="00DD2BC8"/>
    <w:rsid w:val="00DD6BEC"/>
    <w:rsid w:val="00DE063B"/>
    <w:rsid w:val="00DE2006"/>
    <w:rsid w:val="00DE65DC"/>
    <w:rsid w:val="00DE7D7F"/>
    <w:rsid w:val="00DE7DEB"/>
    <w:rsid w:val="00DF3531"/>
    <w:rsid w:val="00E041E9"/>
    <w:rsid w:val="00E05C95"/>
    <w:rsid w:val="00E103F6"/>
    <w:rsid w:val="00E12D9A"/>
    <w:rsid w:val="00E15D36"/>
    <w:rsid w:val="00E228CF"/>
    <w:rsid w:val="00E3168E"/>
    <w:rsid w:val="00E323BB"/>
    <w:rsid w:val="00E40D7C"/>
    <w:rsid w:val="00E41071"/>
    <w:rsid w:val="00E41634"/>
    <w:rsid w:val="00E41F99"/>
    <w:rsid w:val="00E423D1"/>
    <w:rsid w:val="00E44A37"/>
    <w:rsid w:val="00E44BCF"/>
    <w:rsid w:val="00E46589"/>
    <w:rsid w:val="00E556E5"/>
    <w:rsid w:val="00E55E64"/>
    <w:rsid w:val="00E5703B"/>
    <w:rsid w:val="00E6256F"/>
    <w:rsid w:val="00E62FB5"/>
    <w:rsid w:val="00E6697A"/>
    <w:rsid w:val="00E70CB1"/>
    <w:rsid w:val="00E73DBF"/>
    <w:rsid w:val="00E76DF8"/>
    <w:rsid w:val="00E83FAD"/>
    <w:rsid w:val="00E85E6C"/>
    <w:rsid w:val="00E86771"/>
    <w:rsid w:val="00E86E8A"/>
    <w:rsid w:val="00E90303"/>
    <w:rsid w:val="00E9167B"/>
    <w:rsid w:val="00E927D9"/>
    <w:rsid w:val="00EA456F"/>
    <w:rsid w:val="00EA495A"/>
    <w:rsid w:val="00EB1133"/>
    <w:rsid w:val="00EB1E1E"/>
    <w:rsid w:val="00EB278B"/>
    <w:rsid w:val="00EB29F0"/>
    <w:rsid w:val="00EB32C8"/>
    <w:rsid w:val="00EB74AE"/>
    <w:rsid w:val="00EC0774"/>
    <w:rsid w:val="00EC08FA"/>
    <w:rsid w:val="00EC1935"/>
    <w:rsid w:val="00EC616F"/>
    <w:rsid w:val="00EC7801"/>
    <w:rsid w:val="00ED5382"/>
    <w:rsid w:val="00ED6492"/>
    <w:rsid w:val="00ED7FF4"/>
    <w:rsid w:val="00EE637A"/>
    <w:rsid w:val="00EF0306"/>
    <w:rsid w:val="00EF0652"/>
    <w:rsid w:val="00EF0BC6"/>
    <w:rsid w:val="00EF7628"/>
    <w:rsid w:val="00F01F68"/>
    <w:rsid w:val="00F04052"/>
    <w:rsid w:val="00F05105"/>
    <w:rsid w:val="00F06B56"/>
    <w:rsid w:val="00F11C03"/>
    <w:rsid w:val="00F12E92"/>
    <w:rsid w:val="00F169B2"/>
    <w:rsid w:val="00F2256E"/>
    <w:rsid w:val="00F27A13"/>
    <w:rsid w:val="00F35796"/>
    <w:rsid w:val="00F40C21"/>
    <w:rsid w:val="00F433EF"/>
    <w:rsid w:val="00F43A62"/>
    <w:rsid w:val="00F46777"/>
    <w:rsid w:val="00F51581"/>
    <w:rsid w:val="00F52B5E"/>
    <w:rsid w:val="00F55914"/>
    <w:rsid w:val="00F56F7A"/>
    <w:rsid w:val="00F61B9A"/>
    <w:rsid w:val="00F65A8E"/>
    <w:rsid w:val="00F65FAE"/>
    <w:rsid w:val="00F66241"/>
    <w:rsid w:val="00F667FB"/>
    <w:rsid w:val="00F67763"/>
    <w:rsid w:val="00F716DC"/>
    <w:rsid w:val="00F742F0"/>
    <w:rsid w:val="00F81FB9"/>
    <w:rsid w:val="00F863A6"/>
    <w:rsid w:val="00F86C2B"/>
    <w:rsid w:val="00F87A1F"/>
    <w:rsid w:val="00F94633"/>
    <w:rsid w:val="00F9486B"/>
    <w:rsid w:val="00F964CE"/>
    <w:rsid w:val="00F96E71"/>
    <w:rsid w:val="00F97488"/>
    <w:rsid w:val="00FA0EFC"/>
    <w:rsid w:val="00FA1D7D"/>
    <w:rsid w:val="00FA586A"/>
    <w:rsid w:val="00FA7480"/>
    <w:rsid w:val="00FA7A5C"/>
    <w:rsid w:val="00FB731E"/>
    <w:rsid w:val="00FC189F"/>
    <w:rsid w:val="00FC251C"/>
    <w:rsid w:val="00FC6B71"/>
    <w:rsid w:val="00FE07D6"/>
    <w:rsid w:val="00FE087A"/>
    <w:rsid w:val="00FE3FE0"/>
    <w:rsid w:val="00FE6B18"/>
    <w:rsid w:val="00FF0675"/>
    <w:rsid w:val="00FF1D9F"/>
    <w:rsid w:val="00FF3565"/>
    <w:rsid w:val="00FF363C"/>
    <w:rsid w:val="00FF42F5"/>
    <w:rsid w:val="00FF73E8"/>
    <w:rsid w:val="013C009E"/>
    <w:rsid w:val="04614009"/>
    <w:rsid w:val="07B9649D"/>
    <w:rsid w:val="084D4BE3"/>
    <w:rsid w:val="085A71E5"/>
    <w:rsid w:val="0BFA4AEC"/>
    <w:rsid w:val="0E421ECC"/>
    <w:rsid w:val="0F5D4006"/>
    <w:rsid w:val="104D6E1D"/>
    <w:rsid w:val="10FE598E"/>
    <w:rsid w:val="137E5328"/>
    <w:rsid w:val="14D67542"/>
    <w:rsid w:val="16260573"/>
    <w:rsid w:val="19C01285"/>
    <w:rsid w:val="1A600425"/>
    <w:rsid w:val="1B3E69A7"/>
    <w:rsid w:val="22B2160E"/>
    <w:rsid w:val="25B32A98"/>
    <w:rsid w:val="2A7F74F9"/>
    <w:rsid w:val="30690331"/>
    <w:rsid w:val="310A33A2"/>
    <w:rsid w:val="39737920"/>
    <w:rsid w:val="39CA598A"/>
    <w:rsid w:val="3A1E35A8"/>
    <w:rsid w:val="413B0E47"/>
    <w:rsid w:val="4D8053A2"/>
    <w:rsid w:val="55296024"/>
    <w:rsid w:val="55C72A52"/>
    <w:rsid w:val="569321DC"/>
    <w:rsid w:val="56BE1D99"/>
    <w:rsid w:val="59AC3AD1"/>
    <w:rsid w:val="5A5576C7"/>
    <w:rsid w:val="5BAD5024"/>
    <w:rsid w:val="60045533"/>
    <w:rsid w:val="64A57B7F"/>
    <w:rsid w:val="669C6B05"/>
    <w:rsid w:val="66D91A00"/>
    <w:rsid w:val="680A7386"/>
    <w:rsid w:val="69773EBB"/>
    <w:rsid w:val="69F33B09"/>
    <w:rsid w:val="6B3260DA"/>
    <w:rsid w:val="6EB8519B"/>
    <w:rsid w:val="6FBE4D21"/>
    <w:rsid w:val="70590718"/>
    <w:rsid w:val="711B6440"/>
    <w:rsid w:val="74CC33F6"/>
    <w:rsid w:val="75BB51C1"/>
    <w:rsid w:val="78287EBC"/>
    <w:rsid w:val="7DD80FF2"/>
    <w:rsid w:val="7EC95F0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105CE51"/>
  <w15:docId w15:val="{E1312E83-5073-45C8-B209-BC2E3DF480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iPriority="0"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spacing w:after="160" w:line="278" w:lineRule="auto"/>
      <w:jc w:val="both"/>
    </w:pPr>
    <w:rPr>
      <w:rFonts w:ascii="Arial" w:hAnsi="Arial"/>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nhideWhenUsed/>
    <w:qFormat/>
    <w:pPr>
      <w:jc w:val="left"/>
    </w:pPr>
  </w:style>
  <w:style w:type="paragraph" w:styleId="a5">
    <w:name w:val="Balloon Text"/>
    <w:basedOn w:val="a"/>
    <w:link w:val="a6"/>
    <w:uiPriority w:val="99"/>
    <w:semiHidden/>
    <w:unhideWhenUsed/>
    <w:qFormat/>
    <w:rPr>
      <w:sz w:val="18"/>
      <w:szCs w:val="18"/>
    </w:rPr>
  </w:style>
  <w:style w:type="paragraph" w:styleId="a7">
    <w:name w:val="footer"/>
    <w:basedOn w:val="a"/>
    <w:link w:val="a8"/>
    <w:uiPriority w:val="99"/>
    <w:unhideWhenUsed/>
    <w:qFormat/>
    <w:pPr>
      <w:tabs>
        <w:tab w:val="center" w:pos="4153"/>
        <w:tab w:val="right" w:pos="8306"/>
      </w:tabs>
      <w:snapToGrid w:val="0"/>
      <w:jc w:val="left"/>
    </w:pPr>
    <w:rPr>
      <w:rFonts w:asciiTheme="minorHAnsi" w:eastAsiaTheme="minorEastAsia" w:hAnsiTheme="minorHAnsi" w:cstheme="minorBidi"/>
      <w:sz w:val="18"/>
      <w:szCs w:val="18"/>
    </w:rPr>
  </w:style>
  <w:style w:type="paragraph" w:styleId="a9">
    <w:name w:val="header"/>
    <w:basedOn w:val="a"/>
    <w:link w:val="aa"/>
    <w:uiPriority w:val="99"/>
    <w:unhideWhenUsed/>
    <w:qFormat/>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styleId="ab">
    <w:name w:val="annotation subject"/>
    <w:basedOn w:val="a3"/>
    <w:next w:val="a3"/>
    <w:link w:val="ac"/>
    <w:uiPriority w:val="99"/>
    <w:semiHidden/>
    <w:unhideWhenUsed/>
    <w:qFormat/>
    <w:rPr>
      <w:b/>
      <w:bCs/>
    </w:rPr>
  </w:style>
  <w:style w:type="table" w:styleId="ad">
    <w:name w:val="Table Grid"/>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e">
    <w:name w:val="page number"/>
    <w:basedOn w:val="a0"/>
    <w:qFormat/>
  </w:style>
  <w:style w:type="character" w:styleId="af">
    <w:name w:val="Hyperlink"/>
    <w:basedOn w:val="a0"/>
    <w:uiPriority w:val="99"/>
    <w:unhideWhenUsed/>
    <w:qFormat/>
    <w:rPr>
      <w:color w:val="0563C1" w:themeColor="hyperlink"/>
      <w:u w:val="single"/>
    </w:rPr>
  </w:style>
  <w:style w:type="character" w:styleId="af0">
    <w:name w:val="annotation reference"/>
    <w:basedOn w:val="a0"/>
    <w:uiPriority w:val="99"/>
    <w:unhideWhenUsed/>
    <w:qFormat/>
    <w:rPr>
      <w:sz w:val="21"/>
      <w:szCs w:val="21"/>
    </w:rPr>
  </w:style>
  <w:style w:type="character" w:customStyle="1" w:styleId="aa">
    <w:name w:val="页眉 字符"/>
    <w:basedOn w:val="a0"/>
    <w:link w:val="a9"/>
    <w:uiPriority w:val="99"/>
    <w:qFormat/>
    <w:rPr>
      <w:sz w:val="18"/>
      <w:szCs w:val="18"/>
    </w:rPr>
  </w:style>
  <w:style w:type="character" w:customStyle="1" w:styleId="a8">
    <w:name w:val="页脚 字符"/>
    <w:basedOn w:val="a0"/>
    <w:link w:val="a7"/>
    <w:uiPriority w:val="99"/>
    <w:qFormat/>
    <w:rPr>
      <w:sz w:val="18"/>
      <w:szCs w:val="18"/>
    </w:rPr>
  </w:style>
  <w:style w:type="character" w:customStyle="1" w:styleId="Char">
    <w:name w:val="页脚 Char"/>
    <w:uiPriority w:val="99"/>
    <w:qFormat/>
    <w:rPr>
      <w:rFonts w:ascii="Arial" w:hAnsi="Arial"/>
      <w:kern w:val="2"/>
      <w:sz w:val="18"/>
      <w:szCs w:val="18"/>
    </w:rPr>
  </w:style>
  <w:style w:type="paragraph" w:customStyle="1" w:styleId="Default">
    <w:name w:val="Default"/>
    <w:qFormat/>
    <w:pPr>
      <w:widowControl w:val="0"/>
      <w:autoSpaceDE w:val="0"/>
      <w:autoSpaceDN w:val="0"/>
      <w:adjustRightInd w:val="0"/>
      <w:spacing w:after="160" w:line="278" w:lineRule="auto"/>
    </w:pPr>
    <w:rPr>
      <w:rFonts w:ascii="黑体" w:eastAsia="黑体" w:cs="黑体"/>
      <w:color w:val="000000"/>
      <w:sz w:val="24"/>
      <w:szCs w:val="24"/>
    </w:rPr>
  </w:style>
  <w:style w:type="character" w:customStyle="1" w:styleId="a4">
    <w:name w:val="批注文字 字符"/>
    <w:basedOn w:val="a0"/>
    <w:link w:val="a3"/>
    <w:qFormat/>
    <w:rPr>
      <w:rFonts w:ascii="Arial" w:eastAsia="宋体" w:hAnsi="Arial" w:cs="Times New Roman"/>
      <w:sz w:val="24"/>
      <w:szCs w:val="24"/>
    </w:rPr>
  </w:style>
  <w:style w:type="character" w:customStyle="1" w:styleId="ac">
    <w:name w:val="批注主题 字符"/>
    <w:basedOn w:val="a4"/>
    <w:link w:val="ab"/>
    <w:uiPriority w:val="99"/>
    <w:semiHidden/>
    <w:qFormat/>
    <w:rPr>
      <w:rFonts w:ascii="Arial" w:eastAsia="宋体" w:hAnsi="Arial" w:cs="Times New Roman"/>
      <w:b/>
      <w:bCs/>
      <w:sz w:val="24"/>
      <w:szCs w:val="24"/>
    </w:rPr>
  </w:style>
  <w:style w:type="character" w:customStyle="1" w:styleId="a6">
    <w:name w:val="批注框文本 字符"/>
    <w:basedOn w:val="a0"/>
    <w:link w:val="a5"/>
    <w:uiPriority w:val="99"/>
    <w:semiHidden/>
    <w:qFormat/>
    <w:rPr>
      <w:rFonts w:ascii="Arial" w:eastAsia="宋体" w:hAnsi="Arial" w:cs="Times New Roman"/>
      <w:sz w:val="18"/>
      <w:szCs w:val="18"/>
    </w:rPr>
  </w:style>
  <w:style w:type="table" w:customStyle="1" w:styleId="1">
    <w:name w:val="网格型1"/>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1">
    <w:name w:val="List Paragraph"/>
    <w:basedOn w:val="a"/>
    <w:uiPriority w:val="34"/>
    <w:qFormat/>
    <w:pPr>
      <w:ind w:firstLineChars="200" w:firstLine="420"/>
    </w:pPr>
  </w:style>
  <w:style w:type="character" w:customStyle="1" w:styleId="highlight">
    <w:name w:val="highlight"/>
    <w:basedOn w:val="a0"/>
    <w:qFormat/>
  </w:style>
  <w:style w:type="paragraph" w:customStyle="1" w:styleId="10">
    <w:name w:val="修订1"/>
    <w:hidden/>
    <w:uiPriority w:val="99"/>
    <w:semiHidden/>
    <w:qFormat/>
    <w:pPr>
      <w:spacing w:after="160" w:line="278" w:lineRule="auto"/>
    </w:pPr>
    <w:rPr>
      <w:rFonts w:ascii="Arial" w:hAnsi="Arial"/>
      <w:kern w:val="2"/>
      <w:sz w:val="24"/>
      <w:szCs w:val="24"/>
    </w:rPr>
  </w:style>
  <w:style w:type="paragraph" w:customStyle="1" w:styleId="2">
    <w:name w:val="修订2"/>
    <w:hidden/>
    <w:uiPriority w:val="99"/>
    <w:unhideWhenUsed/>
    <w:qFormat/>
    <w:pPr>
      <w:spacing w:after="160" w:line="278" w:lineRule="auto"/>
    </w:pPr>
    <w:rPr>
      <w:rFonts w:ascii="Arial" w:hAnsi="Arial"/>
      <w:kern w:val="2"/>
      <w:sz w:val="24"/>
      <w:szCs w:val="24"/>
    </w:rPr>
  </w:style>
  <w:style w:type="paragraph" w:customStyle="1" w:styleId="3">
    <w:name w:val="修订3"/>
    <w:hidden/>
    <w:uiPriority w:val="99"/>
    <w:semiHidden/>
    <w:qFormat/>
    <w:pPr>
      <w:spacing w:after="160" w:line="278" w:lineRule="auto"/>
    </w:pPr>
    <w:rPr>
      <w:rFonts w:ascii="Arial" w:hAnsi="Arial"/>
      <w:kern w:val="2"/>
      <w:sz w:val="24"/>
      <w:szCs w:val="24"/>
    </w:rPr>
  </w:style>
  <w:style w:type="table" w:customStyle="1" w:styleId="TableNormal">
    <w:name w:val="Table Normal"/>
    <w:semiHidden/>
    <w:unhideWhenUsed/>
    <w:qFormat/>
    <w:tblPr>
      <w:tblCellMar>
        <w:top w:w="0" w:type="dxa"/>
        <w:left w:w="0" w:type="dxa"/>
        <w:bottom w:w="0" w:type="dxa"/>
        <w:right w:w="0" w:type="dxa"/>
      </w:tblCellMar>
    </w:tblPr>
  </w:style>
  <w:style w:type="paragraph" w:customStyle="1" w:styleId="4">
    <w:name w:val="修订4"/>
    <w:hidden/>
    <w:uiPriority w:val="99"/>
    <w:unhideWhenUsed/>
    <w:rPr>
      <w:rFonts w:ascii="Arial" w:hAnsi="Arial"/>
      <w:kern w:val="2"/>
      <w:sz w:val="24"/>
      <w:szCs w:val="24"/>
    </w:rPr>
  </w:style>
  <w:style w:type="paragraph" w:styleId="af2">
    <w:name w:val="Revision"/>
    <w:hidden/>
    <w:uiPriority w:val="99"/>
    <w:unhideWhenUsed/>
    <w:rsid w:val="001A730B"/>
    <w:rPr>
      <w:rFonts w:ascii="Arial" w:hAnsi="Arial"/>
      <w:kern w:val="2"/>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0C6BFDE-7F95-441E-9ECC-F6F202A9A4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2</Pages>
  <Words>126</Words>
  <Characters>719</Characters>
  <Application>Microsoft Office Word</Application>
  <DocSecurity>0</DocSecurity>
  <Lines>5</Lines>
  <Paragraphs>1</Paragraphs>
  <ScaleCrop>false</ScaleCrop>
  <Company/>
  <LinksUpToDate>false</LinksUpToDate>
  <CharactersWithSpaces>844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黄敏龄</dc:creator>
  <cp:lastModifiedBy>GTHTHAO</cp:lastModifiedBy>
  <cp:revision>17</cp:revision>
  <cp:lastPrinted>2024-06-17T02:35:00Z</cp:lastPrinted>
  <dcterms:created xsi:type="dcterms:W3CDTF">2025-03-11T03:06:00Z</dcterms:created>
  <dcterms:modified xsi:type="dcterms:W3CDTF">2025-11-18T06:59:00Z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15D22F791A654346A218516116899854</vt:lpwstr>
  </property>
  <property fmtid="{D5CDD505-2E9C-101B-9397-08002B2CF9AE}" pid="4" name="KSOTemplateDocerSaveRecord">
    <vt:lpwstr>eyJoZGlkIjoiN2E0M2ZkYmUxY2I3NDM0YzBhY2RmYTNjMTk4MjhjNjMiLCJ1c2VySWQiOiIxOTk5NDQxOTYifQ==</vt:lpwstr>
  </property>
</Properties>
</file>