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9E0C8" w14:textId="77777777" w:rsidR="001C7EA2" w:rsidRDefault="00DF09C5">
      <w:pPr>
        <w:widowControl/>
        <w:spacing w:beforeLines="50" w:before="156" w:afterLines="50" w:after="156" w:line="360" w:lineRule="auto"/>
        <w:jc w:val="center"/>
        <w:rPr>
          <w:rFonts w:ascii="黑体" w:eastAsia="黑体" w:hAnsi="黑体" w:cs="Times New Roman" w:hint="eastAsia"/>
          <w:b/>
          <w:bCs/>
          <w:sz w:val="28"/>
          <w:szCs w:val="28"/>
        </w:rPr>
      </w:pPr>
      <w:r>
        <w:rPr>
          <w:rFonts w:ascii="黑体" w:eastAsia="黑体" w:hAnsi="黑体" w:cs="Times New Roman"/>
          <w:b/>
          <w:bCs/>
          <w:sz w:val="28"/>
          <w:szCs w:val="28"/>
        </w:rPr>
        <w:t>国泰</w:t>
      </w:r>
      <w:r>
        <w:rPr>
          <w:rFonts w:ascii="黑体" w:eastAsia="黑体" w:hAnsi="黑体" w:cs="Times New Roman" w:hint="eastAsia"/>
          <w:b/>
          <w:bCs/>
          <w:sz w:val="28"/>
          <w:szCs w:val="28"/>
        </w:rPr>
        <w:t>海通</w:t>
      </w:r>
      <w:r>
        <w:rPr>
          <w:rFonts w:ascii="黑体" w:eastAsia="黑体" w:hAnsi="黑体" w:cs="Times New Roman"/>
          <w:b/>
          <w:bCs/>
          <w:sz w:val="28"/>
          <w:szCs w:val="28"/>
        </w:rPr>
        <w:t>证券股份有限公司</w:t>
      </w:r>
      <w:r>
        <w:rPr>
          <w:rFonts w:ascii="黑体" w:eastAsia="黑体" w:hAnsi="黑体" w:cs="Times New Roman"/>
          <w:b/>
          <w:bCs/>
          <w:sz w:val="28"/>
          <w:szCs w:val="28"/>
        </w:rPr>
        <w:br/>
        <w:t>关于</w:t>
      </w:r>
      <w:r>
        <w:rPr>
          <w:rFonts w:ascii="黑体" w:eastAsia="黑体" w:hAnsi="黑体" w:cs="Times New Roman" w:hint="eastAsia"/>
          <w:b/>
          <w:bCs/>
          <w:sz w:val="28"/>
          <w:szCs w:val="28"/>
        </w:rPr>
        <w:t>广东天亿马信息产业股份有限公司本次交易</w:t>
      </w:r>
      <w:r>
        <w:rPr>
          <w:rFonts w:ascii="黑体" w:eastAsia="黑体" w:hAnsi="黑体" w:cs="Times New Roman"/>
          <w:b/>
          <w:bCs/>
          <w:sz w:val="28"/>
          <w:szCs w:val="28"/>
        </w:rPr>
        <w:br/>
      </w:r>
      <w:r>
        <w:rPr>
          <w:rFonts w:ascii="黑体" w:eastAsia="黑体" w:hAnsi="黑体" w:cs="Times New Roman" w:hint="eastAsia"/>
          <w:b/>
          <w:bCs/>
          <w:sz w:val="28"/>
          <w:szCs w:val="28"/>
        </w:rPr>
        <w:t>构成重大资产重组、不构成重组上市</w:t>
      </w:r>
      <w:r>
        <w:rPr>
          <w:rFonts w:ascii="黑体" w:eastAsia="黑体" w:hAnsi="黑体" w:cs="Times New Roman"/>
          <w:b/>
          <w:bCs/>
          <w:sz w:val="28"/>
          <w:szCs w:val="28"/>
        </w:rPr>
        <w:t>的核查意见</w:t>
      </w:r>
    </w:p>
    <w:p w14:paraId="78A45E12" w14:textId="06F7355D" w:rsidR="001C7EA2" w:rsidRDefault="00DF09C5" w:rsidP="009131C0">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rPr>
      </w:pPr>
      <w:r>
        <w:rPr>
          <w:rFonts w:ascii="Times New Roman" w:eastAsia="宋体" w:hAnsi="Times New Roman" w:hint="eastAsia"/>
          <w:shd w:val="clear" w:color="auto" w:fill="FFFFFF"/>
        </w:rPr>
        <w:t>广东天亿马信息产业股份有限公司（以下简称“</w:t>
      </w:r>
      <w:r w:rsidR="00D14816">
        <w:rPr>
          <w:rFonts w:ascii="Times New Roman" w:eastAsia="宋体" w:hAnsi="Times New Roman" w:hint="eastAsia"/>
          <w:shd w:val="clear" w:color="auto" w:fill="FFFFFF"/>
        </w:rPr>
        <w:t>上市</w:t>
      </w:r>
      <w:r>
        <w:rPr>
          <w:rFonts w:ascii="Times New Roman" w:eastAsia="宋体" w:hAnsi="Times New Roman" w:hint="eastAsia"/>
          <w:shd w:val="clear" w:color="auto" w:fill="FFFFFF"/>
        </w:rPr>
        <w:t>公司”）拟通过发行股份及支付现金的方式购买广东星云开物科技股份有限公司（以下简称“标的公司”）</w:t>
      </w:r>
      <w:r>
        <w:rPr>
          <w:rFonts w:ascii="Times New Roman" w:eastAsia="宋体" w:hAnsi="Times New Roman" w:hint="eastAsia"/>
          <w:shd w:val="clear" w:color="auto" w:fill="FFFFFF"/>
        </w:rPr>
        <w:t>98.5632%</w:t>
      </w:r>
      <w:r>
        <w:rPr>
          <w:rFonts w:ascii="Times New Roman" w:eastAsia="宋体" w:hAnsi="Times New Roman" w:hint="eastAsia"/>
          <w:shd w:val="clear" w:color="auto" w:fill="FFFFFF"/>
        </w:rPr>
        <w:t>股</w:t>
      </w:r>
      <w:r w:rsidR="000564F9">
        <w:rPr>
          <w:rFonts w:ascii="Times New Roman" w:eastAsia="宋体" w:hAnsi="Times New Roman" w:hint="eastAsia"/>
          <w:shd w:val="clear" w:color="auto" w:fill="FFFFFF"/>
        </w:rPr>
        <w:t>权</w:t>
      </w:r>
      <w:bookmarkStart w:id="0" w:name="_Hlk214327896"/>
      <w:r w:rsidR="00C92A2C">
        <w:rPr>
          <w:rFonts w:ascii="Times New Roman" w:eastAsia="宋体" w:hAnsi="Times New Roman" w:hint="eastAsia"/>
          <w:shd w:val="clear" w:color="auto" w:fill="FFFFFF"/>
        </w:rPr>
        <w:t>（以下简称“标的资产”）</w:t>
      </w:r>
      <w:bookmarkEnd w:id="0"/>
      <w:r>
        <w:rPr>
          <w:rFonts w:ascii="Times New Roman" w:eastAsia="宋体" w:hAnsi="Times New Roman" w:hint="eastAsia"/>
          <w:shd w:val="clear" w:color="auto" w:fill="FFFFFF"/>
        </w:rPr>
        <w:t>并募集配套资金（以下简称“本次交易”）</w:t>
      </w:r>
      <w:r>
        <w:rPr>
          <w:rFonts w:ascii="Times New Roman" w:eastAsia="宋体" w:hAnsi="Times New Roman" w:hint="eastAsia"/>
        </w:rPr>
        <w:t>。</w:t>
      </w:r>
    </w:p>
    <w:p w14:paraId="010ACDEA" w14:textId="583A2417" w:rsidR="000564F9" w:rsidRDefault="00DF09C5" w:rsidP="000564F9">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shd w:val="clear" w:color="auto" w:fill="FFFFFF"/>
        </w:rPr>
      </w:pPr>
      <w:r>
        <w:rPr>
          <w:rFonts w:ascii="Times New Roman" w:eastAsia="宋体" w:hAnsi="Times New Roman" w:hint="eastAsia"/>
          <w:shd w:val="clear" w:color="auto" w:fill="FFFFFF"/>
        </w:rPr>
        <w:t>国泰海通证券股份有限公司（以下简称“独立财务顾问”）接受上市公司委托，担任上市公司本次交易的独立财务顾问。根据《上市公司重大资产重组管理办法》（以下简称“《重组管理办法》”）的规定，独立财务顾问就本次交易是否构成</w:t>
      </w:r>
      <w:bookmarkStart w:id="1" w:name="_Hlk214326575"/>
      <w:r>
        <w:rPr>
          <w:rFonts w:ascii="Times New Roman" w:eastAsia="宋体" w:hAnsi="Times New Roman" w:hint="eastAsia"/>
          <w:shd w:val="clear" w:color="auto" w:fill="FFFFFF"/>
        </w:rPr>
        <w:t>《重组管理办法》</w:t>
      </w:r>
      <w:bookmarkEnd w:id="1"/>
      <w:r>
        <w:rPr>
          <w:rFonts w:ascii="Times New Roman" w:eastAsia="宋体" w:hAnsi="Times New Roman" w:hint="eastAsia"/>
          <w:shd w:val="clear" w:color="auto" w:fill="FFFFFF"/>
        </w:rPr>
        <w:t>第十三条规定的重组上市进行核查</w:t>
      </w:r>
      <w:r w:rsidR="000564F9">
        <w:rPr>
          <w:rFonts w:ascii="Times New Roman" w:eastAsia="宋体" w:hAnsi="Times New Roman" w:hint="eastAsia"/>
          <w:shd w:val="clear" w:color="auto" w:fill="FFFFFF"/>
        </w:rPr>
        <w:t>，核查情况如下：</w:t>
      </w:r>
    </w:p>
    <w:p w14:paraId="6D7EDB3D" w14:textId="77777777" w:rsidR="001C7EA2" w:rsidRDefault="00DF09C5" w:rsidP="00624659">
      <w:pPr>
        <w:pStyle w:val="af"/>
        <w:widowControl/>
        <w:shd w:val="clear" w:color="auto" w:fill="FFFFFF"/>
        <w:spacing w:beforeLines="50" w:before="156" w:beforeAutospacing="0" w:afterLines="50" w:after="156" w:afterAutospacing="0" w:line="360" w:lineRule="auto"/>
        <w:ind w:firstLineChars="200" w:firstLine="482"/>
        <w:jc w:val="both"/>
        <w:rPr>
          <w:rFonts w:ascii="黑体" w:eastAsia="黑体" w:hAnsi="黑体" w:hint="eastAsia"/>
          <w:b/>
          <w:bCs/>
        </w:rPr>
      </w:pPr>
      <w:r>
        <w:rPr>
          <w:rFonts w:ascii="黑体" w:eastAsia="黑体" w:hAnsi="黑体" w:hint="eastAsia"/>
          <w:b/>
          <w:bCs/>
        </w:rPr>
        <w:t>一、本次交易构成重大资产重组</w:t>
      </w:r>
    </w:p>
    <w:p w14:paraId="36ADA3EE" w14:textId="539002B5" w:rsidR="001C7EA2" w:rsidRDefault="00DF09C5" w:rsidP="009131C0">
      <w:pPr>
        <w:spacing w:beforeLines="50" w:before="156" w:afterLines="50"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本次交易中，上市公司拟购买</w:t>
      </w:r>
      <w:r w:rsidR="000564F9">
        <w:rPr>
          <w:rFonts w:ascii="Times New Roman" w:eastAsia="宋体" w:hAnsi="Times New Roman" w:cs="Times New Roman" w:hint="eastAsia"/>
          <w:sz w:val="24"/>
        </w:rPr>
        <w:t>标的公司</w:t>
      </w:r>
      <w:r>
        <w:rPr>
          <w:rFonts w:ascii="Times New Roman" w:eastAsia="宋体" w:hAnsi="Times New Roman" w:cs="Times New Roman"/>
          <w:sz w:val="24"/>
        </w:rPr>
        <w:t>98.5632%</w:t>
      </w:r>
      <w:r>
        <w:rPr>
          <w:rFonts w:ascii="Times New Roman" w:eastAsia="宋体" w:hAnsi="Times New Roman" w:cs="Times New Roman" w:hint="eastAsia"/>
          <w:sz w:val="24"/>
        </w:rPr>
        <w:t>股权。</w:t>
      </w:r>
      <w:r w:rsidR="000564F9">
        <w:rPr>
          <w:rFonts w:ascii="Times New Roman" w:eastAsia="宋体" w:hAnsi="Times New Roman" w:cs="Times New Roman" w:hint="eastAsia"/>
          <w:sz w:val="24"/>
        </w:rPr>
        <w:t>标的公司</w:t>
      </w:r>
      <w:r>
        <w:rPr>
          <w:rFonts w:ascii="Times New Roman" w:eastAsia="宋体" w:hAnsi="Times New Roman" w:cs="Times New Roman" w:hint="eastAsia"/>
          <w:sz w:val="24"/>
        </w:rPr>
        <w:t>经审计的最近一年资产总额、资产净额</w:t>
      </w:r>
      <w:r w:rsidR="00624659">
        <w:rPr>
          <w:rFonts w:ascii="Times New Roman" w:eastAsia="宋体" w:hAnsi="Times New Roman" w:cs="Times New Roman" w:hint="eastAsia"/>
          <w:sz w:val="24"/>
        </w:rPr>
        <w:t>（与交易金额孰高）</w:t>
      </w:r>
      <w:r>
        <w:rPr>
          <w:rFonts w:ascii="Times New Roman" w:eastAsia="宋体" w:hAnsi="Times New Roman" w:cs="Times New Roman" w:hint="eastAsia"/>
          <w:sz w:val="24"/>
        </w:rPr>
        <w:t>及最近一年的营业收入占上市公司最近一个会计年度经审计的合并财务报告相关指标的比例如下：</w:t>
      </w:r>
    </w:p>
    <w:p w14:paraId="3E76A32C" w14:textId="77777777" w:rsidR="001C7EA2" w:rsidRDefault="00DF09C5">
      <w:pPr>
        <w:keepNext/>
        <w:jc w:val="right"/>
        <w:rPr>
          <w:rFonts w:ascii="Times New Roman" w:eastAsia="宋体" w:hAnsi="Times New Roman" w:cs="Times New Roman"/>
        </w:rPr>
      </w:pPr>
      <w:r>
        <w:rPr>
          <w:rFonts w:ascii="Times New Roman" w:eastAsia="宋体" w:hAnsi="Times New Roman" w:cs="Times New Roman" w:hint="eastAsia"/>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2"/>
        <w:gridCol w:w="2050"/>
        <w:gridCol w:w="2050"/>
        <w:gridCol w:w="2050"/>
      </w:tblGrid>
      <w:tr w:rsidR="001C7EA2" w14:paraId="2D89BF6B" w14:textId="77777777">
        <w:trPr>
          <w:trHeight w:val="397"/>
          <w:tblHeader/>
          <w:jc w:val="center"/>
        </w:trPr>
        <w:tc>
          <w:tcPr>
            <w:tcW w:w="1391" w:type="pct"/>
            <w:tcMar>
              <w:top w:w="0" w:type="dxa"/>
              <w:left w:w="108" w:type="dxa"/>
              <w:bottom w:w="0" w:type="dxa"/>
              <w:right w:w="108" w:type="dxa"/>
            </w:tcMar>
            <w:vAlign w:val="center"/>
          </w:tcPr>
          <w:p w14:paraId="685EB449" w14:textId="77777777" w:rsidR="001C7EA2" w:rsidRDefault="00DF09C5">
            <w:pPr>
              <w:keepNext/>
              <w:jc w:val="center"/>
              <w:rPr>
                <w:rFonts w:ascii="Times New Roman" w:eastAsia="宋体" w:hAnsi="Times New Roman" w:cs="Times New Roman"/>
                <w:b/>
                <w:bCs/>
                <w:szCs w:val="21"/>
              </w:rPr>
            </w:pPr>
            <w:bookmarkStart w:id="2" w:name="_Hlk198716358"/>
            <w:r>
              <w:rPr>
                <w:rFonts w:ascii="Times New Roman" w:eastAsia="宋体" w:hAnsi="Times New Roman" w:cs="Times New Roman"/>
                <w:b/>
                <w:bCs/>
                <w:szCs w:val="21"/>
              </w:rPr>
              <w:t>项目</w:t>
            </w:r>
          </w:p>
        </w:tc>
        <w:tc>
          <w:tcPr>
            <w:tcW w:w="1203" w:type="pct"/>
            <w:tcMar>
              <w:top w:w="0" w:type="dxa"/>
              <w:left w:w="108" w:type="dxa"/>
              <w:bottom w:w="0" w:type="dxa"/>
              <w:right w:w="108" w:type="dxa"/>
            </w:tcMar>
            <w:vAlign w:val="center"/>
          </w:tcPr>
          <w:p w14:paraId="1437448A" w14:textId="77777777" w:rsidR="001C7EA2" w:rsidRDefault="00DF09C5">
            <w:pPr>
              <w:keepNext/>
              <w:jc w:val="center"/>
              <w:rPr>
                <w:rFonts w:ascii="Times New Roman" w:eastAsia="宋体" w:hAnsi="Times New Roman" w:cs="Times New Roman"/>
                <w:b/>
                <w:bCs/>
                <w:szCs w:val="21"/>
              </w:rPr>
            </w:pPr>
            <w:bookmarkStart w:id="3" w:name="OLE_LINK1"/>
            <w:r>
              <w:rPr>
                <w:rFonts w:ascii="Times New Roman" w:eastAsia="宋体" w:hAnsi="Times New Roman" w:cs="Times New Roman"/>
                <w:b/>
                <w:bCs/>
                <w:szCs w:val="21"/>
              </w:rPr>
              <w:t>资产总额与交易金额孰高</w:t>
            </w:r>
            <w:bookmarkEnd w:id="3"/>
          </w:p>
        </w:tc>
        <w:tc>
          <w:tcPr>
            <w:tcW w:w="1203" w:type="pct"/>
            <w:tcMar>
              <w:top w:w="0" w:type="dxa"/>
              <w:left w:w="108" w:type="dxa"/>
              <w:bottom w:w="0" w:type="dxa"/>
              <w:right w:w="108" w:type="dxa"/>
            </w:tcMar>
            <w:vAlign w:val="center"/>
          </w:tcPr>
          <w:p w14:paraId="274D2AD1" w14:textId="77777777" w:rsidR="001C7EA2" w:rsidRDefault="00DF09C5">
            <w:pPr>
              <w:keepNext/>
              <w:jc w:val="center"/>
              <w:rPr>
                <w:rFonts w:ascii="Times New Roman" w:eastAsia="宋体" w:hAnsi="Times New Roman" w:cs="Times New Roman"/>
                <w:b/>
                <w:bCs/>
                <w:szCs w:val="21"/>
              </w:rPr>
            </w:pPr>
            <w:r>
              <w:rPr>
                <w:rFonts w:ascii="Times New Roman" w:eastAsia="宋体" w:hAnsi="Times New Roman" w:cs="Times New Roman"/>
                <w:b/>
                <w:bCs/>
                <w:szCs w:val="21"/>
              </w:rPr>
              <w:t>资产净额与交易金额孰高</w:t>
            </w:r>
          </w:p>
        </w:tc>
        <w:tc>
          <w:tcPr>
            <w:tcW w:w="1203" w:type="pct"/>
            <w:tcMar>
              <w:top w:w="0" w:type="dxa"/>
              <w:left w:w="108" w:type="dxa"/>
              <w:bottom w:w="0" w:type="dxa"/>
              <w:right w:w="108" w:type="dxa"/>
            </w:tcMar>
            <w:vAlign w:val="center"/>
          </w:tcPr>
          <w:p w14:paraId="56704EBE" w14:textId="77777777" w:rsidR="001C7EA2" w:rsidRDefault="00DF09C5">
            <w:pPr>
              <w:keepNext/>
              <w:jc w:val="center"/>
              <w:rPr>
                <w:rFonts w:ascii="Times New Roman" w:eastAsia="宋体" w:hAnsi="Times New Roman" w:cs="Times New Roman"/>
                <w:b/>
                <w:bCs/>
                <w:szCs w:val="21"/>
              </w:rPr>
            </w:pPr>
            <w:r>
              <w:rPr>
                <w:rFonts w:ascii="Times New Roman" w:eastAsia="宋体" w:hAnsi="Times New Roman" w:cs="Times New Roman"/>
                <w:b/>
                <w:bCs/>
                <w:szCs w:val="21"/>
              </w:rPr>
              <w:t>营业收入</w:t>
            </w:r>
          </w:p>
        </w:tc>
      </w:tr>
      <w:tr w:rsidR="001C7EA2" w14:paraId="21424071" w14:textId="77777777">
        <w:trPr>
          <w:trHeight w:val="397"/>
          <w:jc w:val="center"/>
        </w:trPr>
        <w:tc>
          <w:tcPr>
            <w:tcW w:w="1391" w:type="pct"/>
            <w:tcMar>
              <w:top w:w="0" w:type="dxa"/>
              <w:left w:w="108" w:type="dxa"/>
              <w:bottom w:w="0" w:type="dxa"/>
              <w:right w:w="108" w:type="dxa"/>
            </w:tcMar>
            <w:vAlign w:val="center"/>
          </w:tcPr>
          <w:p w14:paraId="18813108" w14:textId="120E6BE0" w:rsidR="001C7EA2" w:rsidRDefault="00DF09C5">
            <w:pPr>
              <w:jc w:val="center"/>
              <w:rPr>
                <w:rFonts w:ascii="Times New Roman" w:eastAsia="宋体" w:hAnsi="Times New Roman" w:cs="Times New Roman"/>
                <w:szCs w:val="21"/>
              </w:rPr>
            </w:pPr>
            <w:r>
              <w:rPr>
                <w:rFonts w:ascii="Times New Roman" w:eastAsia="宋体" w:hAnsi="Times New Roman" w:cs="Times New Roman"/>
                <w:szCs w:val="21"/>
              </w:rPr>
              <w:t>标的</w:t>
            </w:r>
            <w:r w:rsidR="00C92A2C">
              <w:rPr>
                <w:rFonts w:ascii="Times New Roman" w:eastAsia="宋体" w:hAnsi="Times New Roman" w:cs="Times New Roman" w:hint="eastAsia"/>
                <w:szCs w:val="21"/>
              </w:rPr>
              <w:t>资产</w:t>
            </w:r>
          </w:p>
        </w:tc>
        <w:tc>
          <w:tcPr>
            <w:tcW w:w="1203" w:type="pct"/>
            <w:tcMar>
              <w:top w:w="0" w:type="dxa"/>
              <w:left w:w="108" w:type="dxa"/>
              <w:bottom w:w="0" w:type="dxa"/>
              <w:right w:w="108" w:type="dxa"/>
            </w:tcMar>
            <w:vAlign w:val="center"/>
          </w:tcPr>
          <w:p w14:paraId="2F42CC7C" w14:textId="77777777" w:rsidR="001C7EA2" w:rsidRDefault="00DF09C5">
            <w:pPr>
              <w:widowControl/>
              <w:jc w:val="right"/>
              <w:textAlignment w:val="center"/>
              <w:rPr>
                <w:rFonts w:ascii="Times New Roman" w:eastAsia="宋体" w:hAnsi="Times New Roman" w:cs="Times New Roman"/>
                <w:szCs w:val="21"/>
              </w:rPr>
            </w:pPr>
            <w:r>
              <w:rPr>
                <w:rFonts w:ascii="Times New Roman" w:hAnsi="Times New Roman" w:cs="Times New Roman"/>
                <w:color w:val="000000"/>
                <w:kern w:val="0"/>
                <w:szCs w:val="21"/>
                <w:lang w:bidi="ar"/>
              </w:rPr>
              <w:t xml:space="preserve"> 118,850.53 </w:t>
            </w:r>
          </w:p>
        </w:tc>
        <w:tc>
          <w:tcPr>
            <w:tcW w:w="1203" w:type="pct"/>
            <w:tcMar>
              <w:top w:w="0" w:type="dxa"/>
              <w:left w:w="108" w:type="dxa"/>
              <w:bottom w:w="0" w:type="dxa"/>
              <w:right w:w="108" w:type="dxa"/>
            </w:tcMar>
            <w:vAlign w:val="center"/>
          </w:tcPr>
          <w:p w14:paraId="30AB7CF3" w14:textId="77777777" w:rsidR="001C7EA2" w:rsidRDefault="00DF09C5">
            <w:pPr>
              <w:widowControl/>
              <w:jc w:val="right"/>
              <w:textAlignment w:val="center"/>
              <w:rPr>
                <w:rFonts w:ascii="Times New Roman" w:eastAsia="宋体" w:hAnsi="Times New Roman" w:cs="Times New Roman"/>
                <w:szCs w:val="21"/>
              </w:rPr>
            </w:pPr>
            <w:r>
              <w:rPr>
                <w:rFonts w:ascii="Times New Roman" w:hAnsi="Times New Roman" w:cs="Times New Roman"/>
                <w:color w:val="000000"/>
                <w:kern w:val="0"/>
                <w:szCs w:val="21"/>
                <w:lang w:bidi="ar"/>
              </w:rPr>
              <w:t xml:space="preserve"> 118,850.53 </w:t>
            </w:r>
          </w:p>
        </w:tc>
        <w:tc>
          <w:tcPr>
            <w:tcW w:w="2050" w:type="dxa"/>
            <w:tcMar>
              <w:top w:w="0" w:type="dxa"/>
              <w:left w:w="108" w:type="dxa"/>
              <w:bottom w:w="0" w:type="dxa"/>
              <w:right w:w="108" w:type="dxa"/>
            </w:tcMar>
            <w:vAlign w:val="center"/>
          </w:tcPr>
          <w:p w14:paraId="3DE55031" w14:textId="526168F1" w:rsidR="001C7EA2" w:rsidRPr="00624659" w:rsidRDefault="00DF09C5" w:rsidP="00624659">
            <w:pPr>
              <w:widowControl/>
              <w:jc w:val="right"/>
              <w:textAlignment w:val="center"/>
              <w:rPr>
                <w:rFonts w:ascii="Times New Roman" w:hAnsi="Times New Roman" w:cs="Times New Roman"/>
                <w:color w:val="000000"/>
                <w:kern w:val="0"/>
                <w:szCs w:val="21"/>
                <w:lang w:bidi="ar"/>
              </w:rPr>
            </w:pPr>
            <w:r w:rsidRPr="00624659">
              <w:rPr>
                <w:rFonts w:ascii="Times New Roman" w:hAnsi="Times New Roman" w:cs="Times New Roman" w:hint="eastAsia"/>
                <w:color w:val="000000"/>
                <w:kern w:val="0"/>
                <w:szCs w:val="21"/>
                <w:lang w:bidi="ar"/>
              </w:rPr>
              <w:t>44,716.44</w:t>
            </w:r>
          </w:p>
        </w:tc>
      </w:tr>
      <w:tr w:rsidR="001C7EA2" w14:paraId="0AFAFB55" w14:textId="77777777">
        <w:trPr>
          <w:trHeight w:val="397"/>
          <w:jc w:val="center"/>
        </w:trPr>
        <w:tc>
          <w:tcPr>
            <w:tcW w:w="1391" w:type="pct"/>
            <w:tcMar>
              <w:top w:w="0" w:type="dxa"/>
              <w:left w:w="108" w:type="dxa"/>
              <w:bottom w:w="0" w:type="dxa"/>
              <w:right w:w="108" w:type="dxa"/>
            </w:tcMar>
            <w:vAlign w:val="center"/>
          </w:tcPr>
          <w:p w14:paraId="05AF0453" w14:textId="77777777" w:rsidR="001C7EA2" w:rsidRDefault="00DF09C5">
            <w:pPr>
              <w:jc w:val="center"/>
              <w:rPr>
                <w:rFonts w:ascii="Times New Roman" w:eastAsia="宋体" w:hAnsi="Times New Roman" w:cs="Times New Roman"/>
                <w:szCs w:val="21"/>
              </w:rPr>
            </w:pPr>
            <w:r>
              <w:rPr>
                <w:rFonts w:ascii="Times New Roman" w:eastAsia="宋体" w:hAnsi="Times New Roman" w:cs="Times New Roman"/>
                <w:szCs w:val="21"/>
              </w:rPr>
              <w:t>上市公司</w:t>
            </w:r>
          </w:p>
        </w:tc>
        <w:tc>
          <w:tcPr>
            <w:tcW w:w="1203" w:type="pct"/>
            <w:tcMar>
              <w:top w:w="0" w:type="dxa"/>
              <w:left w:w="108" w:type="dxa"/>
              <w:bottom w:w="0" w:type="dxa"/>
              <w:right w:w="108" w:type="dxa"/>
            </w:tcMar>
            <w:vAlign w:val="center"/>
          </w:tcPr>
          <w:p w14:paraId="26458C64" w14:textId="77777777" w:rsidR="001C7EA2" w:rsidRDefault="00DF09C5">
            <w:pPr>
              <w:widowControl/>
              <w:jc w:val="right"/>
              <w:textAlignment w:val="center"/>
              <w:rPr>
                <w:rFonts w:ascii="Times New Roman" w:eastAsia="宋体" w:hAnsi="Times New Roman" w:cs="Times New Roman"/>
                <w:szCs w:val="21"/>
              </w:rPr>
            </w:pPr>
            <w:r>
              <w:rPr>
                <w:rFonts w:ascii="Times New Roman" w:hAnsi="Times New Roman" w:cs="Times New Roman"/>
                <w:color w:val="000000"/>
                <w:kern w:val="0"/>
                <w:szCs w:val="21"/>
                <w:lang w:bidi="ar"/>
              </w:rPr>
              <w:t xml:space="preserve"> 133,376.68 </w:t>
            </w:r>
          </w:p>
        </w:tc>
        <w:tc>
          <w:tcPr>
            <w:tcW w:w="1203" w:type="pct"/>
            <w:tcMar>
              <w:top w:w="0" w:type="dxa"/>
              <w:left w:w="108" w:type="dxa"/>
              <w:bottom w:w="0" w:type="dxa"/>
              <w:right w:w="108" w:type="dxa"/>
            </w:tcMar>
            <w:vAlign w:val="center"/>
          </w:tcPr>
          <w:p w14:paraId="5527A08F" w14:textId="77777777" w:rsidR="001C7EA2" w:rsidRDefault="00DF09C5">
            <w:pPr>
              <w:widowControl/>
              <w:jc w:val="right"/>
              <w:textAlignment w:val="center"/>
              <w:rPr>
                <w:rFonts w:ascii="Times New Roman" w:eastAsia="宋体" w:hAnsi="Times New Roman" w:cs="Times New Roman"/>
                <w:szCs w:val="21"/>
              </w:rPr>
            </w:pPr>
            <w:r>
              <w:rPr>
                <w:rFonts w:ascii="Times New Roman" w:hAnsi="Times New Roman" w:cs="Times New Roman"/>
                <w:color w:val="000000"/>
                <w:kern w:val="0"/>
                <w:szCs w:val="21"/>
                <w:lang w:bidi="ar"/>
              </w:rPr>
              <w:t xml:space="preserve"> 75,825.02 </w:t>
            </w:r>
          </w:p>
        </w:tc>
        <w:tc>
          <w:tcPr>
            <w:tcW w:w="2050" w:type="dxa"/>
            <w:tcMar>
              <w:top w:w="0" w:type="dxa"/>
              <w:left w:w="108" w:type="dxa"/>
              <w:bottom w:w="0" w:type="dxa"/>
              <w:right w:w="108" w:type="dxa"/>
            </w:tcMar>
            <w:vAlign w:val="center"/>
          </w:tcPr>
          <w:p w14:paraId="6C476BAF" w14:textId="7E03D2DE" w:rsidR="001C7EA2" w:rsidRPr="00624659" w:rsidRDefault="00DF09C5" w:rsidP="00624659">
            <w:pPr>
              <w:widowControl/>
              <w:jc w:val="right"/>
              <w:textAlignment w:val="center"/>
              <w:rPr>
                <w:rFonts w:ascii="Times New Roman" w:hAnsi="Times New Roman" w:cs="Times New Roman"/>
                <w:color w:val="000000"/>
                <w:kern w:val="0"/>
                <w:szCs w:val="21"/>
                <w:lang w:bidi="ar"/>
              </w:rPr>
            </w:pPr>
            <w:r w:rsidRPr="00624659">
              <w:rPr>
                <w:rFonts w:ascii="Times New Roman" w:hAnsi="Times New Roman" w:cs="Times New Roman" w:hint="eastAsia"/>
                <w:color w:val="000000"/>
                <w:kern w:val="0"/>
                <w:szCs w:val="21"/>
                <w:lang w:bidi="ar"/>
              </w:rPr>
              <w:t>22,363.30</w:t>
            </w:r>
          </w:p>
        </w:tc>
      </w:tr>
      <w:tr w:rsidR="001C7EA2" w14:paraId="348DE19D" w14:textId="77777777">
        <w:trPr>
          <w:trHeight w:val="397"/>
          <w:jc w:val="center"/>
        </w:trPr>
        <w:tc>
          <w:tcPr>
            <w:tcW w:w="1391" w:type="pct"/>
            <w:tcMar>
              <w:top w:w="0" w:type="dxa"/>
              <w:left w:w="108" w:type="dxa"/>
              <w:bottom w:w="0" w:type="dxa"/>
              <w:right w:w="108" w:type="dxa"/>
            </w:tcMar>
            <w:vAlign w:val="center"/>
          </w:tcPr>
          <w:p w14:paraId="5988AEF0" w14:textId="77777777" w:rsidR="001C7EA2" w:rsidRDefault="00DF09C5">
            <w:pPr>
              <w:jc w:val="center"/>
              <w:rPr>
                <w:rFonts w:ascii="Times New Roman" w:eastAsia="宋体" w:hAnsi="Times New Roman" w:cs="Times New Roman"/>
                <w:szCs w:val="21"/>
              </w:rPr>
            </w:pPr>
            <w:r>
              <w:rPr>
                <w:rFonts w:ascii="Times New Roman" w:eastAsia="宋体" w:hAnsi="Times New Roman" w:cs="Times New Roman"/>
                <w:szCs w:val="21"/>
              </w:rPr>
              <w:t>占比</w:t>
            </w:r>
          </w:p>
        </w:tc>
        <w:tc>
          <w:tcPr>
            <w:tcW w:w="1203" w:type="pct"/>
            <w:tcMar>
              <w:top w:w="0" w:type="dxa"/>
              <w:left w:w="108" w:type="dxa"/>
              <w:bottom w:w="0" w:type="dxa"/>
              <w:right w:w="108" w:type="dxa"/>
            </w:tcMar>
            <w:vAlign w:val="center"/>
          </w:tcPr>
          <w:p w14:paraId="6BAC1CD4" w14:textId="77777777" w:rsidR="001C7EA2" w:rsidRDefault="00DF09C5">
            <w:pPr>
              <w:widowControl/>
              <w:spacing w:before="50" w:after="50"/>
              <w:jc w:val="right"/>
              <w:textAlignment w:val="center"/>
              <w:rPr>
                <w:rFonts w:ascii="Times New Roman" w:eastAsia="宋体" w:hAnsi="Times New Roman" w:cs="Times New Roman"/>
                <w:bCs/>
                <w:color w:val="000000"/>
                <w:kern w:val="0"/>
                <w:szCs w:val="21"/>
                <w:lang w:bidi="ar"/>
              </w:rPr>
            </w:pPr>
            <w:r>
              <w:rPr>
                <w:rFonts w:ascii="Times New Roman" w:hAnsi="Times New Roman" w:cs="Times New Roman"/>
                <w:b/>
                <w:bCs/>
                <w:color w:val="000000"/>
                <w:kern w:val="0"/>
                <w:szCs w:val="21"/>
                <w:lang w:bidi="ar"/>
              </w:rPr>
              <w:t>89.11%</w:t>
            </w:r>
          </w:p>
        </w:tc>
        <w:tc>
          <w:tcPr>
            <w:tcW w:w="1203" w:type="pct"/>
            <w:tcMar>
              <w:top w:w="0" w:type="dxa"/>
              <w:left w:w="108" w:type="dxa"/>
              <w:bottom w:w="0" w:type="dxa"/>
              <w:right w:w="108" w:type="dxa"/>
            </w:tcMar>
            <w:vAlign w:val="center"/>
          </w:tcPr>
          <w:p w14:paraId="44DAE395" w14:textId="77777777" w:rsidR="001C7EA2" w:rsidRDefault="00DF09C5">
            <w:pPr>
              <w:widowControl/>
              <w:spacing w:before="50" w:after="50"/>
              <w:jc w:val="right"/>
              <w:textAlignment w:val="center"/>
              <w:rPr>
                <w:rFonts w:ascii="Times New Roman" w:eastAsia="宋体" w:hAnsi="Times New Roman" w:cs="Times New Roman"/>
                <w:bCs/>
                <w:color w:val="000000"/>
                <w:kern w:val="0"/>
                <w:szCs w:val="21"/>
                <w:lang w:bidi="ar"/>
              </w:rPr>
            </w:pPr>
            <w:r>
              <w:rPr>
                <w:rFonts w:ascii="Times New Roman" w:hAnsi="Times New Roman" w:cs="Times New Roman"/>
                <w:b/>
                <w:bCs/>
                <w:color w:val="000000"/>
                <w:kern w:val="0"/>
                <w:szCs w:val="21"/>
                <w:lang w:bidi="ar"/>
              </w:rPr>
              <w:t>156.74%</w:t>
            </w:r>
          </w:p>
        </w:tc>
        <w:tc>
          <w:tcPr>
            <w:tcW w:w="2050" w:type="dxa"/>
            <w:tcMar>
              <w:top w:w="0" w:type="dxa"/>
              <w:left w:w="108" w:type="dxa"/>
              <w:bottom w:w="0" w:type="dxa"/>
              <w:right w:w="108" w:type="dxa"/>
            </w:tcMar>
            <w:vAlign w:val="center"/>
          </w:tcPr>
          <w:p w14:paraId="1C599AA1" w14:textId="73BD8F5F" w:rsidR="001C7EA2" w:rsidRPr="00624659" w:rsidRDefault="00DF09C5">
            <w:pPr>
              <w:widowControl/>
              <w:spacing w:before="50" w:after="50"/>
              <w:jc w:val="right"/>
              <w:textAlignment w:val="center"/>
              <w:rPr>
                <w:rFonts w:ascii="Times New Roman" w:hAnsi="Times New Roman" w:cs="Times New Roman"/>
                <w:b/>
                <w:bCs/>
                <w:color w:val="000000"/>
                <w:kern w:val="0"/>
                <w:szCs w:val="21"/>
                <w:lang w:bidi="ar"/>
              </w:rPr>
            </w:pPr>
            <w:r w:rsidRPr="00624659">
              <w:rPr>
                <w:rFonts w:ascii="Times New Roman" w:hAnsi="Times New Roman" w:cs="Times New Roman" w:hint="eastAsia"/>
                <w:b/>
                <w:bCs/>
                <w:color w:val="000000"/>
                <w:kern w:val="0"/>
                <w:szCs w:val="21"/>
                <w:lang w:bidi="ar"/>
              </w:rPr>
              <w:t>199.95%</w:t>
            </w:r>
          </w:p>
        </w:tc>
      </w:tr>
    </w:tbl>
    <w:bookmarkEnd w:id="2"/>
    <w:p w14:paraId="421516AE" w14:textId="68D61C5C" w:rsidR="001C7EA2" w:rsidRDefault="00DF09C5">
      <w:pPr>
        <w:ind w:firstLineChars="200" w:firstLine="420"/>
        <w:rPr>
          <w:rFonts w:ascii="Times New Roman" w:eastAsia="宋体" w:hAnsi="Times New Roman" w:cs="Arial"/>
          <w:bCs/>
        </w:rPr>
      </w:pPr>
      <w:r>
        <w:rPr>
          <w:rFonts w:ascii="Times New Roman" w:eastAsia="宋体" w:hAnsi="Times New Roman" w:cs="Arial" w:hint="eastAsia"/>
          <w:bCs/>
        </w:rPr>
        <w:t>注：上市公司、</w:t>
      </w:r>
      <w:r w:rsidR="000564F9">
        <w:rPr>
          <w:rFonts w:ascii="Times New Roman" w:eastAsia="宋体" w:hAnsi="Times New Roman" w:cs="Arial" w:hint="eastAsia"/>
          <w:bCs/>
        </w:rPr>
        <w:t>标的公司</w:t>
      </w:r>
      <w:r>
        <w:rPr>
          <w:rFonts w:ascii="Times New Roman" w:eastAsia="宋体" w:hAnsi="Times New Roman" w:cs="Arial" w:hint="eastAsia"/>
          <w:bCs/>
        </w:rPr>
        <w:t>的财务数据为</w:t>
      </w:r>
      <w:r>
        <w:rPr>
          <w:rFonts w:ascii="Times New Roman" w:eastAsia="宋体" w:hAnsi="Times New Roman" w:cs="Arial" w:hint="eastAsia"/>
          <w:bCs/>
        </w:rPr>
        <w:t>2024</w:t>
      </w:r>
      <w:r>
        <w:rPr>
          <w:rFonts w:ascii="Times New Roman" w:eastAsia="宋体" w:hAnsi="Times New Roman" w:cs="Arial" w:hint="eastAsia"/>
          <w:bCs/>
        </w:rPr>
        <w:t>年经审计财务数据。</w:t>
      </w:r>
    </w:p>
    <w:p w14:paraId="3E13F876" w14:textId="377562ED" w:rsidR="001C7EA2" w:rsidRDefault="00260EBA" w:rsidP="009131C0">
      <w:pPr>
        <w:spacing w:beforeLines="50" w:before="156" w:afterLines="50"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因此</w:t>
      </w:r>
      <w:r w:rsidR="00DF09C5">
        <w:rPr>
          <w:rFonts w:ascii="Times New Roman" w:eastAsia="宋体" w:hAnsi="Times New Roman" w:cs="Times New Roman" w:hint="eastAsia"/>
          <w:sz w:val="24"/>
        </w:rPr>
        <w:t>，本次交易将达到</w:t>
      </w:r>
      <w:bookmarkStart w:id="4" w:name="OLE_LINK2"/>
      <w:r w:rsidR="00FF5485" w:rsidRPr="00FF5485">
        <w:rPr>
          <w:rFonts w:ascii="Times New Roman" w:eastAsia="宋体" w:hAnsi="Times New Roman" w:cs="Times New Roman" w:hint="eastAsia"/>
          <w:sz w:val="24"/>
        </w:rPr>
        <w:t>《重组管理办法》</w:t>
      </w:r>
      <w:bookmarkEnd w:id="4"/>
      <w:r w:rsidR="00DF09C5">
        <w:rPr>
          <w:rFonts w:ascii="Times New Roman" w:eastAsia="宋体" w:hAnsi="Times New Roman" w:cs="Times New Roman" w:hint="eastAsia"/>
          <w:sz w:val="24"/>
        </w:rPr>
        <w:t>第十二条规定的重大资产重组标准，本次交易构成重大资产重组。</w:t>
      </w:r>
    </w:p>
    <w:p w14:paraId="1F2FAC3F" w14:textId="77777777" w:rsidR="001C7EA2" w:rsidRDefault="00DF09C5" w:rsidP="009131C0">
      <w:pPr>
        <w:spacing w:beforeLines="50" w:before="156" w:afterLines="50" w:after="156" w:line="360" w:lineRule="auto"/>
        <w:ind w:firstLineChars="200" w:firstLine="482"/>
        <w:outlineLvl w:val="0"/>
        <w:rPr>
          <w:rFonts w:ascii="黑体" w:eastAsia="黑体" w:hAnsi="黑体" w:cs="Times New Roman" w:hint="eastAsia"/>
          <w:b/>
          <w:bCs/>
          <w:sz w:val="24"/>
        </w:rPr>
      </w:pPr>
      <w:r>
        <w:rPr>
          <w:rFonts w:ascii="黑体" w:eastAsia="黑体" w:hAnsi="黑体" w:cs="Times New Roman" w:hint="eastAsia"/>
          <w:b/>
          <w:bCs/>
          <w:sz w:val="24"/>
        </w:rPr>
        <w:t>二、本次交易不构成重组上市</w:t>
      </w:r>
    </w:p>
    <w:p w14:paraId="02EFBD83" w14:textId="1EC22343" w:rsidR="001C7EA2" w:rsidRDefault="00DF09C5" w:rsidP="009131C0">
      <w:pPr>
        <w:spacing w:beforeLines="50" w:before="156" w:afterLines="50"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本次交易前后，</w:t>
      </w:r>
      <w:r w:rsidR="00D14816">
        <w:rPr>
          <w:rFonts w:ascii="Times New Roman" w:eastAsia="宋体" w:hAnsi="Times New Roman" w:cs="Times New Roman" w:hint="eastAsia"/>
          <w:sz w:val="24"/>
        </w:rPr>
        <w:t>上市</w:t>
      </w:r>
      <w:r>
        <w:rPr>
          <w:rFonts w:ascii="Times New Roman" w:eastAsia="宋体" w:hAnsi="Times New Roman" w:cs="Times New Roman" w:hint="eastAsia"/>
          <w:sz w:val="24"/>
        </w:rPr>
        <w:t>公司的实际控制人均为林明玲女士及马学沛先生，本次交易不会导致</w:t>
      </w:r>
      <w:r w:rsidR="00D14816">
        <w:rPr>
          <w:rFonts w:ascii="Times New Roman" w:eastAsia="宋体" w:hAnsi="Times New Roman" w:cs="Times New Roman" w:hint="eastAsia"/>
          <w:sz w:val="24"/>
        </w:rPr>
        <w:t>上市</w:t>
      </w:r>
      <w:r>
        <w:rPr>
          <w:rFonts w:ascii="Times New Roman" w:eastAsia="宋体" w:hAnsi="Times New Roman" w:cs="Times New Roman" w:hint="eastAsia"/>
          <w:sz w:val="24"/>
        </w:rPr>
        <w:t>公司控制权变更；且本次交易前</w:t>
      </w:r>
      <w:r>
        <w:rPr>
          <w:rFonts w:ascii="Times New Roman" w:eastAsia="宋体" w:hAnsi="Times New Roman" w:cs="Times New Roman" w:hint="eastAsia"/>
          <w:sz w:val="24"/>
        </w:rPr>
        <w:t>36</w:t>
      </w:r>
      <w:r>
        <w:rPr>
          <w:rFonts w:ascii="Times New Roman" w:eastAsia="宋体" w:hAnsi="Times New Roman" w:cs="Times New Roman" w:hint="eastAsia"/>
          <w:sz w:val="24"/>
        </w:rPr>
        <w:t>个月内，</w:t>
      </w:r>
      <w:r w:rsidR="00D14816">
        <w:rPr>
          <w:rFonts w:ascii="Times New Roman" w:eastAsia="宋体" w:hAnsi="Times New Roman" w:cs="Times New Roman" w:hint="eastAsia"/>
          <w:sz w:val="24"/>
        </w:rPr>
        <w:t>上市</w:t>
      </w:r>
      <w:r>
        <w:rPr>
          <w:rFonts w:ascii="Times New Roman" w:eastAsia="宋体" w:hAnsi="Times New Roman" w:cs="Times New Roman" w:hint="eastAsia"/>
          <w:sz w:val="24"/>
        </w:rPr>
        <w:t>公司的实际</w:t>
      </w:r>
      <w:r>
        <w:rPr>
          <w:rFonts w:ascii="Times New Roman" w:eastAsia="宋体" w:hAnsi="Times New Roman" w:cs="Times New Roman" w:hint="eastAsia"/>
          <w:sz w:val="24"/>
        </w:rPr>
        <w:lastRenderedPageBreak/>
        <w:t>控制权未发生变化。因此，本次交易不构成</w:t>
      </w:r>
      <w:r w:rsidR="00FF5485" w:rsidRPr="00FF5485">
        <w:rPr>
          <w:rFonts w:ascii="Times New Roman" w:eastAsia="宋体" w:hAnsi="Times New Roman" w:cs="Times New Roman" w:hint="eastAsia"/>
          <w:sz w:val="24"/>
        </w:rPr>
        <w:t>《重组管理办法》</w:t>
      </w:r>
      <w:r>
        <w:rPr>
          <w:rFonts w:ascii="Times New Roman" w:eastAsia="宋体" w:hAnsi="Times New Roman" w:cs="Times New Roman" w:hint="eastAsia"/>
          <w:sz w:val="24"/>
        </w:rPr>
        <w:t>第十三条规定的重组上市。</w:t>
      </w:r>
    </w:p>
    <w:p w14:paraId="47E02450" w14:textId="77777777" w:rsidR="001C7EA2" w:rsidRDefault="00DF09C5" w:rsidP="009131C0">
      <w:pPr>
        <w:spacing w:beforeLines="50" w:before="156" w:afterLines="50" w:after="156" w:line="360" w:lineRule="auto"/>
        <w:ind w:firstLineChars="200" w:firstLine="482"/>
        <w:outlineLvl w:val="0"/>
        <w:rPr>
          <w:rFonts w:ascii="黑体" w:eastAsia="黑体" w:hAnsi="黑体" w:cs="Times New Roman" w:hint="eastAsia"/>
          <w:b/>
          <w:bCs/>
          <w:sz w:val="24"/>
        </w:rPr>
      </w:pPr>
      <w:r>
        <w:rPr>
          <w:rFonts w:ascii="黑体" w:eastAsia="黑体" w:hAnsi="黑体" w:cs="Times New Roman" w:hint="eastAsia"/>
          <w:b/>
          <w:bCs/>
          <w:sz w:val="24"/>
        </w:rPr>
        <w:t>三、独立财务顾问核查意见</w:t>
      </w:r>
    </w:p>
    <w:p w14:paraId="2B24A316" w14:textId="77777777" w:rsidR="001C7EA2" w:rsidRDefault="00DF09C5" w:rsidP="009131C0">
      <w:pPr>
        <w:spacing w:beforeLines="50" w:before="156" w:afterLines="50"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经核查，</w:t>
      </w:r>
      <w:proofErr w:type="gramStart"/>
      <w:r>
        <w:rPr>
          <w:rFonts w:ascii="Times New Roman" w:eastAsia="宋体" w:hAnsi="Times New Roman" w:cs="Times New Roman" w:hint="eastAsia"/>
          <w:sz w:val="24"/>
        </w:rPr>
        <w:t>本独立</w:t>
      </w:r>
      <w:proofErr w:type="gramEnd"/>
      <w:r>
        <w:rPr>
          <w:rFonts w:ascii="Times New Roman" w:eastAsia="宋体" w:hAnsi="Times New Roman" w:cs="Times New Roman" w:hint="eastAsia"/>
          <w:sz w:val="24"/>
        </w:rPr>
        <w:t>财务顾问认为：</w:t>
      </w:r>
    </w:p>
    <w:p w14:paraId="37913DF6" w14:textId="77777777" w:rsidR="001C7EA2" w:rsidRDefault="00DF09C5" w:rsidP="009131C0">
      <w:pPr>
        <w:spacing w:beforeLines="50" w:before="156" w:afterLines="50"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Times New Roman" w:cs="Times New Roman" w:hint="eastAsia"/>
          <w:sz w:val="24"/>
        </w:rPr>
        <w:t>、本次交易构成重大资产重组；</w:t>
      </w:r>
    </w:p>
    <w:p w14:paraId="18DF7953" w14:textId="77777777" w:rsidR="001C7EA2" w:rsidRDefault="00DF09C5" w:rsidP="009131C0">
      <w:pPr>
        <w:spacing w:beforeLines="50" w:before="156" w:afterLines="50"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hint="eastAsia"/>
          <w:sz w:val="24"/>
        </w:rPr>
        <w:t>、本次交易不构成重组上市。</w:t>
      </w:r>
    </w:p>
    <w:p w14:paraId="479777F0" w14:textId="77777777" w:rsidR="001C7EA2" w:rsidRDefault="00DF09C5" w:rsidP="009131C0">
      <w:pPr>
        <w:spacing w:beforeLines="50" w:before="156" w:afterLines="50"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（以下无正文）</w:t>
      </w:r>
    </w:p>
    <w:p w14:paraId="18E11DB6" w14:textId="77777777" w:rsidR="001C7EA2" w:rsidRDefault="001C7EA2">
      <w:pPr>
        <w:spacing w:line="360" w:lineRule="auto"/>
        <w:ind w:firstLineChars="200" w:firstLine="480"/>
        <w:rPr>
          <w:rFonts w:ascii="Times New Roman" w:eastAsia="宋体" w:hAnsi="Times New Roman" w:cs="Times New Roman"/>
          <w:sz w:val="24"/>
        </w:rPr>
      </w:pPr>
    </w:p>
    <w:p w14:paraId="0F3D9BB2" w14:textId="77777777" w:rsidR="001C7EA2" w:rsidRDefault="001C7EA2">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sectPr w:rsidR="001C7EA2">
          <w:footerReference w:type="default" r:id="rId7"/>
          <w:pgSz w:w="11906" w:h="16838"/>
          <w:pgMar w:top="1440" w:right="1800" w:bottom="1440" w:left="1800" w:header="851" w:footer="992" w:gutter="0"/>
          <w:cols w:space="425"/>
          <w:docGrid w:type="lines" w:linePitch="312"/>
        </w:sectPr>
      </w:pPr>
    </w:p>
    <w:p w14:paraId="0BF4EDA9" w14:textId="00A6B9F5" w:rsidR="001C7EA2" w:rsidRDefault="00DF09C5">
      <w:pPr>
        <w:spacing w:line="360" w:lineRule="auto"/>
        <w:jc w:val="left"/>
        <w:rPr>
          <w:rFonts w:ascii="Times New Roman" w:eastAsia="宋体" w:hAnsi="Times New Roman" w:cs="Times New Roman"/>
          <w:color w:val="000000"/>
          <w:sz w:val="24"/>
        </w:rPr>
      </w:pPr>
      <w:bookmarkStart w:id="5" w:name="_Hlk211359092"/>
      <w:r>
        <w:rPr>
          <w:rFonts w:ascii="Times New Roman" w:eastAsia="宋体" w:hAnsi="Times New Roman" w:cs="Times New Roman" w:hint="eastAsia"/>
          <w:sz w:val="24"/>
        </w:rPr>
        <w:lastRenderedPageBreak/>
        <w:t>（本页</w:t>
      </w:r>
      <w:r>
        <w:rPr>
          <w:rFonts w:ascii="Times New Roman" w:eastAsia="宋体" w:hAnsi="Times New Roman" w:cs="Times New Roman" w:hint="eastAsia"/>
          <w:color w:val="000000"/>
          <w:sz w:val="24"/>
        </w:rPr>
        <w:t>无正文，为《国泰海通证券股份有限公司关于广东天亿马信息产业股份有限公司本次交易构成重大资产重组、不构成重组上市的核查意见》之签字盖章页）</w:t>
      </w:r>
    </w:p>
    <w:p w14:paraId="4E4E232B" w14:textId="77777777" w:rsidR="001C7EA2" w:rsidRDefault="00DF09C5">
      <w:pPr>
        <w:tabs>
          <w:tab w:val="left" w:pos="5993"/>
        </w:tabs>
        <w:rPr>
          <w:rFonts w:ascii="Times New Roman" w:eastAsia="宋体" w:hAnsi="Times New Roman" w:cs="Times New Roman"/>
          <w:sz w:val="28"/>
          <w:szCs w:val="28"/>
        </w:rPr>
      </w:pPr>
      <w:r>
        <w:rPr>
          <w:rFonts w:ascii="Times New Roman" w:eastAsia="宋体" w:hAnsi="Times New Roman" w:cs="Times New Roman"/>
          <w:sz w:val="28"/>
          <w:szCs w:val="28"/>
        </w:rPr>
        <w:tab/>
      </w:r>
    </w:p>
    <w:p w14:paraId="26A7F9FF" w14:textId="77777777" w:rsidR="001C7EA2" w:rsidRDefault="001C7EA2">
      <w:pPr>
        <w:rPr>
          <w:rFonts w:ascii="Times New Roman" w:eastAsia="宋体" w:hAnsi="Times New Roman" w:cs="Times New Roman"/>
          <w:sz w:val="28"/>
          <w:szCs w:val="28"/>
        </w:rPr>
      </w:pPr>
    </w:p>
    <w:tbl>
      <w:tblPr>
        <w:tblStyle w:val="14"/>
        <w:tblW w:w="8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709"/>
        <w:gridCol w:w="1417"/>
        <w:gridCol w:w="709"/>
        <w:gridCol w:w="1417"/>
      </w:tblGrid>
      <w:tr w:rsidR="001C7EA2" w14:paraId="3A1F2A6D" w14:textId="77777777">
        <w:tc>
          <w:tcPr>
            <w:tcW w:w="2689" w:type="dxa"/>
            <w:vAlign w:val="center"/>
          </w:tcPr>
          <w:p w14:paraId="152E6928" w14:textId="77777777" w:rsidR="001C7EA2" w:rsidRDefault="00DF09C5">
            <w:pPr>
              <w:widowControl/>
              <w:spacing w:beforeLines="50" w:before="156" w:afterLines="50" w:after="156" w:line="360" w:lineRule="auto"/>
              <w:jc w:val="center"/>
              <w:rPr>
                <w:rFonts w:ascii="Times New Roman" w:eastAsia="宋体" w:hAnsi="Times New Roman" w:cs="宋体"/>
                <w:kern w:val="0"/>
                <w:sz w:val="24"/>
              </w:rPr>
            </w:pPr>
            <w:r>
              <w:rPr>
                <w:rFonts w:ascii="Times New Roman" w:eastAsia="宋体" w:hAnsi="Times New Roman" w:cs="宋体" w:hint="eastAsia"/>
                <w:kern w:val="0"/>
                <w:sz w:val="24"/>
              </w:rPr>
              <w:t>独立财务顾问主办人：</w:t>
            </w:r>
          </w:p>
        </w:tc>
        <w:tc>
          <w:tcPr>
            <w:tcW w:w="1417" w:type="dxa"/>
            <w:tcBorders>
              <w:top w:val="nil"/>
              <w:left w:val="nil"/>
              <w:bottom w:val="single" w:sz="4" w:space="0" w:color="auto"/>
              <w:right w:val="nil"/>
            </w:tcBorders>
            <w:vAlign w:val="center"/>
          </w:tcPr>
          <w:p w14:paraId="3084DBE1" w14:textId="77777777" w:rsidR="001C7EA2" w:rsidRDefault="001C7EA2">
            <w:pPr>
              <w:widowControl/>
              <w:spacing w:beforeLines="50" w:before="156" w:afterLines="50" w:after="156" w:line="360" w:lineRule="auto"/>
              <w:jc w:val="center"/>
              <w:rPr>
                <w:rFonts w:ascii="Times New Roman" w:eastAsia="宋体" w:hAnsi="Times New Roman" w:cs="宋体"/>
                <w:kern w:val="0"/>
                <w:sz w:val="24"/>
              </w:rPr>
            </w:pPr>
          </w:p>
        </w:tc>
        <w:tc>
          <w:tcPr>
            <w:tcW w:w="709" w:type="dxa"/>
            <w:vAlign w:val="center"/>
          </w:tcPr>
          <w:p w14:paraId="73F410FD" w14:textId="77777777" w:rsidR="001C7EA2" w:rsidRDefault="001C7EA2">
            <w:pPr>
              <w:widowControl/>
              <w:spacing w:beforeLines="50" w:before="156" w:afterLines="50" w:after="156" w:line="360" w:lineRule="auto"/>
              <w:jc w:val="center"/>
              <w:rPr>
                <w:rFonts w:ascii="Times New Roman" w:eastAsia="宋体" w:hAnsi="Times New Roman" w:cs="宋体"/>
                <w:kern w:val="0"/>
                <w:sz w:val="24"/>
              </w:rPr>
            </w:pPr>
          </w:p>
        </w:tc>
        <w:tc>
          <w:tcPr>
            <w:tcW w:w="1417" w:type="dxa"/>
            <w:tcBorders>
              <w:top w:val="nil"/>
              <w:left w:val="nil"/>
              <w:bottom w:val="single" w:sz="4" w:space="0" w:color="auto"/>
              <w:right w:val="nil"/>
            </w:tcBorders>
            <w:vAlign w:val="center"/>
          </w:tcPr>
          <w:p w14:paraId="753CBA56" w14:textId="77777777" w:rsidR="001C7EA2" w:rsidRDefault="001C7EA2">
            <w:pPr>
              <w:widowControl/>
              <w:spacing w:beforeLines="50" w:before="156" w:afterLines="50" w:after="156" w:line="360" w:lineRule="auto"/>
              <w:jc w:val="center"/>
              <w:rPr>
                <w:rFonts w:ascii="Times New Roman" w:eastAsia="宋体" w:hAnsi="Times New Roman" w:cs="宋体"/>
                <w:kern w:val="0"/>
                <w:sz w:val="24"/>
              </w:rPr>
            </w:pPr>
          </w:p>
        </w:tc>
        <w:tc>
          <w:tcPr>
            <w:tcW w:w="709" w:type="dxa"/>
            <w:vAlign w:val="center"/>
          </w:tcPr>
          <w:p w14:paraId="35C55BF8" w14:textId="77777777" w:rsidR="001C7EA2" w:rsidRDefault="001C7EA2">
            <w:pPr>
              <w:widowControl/>
              <w:spacing w:beforeLines="50" w:before="156" w:afterLines="50" w:after="156" w:line="360" w:lineRule="auto"/>
              <w:jc w:val="center"/>
              <w:rPr>
                <w:rFonts w:ascii="Times New Roman" w:eastAsia="宋体" w:hAnsi="Times New Roman" w:cs="宋体"/>
                <w:kern w:val="0"/>
                <w:sz w:val="24"/>
              </w:rPr>
            </w:pPr>
          </w:p>
        </w:tc>
        <w:tc>
          <w:tcPr>
            <w:tcW w:w="1417" w:type="dxa"/>
            <w:tcBorders>
              <w:top w:val="nil"/>
              <w:left w:val="nil"/>
              <w:bottom w:val="single" w:sz="4" w:space="0" w:color="auto"/>
              <w:right w:val="nil"/>
            </w:tcBorders>
            <w:vAlign w:val="center"/>
          </w:tcPr>
          <w:p w14:paraId="6F661421" w14:textId="77777777" w:rsidR="001C7EA2" w:rsidRDefault="001C7EA2">
            <w:pPr>
              <w:widowControl/>
              <w:spacing w:beforeLines="50" w:before="156" w:afterLines="50" w:after="156" w:line="360" w:lineRule="auto"/>
              <w:jc w:val="center"/>
              <w:rPr>
                <w:rFonts w:ascii="Times New Roman" w:eastAsia="宋体" w:hAnsi="Times New Roman" w:cs="宋体"/>
                <w:kern w:val="0"/>
                <w:sz w:val="24"/>
              </w:rPr>
            </w:pPr>
          </w:p>
        </w:tc>
      </w:tr>
      <w:tr w:rsidR="001C7EA2" w14:paraId="1F4531CF" w14:textId="77777777">
        <w:tc>
          <w:tcPr>
            <w:tcW w:w="2689" w:type="dxa"/>
            <w:vAlign w:val="center"/>
          </w:tcPr>
          <w:p w14:paraId="58AB7BED" w14:textId="72CE2E8E" w:rsidR="001C7EA2" w:rsidRDefault="001C7EA2">
            <w:pPr>
              <w:widowControl/>
              <w:spacing w:beforeLines="50" w:before="156" w:afterLines="50" w:after="156" w:line="360" w:lineRule="auto"/>
              <w:jc w:val="center"/>
              <w:rPr>
                <w:rFonts w:ascii="Times New Roman" w:eastAsia="宋体" w:hAnsi="Times New Roman" w:cs="宋体"/>
                <w:kern w:val="0"/>
                <w:sz w:val="24"/>
              </w:rPr>
            </w:pPr>
          </w:p>
        </w:tc>
        <w:tc>
          <w:tcPr>
            <w:tcW w:w="1417" w:type="dxa"/>
            <w:tcBorders>
              <w:top w:val="single" w:sz="4" w:space="0" w:color="auto"/>
              <w:left w:val="nil"/>
              <w:bottom w:val="nil"/>
              <w:right w:val="nil"/>
            </w:tcBorders>
            <w:vAlign w:val="center"/>
          </w:tcPr>
          <w:p w14:paraId="45BE1541" w14:textId="77777777" w:rsidR="001C7EA2" w:rsidRDefault="00DF09C5">
            <w:pPr>
              <w:widowControl/>
              <w:spacing w:beforeLines="50" w:before="156" w:afterLines="50" w:after="156" w:line="360" w:lineRule="auto"/>
              <w:jc w:val="center"/>
              <w:rPr>
                <w:rFonts w:ascii="Times New Roman" w:eastAsia="宋体" w:hAnsi="Times New Roman" w:cs="宋体"/>
                <w:kern w:val="0"/>
                <w:sz w:val="24"/>
              </w:rPr>
            </w:pPr>
            <w:r>
              <w:rPr>
                <w:rFonts w:ascii="Times New Roman" w:eastAsia="宋体" w:hAnsi="Times New Roman" w:cs="宋体"/>
                <w:kern w:val="0"/>
                <w:sz w:val="24"/>
              </w:rPr>
              <w:t>邢雨晨</w:t>
            </w:r>
          </w:p>
        </w:tc>
        <w:tc>
          <w:tcPr>
            <w:tcW w:w="709" w:type="dxa"/>
            <w:vAlign w:val="center"/>
          </w:tcPr>
          <w:p w14:paraId="28423682" w14:textId="77777777" w:rsidR="001C7EA2" w:rsidRDefault="001C7EA2">
            <w:pPr>
              <w:widowControl/>
              <w:spacing w:beforeLines="50" w:before="156" w:afterLines="50" w:after="156" w:line="360" w:lineRule="auto"/>
              <w:jc w:val="center"/>
              <w:rPr>
                <w:rFonts w:ascii="Times New Roman" w:eastAsia="宋体" w:hAnsi="Times New Roman" w:cs="宋体"/>
                <w:kern w:val="0"/>
                <w:sz w:val="24"/>
              </w:rPr>
            </w:pPr>
          </w:p>
        </w:tc>
        <w:tc>
          <w:tcPr>
            <w:tcW w:w="1417" w:type="dxa"/>
            <w:tcBorders>
              <w:top w:val="single" w:sz="4" w:space="0" w:color="auto"/>
              <w:left w:val="nil"/>
              <w:bottom w:val="nil"/>
              <w:right w:val="nil"/>
            </w:tcBorders>
            <w:vAlign w:val="center"/>
          </w:tcPr>
          <w:p w14:paraId="0F31CF2E" w14:textId="77777777" w:rsidR="001C7EA2" w:rsidRDefault="00DF09C5">
            <w:pPr>
              <w:widowControl/>
              <w:spacing w:beforeLines="50" w:before="156" w:afterLines="50" w:after="156" w:line="360" w:lineRule="auto"/>
              <w:jc w:val="center"/>
              <w:rPr>
                <w:rFonts w:ascii="Times New Roman" w:eastAsia="宋体" w:hAnsi="Times New Roman" w:cs="宋体"/>
                <w:kern w:val="0"/>
                <w:sz w:val="24"/>
              </w:rPr>
            </w:pPr>
            <w:r>
              <w:rPr>
                <w:rFonts w:ascii="Times New Roman" w:eastAsia="宋体" w:hAnsi="Times New Roman" w:cs="宋体" w:hint="eastAsia"/>
                <w:kern w:val="0"/>
                <w:sz w:val="24"/>
              </w:rPr>
              <w:t>徐振宇</w:t>
            </w:r>
          </w:p>
        </w:tc>
        <w:tc>
          <w:tcPr>
            <w:tcW w:w="709" w:type="dxa"/>
            <w:vAlign w:val="center"/>
          </w:tcPr>
          <w:p w14:paraId="04E5C2CC" w14:textId="77777777" w:rsidR="001C7EA2" w:rsidRDefault="001C7EA2">
            <w:pPr>
              <w:widowControl/>
              <w:spacing w:beforeLines="50" w:before="156" w:afterLines="50" w:after="156" w:line="360" w:lineRule="auto"/>
              <w:jc w:val="center"/>
              <w:rPr>
                <w:rFonts w:ascii="Times New Roman" w:eastAsia="宋体" w:hAnsi="Times New Roman" w:cs="宋体"/>
                <w:kern w:val="0"/>
                <w:sz w:val="24"/>
              </w:rPr>
            </w:pPr>
          </w:p>
        </w:tc>
        <w:tc>
          <w:tcPr>
            <w:tcW w:w="1417" w:type="dxa"/>
            <w:tcBorders>
              <w:top w:val="single" w:sz="4" w:space="0" w:color="auto"/>
              <w:left w:val="nil"/>
              <w:bottom w:val="nil"/>
              <w:right w:val="nil"/>
            </w:tcBorders>
            <w:vAlign w:val="center"/>
          </w:tcPr>
          <w:p w14:paraId="7D6ED097" w14:textId="77777777" w:rsidR="001C7EA2" w:rsidRDefault="00DF09C5">
            <w:pPr>
              <w:widowControl/>
              <w:spacing w:beforeLines="50" w:before="156" w:afterLines="50" w:after="156" w:line="360" w:lineRule="auto"/>
              <w:jc w:val="center"/>
              <w:rPr>
                <w:rFonts w:ascii="Times New Roman" w:eastAsia="宋体" w:hAnsi="Times New Roman" w:cs="宋体"/>
                <w:kern w:val="0"/>
                <w:sz w:val="24"/>
              </w:rPr>
            </w:pPr>
            <w:r>
              <w:rPr>
                <w:rFonts w:ascii="Times New Roman" w:eastAsia="宋体" w:hAnsi="Times New Roman" w:cs="宋体" w:hint="eastAsia"/>
                <w:kern w:val="0"/>
                <w:sz w:val="24"/>
              </w:rPr>
              <w:t>张成浩</w:t>
            </w:r>
          </w:p>
        </w:tc>
      </w:tr>
    </w:tbl>
    <w:p w14:paraId="3C949CE7" w14:textId="77777777" w:rsidR="001C7EA2" w:rsidRDefault="001C7EA2">
      <w:pPr>
        <w:rPr>
          <w:rFonts w:ascii="Times New Roman" w:eastAsia="宋体" w:hAnsi="Times New Roman" w:cs="Times New Roman"/>
          <w:sz w:val="28"/>
          <w:szCs w:val="28"/>
        </w:rPr>
      </w:pPr>
    </w:p>
    <w:p w14:paraId="2C54276E" w14:textId="77777777" w:rsidR="001C7EA2" w:rsidRDefault="001C7EA2">
      <w:pPr>
        <w:autoSpaceDE w:val="0"/>
        <w:autoSpaceDN w:val="0"/>
        <w:adjustRightInd w:val="0"/>
        <w:spacing w:beforeLines="50" w:before="156" w:after="50" w:line="440" w:lineRule="exact"/>
        <w:ind w:leftChars="257" w:left="540" w:firstLineChars="1600" w:firstLine="3840"/>
        <w:jc w:val="right"/>
        <w:rPr>
          <w:rFonts w:ascii="Times New Roman" w:eastAsia="宋体" w:hAnsi="Times New Roman" w:cs="Times New Roman"/>
          <w:kern w:val="0"/>
          <w:sz w:val="24"/>
        </w:rPr>
      </w:pPr>
    </w:p>
    <w:p w14:paraId="337974D0" w14:textId="77777777" w:rsidR="001C7EA2" w:rsidRDefault="001C7EA2">
      <w:pPr>
        <w:autoSpaceDE w:val="0"/>
        <w:autoSpaceDN w:val="0"/>
        <w:adjustRightInd w:val="0"/>
        <w:spacing w:beforeLines="50" w:before="156" w:after="50" w:line="440" w:lineRule="exact"/>
        <w:ind w:leftChars="257" w:left="540" w:firstLineChars="1600" w:firstLine="3840"/>
        <w:jc w:val="right"/>
        <w:rPr>
          <w:rFonts w:ascii="Times New Roman" w:eastAsia="宋体" w:hAnsi="Times New Roman" w:cs="Times New Roman"/>
          <w:kern w:val="0"/>
          <w:sz w:val="24"/>
        </w:rPr>
      </w:pPr>
    </w:p>
    <w:p w14:paraId="55831ED6" w14:textId="77777777" w:rsidR="001C7EA2" w:rsidRDefault="001C7EA2">
      <w:pPr>
        <w:autoSpaceDE w:val="0"/>
        <w:autoSpaceDN w:val="0"/>
        <w:adjustRightInd w:val="0"/>
        <w:spacing w:beforeLines="50" w:before="156" w:after="50" w:line="440" w:lineRule="exact"/>
        <w:ind w:leftChars="257" w:left="540" w:firstLineChars="1600" w:firstLine="3840"/>
        <w:jc w:val="right"/>
        <w:rPr>
          <w:rFonts w:ascii="Times New Roman" w:eastAsia="宋体" w:hAnsi="Times New Roman" w:cs="Times New Roman"/>
          <w:color w:val="000000"/>
          <w:kern w:val="0"/>
          <w:sz w:val="24"/>
        </w:rPr>
      </w:pPr>
    </w:p>
    <w:p w14:paraId="2242D854" w14:textId="77777777" w:rsidR="001C7EA2" w:rsidRDefault="001C7EA2">
      <w:pPr>
        <w:autoSpaceDE w:val="0"/>
        <w:autoSpaceDN w:val="0"/>
        <w:adjustRightInd w:val="0"/>
        <w:spacing w:beforeLines="50" w:before="156" w:after="50" w:line="440" w:lineRule="exact"/>
        <w:ind w:leftChars="257" w:left="540" w:firstLineChars="1600" w:firstLine="3840"/>
        <w:jc w:val="right"/>
        <w:rPr>
          <w:rFonts w:ascii="Times New Roman" w:eastAsia="宋体" w:hAnsi="Times New Roman" w:cs="Times New Roman"/>
          <w:color w:val="000000"/>
          <w:kern w:val="0"/>
          <w:sz w:val="24"/>
        </w:rPr>
      </w:pPr>
    </w:p>
    <w:p w14:paraId="7971C729" w14:textId="77777777" w:rsidR="001C7EA2" w:rsidRDefault="001C7EA2">
      <w:pPr>
        <w:autoSpaceDE w:val="0"/>
        <w:autoSpaceDN w:val="0"/>
        <w:adjustRightInd w:val="0"/>
        <w:spacing w:beforeLines="100" w:before="312" w:after="50" w:line="440" w:lineRule="exact"/>
        <w:ind w:leftChars="257" w:left="540" w:firstLineChars="1350" w:firstLine="3240"/>
        <w:jc w:val="right"/>
        <w:rPr>
          <w:rFonts w:ascii="Times New Roman" w:eastAsia="宋体" w:hAnsi="Times New Roman" w:cs="Times New Roman"/>
          <w:color w:val="000000"/>
          <w:kern w:val="0"/>
          <w:sz w:val="24"/>
        </w:rPr>
      </w:pPr>
    </w:p>
    <w:p w14:paraId="1CF25606" w14:textId="77777777" w:rsidR="001C7EA2" w:rsidRDefault="00DF09C5">
      <w:pPr>
        <w:autoSpaceDE w:val="0"/>
        <w:autoSpaceDN w:val="0"/>
        <w:adjustRightInd w:val="0"/>
        <w:spacing w:beforeLines="100" w:before="312" w:after="50" w:line="440" w:lineRule="exact"/>
        <w:ind w:leftChars="257" w:left="540" w:firstLineChars="1600" w:firstLine="3840"/>
        <w:jc w:val="right"/>
        <w:rPr>
          <w:rFonts w:ascii="Times New Roman" w:eastAsia="宋体" w:hAnsi="Times New Roman" w:cs="Times New Roman"/>
          <w:color w:val="000000"/>
          <w:sz w:val="24"/>
        </w:rPr>
      </w:pPr>
      <w:r>
        <w:rPr>
          <w:rFonts w:ascii="Times New Roman" w:eastAsia="宋体" w:hAnsi="Times New Roman" w:cs="Times New Roman" w:hint="eastAsia"/>
          <w:color w:val="000000"/>
          <w:sz w:val="24"/>
        </w:rPr>
        <w:t>国泰海通证券股份有限公司</w:t>
      </w:r>
    </w:p>
    <w:bookmarkEnd w:id="5"/>
    <w:p w14:paraId="5BA31D5D" w14:textId="3EC094AD" w:rsidR="00CC4995" w:rsidRPr="00C50A4F" w:rsidRDefault="00CC4995" w:rsidP="00CC4995">
      <w:pPr>
        <w:autoSpaceDE w:val="0"/>
        <w:autoSpaceDN w:val="0"/>
        <w:adjustRightInd w:val="0"/>
        <w:spacing w:beforeLines="100" w:before="312" w:after="50" w:line="440" w:lineRule="exact"/>
        <w:ind w:leftChars="257" w:left="540" w:firstLineChars="1600" w:firstLine="3840"/>
        <w:jc w:val="right"/>
        <w:rPr>
          <w:rFonts w:ascii="Times New Roman" w:eastAsia="宋体" w:hAnsi="Times New Roman" w:cs="Times New Roman"/>
          <w:bCs/>
          <w:kern w:val="0"/>
          <w:sz w:val="24"/>
        </w:rPr>
      </w:pPr>
      <w:r w:rsidRPr="00C50A4F">
        <w:rPr>
          <w:rFonts w:ascii="Times New Roman" w:eastAsia="宋体" w:hAnsi="Times New Roman" w:cs="Times New Roman"/>
          <w:color w:val="000000"/>
          <w:kern w:val="0"/>
          <w:sz w:val="24"/>
        </w:rPr>
        <w:t>2025</w:t>
      </w:r>
      <w:r w:rsidR="00762AD7">
        <w:rPr>
          <w:rFonts w:ascii="Times New Roman" w:eastAsia="宋体" w:hAnsi="Times New Roman" w:cs="Times New Roman" w:hint="eastAsia"/>
          <w:color w:val="000000"/>
          <w:kern w:val="0"/>
          <w:sz w:val="24"/>
        </w:rPr>
        <w:t xml:space="preserve"> </w:t>
      </w:r>
      <w:r w:rsidRPr="00C50A4F">
        <w:rPr>
          <w:rFonts w:ascii="Times New Roman" w:eastAsia="宋体" w:hAnsi="Times New Roman" w:cs="Times New Roman"/>
          <w:color w:val="000000"/>
          <w:kern w:val="0"/>
          <w:sz w:val="24"/>
        </w:rPr>
        <w:t>年</w:t>
      </w:r>
      <w:r w:rsidRPr="00C50A4F">
        <w:rPr>
          <w:rFonts w:ascii="Times New Roman" w:eastAsia="宋体" w:hAnsi="Times New Roman" w:cs="Times New Roman"/>
          <w:color w:val="000000"/>
          <w:kern w:val="0"/>
          <w:sz w:val="24"/>
        </w:rPr>
        <w:t xml:space="preserve"> 11 </w:t>
      </w:r>
      <w:r w:rsidRPr="00C50A4F">
        <w:rPr>
          <w:rFonts w:ascii="Times New Roman" w:eastAsia="宋体" w:hAnsi="Times New Roman" w:cs="Times New Roman"/>
          <w:color w:val="000000"/>
          <w:kern w:val="0"/>
          <w:sz w:val="24"/>
        </w:rPr>
        <w:t>月</w:t>
      </w:r>
      <w:r w:rsidRPr="00C50A4F">
        <w:rPr>
          <w:rFonts w:ascii="Times New Roman" w:eastAsia="宋体" w:hAnsi="Times New Roman" w:cs="Times New Roman"/>
          <w:color w:val="000000"/>
          <w:kern w:val="0"/>
          <w:sz w:val="24"/>
        </w:rPr>
        <w:t xml:space="preserve"> 18 </w:t>
      </w:r>
      <w:r w:rsidRPr="00C50A4F">
        <w:rPr>
          <w:rFonts w:ascii="Times New Roman" w:eastAsia="宋体" w:hAnsi="Times New Roman" w:cs="Times New Roman"/>
          <w:color w:val="000000"/>
          <w:kern w:val="0"/>
          <w:sz w:val="24"/>
        </w:rPr>
        <w:t>日</w:t>
      </w:r>
    </w:p>
    <w:p w14:paraId="44E2F36C" w14:textId="77777777" w:rsidR="001C7EA2" w:rsidRDefault="001C7EA2">
      <w:pPr>
        <w:spacing w:beforeLines="50" w:before="156" w:afterLines="50" w:after="156" w:line="360" w:lineRule="auto"/>
        <w:rPr>
          <w:rFonts w:ascii="Times New Roman" w:eastAsia="宋体" w:hAnsi="Times New Roman" w:cs="Times New Roman"/>
          <w:sz w:val="24"/>
          <w:szCs w:val="22"/>
        </w:rPr>
      </w:pPr>
    </w:p>
    <w:p w14:paraId="0243903D" w14:textId="77777777" w:rsidR="001C7EA2" w:rsidRDefault="001C7EA2">
      <w:pPr>
        <w:spacing w:line="360" w:lineRule="auto"/>
        <w:jc w:val="left"/>
        <w:rPr>
          <w:rFonts w:ascii="Times New Roman" w:eastAsia="宋体" w:hAnsi="Times New Roman" w:cs="Times New Roman"/>
          <w:sz w:val="24"/>
          <w:szCs w:val="22"/>
        </w:rPr>
      </w:pPr>
    </w:p>
    <w:sectPr w:rsidR="001C7E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6EA28" w14:textId="77777777" w:rsidR="00E811E4" w:rsidRDefault="00E811E4">
      <w:r>
        <w:separator/>
      </w:r>
    </w:p>
  </w:endnote>
  <w:endnote w:type="continuationSeparator" w:id="0">
    <w:p w14:paraId="0DAF2B92" w14:textId="77777777" w:rsidR="00E811E4" w:rsidRDefault="00E81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5784791"/>
    </w:sdtPr>
    <w:sdtEndPr>
      <w:rPr>
        <w:rFonts w:ascii="Times New Roman" w:hAnsi="Times New Roman" w:cs="Times New Roman"/>
      </w:rPr>
    </w:sdtEndPr>
    <w:sdtContent>
      <w:p w14:paraId="3EDB88E2" w14:textId="77777777" w:rsidR="001C7EA2" w:rsidRDefault="00DF09C5">
        <w:pPr>
          <w:pStyle w:val="a9"/>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0564F9" w:rsidRPr="000564F9">
          <w:rPr>
            <w:rFonts w:ascii="Times New Roman" w:hAnsi="Times New Roman" w:cs="Times New Roman"/>
            <w:noProof/>
            <w:lang w:val="zh-CN"/>
          </w:rPr>
          <w:t>1</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9D00F2" w14:textId="77777777" w:rsidR="00E811E4" w:rsidRDefault="00E811E4">
      <w:r>
        <w:separator/>
      </w:r>
    </w:p>
  </w:footnote>
  <w:footnote w:type="continuationSeparator" w:id="0">
    <w:p w14:paraId="24E7FA0F" w14:textId="77777777" w:rsidR="00E811E4" w:rsidRDefault="00E811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2FD4484E"/>
    <w:rsid w:val="8DFF3911"/>
    <w:rsid w:val="9A2DA4EC"/>
    <w:rsid w:val="9EED6CD7"/>
    <w:rsid w:val="A57B183E"/>
    <w:rsid w:val="ADFDE751"/>
    <w:rsid w:val="AFEEA460"/>
    <w:rsid w:val="B3DFBA76"/>
    <w:rsid w:val="BBFD3E99"/>
    <w:rsid w:val="BF7E98A1"/>
    <w:rsid w:val="BFF74CEA"/>
    <w:rsid w:val="CB2E9D91"/>
    <w:rsid w:val="DDEFB8B9"/>
    <w:rsid w:val="DDFF2C56"/>
    <w:rsid w:val="E3662AC8"/>
    <w:rsid w:val="E3FBFB6D"/>
    <w:rsid w:val="EDED7ABC"/>
    <w:rsid w:val="EFFC6ADF"/>
    <w:rsid w:val="F2FFE3D8"/>
    <w:rsid w:val="F7FFFDC1"/>
    <w:rsid w:val="FB7FD669"/>
    <w:rsid w:val="FBDF678B"/>
    <w:rsid w:val="FBFF5DE3"/>
    <w:rsid w:val="FBFF63E7"/>
    <w:rsid w:val="FD7F72EF"/>
    <w:rsid w:val="FEFC613D"/>
    <w:rsid w:val="FEFF13AC"/>
    <w:rsid w:val="FEFF41D8"/>
    <w:rsid w:val="FF53B76B"/>
    <w:rsid w:val="FFBD665F"/>
    <w:rsid w:val="FFBFFEA8"/>
    <w:rsid w:val="FFEDF58B"/>
    <w:rsid w:val="FFF7CF70"/>
    <w:rsid w:val="000028CE"/>
    <w:rsid w:val="00005D13"/>
    <w:rsid w:val="00012B6B"/>
    <w:rsid w:val="00015529"/>
    <w:rsid w:val="00021631"/>
    <w:rsid w:val="00024581"/>
    <w:rsid w:val="00030764"/>
    <w:rsid w:val="0003722E"/>
    <w:rsid w:val="0003755B"/>
    <w:rsid w:val="00042D80"/>
    <w:rsid w:val="000451D5"/>
    <w:rsid w:val="00055285"/>
    <w:rsid w:val="000564F9"/>
    <w:rsid w:val="00056D2B"/>
    <w:rsid w:val="00066AB1"/>
    <w:rsid w:val="000675C0"/>
    <w:rsid w:val="0007485D"/>
    <w:rsid w:val="0007615D"/>
    <w:rsid w:val="0008098C"/>
    <w:rsid w:val="00082E04"/>
    <w:rsid w:val="000A575F"/>
    <w:rsid w:val="000B3FE8"/>
    <w:rsid w:val="000C315A"/>
    <w:rsid w:val="000D74EC"/>
    <w:rsid w:val="000E74AA"/>
    <w:rsid w:val="000F2C94"/>
    <w:rsid w:val="000F3212"/>
    <w:rsid w:val="001030F4"/>
    <w:rsid w:val="00111CCF"/>
    <w:rsid w:val="00111D9D"/>
    <w:rsid w:val="0011243E"/>
    <w:rsid w:val="001211EF"/>
    <w:rsid w:val="00130B16"/>
    <w:rsid w:val="00132A40"/>
    <w:rsid w:val="00136E4B"/>
    <w:rsid w:val="0015088E"/>
    <w:rsid w:val="00161BE1"/>
    <w:rsid w:val="001776B8"/>
    <w:rsid w:val="001952F4"/>
    <w:rsid w:val="001A4D7C"/>
    <w:rsid w:val="001A621A"/>
    <w:rsid w:val="001B0015"/>
    <w:rsid w:val="001B0AAB"/>
    <w:rsid w:val="001C22BE"/>
    <w:rsid w:val="001C7EA2"/>
    <w:rsid w:val="001E36AA"/>
    <w:rsid w:val="001E4C25"/>
    <w:rsid w:val="001F6C78"/>
    <w:rsid w:val="00204D15"/>
    <w:rsid w:val="00206BAE"/>
    <w:rsid w:val="00207A53"/>
    <w:rsid w:val="00215A8F"/>
    <w:rsid w:val="00237CD9"/>
    <w:rsid w:val="00246A79"/>
    <w:rsid w:val="002507CA"/>
    <w:rsid w:val="00251604"/>
    <w:rsid w:val="00256FD5"/>
    <w:rsid w:val="00260465"/>
    <w:rsid w:val="00260EBA"/>
    <w:rsid w:val="002764C2"/>
    <w:rsid w:val="0027714F"/>
    <w:rsid w:val="00283689"/>
    <w:rsid w:val="002A6F7C"/>
    <w:rsid w:val="002B0BC4"/>
    <w:rsid w:val="002B136C"/>
    <w:rsid w:val="002B6FC9"/>
    <w:rsid w:val="002C2317"/>
    <w:rsid w:val="002C2D8B"/>
    <w:rsid w:val="002C7859"/>
    <w:rsid w:val="002D3362"/>
    <w:rsid w:val="002D53D7"/>
    <w:rsid w:val="002D7095"/>
    <w:rsid w:val="002E3D54"/>
    <w:rsid w:val="002E4285"/>
    <w:rsid w:val="002E4C23"/>
    <w:rsid w:val="002E7664"/>
    <w:rsid w:val="00301151"/>
    <w:rsid w:val="00302695"/>
    <w:rsid w:val="00307453"/>
    <w:rsid w:val="003108DA"/>
    <w:rsid w:val="00316A8C"/>
    <w:rsid w:val="00316FFB"/>
    <w:rsid w:val="00330260"/>
    <w:rsid w:val="003407DD"/>
    <w:rsid w:val="00347EED"/>
    <w:rsid w:val="00350DF0"/>
    <w:rsid w:val="003648E1"/>
    <w:rsid w:val="003720EA"/>
    <w:rsid w:val="00395A25"/>
    <w:rsid w:val="003A125E"/>
    <w:rsid w:val="003B2FE2"/>
    <w:rsid w:val="003B6586"/>
    <w:rsid w:val="003B72EC"/>
    <w:rsid w:val="003C44C2"/>
    <w:rsid w:val="003D194B"/>
    <w:rsid w:val="003D19AC"/>
    <w:rsid w:val="003D6392"/>
    <w:rsid w:val="003E0965"/>
    <w:rsid w:val="003E65A1"/>
    <w:rsid w:val="003E7448"/>
    <w:rsid w:val="00402C55"/>
    <w:rsid w:val="004305DC"/>
    <w:rsid w:val="004323D8"/>
    <w:rsid w:val="0043658F"/>
    <w:rsid w:val="00452B3D"/>
    <w:rsid w:val="0047694E"/>
    <w:rsid w:val="0047762D"/>
    <w:rsid w:val="004923C7"/>
    <w:rsid w:val="0049601E"/>
    <w:rsid w:val="004A2CDC"/>
    <w:rsid w:val="004B3C0D"/>
    <w:rsid w:val="004B416C"/>
    <w:rsid w:val="004D3DF1"/>
    <w:rsid w:val="004E6616"/>
    <w:rsid w:val="004F0E71"/>
    <w:rsid w:val="004F3D85"/>
    <w:rsid w:val="004F5B10"/>
    <w:rsid w:val="005019EB"/>
    <w:rsid w:val="00510188"/>
    <w:rsid w:val="00510573"/>
    <w:rsid w:val="005216FD"/>
    <w:rsid w:val="005302F4"/>
    <w:rsid w:val="00533BC0"/>
    <w:rsid w:val="00552075"/>
    <w:rsid w:val="005530E9"/>
    <w:rsid w:val="00554D79"/>
    <w:rsid w:val="00555410"/>
    <w:rsid w:val="00562A44"/>
    <w:rsid w:val="00596E70"/>
    <w:rsid w:val="00597021"/>
    <w:rsid w:val="005A1F51"/>
    <w:rsid w:val="005A68A5"/>
    <w:rsid w:val="005B1DBB"/>
    <w:rsid w:val="005B6C90"/>
    <w:rsid w:val="005D097F"/>
    <w:rsid w:val="005D710E"/>
    <w:rsid w:val="005E1F2B"/>
    <w:rsid w:val="00600963"/>
    <w:rsid w:val="00602144"/>
    <w:rsid w:val="00602A56"/>
    <w:rsid w:val="0060772B"/>
    <w:rsid w:val="00607889"/>
    <w:rsid w:val="00624659"/>
    <w:rsid w:val="00627831"/>
    <w:rsid w:val="00640BDA"/>
    <w:rsid w:val="00646427"/>
    <w:rsid w:val="006579D2"/>
    <w:rsid w:val="006622CA"/>
    <w:rsid w:val="006660A3"/>
    <w:rsid w:val="006676B8"/>
    <w:rsid w:val="0067406D"/>
    <w:rsid w:val="006751A9"/>
    <w:rsid w:val="00680CFE"/>
    <w:rsid w:val="006832BD"/>
    <w:rsid w:val="00684DA7"/>
    <w:rsid w:val="0069175C"/>
    <w:rsid w:val="00696F32"/>
    <w:rsid w:val="00697E40"/>
    <w:rsid w:val="006A7A80"/>
    <w:rsid w:val="006B34A6"/>
    <w:rsid w:val="006D4465"/>
    <w:rsid w:val="006D59E4"/>
    <w:rsid w:val="006E136A"/>
    <w:rsid w:val="00700E12"/>
    <w:rsid w:val="00702663"/>
    <w:rsid w:val="00716A59"/>
    <w:rsid w:val="007235A0"/>
    <w:rsid w:val="00727451"/>
    <w:rsid w:val="00731E13"/>
    <w:rsid w:val="00743EBC"/>
    <w:rsid w:val="0075615E"/>
    <w:rsid w:val="00757038"/>
    <w:rsid w:val="00762AD7"/>
    <w:rsid w:val="007821FA"/>
    <w:rsid w:val="007970F3"/>
    <w:rsid w:val="007A036D"/>
    <w:rsid w:val="007A3479"/>
    <w:rsid w:val="007A75EE"/>
    <w:rsid w:val="007C51BA"/>
    <w:rsid w:val="007C686B"/>
    <w:rsid w:val="007D40FE"/>
    <w:rsid w:val="007F3268"/>
    <w:rsid w:val="008169AB"/>
    <w:rsid w:val="00816CB3"/>
    <w:rsid w:val="008234BB"/>
    <w:rsid w:val="00832ABF"/>
    <w:rsid w:val="00833615"/>
    <w:rsid w:val="00833BA7"/>
    <w:rsid w:val="00846768"/>
    <w:rsid w:val="008573A3"/>
    <w:rsid w:val="00861E38"/>
    <w:rsid w:val="008630EE"/>
    <w:rsid w:val="0086441A"/>
    <w:rsid w:val="00871B2C"/>
    <w:rsid w:val="0087441C"/>
    <w:rsid w:val="008815BE"/>
    <w:rsid w:val="00891F14"/>
    <w:rsid w:val="008B2078"/>
    <w:rsid w:val="008D2061"/>
    <w:rsid w:val="008E23C5"/>
    <w:rsid w:val="008F5F34"/>
    <w:rsid w:val="00900AE9"/>
    <w:rsid w:val="00901C2B"/>
    <w:rsid w:val="00906191"/>
    <w:rsid w:val="009131C0"/>
    <w:rsid w:val="00921B35"/>
    <w:rsid w:val="00933C46"/>
    <w:rsid w:val="009346F0"/>
    <w:rsid w:val="00937BDC"/>
    <w:rsid w:val="0094781C"/>
    <w:rsid w:val="00960E82"/>
    <w:rsid w:val="009738E9"/>
    <w:rsid w:val="009762A1"/>
    <w:rsid w:val="00976DDE"/>
    <w:rsid w:val="00992F12"/>
    <w:rsid w:val="009A7F75"/>
    <w:rsid w:val="009C1A3B"/>
    <w:rsid w:val="009D67AA"/>
    <w:rsid w:val="009F2F37"/>
    <w:rsid w:val="00A00657"/>
    <w:rsid w:val="00A01182"/>
    <w:rsid w:val="00A071E4"/>
    <w:rsid w:val="00A25936"/>
    <w:rsid w:val="00A27335"/>
    <w:rsid w:val="00A4336D"/>
    <w:rsid w:val="00A460D0"/>
    <w:rsid w:val="00A503D7"/>
    <w:rsid w:val="00A7163C"/>
    <w:rsid w:val="00A75A77"/>
    <w:rsid w:val="00A75B6B"/>
    <w:rsid w:val="00A773E2"/>
    <w:rsid w:val="00A93247"/>
    <w:rsid w:val="00A96B3B"/>
    <w:rsid w:val="00AA468C"/>
    <w:rsid w:val="00AA6B0A"/>
    <w:rsid w:val="00AA6DBF"/>
    <w:rsid w:val="00AB643F"/>
    <w:rsid w:val="00AC3A87"/>
    <w:rsid w:val="00AD15F8"/>
    <w:rsid w:val="00AD4538"/>
    <w:rsid w:val="00AD4BBB"/>
    <w:rsid w:val="00B1549C"/>
    <w:rsid w:val="00B24F1C"/>
    <w:rsid w:val="00B271C2"/>
    <w:rsid w:val="00B32911"/>
    <w:rsid w:val="00B536D6"/>
    <w:rsid w:val="00B57A11"/>
    <w:rsid w:val="00B60C07"/>
    <w:rsid w:val="00B71C4E"/>
    <w:rsid w:val="00B73FB5"/>
    <w:rsid w:val="00B82E9A"/>
    <w:rsid w:val="00BA290C"/>
    <w:rsid w:val="00BA58D6"/>
    <w:rsid w:val="00BC6665"/>
    <w:rsid w:val="00BD2015"/>
    <w:rsid w:val="00BD5853"/>
    <w:rsid w:val="00BE7F40"/>
    <w:rsid w:val="00BF27D8"/>
    <w:rsid w:val="00BF46B0"/>
    <w:rsid w:val="00BF6A5A"/>
    <w:rsid w:val="00C117F0"/>
    <w:rsid w:val="00C13C09"/>
    <w:rsid w:val="00C15C07"/>
    <w:rsid w:val="00C17314"/>
    <w:rsid w:val="00C22961"/>
    <w:rsid w:val="00C2406B"/>
    <w:rsid w:val="00C27319"/>
    <w:rsid w:val="00C32F37"/>
    <w:rsid w:val="00C400D1"/>
    <w:rsid w:val="00C61A0E"/>
    <w:rsid w:val="00C73F6A"/>
    <w:rsid w:val="00C8469A"/>
    <w:rsid w:val="00C85D98"/>
    <w:rsid w:val="00C87F36"/>
    <w:rsid w:val="00C92A2C"/>
    <w:rsid w:val="00C93A13"/>
    <w:rsid w:val="00C941B2"/>
    <w:rsid w:val="00C9651D"/>
    <w:rsid w:val="00CA5E9F"/>
    <w:rsid w:val="00CB1216"/>
    <w:rsid w:val="00CB280F"/>
    <w:rsid w:val="00CC3149"/>
    <w:rsid w:val="00CC4995"/>
    <w:rsid w:val="00CD1DAB"/>
    <w:rsid w:val="00CD5556"/>
    <w:rsid w:val="00CE1749"/>
    <w:rsid w:val="00CF2D25"/>
    <w:rsid w:val="00D0332F"/>
    <w:rsid w:val="00D128C2"/>
    <w:rsid w:val="00D14816"/>
    <w:rsid w:val="00D157B2"/>
    <w:rsid w:val="00D21779"/>
    <w:rsid w:val="00D42FB7"/>
    <w:rsid w:val="00D51FC3"/>
    <w:rsid w:val="00D52EED"/>
    <w:rsid w:val="00D710FA"/>
    <w:rsid w:val="00D82D84"/>
    <w:rsid w:val="00D862E4"/>
    <w:rsid w:val="00D94A3A"/>
    <w:rsid w:val="00DA26E0"/>
    <w:rsid w:val="00DA6934"/>
    <w:rsid w:val="00DA778F"/>
    <w:rsid w:val="00DD7759"/>
    <w:rsid w:val="00DF09C5"/>
    <w:rsid w:val="00DF2EB9"/>
    <w:rsid w:val="00DF3C41"/>
    <w:rsid w:val="00E020F6"/>
    <w:rsid w:val="00E03F1F"/>
    <w:rsid w:val="00E15253"/>
    <w:rsid w:val="00E21270"/>
    <w:rsid w:val="00E329DD"/>
    <w:rsid w:val="00E548FB"/>
    <w:rsid w:val="00E55201"/>
    <w:rsid w:val="00E64970"/>
    <w:rsid w:val="00E73DBF"/>
    <w:rsid w:val="00E800BF"/>
    <w:rsid w:val="00E811E4"/>
    <w:rsid w:val="00E83ABD"/>
    <w:rsid w:val="00EA3A13"/>
    <w:rsid w:val="00EB0291"/>
    <w:rsid w:val="00EB415A"/>
    <w:rsid w:val="00ED517D"/>
    <w:rsid w:val="00ED75E9"/>
    <w:rsid w:val="00EE0432"/>
    <w:rsid w:val="00EE1422"/>
    <w:rsid w:val="00EF33FD"/>
    <w:rsid w:val="00EF7A37"/>
    <w:rsid w:val="00F01A54"/>
    <w:rsid w:val="00F1294D"/>
    <w:rsid w:val="00F6577E"/>
    <w:rsid w:val="00F82219"/>
    <w:rsid w:val="00F837E1"/>
    <w:rsid w:val="00F85EF9"/>
    <w:rsid w:val="00FA2545"/>
    <w:rsid w:val="00FA4FF7"/>
    <w:rsid w:val="00FA76D7"/>
    <w:rsid w:val="00FB2C62"/>
    <w:rsid w:val="00FC0477"/>
    <w:rsid w:val="00FC3FF8"/>
    <w:rsid w:val="00FC571C"/>
    <w:rsid w:val="00FC7E46"/>
    <w:rsid w:val="00FD0E08"/>
    <w:rsid w:val="00FD2DEA"/>
    <w:rsid w:val="00FF0F3E"/>
    <w:rsid w:val="00FF5256"/>
    <w:rsid w:val="00FF5485"/>
    <w:rsid w:val="01B840D8"/>
    <w:rsid w:val="023466CF"/>
    <w:rsid w:val="05644F36"/>
    <w:rsid w:val="14681FEA"/>
    <w:rsid w:val="1B104C02"/>
    <w:rsid w:val="1EFF31E6"/>
    <w:rsid w:val="1FE598D6"/>
    <w:rsid w:val="1FFBAF8C"/>
    <w:rsid w:val="2FD4484E"/>
    <w:rsid w:val="31FDE975"/>
    <w:rsid w:val="335E2FCC"/>
    <w:rsid w:val="36A013C5"/>
    <w:rsid w:val="37FFABE0"/>
    <w:rsid w:val="38AF14A5"/>
    <w:rsid w:val="391CED57"/>
    <w:rsid w:val="3A5FBA83"/>
    <w:rsid w:val="3BDE7109"/>
    <w:rsid w:val="3D6F1B0A"/>
    <w:rsid w:val="3EAB6E43"/>
    <w:rsid w:val="3EFF565D"/>
    <w:rsid w:val="3F7D5E35"/>
    <w:rsid w:val="3FD77D63"/>
    <w:rsid w:val="3FFC02E1"/>
    <w:rsid w:val="3FFF5B9F"/>
    <w:rsid w:val="4036521E"/>
    <w:rsid w:val="467FD0F4"/>
    <w:rsid w:val="46FDA65D"/>
    <w:rsid w:val="4FBFD62C"/>
    <w:rsid w:val="59122CE8"/>
    <w:rsid w:val="5EF73C55"/>
    <w:rsid w:val="5FAFF7CB"/>
    <w:rsid w:val="5FF71C1F"/>
    <w:rsid w:val="5FFE4073"/>
    <w:rsid w:val="63D0602B"/>
    <w:rsid w:val="65117D5A"/>
    <w:rsid w:val="6BB1F5B1"/>
    <w:rsid w:val="6FFD69A5"/>
    <w:rsid w:val="72874010"/>
    <w:rsid w:val="733A1535"/>
    <w:rsid w:val="73E9C783"/>
    <w:rsid w:val="75FBCB23"/>
    <w:rsid w:val="75FEB1E9"/>
    <w:rsid w:val="77397139"/>
    <w:rsid w:val="796F7CF7"/>
    <w:rsid w:val="7B46A725"/>
    <w:rsid w:val="7BAF593A"/>
    <w:rsid w:val="7BEB5DE7"/>
    <w:rsid w:val="7BF4B242"/>
    <w:rsid w:val="7BFB6916"/>
    <w:rsid w:val="7D3FF485"/>
    <w:rsid w:val="7DAC31CF"/>
    <w:rsid w:val="7DF59953"/>
    <w:rsid w:val="7E6F55F9"/>
    <w:rsid w:val="7E7E6334"/>
    <w:rsid w:val="7EB5B785"/>
    <w:rsid w:val="7EFA7EC3"/>
    <w:rsid w:val="7F301B45"/>
    <w:rsid w:val="7FCBBFE3"/>
    <w:rsid w:val="7FE51661"/>
    <w:rsid w:val="7FE76B63"/>
    <w:rsid w:val="7FEF6F13"/>
    <w:rsid w:val="7FEFE68D"/>
    <w:rsid w:val="7FFEAF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52C346"/>
  <w15:docId w15:val="{DD84AD58-4CF1-4665-93E7-E3DBD0608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eastAsia="宋体"/>
      <w:sz w:val="18"/>
      <w:szCs w:val="18"/>
    </w:rPr>
  </w:style>
  <w:style w:type="paragraph" w:styleId="a5">
    <w:name w:val="annotation text"/>
    <w:basedOn w:val="a"/>
    <w:link w:val="a6"/>
    <w:qFormat/>
    <w:pPr>
      <w:jc w:val="left"/>
    </w:pPr>
  </w:style>
  <w:style w:type="paragraph" w:styleId="a7">
    <w:name w:val="Balloon Text"/>
    <w:basedOn w:val="a"/>
    <w:link w:val="a8"/>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Subtitle"/>
    <w:basedOn w:val="a"/>
    <w:next w:val="a"/>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ae">
    <w:name w:val="footnote text"/>
    <w:basedOn w:val="a"/>
    <w:link w:val="11"/>
    <w:semiHidden/>
    <w:unhideWhenUsed/>
    <w:qFormat/>
    <w:pPr>
      <w:snapToGrid w:val="0"/>
      <w:jc w:val="left"/>
    </w:pPr>
    <w:rPr>
      <w:sz w:val="18"/>
      <w:szCs w:val="18"/>
    </w:rPr>
  </w:style>
  <w:style w:type="paragraph" w:styleId="af">
    <w:name w:val="Normal (Web)"/>
    <w:basedOn w:val="a"/>
    <w:qFormat/>
    <w:pPr>
      <w:spacing w:beforeAutospacing="1" w:afterAutospacing="1"/>
      <w:jc w:val="left"/>
    </w:pPr>
    <w:rPr>
      <w:rFonts w:cs="Times New Roman"/>
      <w:kern w:val="0"/>
      <w:sz w:val="24"/>
    </w:rPr>
  </w:style>
  <w:style w:type="paragraph" w:styleId="af0">
    <w:name w:val="annotation subject"/>
    <w:basedOn w:val="a5"/>
    <w:next w:val="a5"/>
    <w:link w:val="af1"/>
    <w:qFormat/>
    <w:rPr>
      <w:b/>
      <w:bCs/>
    </w:rPr>
  </w:style>
  <w:style w:type="table" w:styleId="af2">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basedOn w:val="a0"/>
    <w:qFormat/>
    <w:rPr>
      <w:sz w:val="21"/>
      <w:szCs w:val="21"/>
    </w:rPr>
  </w:style>
  <w:style w:type="character" w:styleId="af4">
    <w:name w:val="footnote reference"/>
    <w:basedOn w:val="a0"/>
    <w:uiPriority w:val="99"/>
    <w:semiHidden/>
    <w:unhideWhenUsed/>
    <w:qFormat/>
    <w:rPr>
      <w:vertAlign w:val="superscript"/>
    </w:rPr>
  </w:style>
  <w:style w:type="character" w:customStyle="1" w:styleId="10">
    <w:name w:val="标题 1 字符"/>
    <w:basedOn w:val="a0"/>
    <w:link w:val="1"/>
    <w:qFormat/>
    <w:rPr>
      <w:rFonts w:ascii="宋体" w:hAnsi="宋体"/>
      <w:b/>
      <w:bCs/>
      <w:kern w:val="44"/>
      <w:sz w:val="48"/>
      <w:szCs w:val="48"/>
    </w:rPr>
  </w:style>
  <w:style w:type="character" w:customStyle="1" w:styleId="ac">
    <w:name w:val="页眉 字符"/>
    <w:basedOn w:val="a0"/>
    <w:link w:val="ab"/>
    <w:qFormat/>
    <w:rPr>
      <w:rFonts w:asciiTheme="minorHAnsi" w:eastAsiaTheme="minorEastAsia" w:hAnsiTheme="minorHAnsi" w:cstheme="minorBidi"/>
      <w:kern w:val="2"/>
      <w:sz w:val="18"/>
      <w:szCs w:val="18"/>
    </w:rPr>
  </w:style>
  <w:style w:type="character" w:customStyle="1" w:styleId="aa">
    <w:name w:val="页脚 字符"/>
    <w:basedOn w:val="a0"/>
    <w:link w:val="a9"/>
    <w:uiPriority w:val="99"/>
    <w:qFormat/>
    <w:rPr>
      <w:rFonts w:asciiTheme="minorHAnsi" w:eastAsiaTheme="minorEastAsia" w:hAnsiTheme="minorHAnsi" w:cstheme="minorBidi"/>
      <w:kern w:val="2"/>
      <w:sz w:val="18"/>
      <w:szCs w:val="18"/>
    </w:rPr>
  </w:style>
  <w:style w:type="character" w:customStyle="1" w:styleId="a8">
    <w:name w:val="批注框文本 字符"/>
    <w:basedOn w:val="a0"/>
    <w:link w:val="a7"/>
    <w:qFormat/>
    <w:rPr>
      <w:rFonts w:asciiTheme="minorHAnsi" w:eastAsiaTheme="minorEastAsia" w:hAnsiTheme="minorHAnsi" w:cstheme="minorBidi"/>
      <w:kern w:val="2"/>
      <w:sz w:val="18"/>
      <w:szCs w:val="18"/>
    </w:rPr>
  </w:style>
  <w:style w:type="character" w:customStyle="1" w:styleId="a6">
    <w:name w:val="批注文字 字符"/>
    <w:basedOn w:val="a0"/>
    <w:link w:val="a5"/>
    <w:qFormat/>
    <w:rPr>
      <w:rFonts w:asciiTheme="minorHAnsi" w:eastAsiaTheme="minorEastAsia" w:hAnsiTheme="minorHAnsi" w:cstheme="minorBidi"/>
      <w:kern w:val="2"/>
      <w:sz w:val="21"/>
      <w:szCs w:val="24"/>
    </w:rPr>
  </w:style>
  <w:style w:type="character" w:customStyle="1" w:styleId="af1">
    <w:name w:val="批注主题 字符"/>
    <w:basedOn w:val="a6"/>
    <w:link w:val="af0"/>
    <w:qFormat/>
    <w:rPr>
      <w:rFonts w:asciiTheme="minorHAnsi" w:eastAsiaTheme="minorEastAsia" w:hAnsiTheme="minorHAnsi" w:cstheme="minorBidi"/>
      <w:b/>
      <w:bCs/>
      <w:kern w:val="2"/>
      <w:sz w:val="21"/>
      <w:szCs w:val="24"/>
    </w:rPr>
  </w:style>
  <w:style w:type="character" w:customStyle="1" w:styleId="a4">
    <w:name w:val="文档结构图 字符"/>
    <w:basedOn w:val="a0"/>
    <w:link w:val="a3"/>
    <w:qFormat/>
    <w:rPr>
      <w:rFonts w:ascii="宋体" w:hAnsiTheme="minorHAnsi" w:cstheme="minorBidi"/>
      <w:kern w:val="2"/>
      <w:sz w:val="18"/>
      <w:szCs w:val="18"/>
    </w:rPr>
  </w:style>
  <w:style w:type="paragraph" w:customStyle="1" w:styleId="12">
    <w:name w:val="脚注文本1"/>
    <w:basedOn w:val="a"/>
    <w:next w:val="ae"/>
    <w:link w:val="af5"/>
    <w:uiPriority w:val="99"/>
    <w:semiHidden/>
    <w:unhideWhenUsed/>
    <w:qFormat/>
    <w:pPr>
      <w:snapToGrid w:val="0"/>
      <w:jc w:val="left"/>
    </w:pPr>
    <w:rPr>
      <w:rFonts w:ascii="Times New Roman" w:eastAsia="宋体" w:hAnsi="Times New Roman" w:cs="Times New Roman"/>
      <w:sz w:val="18"/>
      <w:szCs w:val="18"/>
    </w:rPr>
  </w:style>
  <w:style w:type="character" w:customStyle="1" w:styleId="af5">
    <w:name w:val="脚注文本 字符"/>
    <w:basedOn w:val="a0"/>
    <w:link w:val="12"/>
    <w:uiPriority w:val="99"/>
    <w:semiHidden/>
    <w:qFormat/>
    <w:rPr>
      <w:kern w:val="2"/>
      <w:sz w:val="18"/>
      <w:szCs w:val="18"/>
    </w:rPr>
  </w:style>
  <w:style w:type="character" w:customStyle="1" w:styleId="11">
    <w:name w:val="脚注文本 字符1"/>
    <w:basedOn w:val="a0"/>
    <w:link w:val="ae"/>
    <w:semiHidden/>
    <w:qFormat/>
    <w:rPr>
      <w:rFonts w:asciiTheme="minorHAnsi" w:eastAsiaTheme="minorEastAsia" w:hAnsiTheme="minorHAnsi" w:cstheme="minorBidi"/>
      <w:kern w:val="2"/>
      <w:sz w:val="18"/>
      <w:szCs w:val="18"/>
    </w:rPr>
  </w:style>
  <w:style w:type="paragraph" w:customStyle="1" w:styleId="13">
    <w:name w:val="修订1"/>
    <w:hidden/>
    <w:uiPriority w:val="99"/>
    <w:unhideWhenUsed/>
    <w:qFormat/>
    <w:rPr>
      <w:rFonts w:asciiTheme="minorHAnsi" w:eastAsiaTheme="minorEastAsia" w:hAnsiTheme="minorHAnsi" w:cstheme="minorBidi"/>
      <w:kern w:val="2"/>
      <w:sz w:val="21"/>
      <w:szCs w:val="24"/>
    </w:rPr>
  </w:style>
  <w:style w:type="table" w:customStyle="1" w:styleId="3">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修订2"/>
    <w:hidden/>
    <w:uiPriority w:val="99"/>
    <w:unhideWhenUsed/>
    <w:qFormat/>
    <w:rPr>
      <w:rFonts w:asciiTheme="minorHAnsi" w:eastAsiaTheme="minorEastAsia" w:hAnsiTheme="minorHAnsi" w:cstheme="minorBidi"/>
      <w:kern w:val="2"/>
      <w:sz w:val="21"/>
      <w:szCs w:val="24"/>
    </w:rPr>
  </w:style>
  <w:style w:type="table" w:customStyle="1" w:styleId="14">
    <w:name w:val="网格型1"/>
    <w:basedOn w:val="a1"/>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unhideWhenUsed/>
    <w:rsid w:val="00D14816"/>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CC8D26-B018-4F98-8FED-14E921CD5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147</Words>
  <Characters>843</Characters>
  <Application>Microsoft Office Word</Application>
  <DocSecurity>0</DocSecurity>
  <Lines>7</Lines>
  <Paragraphs>1</Paragraphs>
  <ScaleCrop>false</ScaleCrop>
  <Company>国泰君安证券股份有限公司</Company>
  <LinksUpToDate>false</LinksUpToDate>
  <CharactersWithSpaces>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lhy</dc:creator>
  <cp:lastModifiedBy>Yang LI</cp:lastModifiedBy>
  <cp:revision>186</cp:revision>
  <dcterms:created xsi:type="dcterms:W3CDTF">2020-04-07T03:00:00Z</dcterms:created>
  <dcterms:modified xsi:type="dcterms:W3CDTF">2025-11-18T06:59:00Z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eyJoZGlkIjoiNDBkMzZhYjg1MTA5NWQxZDBlZTkzNTdlNjQ1NThlNjAiLCJ1c2VySWQiOiIxOTk5NDQxOTYifQ==</vt:lpwstr>
  </property>
  <property fmtid="{D5CDD505-2E9C-101B-9397-08002B2CF9AE}" pid="4" name="ICV">
    <vt:lpwstr>F86D6B161560455DB4204886131D5D6A_12</vt:lpwstr>
  </property>
</Properties>
</file>