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ABAAA" w14:textId="77777777" w:rsidR="00CA6B0F" w:rsidRDefault="0030408A">
      <w:pPr>
        <w:pStyle w:val="ab"/>
        <w:rPr>
          <w:sz w:val="28"/>
          <w:szCs w:val="28"/>
        </w:rPr>
      </w:pPr>
      <w:r>
        <w:rPr>
          <w:sz w:val="28"/>
          <w:szCs w:val="28"/>
        </w:rPr>
        <w:t>国泰</w:t>
      </w:r>
      <w:r>
        <w:rPr>
          <w:rFonts w:hint="eastAsia"/>
          <w:sz w:val="28"/>
          <w:szCs w:val="28"/>
        </w:rPr>
        <w:t>海通</w:t>
      </w:r>
      <w:r>
        <w:rPr>
          <w:sz w:val="28"/>
          <w:szCs w:val="28"/>
        </w:rPr>
        <w:t>证券股份有限公司</w:t>
      </w:r>
      <w:r>
        <w:rPr>
          <w:sz w:val="28"/>
          <w:szCs w:val="28"/>
        </w:rPr>
        <w:br/>
      </w:r>
      <w:r>
        <w:rPr>
          <w:sz w:val="28"/>
          <w:szCs w:val="28"/>
        </w:rPr>
        <w:t>关于</w:t>
      </w:r>
      <w:bookmarkStart w:id="0" w:name="OLE_LINK121"/>
      <w:r>
        <w:rPr>
          <w:rFonts w:ascii="黑体" w:hAnsi="黑体" w:hint="eastAsia"/>
          <w:sz w:val="28"/>
          <w:szCs w:val="28"/>
        </w:rPr>
        <w:t>广东天亿马信息产业股份有限公司</w:t>
      </w:r>
      <w:bookmarkEnd w:id="0"/>
      <w:r>
        <w:rPr>
          <w:sz w:val="28"/>
          <w:szCs w:val="28"/>
        </w:rPr>
        <w:t>本次</w:t>
      </w:r>
      <w:r>
        <w:rPr>
          <w:rFonts w:hint="eastAsia"/>
          <w:sz w:val="28"/>
          <w:szCs w:val="28"/>
        </w:rPr>
        <w:t>交易</w:t>
      </w:r>
      <w:r>
        <w:rPr>
          <w:sz w:val="28"/>
          <w:szCs w:val="28"/>
        </w:rPr>
        <w:br/>
      </w:r>
      <w:r>
        <w:rPr>
          <w:sz w:val="28"/>
          <w:szCs w:val="28"/>
        </w:rPr>
        <w:t>摊薄即期回报</w:t>
      </w:r>
      <w:r>
        <w:rPr>
          <w:rFonts w:hint="eastAsia"/>
          <w:sz w:val="28"/>
          <w:szCs w:val="28"/>
        </w:rPr>
        <w:t>情况</w:t>
      </w:r>
      <w:r>
        <w:rPr>
          <w:sz w:val="28"/>
          <w:szCs w:val="28"/>
        </w:rPr>
        <w:t>及</w:t>
      </w:r>
      <w:r>
        <w:rPr>
          <w:rFonts w:hint="eastAsia"/>
          <w:sz w:val="28"/>
          <w:szCs w:val="28"/>
        </w:rPr>
        <w:t>采取</w:t>
      </w:r>
      <w:r>
        <w:rPr>
          <w:sz w:val="28"/>
          <w:szCs w:val="28"/>
        </w:rPr>
        <w:t>填补措施</w:t>
      </w:r>
      <w:r>
        <w:rPr>
          <w:rFonts w:hint="eastAsia"/>
          <w:sz w:val="28"/>
          <w:szCs w:val="28"/>
        </w:rPr>
        <w:t>的专项</w:t>
      </w:r>
      <w:r>
        <w:rPr>
          <w:sz w:val="28"/>
          <w:szCs w:val="28"/>
        </w:rPr>
        <w:t>核查意见</w:t>
      </w:r>
    </w:p>
    <w:p w14:paraId="7A17E31F" w14:textId="34F211DE" w:rsidR="00CA6B0F" w:rsidRDefault="0030408A" w:rsidP="001D041C">
      <w:pPr>
        <w:spacing w:before="120" w:after="120"/>
        <w:ind w:firstLine="480"/>
      </w:pPr>
      <w:r>
        <w:rPr>
          <w:rFonts w:cs="Times New Roman" w:hint="eastAsia"/>
          <w:szCs w:val="24"/>
          <w:shd w:val="clear" w:color="auto" w:fill="FFFFFF"/>
        </w:rPr>
        <w:t>广东天亿马信息产业股份有限公司（以下简称“公司”</w:t>
      </w:r>
      <w:r w:rsidR="007815CA">
        <w:rPr>
          <w:rFonts w:cs="Times New Roman" w:hint="eastAsia"/>
          <w:szCs w:val="24"/>
          <w:shd w:val="clear" w:color="auto" w:fill="FFFFFF"/>
        </w:rPr>
        <w:t>、</w:t>
      </w:r>
      <w:r>
        <w:rPr>
          <w:rFonts w:cs="Times New Roman" w:hint="eastAsia"/>
          <w:szCs w:val="24"/>
          <w:shd w:val="clear" w:color="auto" w:fill="FFFFFF"/>
        </w:rPr>
        <w:t>“上市公司”）拟通过发行股份及支付现金的方式购买广东星云开物科技股份有限公司（以下简称“标的公司”）</w:t>
      </w:r>
      <w:r>
        <w:rPr>
          <w:rFonts w:cs="Times New Roman" w:hint="eastAsia"/>
          <w:szCs w:val="24"/>
          <w:shd w:val="clear" w:color="auto" w:fill="FFFFFF"/>
        </w:rPr>
        <w:t>98.5632%</w:t>
      </w:r>
      <w:r w:rsidR="00622605">
        <w:rPr>
          <w:rFonts w:cs="Times New Roman" w:hint="eastAsia"/>
          <w:szCs w:val="24"/>
          <w:shd w:val="clear" w:color="auto" w:fill="FFFFFF"/>
        </w:rPr>
        <w:t>股权</w:t>
      </w:r>
      <w:r>
        <w:rPr>
          <w:rFonts w:cs="Times New Roman" w:hint="eastAsia"/>
          <w:szCs w:val="24"/>
          <w:shd w:val="clear" w:color="auto" w:fill="FFFFFF"/>
        </w:rPr>
        <w:t>并募集配套资金（以下简称</w:t>
      </w:r>
      <w:bookmarkStart w:id="1" w:name="OLE_LINK1"/>
      <w:r>
        <w:rPr>
          <w:rFonts w:cs="Times New Roman" w:hint="eastAsia"/>
          <w:szCs w:val="24"/>
          <w:shd w:val="clear" w:color="auto" w:fill="FFFFFF"/>
        </w:rPr>
        <w:t>“本次重组”</w:t>
      </w:r>
      <w:r w:rsidR="007815CA">
        <w:rPr>
          <w:rFonts w:cs="Times New Roman" w:hint="eastAsia"/>
          <w:szCs w:val="24"/>
          <w:shd w:val="clear" w:color="auto" w:fill="FFFFFF"/>
        </w:rPr>
        <w:t>、</w:t>
      </w:r>
      <w:r>
        <w:rPr>
          <w:rFonts w:cs="Times New Roman" w:hint="eastAsia"/>
          <w:szCs w:val="24"/>
          <w:shd w:val="clear" w:color="auto" w:fill="FFFFFF"/>
        </w:rPr>
        <w:t>“本次交易”</w:t>
      </w:r>
      <w:bookmarkEnd w:id="1"/>
      <w:r>
        <w:rPr>
          <w:rFonts w:cs="Times New Roman" w:hint="eastAsia"/>
          <w:szCs w:val="24"/>
          <w:shd w:val="clear" w:color="auto" w:fill="FFFFFF"/>
        </w:rPr>
        <w:t>）。</w:t>
      </w:r>
    </w:p>
    <w:p w14:paraId="01711487" w14:textId="77777777" w:rsidR="00CA6B0F" w:rsidRDefault="0030408A" w:rsidP="001D041C">
      <w:pPr>
        <w:spacing w:before="120" w:after="120"/>
        <w:ind w:firstLine="492"/>
      </w:pPr>
      <w:r>
        <w:rPr>
          <w:spacing w:val="6"/>
        </w:rPr>
        <w:t>根据《国务院办公厅关于进一步加强资本市场中小投资者合法权益保护工作</w:t>
      </w:r>
      <w:r>
        <w:t>的意见》（国办发</w:t>
      </w:r>
      <w:r>
        <w:rPr>
          <w:rFonts w:eastAsia="Times New Roman" w:cs="Times New Roman"/>
        </w:rPr>
        <w:t>[2013]110</w:t>
      </w:r>
      <w:r>
        <w:t>号）、《国务院关于进一步促进资本市场健康发展</w:t>
      </w:r>
      <w:r>
        <w:rPr>
          <w:spacing w:val="-1"/>
        </w:rPr>
        <w:t>的若干意见》（国发</w:t>
      </w:r>
      <w:r>
        <w:rPr>
          <w:rFonts w:eastAsia="Times New Roman" w:cs="Times New Roman"/>
          <w:spacing w:val="-1"/>
        </w:rPr>
        <w:t>[2014]17</w:t>
      </w:r>
      <w:r>
        <w:rPr>
          <w:spacing w:val="-1"/>
        </w:rPr>
        <w:t>号）和《关于首发及再融资、重大资产重组摊薄即</w:t>
      </w:r>
      <w:r>
        <w:t>期回报有关事项的指导意见》（证监会公告</w:t>
      </w:r>
      <w:r>
        <w:rPr>
          <w:rFonts w:eastAsia="Times New Roman" w:cs="Times New Roman"/>
        </w:rPr>
        <w:t>[2015]31</w:t>
      </w:r>
      <w:r>
        <w:t>号）等法律、法规、规范性</w:t>
      </w:r>
      <w:r>
        <w:rPr>
          <w:spacing w:val="7"/>
        </w:rPr>
        <w:t>文件的要求，国泰</w:t>
      </w:r>
      <w:r>
        <w:rPr>
          <w:rFonts w:hint="eastAsia"/>
          <w:spacing w:val="7"/>
        </w:rPr>
        <w:t>海通</w:t>
      </w:r>
      <w:r>
        <w:rPr>
          <w:spacing w:val="7"/>
        </w:rPr>
        <w:t>证券股份有限公司（以下简称</w:t>
      </w:r>
      <w:r>
        <w:rPr>
          <w:rFonts w:hint="eastAsia"/>
          <w:spacing w:val="7"/>
        </w:rPr>
        <w:t>“</w:t>
      </w:r>
      <w:r>
        <w:rPr>
          <w:spacing w:val="7"/>
        </w:rPr>
        <w:t>独立财务</w:t>
      </w:r>
      <w:r>
        <w:t>顾问</w:t>
      </w:r>
      <w:r>
        <w:rPr>
          <w:rFonts w:hint="eastAsia"/>
        </w:rPr>
        <w:t>”</w:t>
      </w:r>
      <w:r>
        <w:t>）作为本次重组的独立财务顾问，对</w:t>
      </w:r>
      <w:r>
        <w:rPr>
          <w:rFonts w:hint="eastAsia"/>
        </w:rPr>
        <w:t>上市公司</w:t>
      </w:r>
      <w:r>
        <w:t>本次交易摊薄即期回报及填</w:t>
      </w:r>
      <w:r>
        <w:rPr>
          <w:spacing w:val="9"/>
        </w:rPr>
        <w:t>补回报措施的相关事项进行了审慎的核查。具体情况如下：</w:t>
      </w:r>
    </w:p>
    <w:p w14:paraId="6A2D20AF" w14:textId="77777777" w:rsidR="00CA6B0F" w:rsidRDefault="0030408A">
      <w:pPr>
        <w:pStyle w:val="1"/>
      </w:pPr>
      <w:r>
        <w:t>一、本次重组摊薄即期回报对上市公司每股收益的影响</w:t>
      </w:r>
    </w:p>
    <w:p w14:paraId="604BC8C4"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lang w:bidi="ar"/>
        </w:rPr>
      </w:pPr>
      <w:r>
        <w:rPr>
          <w:rFonts w:cs="Times New Roman" w:hint="eastAsia"/>
          <w:snapToGrid/>
          <w:color w:val="auto"/>
          <w:kern w:val="2"/>
          <w:szCs w:val="22"/>
        </w:rPr>
        <w:t>根据备考审阅报告，在不考虑募集配套资金的情况下，本次交易前后上市公司的主要财务数据和指标对比情况如下：</w:t>
      </w:r>
    </w:p>
    <w:p w14:paraId="566201C9" w14:textId="77777777" w:rsidR="00CA6B0F" w:rsidRDefault="0030408A">
      <w:pPr>
        <w:keepNext/>
        <w:widowControl w:val="0"/>
        <w:overflowPunct/>
        <w:autoSpaceDE/>
        <w:autoSpaceDN/>
        <w:adjustRightInd/>
        <w:snapToGrid/>
        <w:spacing w:beforeLines="0" w:before="0" w:afterLines="0" w:after="0" w:line="240" w:lineRule="auto"/>
        <w:ind w:firstLineChars="0" w:firstLine="0"/>
        <w:jc w:val="right"/>
        <w:textAlignment w:val="auto"/>
        <w:rPr>
          <w:rFonts w:cs="Times New Roman"/>
          <w:snapToGrid/>
          <w:color w:val="auto"/>
          <w:kern w:val="2"/>
          <w:sz w:val="21"/>
          <w:szCs w:val="22"/>
        </w:rPr>
      </w:pPr>
      <w:r>
        <w:rPr>
          <w:rFonts w:cs="Times New Roman"/>
          <w:snapToGrid/>
          <w:color w:val="auto"/>
          <w:kern w:val="2"/>
          <w:sz w:val="21"/>
          <w:szCs w:val="22"/>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3"/>
        <w:gridCol w:w="1529"/>
        <w:gridCol w:w="1531"/>
        <w:gridCol w:w="1529"/>
      </w:tblGrid>
      <w:tr w:rsidR="00CA6B0F" w14:paraId="1F3D216D" w14:textId="77777777">
        <w:trPr>
          <w:trHeight w:val="397"/>
          <w:tblHeader/>
          <w:jc w:val="center"/>
        </w:trPr>
        <w:tc>
          <w:tcPr>
            <w:tcW w:w="2308" w:type="pct"/>
            <w:vMerge w:val="restart"/>
            <w:tcMar>
              <w:top w:w="0" w:type="dxa"/>
              <w:left w:w="108" w:type="dxa"/>
              <w:bottom w:w="0" w:type="dxa"/>
              <w:right w:w="108" w:type="dxa"/>
            </w:tcMar>
            <w:vAlign w:val="center"/>
          </w:tcPr>
          <w:p w14:paraId="08EB5C28"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spacing w:val="-5"/>
                <w:kern w:val="2"/>
                <w:sz w:val="21"/>
              </w:rPr>
            </w:pPr>
            <w:r>
              <w:rPr>
                <w:rFonts w:cs="Times New Roman"/>
                <w:b/>
                <w:snapToGrid/>
                <w:color w:val="auto"/>
                <w:spacing w:val="-5"/>
                <w:kern w:val="2"/>
                <w:sz w:val="21"/>
              </w:rPr>
              <w:t>项目</w:t>
            </w:r>
          </w:p>
        </w:tc>
        <w:tc>
          <w:tcPr>
            <w:tcW w:w="2692" w:type="pct"/>
            <w:gridSpan w:val="3"/>
            <w:tcMar>
              <w:top w:w="0" w:type="dxa"/>
              <w:left w:w="108" w:type="dxa"/>
              <w:bottom w:w="0" w:type="dxa"/>
              <w:right w:w="108" w:type="dxa"/>
            </w:tcMar>
            <w:vAlign w:val="center"/>
          </w:tcPr>
          <w:p w14:paraId="483B1FBB"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kern w:val="2"/>
                <w:sz w:val="21"/>
              </w:rPr>
              <w:t>2025</w:t>
            </w:r>
            <w:r>
              <w:rPr>
                <w:rFonts w:cs="Times New Roman"/>
                <w:b/>
                <w:snapToGrid/>
                <w:color w:val="auto"/>
                <w:kern w:val="2"/>
                <w:sz w:val="21"/>
              </w:rPr>
              <w:t>年</w:t>
            </w:r>
            <w:r>
              <w:rPr>
                <w:rFonts w:cs="Times New Roman"/>
                <w:b/>
                <w:snapToGrid/>
                <w:color w:val="auto"/>
                <w:kern w:val="2"/>
                <w:sz w:val="21"/>
              </w:rPr>
              <w:t>6</w:t>
            </w:r>
            <w:r>
              <w:rPr>
                <w:rFonts w:cs="Times New Roman"/>
                <w:b/>
                <w:snapToGrid/>
                <w:color w:val="auto"/>
                <w:kern w:val="2"/>
                <w:sz w:val="21"/>
              </w:rPr>
              <w:t>月</w:t>
            </w:r>
            <w:r>
              <w:rPr>
                <w:rFonts w:cs="Times New Roman"/>
                <w:b/>
                <w:snapToGrid/>
                <w:color w:val="auto"/>
                <w:kern w:val="2"/>
                <w:sz w:val="21"/>
              </w:rPr>
              <w:t>30</w:t>
            </w:r>
            <w:r>
              <w:rPr>
                <w:rFonts w:cs="Times New Roman"/>
                <w:b/>
                <w:snapToGrid/>
                <w:color w:val="auto"/>
                <w:kern w:val="2"/>
                <w:sz w:val="21"/>
              </w:rPr>
              <w:t>日</w:t>
            </w:r>
            <w:r>
              <w:rPr>
                <w:rFonts w:cs="Times New Roman"/>
                <w:b/>
                <w:snapToGrid/>
                <w:color w:val="auto"/>
                <w:kern w:val="2"/>
                <w:sz w:val="21"/>
              </w:rPr>
              <w:t>/2025</w:t>
            </w:r>
            <w:r>
              <w:rPr>
                <w:rFonts w:cs="Times New Roman"/>
                <w:b/>
                <w:snapToGrid/>
                <w:color w:val="auto"/>
                <w:kern w:val="2"/>
                <w:sz w:val="21"/>
              </w:rPr>
              <w:t>年</w:t>
            </w:r>
            <w:r>
              <w:rPr>
                <w:rFonts w:cs="Times New Roman"/>
                <w:b/>
                <w:snapToGrid/>
                <w:color w:val="auto"/>
                <w:kern w:val="2"/>
                <w:sz w:val="21"/>
              </w:rPr>
              <w:t>1-6</w:t>
            </w:r>
            <w:r>
              <w:rPr>
                <w:rFonts w:cs="Times New Roman"/>
                <w:b/>
                <w:snapToGrid/>
                <w:color w:val="auto"/>
                <w:kern w:val="2"/>
                <w:sz w:val="21"/>
              </w:rPr>
              <w:t>月</w:t>
            </w:r>
          </w:p>
        </w:tc>
      </w:tr>
      <w:tr w:rsidR="00CA6B0F" w14:paraId="1677AAAD" w14:textId="77777777">
        <w:trPr>
          <w:trHeight w:val="397"/>
          <w:tblHeader/>
          <w:jc w:val="center"/>
        </w:trPr>
        <w:tc>
          <w:tcPr>
            <w:tcW w:w="2308" w:type="pct"/>
            <w:vMerge/>
            <w:tcMar>
              <w:top w:w="0" w:type="dxa"/>
              <w:left w:w="108" w:type="dxa"/>
              <w:bottom w:w="0" w:type="dxa"/>
              <w:right w:w="108" w:type="dxa"/>
            </w:tcMar>
            <w:vAlign w:val="center"/>
          </w:tcPr>
          <w:p w14:paraId="073819EF" w14:textId="77777777" w:rsidR="00CA6B0F" w:rsidRDefault="00CA6B0F">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p>
        </w:tc>
        <w:tc>
          <w:tcPr>
            <w:tcW w:w="897" w:type="pct"/>
            <w:tcMar>
              <w:top w:w="0" w:type="dxa"/>
              <w:left w:w="108" w:type="dxa"/>
              <w:bottom w:w="0" w:type="dxa"/>
              <w:right w:w="108" w:type="dxa"/>
            </w:tcMar>
            <w:vAlign w:val="center"/>
          </w:tcPr>
          <w:p w14:paraId="0E47964E"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4"/>
                <w:kern w:val="2"/>
                <w:sz w:val="21"/>
              </w:rPr>
              <w:t>交易前</w:t>
            </w:r>
          </w:p>
        </w:tc>
        <w:tc>
          <w:tcPr>
            <w:tcW w:w="898" w:type="pct"/>
            <w:tcMar>
              <w:top w:w="0" w:type="dxa"/>
              <w:left w:w="108" w:type="dxa"/>
              <w:bottom w:w="0" w:type="dxa"/>
              <w:right w:w="108" w:type="dxa"/>
            </w:tcMar>
            <w:vAlign w:val="center"/>
          </w:tcPr>
          <w:p w14:paraId="6B5DF5D1"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spacing w:val="-4"/>
                <w:kern w:val="2"/>
                <w:sz w:val="21"/>
              </w:rPr>
            </w:pPr>
            <w:r>
              <w:rPr>
                <w:rFonts w:cs="Times New Roman"/>
                <w:b/>
                <w:snapToGrid/>
                <w:color w:val="auto"/>
                <w:spacing w:val="-4"/>
                <w:kern w:val="2"/>
                <w:sz w:val="21"/>
              </w:rPr>
              <w:t>交易后</w:t>
            </w:r>
          </w:p>
          <w:p w14:paraId="0EAC37B5"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4"/>
                <w:kern w:val="2"/>
                <w:sz w:val="21"/>
              </w:rPr>
              <w:t>（备考）</w:t>
            </w:r>
          </w:p>
        </w:tc>
        <w:tc>
          <w:tcPr>
            <w:tcW w:w="897" w:type="pct"/>
            <w:tcMar>
              <w:top w:w="0" w:type="dxa"/>
              <w:left w:w="108" w:type="dxa"/>
              <w:bottom w:w="0" w:type="dxa"/>
              <w:right w:w="108" w:type="dxa"/>
            </w:tcMar>
            <w:vAlign w:val="center"/>
          </w:tcPr>
          <w:p w14:paraId="7FE1DA11"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5"/>
                <w:kern w:val="2"/>
                <w:sz w:val="21"/>
              </w:rPr>
              <w:t>变动率</w:t>
            </w:r>
          </w:p>
        </w:tc>
      </w:tr>
      <w:tr w:rsidR="008F775A" w14:paraId="3FE5B469" w14:textId="77777777">
        <w:trPr>
          <w:trHeight w:val="397"/>
          <w:jc w:val="center"/>
        </w:trPr>
        <w:tc>
          <w:tcPr>
            <w:tcW w:w="2308" w:type="pct"/>
            <w:tcMar>
              <w:top w:w="0" w:type="dxa"/>
              <w:left w:w="108" w:type="dxa"/>
              <w:bottom w:w="0" w:type="dxa"/>
              <w:right w:w="108" w:type="dxa"/>
            </w:tcMar>
            <w:vAlign w:val="center"/>
          </w:tcPr>
          <w:p w14:paraId="07DB62ED" w14:textId="77777777" w:rsidR="008F775A" w:rsidRDefault="008F775A" w:rsidP="008F775A">
            <w:pPr>
              <w:widowControl w:val="0"/>
              <w:overflowPunct/>
              <w:autoSpaceDE/>
              <w:autoSpaceDN/>
              <w:adjustRightInd/>
              <w:snapToGrid/>
              <w:spacing w:beforeLines="0" w:before="0" w:afterLines="0" w:after="0" w:line="240" w:lineRule="auto"/>
              <w:ind w:firstLineChars="0" w:firstLine="0"/>
              <w:jc w:val="left"/>
              <w:textAlignment w:val="auto"/>
              <w:rPr>
                <w:rFonts w:cs="Times New Roman"/>
                <w:snapToGrid/>
                <w:color w:val="auto"/>
                <w:kern w:val="2"/>
                <w:sz w:val="21"/>
              </w:rPr>
            </w:pPr>
            <w:r>
              <w:rPr>
                <w:rFonts w:cs="Times New Roman"/>
                <w:snapToGrid/>
                <w:color w:val="auto"/>
                <w:kern w:val="2"/>
                <w:sz w:val="21"/>
                <w14:ligatures w14:val="standardContextual"/>
              </w:rPr>
              <w:t>归属于母公司股东的净利润（万元）</w:t>
            </w:r>
          </w:p>
        </w:tc>
        <w:tc>
          <w:tcPr>
            <w:tcW w:w="897" w:type="pct"/>
            <w:tcMar>
              <w:top w:w="0" w:type="dxa"/>
              <w:left w:w="108" w:type="dxa"/>
              <w:bottom w:w="0" w:type="dxa"/>
              <w:right w:w="108" w:type="dxa"/>
            </w:tcMar>
            <w:vAlign w:val="center"/>
          </w:tcPr>
          <w:p w14:paraId="066EDACB" w14:textId="0735342B" w:rsidR="008F775A" w:rsidRDefault="008F775A" w:rsidP="008F775A">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rFonts w:cs="Times New Roman"/>
                <w:sz w:val="21"/>
              </w:rPr>
              <w:t>605.91</w:t>
            </w:r>
          </w:p>
        </w:tc>
        <w:tc>
          <w:tcPr>
            <w:tcW w:w="898" w:type="pct"/>
            <w:tcMar>
              <w:top w:w="0" w:type="dxa"/>
              <w:left w:w="108" w:type="dxa"/>
              <w:bottom w:w="0" w:type="dxa"/>
              <w:right w:w="108" w:type="dxa"/>
            </w:tcMar>
            <w:vAlign w:val="center"/>
          </w:tcPr>
          <w:p w14:paraId="65CC562A" w14:textId="030928A4" w:rsidR="008F775A" w:rsidRDefault="008F775A" w:rsidP="008F775A">
            <w:pPr>
              <w:overflowPunct/>
              <w:autoSpaceDE/>
              <w:autoSpaceDN/>
              <w:adjustRightInd/>
              <w:snapToGrid/>
              <w:spacing w:beforeLines="0" w:before="0" w:afterLines="0" w:after="0" w:line="240" w:lineRule="auto"/>
              <w:ind w:firstLineChars="0" w:firstLine="0"/>
              <w:jc w:val="right"/>
              <w:textAlignment w:val="auto"/>
              <w:rPr>
                <w:rFonts w:cs="Times New Roman"/>
                <w:snapToGrid/>
                <w:sz w:val="21"/>
              </w:rPr>
            </w:pPr>
            <w:r>
              <w:rPr>
                <w:rFonts w:cs="Times New Roman"/>
                <w:sz w:val="21"/>
              </w:rPr>
              <w:t>5,984.14</w:t>
            </w:r>
          </w:p>
        </w:tc>
        <w:tc>
          <w:tcPr>
            <w:tcW w:w="897" w:type="pct"/>
            <w:tcMar>
              <w:top w:w="0" w:type="dxa"/>
              <w:left w:w="108" w:type="dxa"/>
              <w:bottom w:w="0" w:type="dxa"/>
              <w:right w:w="108" w:type="dxa"/>
            </w:tcMar>
            <w:vAlign w:val="center"/>
          </w:tcPr>
          <w:p w14:paraId="6B1280D7" w14:textId="306095CB" w:rsidR="008F775A" w:rsidRDefault="008F775A" w:rsidP="008F775A">
            <w:pPr>
              <w:overflowPunct/>
              <w:autoSpaceDE/>
              <w:autoSpaceDN/>
              <w:adjustRightInd/>
              <w:snapToGrid/>
              <w:spacing w:beforeLines="0" w:before="0" w:afterLines="0" w:after="0" w:line="240" w:lineRule="auto"/>
              <w:ind w:firstLine="420"/>
              <w:jc w:val="right"/>
              <w:textAlignment w:val="center"/>
              <w:rPr>
                <w:rFonts w:cs="Times New Roman"/>
                <w:snapToGrid/>
                <w:color w:val="auto"/>
                <w:kern w:val="2"/>
                <w:sz w:val="21"/>
              </w:rPr>
            </w:pPr>
            <w:r>
              <w:rPr>
                <w:rFonts w:cs="Times New Roman"/>
                <w:sz w:val="21"/>
              </w:rPr>
              <w:t>887.63%</w:t>
            </w:r>
          </w:p>
        </w:tc>
      </w:tr>
      <w:tr w:rsidR="008F775A" w14:paraId="5EEEDA60" w14:textId="77777777">
        <w:trPr>
          <w:trHeight w:val="397"/>
          <w:jc w:val="center"/>
        </w:trPr>
        <w:tc>
          <w:tcPr>
            <w:tcW w:w="2308" w:type="pct"/>
            <w:tcMar>
              <w:top w:w="0" w:type="dxa"/>
              <w:left w:w="108" w:type="dxa"/>
              <w:bottom w:w="0" w:type="dxa"/>
              <w:right w:w="108" w:type="dxa"/>
            </w:tcMar>
            <w:vAlign w:val="center"/>
          </w:tcPr>
          <w:p w14:paraId="6A47072B" w14:textId="77777777" w:rsidR="008F775A" w:rsidRDefault="008F775A" w:rsidP="008F775A">
            <w:pPr>
              <w:widowControl w:val="0"/>
              <w:overflowPunct/>
              <w:autoSpaceDE/>
              <w:autoSpaceDN/>
              <w:adjustRightInd/>
              <w:snapToGrid/>
              <w:spacing w:beforeLines="0" w:before="0" w:afterLines="0" w:after="0" w:line="240" w:lineRule="auto"/>
              <w:ind w:firstLineChars="0" w:firstLine="0"/>
              <w:jc w:val="left"/>
              <w:textAlignment w:val="auto"/>
              <w:rPr>
                <w:rFonts w:cs="Times New Roman"/>
                <w:snapToGrid/>
                <w:color w:val="auto"/>
                <w:kern w:val="2"/>
                <w:sz w:val="21"/>
              </w:rPr>
            </w:pPr>
            <w:r>
              <w:rPr>
                <w:rFonts w:cs="Times New Roman"/>
                <w:snapToGrid/>
                <w:color w:val="auto"/>
                <w:kern w:val="2"/>
                <w:sz w:val="21"/>
                <w14:ligatures w14:val="standardContextual"/>
              </w:rPr>
              <w:t>基本每股收益（元</w:t>
            </w:r>
            <w:r>
              <w:rPr>
                <w:rFonts w:cs="Times New Roman"/>
                <w:snapToGrid/>
                <w:color w:val="auto"/>
                <w:kern w:val="2"/>
                <w:sz w:val="21"/>
                <w14:ligatures w14:val="standardContextual"/>
              </w:rPr>
              <w:t>/</w:t>
            </w:r>
            <w:r>
              <w:rPr>
                <w:rFonts w:cs="Times New Roman"/>
                <w:snapToGrid/>
                <w:color w:val="auto"/>
                <w:kern w:val="2"/>
                <w:sz w:val="21"/>
                <w14:ligatures w14:val="standardContextual"/>
              </w:rPr>
              <w:t>股）</w:t>
            </w:r>
          </w:p>
        </w:tc>
        <w:tc>
          <w:tcPr>
            <w:tcW w:w="897" w:type="pct"/>
            <w:tcMar>
              <w:top w:w="0" w:type="dxa"/>
              <w:left w:w="108" w:type="dxa"/>
              <w:bottom w:w="0" w:type="dxa"/>
              <w:right w:w="108" w:type="dxa"/>
            </w:tcMar>
            <w:vAlign w:val="center"/>
          </w:tcPr>
          <w:p w14:paraId="41EAF375" w14:textId="7AF9337C" w:rsidR="008F775A" w:rsidRDefault="008F775A" w:rsidP="008F775A">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rFonts w:cs="Times New Roman"/>
                <w:sz w:val="21"/>
              </w:rPr>
              <w:t>0.09</w:t>
            </w:r>
          </w:p>
        </w:tc>
        <w:tc>
          <w:tcPr>
            <w:tcW w:w="898" w:type="pct"/>
            <w:tcMar>
              <w:top w:w="0" w:type="dxa"/>
              <w:left w:w="108" w:type="dxa"/>
              <w:bottom w:w="0" w:type="dxa"/>
              <w:right w:w="108" w:type="dxa"/>
            </w:tcMar>
            <w:vAlign w:val="center"/>
          </w:tcPr>
          <w:p w14:paraId="6D8AAC7D" w14:textId="38E40D1B" w:rsidR="008F775A" w:rsidRDefault="008F775A" w:rsidP="008F775A">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rFonts w:cs="Times New Roman"/>
                <w:sz w:val="21"/>
              </w:rPr>
              <w:t>0.67</w:t>
            </w:r>
          </w:p>
        </w:tc>
        <w:tc>
          <w:tcPr>
            <w:tcW w:w="897" w:type="pct"/>
            <w:tcMar>
              <w:top w:w="0" w:type="dxa"/>
              <w:left w:w="108" w:type="dxa"/>
              <w:bottom w:w="0" w:type="dxa"/>
              <w:right w:w="108" w:type="dxa"/>
            </w:tcMar>
            <w:vAlign w:val="center"/>
          </w:tcPr>
          <w:p w14:paraId="7C082135" w14:textId="4572ABA7" w:rsidR="008F775A" w:rsidRDefault="008F775A" w:rsidP="008F775A">
            <w:pPr>
              <w:overflowPunct/>
              <w:autoSpaceDE/>
              <w:autoSpaceDN/>
              <w:adjustRightInd/>
              <w:snapToGrid/>
              <w:spacing w:beforeLines="0" w:before="0" w:afterLines="0" w:after="0" w:line="240" w:lineRule="auto"/>
              <w:ind w:firstLine="420"/>
              <w:jc w:val="right"/>
              <w:textAlignment w:val="center"/>
              <w:rPr>
                <w:rFonts w:cs="Times New Roman"/>
                <w:snapToGrid/>
                <w:color w:val="auto"/>
                <w:kern w:val="2"/>
                <w:sz w:val="21"/>
              </w:rPr>
            </w:pPr>
            <w:r>
              <w:rPr>
                <w:rFonts w:cs="Times New Roman"/>
                <w:sz w:val="21"/>
              </w:rPr>
              <w:t>641.97%</w:t>
            </w:r>
          </w:p>
        </w:tc>
      </w:tr>
      <w:tr w:rsidR="00CA6B0F" w14:paraId="5BF4BF6F" w14:textId="77777777">
        <w:trPr>
          <w:trHeight w:val="397"/>
          <w:tblHeader/>
          <w:jc w:val="center"/>
        </w:trPr>
        <w:tc>
          <w:tcPr>
            <w:tcW w:w="2308" w:type="pct"/>
            <w:vMerge w:val="restart"/>
            <w:tcMar>
              <w:top w:w="0" w:type="dxa"/>
              <w:left w:w="108" w:type="dxa"/>
              <w:bottom w:w="0" w:type="dxa"/>
              <w:right w:w="108" w:type="dxa"/>
            </w:tcMar>
            <w:vAlign w:val="center"/>
          </w:tcPr>
          <w:p w14:paraId="0C3C72EA"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5"/>
                <w:kern w:val="2"/>
                <w:sz w:val="21"/>
              </w:rPr>
              <w:t>项目</w:t>
            </w:r>
          </w:p>
        </w:tc>
        <w:tc>
          <w:tcPr>
            <w:tcW w:w="2692" w:type="pct"/>
            <w:gridSpan w:val="3"/>
            <w:tcMar>
              <w:top w:w="0" w:type="dxa"/>
              <w:left w:w="108" w:type="dxa"/>
              <w:bottom w:w="0" w:type="dxa"/>
              <w:right w:w="108" w:type="dxa"/>
            </w:tcMar>
            <w:vAlign w:val="center"/>
          </w:tcPr>
          <w:p w14:paraId="06112CEA"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kern w:val="2"/>
                <w:sz w:val="21"/>
              </w:rPr>
              <w:t>2024</w:t>
            </w:r>
            <w:r>
              <w:rPr>
                <w:rFonts w:cs="Times New Roman"/>
                <w:b/>
                <w:snapToGrid/>
                <w:color w:val="auto"/>
                <w:kern w:val="2"/>
                <w:sz w:val="21"/>
              </w:rPr>
              <w:t>年</w:t>
            </w:r>
            <w:r>
              <w:rPr>
                <w:rFonts w:cs="Times New Roman"/>
                <w:b/>
                <w:snapToGrid/>
                <w:color w:val="auto"/>
                <w:kern w:val="2"/>
                <w:sz w:val="21"/>
              </w:rPr>
              <w:t>12</w:t>
            </w:r>
            <w:r>
              <w:rPr>
                <w:rFonts w:cs="Times New Roman"/>
                <w:b/>
                <w:snapToGrid/>
                <w:color w:val="auto"/>
                <w:kern w:val="2"/>
                <w:sz w:val="21"/>
              </w:rPr>
              <w:t>月</w:t>
            </w:r>
            <w:r>
              <w:rPr>
                <w:rFonts w:cs="Times New Roman"/>
                <w:b/>
                <w:snapToGrid/>
                <w:color w:val="auto"/>
                <w:kern w:val="2"/>
                <w:sz w:val="21"/>
              </w:rPr>
              <w:t>31</w:t>
            </w:r>
            <w:r>
              <w:rPr>
                <w:rFonts w:cs="Times New Roman"/>
                <w:b/>
                <w:snapToGrid/>
                <w:color w:val="auto"/>
                <w:kern w:val="2"/>
                <w:sz w:val="21"/>
              </w:rPr>
              <w:t>日</w:t>
            </w:r>
            <w:r>
              <w:rPr>
                <w:rFonts w:cs="Times New Roman"/>
                <w:b/>
                <w:snapToGrid/>
                <w:color w:val="auto"/>
                <w:kern w:val="2"/>
                <w:sz w:val="21"/>
              </w:rPr>
              <w:t>/2024</w:t>
            </w:r>
            <w:r>
              <w:rPr>
                <w:rFonts w:cs="Times New Roman"/>
                <w:b/>
                <w:snapToGrid/>
                <w:color w:val="auto"/>
                <w:kern w:val="2"/>
                <w:sz w:val="21"/>
              </w:rPr>
              <w:t>年度</w:t>
            </w:r>
          </w:p>
        </w:tc>
      </w:tr>
      <w:tr w:rsidR="00CA6B0F" w14:paraId="18681232" w14:textId="77777777">
        <w:trPr>
          <w:trHeight w:val="397"/>
          <w:tblHeader/>
          <w:jc w:val="center"/>
        </w:trPr>
        <w:tc>
          <w:tcPr>
            <w:tcW w:w="2308" w:type="pct"/>
            <w:vMerge/>
            <w:tcMar>
              <w:top w:w="0" w:type="dxa"/>
              <w:left w:w="108" w:type="dxa"/>
              <w:bottom w:w="0" w:type="dxa"/>
              <w:right w:w="108" w:type="dxa"/>
            </w:tcMar>
            <w:vAlign w:val="center"/>
          </w:tcPr>
          <w:p w14:paraId="5760E887" w14:textId="77777777" w:rsidR="00CA6B0F" w:rsidRDefault="00CA6B0F">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p>
        </w:tc>
        <w:tc>
          <w:tcPr>
            <w:tcW w:w="897" w:type="pct"/>
            <w:tcMar>
              <w:top w:w="0" w:type="dxa"/>
              <w:left w:w="108" w:type="dxa"/>
              <w:bottom w:w="0" w:type="dxa"/>
              <w:right w:w="108" w:type="dxa"/>
            </w:tcMar>
            <w:vAlign w:val="center"/>
          </w:tcPr>
          <w:p w14:paraId="3BC56FC4"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4"/>
                <w:kern w:val="2"/>
                <w:sz w:val="21"/>
              </w:rPr>
              <w:t>交易前</w:t>
            </w:r>
          </w:p>
        </w:tc>
        <w:tc>
          <w:tcPr>
            <w:tcW w:w="898" w:type="pct"/>
            <w:tcMar>
              <w:top w:w="0" w:type="dxa"/>
              <w:left w:w="108" w:type="dxa"/>
              <w:bottom w:w="0" w:type="dxa"/>
              <w:right w:w="108" w:type="dxa"/>
            </w:tcMar>
            <w:vAlign w:val="center"/>
          </w:tcPr>
          <w:p w14:paraId="205D7B2F"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spacing w:val="-4"/>
                <w:kern w:val="2"/>
                <w:sz w:val="21"/>
              </w:rPr>
            </w:pPr>
            <w:r>
              <w:rPr>
                <w:rFonts w:cs="Times New Roman"/>
                <w:b/>
                <w:snapToGrid/>
                <w:color w:val="auto"/>
                <w:spacing w:val="-4"/>
                <w:kern w:val="2"/>
                <w:sz w:val="21"/>
              </w:rPr>
              <w:t>交易后</w:t>
            </w:r>
          </w:p>
          <w:p w14:paraId="3D4B90C4"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4"/>
                <w:kern w:val="2"/>
                <w:sz w:val="21"/>
              </w:rPr>
              <w:t>（备考）</w:t>
            </w:r>
          </w:p>
        </w:tc>
        <w:tc>
          <w:tcPr>
            <w:tcW w:w="897" w:type="pct"/>
            <w:tcMar>
              <w:top w:w="0" w:type="dxa"/>
              <w:left w:w="108" w:type="dxa"/>
              <w:bottom w:w="0" w:type="dxa"/>
              <w:right w:w="108" w:type="dxa"/>
            </w:tcMar>
            <w:vAlign w:val="center"/>
          </w:tcPr>
          <w:p w14:paraId="16FD8F1D" w14:textId="77777777" w:rsidR="00CA6B0F" w:rsidRDefault="0030408A">
            <w:pPr>
              <w:widowControl w:val="0"/>
              <w:overflowPunct/>
              <w:autoSpaceDE/>
              <w:autoSpaceDN/>
              <w:adjustRightInd/>
              <w:snapToGrid/>
              <w:spacing w:beforeLines="0" w:before="0" w:afterLines="0" w:after="0" w:line="240" w:lineRule="auto"/>
              <w:ind w:firstLineChars="0" w:firstLine="0"/>
              <w:jc w:val="center"/>
              <w:textAlignment w:val="auto"/>
              <w:rPr>
                <w:rFonts w:cs="Times New Roman"/>
                <w:b/>
                <w:snapToGrid/>
                <w:color w:val="auto"/>
                <w:kern w:val="2"/>
                <w:sz w:val="21"/>
              </w:rPr>
            </w:pPr>
            <w:r>
              <w:rPr>
                <w:rFonts w:cs="Times New Roman"/>
                <w:b/>
                <w:snapToGrid/>
                <w:color w:val="auto"/>
                <w:spacing w:val="-5"/>
                <w:kern w:val="2"/>
                <w:sz w:val="21"/>
              </w:rPr>
              <w:t>变动率</w:t>
            </w:r>
          </w:p>
        </w:tc>
      </w:tr>
      <w:tr w:rsidR="0064667C" w14:paraId="407C90B9" w14:textId="77777777">
        <w:trPr>
          <w:trHeight w:val="397"/>
          <w:jc w:val="center"/>
        </w:trPr>
        <w:tc>
          <w:tcPr>
            <w:tcW w:w="2308" w:type="pct"/>
            <w:tcMar>
              <w:top w:w="0" w:type="dxa"/>
              <w:left w:w="108" w:type="dxa"/>
              <w:bottom w:w="0" w:type="dxa"/>
              <w:right w:w="108" w:type="dxa"/>
            </w:tcMar>
            <w:vAlign w:val="center"/>
          </w:tcPr>
          <w:p w14:paraId="6B8EC6A7" w14:textId="77777777" w:rsidR="0064667C" w:rsidRDefault="0064667C" w:rsidP="0064667C">
            <w:pPr>
              <w:widowControl w:val="0"/>
              <w:overflowPunct/>
              <w:autoSpaceDE/>
              <w:autoSpaceDN/>
              <w:adjustRightInd/>
              <w:snapToGrid/>
              <w:spacing w:beforeLines="0" w:before="0" w:afterLines="0" w:after="0" w:line="240" w:lineRule="auto"/>
              <w:ind w:firstLineChars="0" w:firstLine="0"/>
              <w:jc w:val="left"/>
              <w:textAlignment w:val="auto"/>
              <w:rPr>
                <w:rFonts w:cs="Times New Roman"/>
                <w:snapToGrid/>
                <w:color w:val="auto"/>
                <w:kern w:val="2"/>
                <w:sz w:val="21"/>
              </w:rPr>
            </w:pPr>
            <w:r>
              <w:rPr>
                <w:rFonts w:cs="Times New Roman"/>
                <w:snapToGrid/>
                <w:color w:val="auto"/>
                <w:kern w:val="2"/>
                <w:sz w:val="21"/>
                <w14:ligatures w14:val="standardContextual"/>
              </w:rPr>
              <w:t>归属于母公司股东的净利润（万元）</w:t>
            </w:r>
          </w:p>
        </w:tc>
        <w:tc>
          <w:tcPr>
            <w:tcW w:w="897" w:type="pct"/>
            <w:tcMar>
              <w:top w:w="0" w:type="dxa"/>
              <w:left w:w="108" w:type="dxa"/>
              <w:bottom w:w="0" w:type="dxa"/>
              <w:right w:w="108" w:type="dxa"/>
            </w:tcMar>
            <w:vAlign w:val="center"/>
          </w:tcPr>
          <w:p w14:paraId="5F67E13D" w14:textId="5D0D9D04" w:rsidR="0064667C" w:rsidRDefault="0064667C" w:rsidP="0064667C">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sz w:val="21"/>
              </w:rPr>
              <w:t>-4,955.28</w:t>
            </w:r>
          </w:p>
        </w:tc>
        <w:tc>
          <w:tcPr>
            <w:tcW w:w="898" w:type="pct"/>
            <w:tcMar>
              <w:top w:w="0" w:type="dxa"/>
              <w:left w:w="108" w:type="dxa"/>
              <w:bottom w:w="0" w:type="dxa"/>
              <w:right w:w="108" w:type="dxa"/>
            </w:tcMar>
            <w:vAlign w:val="center"/>
          </w:tcPr>
          <w:p w14:paraId="2F38C2A5" w14:textId="2E5E32EF" w:rsidR="0064667C" w:rsidRDefault="0064667C" w:rsidP="0064667C">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sz w:val="21"/>
              </w:rPr>
              <w:t>3,632.45</w:t>
            </w:r>
          </w:p>
        </w:tc>
        <w:tc>
          <w:tcPr>
            <w:tcW w:w="897" w:type="pct"/>
            <w:tcMar>
              <w:top w:w="0" w:type="dxa"/>
              <w:left w:w="108" w:type="dxa"/>
              <w:bottom w:w="0" w:type="dxa"/>
              <w:right w:w="108" w:type="dxa"/>
            </w:tcMar>
            <w:vAlign w:val="center"/>
          </w:tcPr>
          <w:p w14:paraId="2F8FF37B" w14:textId="7F22E06F" w:rsidR="0064667C" w:rsidRDefault="0064667C" w:rsidP="0064667C">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sz w:val="21"/>
              </w:rPr>
              <w:t>173.30%</w:t>
            </w:r>
          </w:p>
        </w:tc>
      </w:tr>
      <w:tr w:rsidR="0064667C" w14:paraId="238B6A90" w14:textId="77777777">
        <w:trPr>
          <w:trHeight w:val="397"/>
          <w:jc w:val="center"/>
        </w:trPr>
        <w:tc>
          <w:tcPr>
            <w:tcW w:w="2308" w:type="pct"/>
            <w:tcMar>
              <w:top w:w="0" w:type="dxa"/>
              <w:left w:w="108" w:type="dxa"/>
              <w:bottom w:w="0" w:type="dxa"/>
              <w:right w:w="108" w:type="dxa"/>
            </w:tcMar>
            <w:vAlign w:val="center"/>
          </w:tcPr>
          <w:p w14:paraId="05C8D749" w14:textId="77777777" w:rsidR="0064667C" w:rsidRDefault="0064667C" w:rsidP="0064667C">
            <w:pPr>
              <w:widowControl w:val="0"/>
              <w:overflowPunct/>
              <w:autoSpaceDE/>
              <w:autoSpaceDN/>
              <w:adjustRightInd/>
              <w:snapToGrid/>
              <w:spacing w:beforeLines="0" w:before="0" w:afterLines="0" w:after="0" w:line="240" w:lineRule="auto"/>
              <w:ind w:firstLineChars="0" w:firstLine="0"/>
              <w:jc w:val="left"/>
              <w:textAlignment w:val="auto"/>
              <w:rPr>
                <w:rFonts w:cs="Times New Roman"/>
                <w:snapToGrid/>
                <w:color w:val="auto"/>
                <w:kern w:val="2"/>
                <w:sz w:val="21"/>
              </w:rPr>
            </w:pPr>
            <w:r>
              <w:rPr>
                <w:rFonts w:cs="Times New Roman"/>
                <w:snapToGrid/>
                <w:color w:val="auto"/>
                <w:kern w:val="2"/>
                <w:sz w:val="21"/>
                <w14:ligatures w14:val="standardContextual"/>
              </w:rPr>
              <w:t>基本每股收益（元</w:t>
            </w:r>
            <w:r>
              <w:rPr>
                <w:rFonts w:cs="Times New Roman"/>
                <w:snapToGrid/>
                <w:color w:val="auto"/>
                <w:kern w:val="2"/>
                <w:sz w:val="21"/>
                <w14:ligatures w14:val="standardContextual"/>
              </w:rPr>
              <w:t>/</w:t>
            </w:r>
            <w:r>
              <w:rPr>
                <w:rFonts w:cs="Times New Roman"/>
                <w:snapToGrid/>
                <w:color w:val="auto"/>
                <w:kern w:val="2"/>
                <w:sz w:val="21"/>
                <w14:ligatures w14:val="standardContextual"/>
              </w:rPr>
              <w:t>股）</w:t>
            </w:r>
          </w:p>
        </w:tc>
        <w:tc>
          <w:tcPr>
            <w:tcW w:w="897" w:type="pct"/>
            <w:tcMar>
              <w:top w:w="0" w:type="dxa"/>
              <w:left w:w="108" w:type="dxa"/>
              <w:bottom w:w="0" w:type="dxa"/>
              <w:right w:w="108" w:type="dxa"/>
            </w:tcMar>
            <w:vAlign w:val="center"/>
          </w:tcPr>
          <w:p w14:paraId="04F7C957" w14:textId="0D428054" w:rsidR="0064667C" w:rsidRDefault="0064667C" w:rsidP="0064667C">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sz w:val="21"/>
              </w:rPr>
              <w:t>-0.74</w:t>
            </w:r>
          </w:p>
        </w:tc>
        <w:tc>
          <w:tcPr>
            <w:tcW w:w="898" w:type="pct"/>
            <w:tcMar>
              <w:top w:w="0" w:type="dxa"/>
              <w:left w:w="108" w:type="dxa"/>
              <w:bottom w:w="0" w:type="dxa"/>
              <w:right w:w="108" w:type="dxa"/>
            </w:tcMar>
            <w:vAlign w:val="center"/>
          </w:tcPr>
          <w:p w14:paraId="30F3BC76" w14:textId="6ED4CCF1" w:rsidR="0064667C" w:rsidRDefault="0064667C" w:rsidP="0064667C">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sz w:val="21"/>
              </w:rPr>
              <w:t>0.40</w:t>
            </w:r>
          </w:p>
        </w:tc>
        <w:tc>
          <w:tcPr>
            <w:tcW w:w="897" w:type="pct"/>
            <w:tcMar>
              <w:top w:w="0" w:type="dxa"/>
              <w:left w:w="108" w:type="dxa"/>
              <w:bottom w:w="0" w:type="dxa"/>
              <w:right w:w="108" w:type="dxa"/>
            </w:tcMar>
            <w:vAlign w:val="center"/>
          </w:tcPr>
          <w:p w14:paraId="1191DB01" w14:textId="4836A8E1" w:rsidR="0064667C" w:rsidRDefault="0064667C" w:rsidP="0064667C">
            <w:pPr>
              <w:overflowPunct/>
              <w:autoSpaceDE/>
              <w:autoSpaceDN/>
              <w:adjustRightInd/>
              <w:snapToGrid/>
              <w:spacing w:beforeLines="0" w:before="0" w:afterLines="0" w:after="0" w:line="240" w:lineRule="auto"/>
              <w:ind w:firstLineChars="0" w:firstLine="0"/>
              <w:jc w:val="right"/>
              <w:textAlignment w:val="center"/>
              <w:rPr>
                <w:rFonts w:cs="Times New Roman"/>
                <w:snapToGrid/>
                <w:color w:val="auto"/>
                <w:kern w:val="2"/>
                <w:sz w:val="21"/>
              </w:rPr>
            </w:pPr>
            <w:r>
              <w:rPr>
                <w:sz w:val="21"/>
              </w:rPr>
              <w:t>154.05%</w:t>
            </w:r>
          </w:p>
        </w:tc>
      </w:tr>
    </w:tbl>
    <w:p w14:paraId="3683EECE" w14:textId="77777777" w:rsidR="00CA6B0F" w:rsidRDefault="0030408A">
      <w:pPr>
        <w:widowControl w:val="0"/>
        <w:overflowPunct/>
        <w:autoSpaceDE/>
        <w:autoSpaceDN/>
        <w:adjustRightInd/>
        <w:snapToGrid/>
        <w:spacing w:beforeLines="0" w:before="0" w:afterLines="0" w:after="0" w:line="240" w:lineRule="auto"/>
        <w:ind w:firstLine="420"/>
        <w:textAlignment w:val="auto"/>
        <w:rPr>
          <w:bCs/>
          <w:snapToGrid/>
          <w:color w:val="auto"/>
          <w:kern w:val="2"/>
          <w:sz w:val="21"/>
          <w:szCs w:val="22"/>
        </w:rPr>
      </w:pPr>
      <w:r>
        <w:rPr>
          <w:rFonts w:hint="eastAsia"/>
          <w:bCs/>
          <w:snapToGrid/>
          <w:color w:val="auto"/>
          <w:kern w:val="2"/>
          <w:sz w:val="21"/>
          <w:szCs w:val="22"/>
        </w:rPr>
        <w:t>注：变动率</w:t>
      </w:r>
      <w:r>
        <w:rPr>
          <w:bCs/>
          <w:snapToGrid/>
          <w:color w:val="auto"/>
          <w:kern w:val="2"/>
          <w:sz w:val="21"/>
          <w:szCs w:val="22"/>
        </w:rPr>
        <w:t>=</w:t>
      </w:r>
      <w:r>
        <w:rPr>
          <w:rFonts w:hint="eastAsia"/>
          <w:bCs/>
          <w:snapToGrid/>
          <w:color w:val="auto"/>
          <w:kern w:val="2"/>
          <w:sz w:val="21"/>
          <w:szCs w:val="22"/>
        </w:rPr>
        <w:t>（交易后</w:t>
      </w:r>
      <w:r>
        <w:rPr>
          <w:rFonts w:hint="eastAsia"/>
          <w:bCs/>
          <w:snapToGrid/>
          <w:color w:val="auto"/>
          <w:kern w:val="2"/>
          <w:sz w:val="21"/>
          <w:szCs w:val="22"/>
        </w:rPr>
        <w:t>-</w:t>
      </w:r>
      <w:r>
        <w:rPr>
          <w:rFonts w:hint="eastAsia"/>
          <w:bCs/>
          <w:snapToGrid/>
          <w:color w:val="auto"/>
          <w:kern w:val="2"/>
          <w:sz w:val="21"/>
          <w:szCs w:val="22"/>
        </w:rPr>
        <w:t>交易前）</w:t>
      </w:r>
      <w:r>
        <w:rPr>
          <w:rFonts w:hint="eastAsia"/>
          <w:bCs/>
          <w:snapToGrid/>
          <w:color w:val="auto"/>
          <w:kern w:val="2"/>
          <w:sz w:val="21"/>
          <w:szCs w:val="22"/>
        </w:rPr>
        <w:t>/</w:t>
      </w:r>
      <w:r>
        <w:rPr>
          <w:rFonts w:hint="eastAsia"/>
          <w:bCs/>
          <w:snapToGrid/>
          <w:color w:val="auto"/>
          <w:kern w:val="2"/>
          <w:sz w:val="21"/>
          <w:szCs w:val="22"/>
        </w:rPr>
        <w:t>交易前绝对值</w:t>
      </w:r>
    </w:p>
    <w:p w14:paraId="7E6D1C2A" w14:textId="77777777" w:rsidR="00CA6B0F" w:rsidRDefault="0030408A" w:rsidP="001D041C">
      <w:pPr>
        <w:pStyle w:val="1"/>
      </w:pPr>
      <w:r>
        <w:t>二、本次重组摊薄即期回报的风险提示</w:t>
      </w:r>
    </w:p>
    <w:p w14:paraId="3ADE7477" w14:textId="502FF3A7" w:rsidR="00CA6B0F" w:rsidRDefault="0030408A" w:rsidP="001D041C">
      <w:pPr>
        <w:widowControl w:val="0"/>
        <w:overflowPunct/>
        <w:autoSpaceDE/>
        <w:autoSpaceDN/>
        <w:adjustRightInd/>
        <w:snapToGrid/>
        <w:spacing w:before="120" w:after="120"/>
        <w:ind w:firstLine="480"/>
        <w:textAlignment w:val="auto"/>
        <w:rPr>
          <w:rFonts w:cs="Times New Roman"/>
          <w:snapToGrid/>
          <w:color w:val="auto"/>
          <w:kern w:val="2"/>
          <w:szCs w:val="24"/>
          <w14:ligatures w14:val="standardContextual"/>
        </w:rPr>
      </w:pPr>
      <w:r>
        <w:rPr>
          <w:rFonts w:hint="eastAsia"/>
        </w:rPr>
        <w:lastRenderedPageBreak/>
        <w:t>本次交易</w:t>
      </w:r>
      <w:r w:rsidR="00552D6C">
        <w:rPr>
          <w:rFonts w:hint="eastAsia"/>
        </w:rPr>
        <w:t>完成</w:t>
      </w:r>
      <w:r>
        <w:rPr>
          <w:rFonts w:hint="eastAsia"/>
        </w:rPr>
        <w:t>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0326C0CB" w14:textId="73F9996D" w:rsidR="00CA6B0F" w:rsidRDefault="0030408A" w:rsidP="001D041C">
      <w:pPr>
        <w:pStyle w:val="1"/>
      </w:pPr>
      <w:r>
        <w:t>三、上市公司</w:t>
      </w:r>
      <w:r w:rsidR="00622605">
        <w:rPr>
          <w:rFonts w:hint="eastAsia"/>
        </w:rPr>
        <w:t>为</w:t>
      </w:r>
      <w:r>
        <w:t>防范本次重组摊薄即期回报及提高未来回报能力采取的措施</w:t>
      </w:r>
    </w:p>
    <w:p w14:paraId="00BECAC5"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为保护投资者利益，防范即期回报被摊薄的风险，提高对上市公司股东的回报能力，上市公司拟采取以下具体措施，以降低本次重组可能摊薄上市公司即期回报的影响：</w:t>
      </w:r>
      <w:bookmarkStart w:id="2" w:name="_Hlk211080909"/>
    </w:p>
    <w:p w14:paraId="3275A2B0" w14:textId="77777777" w:rsidR="00CA6B0F" w:rsidRDefault="0030408A">
      <w:pPr>
        <w:keepNext/>
        <w:keepLines/>
        <w:widowControl w:val="0"/>
        <w:overflowPunct/>
        <w:autoSpaceDE/>
        <w:autoSpaceDN/>
        <w:adjustRightInd/>
        <w:snapToGrid/>
        <w:spacing w:before="120" w:after="120"/>
        <w:ind w:firstLine="482"/>
        <w:textAlignment w:val="auto"/>
        <w:outlineLvl w:val="3"/>
        <w:rPr>
          <w:rFonts w:cs="Times New Roman"/>
          <w:b/>
          <w:bCs/>
          <w:snapToGrid/>
          <w:color w:val="auto"/>
          <w:kern w:val="2"/>
          <w:szCs w:val="28"/>
        </w:rPr>
      </w:pPr>
      <w:r>
        <w:rPr>
          <w:rFonts w:cs="Times New Roman" w:hint="eastAsia"/>
          <w:b/>
          <w:bCs/>
          <w:snapToGrid/>
          <w:color w:val="auto"/>
          <w:kern w:val="2"/>
          <w:szCs w:val="28"/>
        </w:rPr>
        <w:t>1</w:t>
      </w:r>
      <w:r>
        <w:rPr>
          <w:rFonts w:cs="Times New Roman" w:hint="eastAsia"/>
          <w:b/>
          <w:bCs/>
          <w:snapToGrid/>
          <w:color w:val="auto"/>
          <w:kern w:val="2"/>
          <w:szCs w:val="28"/>
        </w:rPr>
        <w:t>、尽快实现标的公司的预期效益</w:t>
      </w:r>
    </w:p>
    <w:p w14:paraId="65EF1079" w14:textId="2ED7D5EA"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本次交易完成后，上市公司将尽可能调动标的公司各方面资源，及时、高效完</w:t>
      </w:r>
      <w:r w:rsidR="00622605">
        <w:rPr>
          <w:rFonts w:cs="Times New Roman" w:hint="eastAsia"/>
          <w:snapToGrid/>
          <w:color w:val="auto"/>
          <w:kern w:val="2"/>
          <w:szCs w:val="22"/>
        </w:rPr>
        <w:t>地</w:t>
      </w:r>
      <w:r>
        <w:rPr>
          <w:rFonts w:cs="Times New Roman" w:hint="eastAsia"/>
          <w:snapToGrid/>
          <w:color w:val="auto"/>
          <w:kern w:val="2"/>
          <w:szCs w:val="22"/>
        </w:rPr>
        <w:t>成标的公司的经营计划，充分发挥协同效应，增强公司的盈利能力，尽快实现企业预期效益。</w:t>
      </w:r>
    </w:p>
    <w:p w14:paraId="1F57D726" w14:textId="77777777" w:rsidR="00CA6B0F" w:rsidRDefault="0030408A">
      <w:pPr>
        <w:keepNext/>
        <w:keepLines/>
        <w:widowControl w:val="0"/>
        <w:overflowPunct/>
        <w:autoSpaceDE/>
        <w:autoSpaceDN/>
        <w:adjustRightInd/>
        <w:snapToGrid/>
        <w:spacing w:before="120" w:after="120"/>
        <w:ind w:firstLine="482"/>
        <w:textAlignment w:val="auto"/>
        <w:outlineLvl w:val="3"/>
        <w:rPr>
          <w:rFonts w:cs="Times New Roman"/>
          <w:b/>
          <w:bCs/>
          <w:snapToGrid/>
          <w:color w:val="auto"/>
          <w:kern w:val="2"/>
          <w:szCs w:val="28"/>
        </w:rPr>
      </w:pPr>
      <w:r>
        <w:rPr>
          <w:rFonts w:cs="Times New Roman" w:hint="eastAsia"/>
          <w:b/>
          <w:bCs/>
          <w:snapToGrid/>
          <w:color w:val="auto"/>
          <w:kern w:val="2"/>
          <w:szCs w:val="28"/>
        </w:rPr>
        <w:t>2</w:t>
      </w:r>
      <w:r>
        <w:rPr>
          <w:rFonts w:cs="Times New Roman" w:hint="eastAsia"/>
          <w:b/>
          <w:bCs/>
          <w:snapToGrid/>
          <w:color w:val="auto"/>
          <w:kern w:val="2"/>
          <w:szCs w:val="28"/>
        </w:rPr>
        <w:t>、不断完善公司治理，提高公司运营效率</w:t>
      </w:r>
    </w:p>
    <w:p w14:paraId="07E59F3B"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本次交易前，上市公司已按照《公司法》《证券法》《上市公司治理准则》等法律法规，建立了较为完善、健全的公司法人治理结构和内部控制制度管理体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0F1A466B" w14:textId="77777777" w:rsidR="00CA6B0F" w:rsidRDefault="0030408A">
      <w:pPr>
        <w:keepNext/>
        <w:keepLines/>
        <w:widowControl w:val="0"/>
        <w:overflowPunct/>
        <w:autoSpaceDE/>
        <w:autoSpaceDN/>
        <w:adjustRightInd/>
        <w:snapToGrid/>
        <w:spacing w:before="120" w:after="120"/>
        <w:ind w:firstLine="482"/>
        <w:textAlignment w:val="auto"/>
        <w:outlineLvl w:val="3"/>
        <w:rPr>
          <w:rFonts w:cs="Times New Roman"/>
          <w:b/>
          <w:bCs/>
          <w:snapToGrid/>
          <w:color w:val="auto"/>
          <w:kern w:val="2"/>
          <w:szCs w:val="28"/>
        </w:rPr>
      </w:pPr>
      <w:r>
        <w:rPr>
          <w:rFonts w:cs="Times New Roman" w:hint="eastAsia"/>
          <w:b/>
          <w:bCs/>
          <w:snapToGrid/>
          <w:color w:val="auto"/>
          <w:kern w:val="2"/>
          <w:szCs w:val="28"/>
        </w:rPr>
        <w:t>3</w:t>
      </w:r>
      <w:r>
        <w:rPr>
          <w:rFonts w:cs="Times New Roman" w:hint="eastAsia"/>
          <w:b/>
          <w:bCs/>
          <w:snapToGrid/>
          <w:color w:val="auto"/>
          <w:kern w:val="2"/>
          <w:szCs w:val="28"/>
        </w:rPr>
        <w:t>、不断完善利润分配政策，维护全体股东利益</w:t>
      </w:r>
    </w:p>
    <w:p w14:paraId="7E0C423F" w14:textId="77777777" w:rsidR="00CA6B0F" w:rsidRDefault="0030408A">
      <w:pPr>
        <w:spacing w:before="120" w:after="120"/>
        <w:ind w:firstLine="480"/>
      </w:pPr>
      <w:r>
        <w:rPr>
          <w:rFonts w:cs="Times New Roman" w:hint="eastAsia"/>
          <w:snapToGrid/>
          <w:color w:val="auto"/>
          <w:kern w:val="2"/>
          <w:szCs w:val="22"/>
        </w:rPr>
        <w:t>本次交易完成后，上市公司将根据《上市公司监管指引第</w:t>
      </w:r>
      <w:r>
        <w:rPr>
          <w:rFonts w:cs="Times New Roman" w:hint="eastAsia"/>
          <w:snapToGrid/>
          <w:color w:val="auto"/>
          <w:kern w:val="2"/>
          <w:szCs w:val="22"/>
        </w:rPr>
        <w:t>3</w:t>
      </w:r>
      <w:r>
        <w:rPr>
          <w:rFonts w:cs="Times New Roman" w:hint="eastAsia"/>
          <w:snapToGrid/>
          <w:color w:val="auto"/>
          <w:kern w:val="2"/>
          <w:szCs w:val="22"/>
        </w:rPr>
        <w:t>号——上市公司现金分红（</w:t>
      </w:r>
      <w:r>
        <w:rPr>
          <w:rFonts w:cs="Times New Roman" w:hint="eastAsia"/>
          <w:snapToGrid/>
          <w:color w:val="auto"/>
          <w:kern w:val="2"/>
          <w:szCs w:val="22"/>
        </w:rPr>
        <w:t>2025</w:t>
      </w:r>
      <w:r>
        <w:rPr>
          <w:rFonts w:cs="Times New Roman" w:hint="eastAsia"/>
          <w:snapToGrid/>
          <w:color w:val="auto"/>
          <w:kern w:val="2"/>
          <w:szCs w:val="22"/>
        </w:rPr>
        <w:t>年修正）》及《监管规则适用指引——发行类第</w:t>
      </w:r>
      <w:r>
        <w:rPr>
          <w:rFonts w:cs="Times New Roman" w:hint="eastAsia"/>
          <w:snapToGrid/>
          <w:color w:val="auto"/>
          <w:kern w:val="2"/>
          <w:szCs w:val="22"/>
        </w:rPr>
        <w:t>10</w:t>
      </w:r>
      <w:r>
        <w:rPr>
          <w:rFonts w:cs="Times New Roman" w:hint="eastAsia"/>
          <w:snapToGrid/>
          <w:color w:val="auto"/>
          <w:kern w:val="2"/>
          <w:szCs w:val="22"/>
        </w:rPr>
        <w:t>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维护上市公司股东及投资者利益。</w:t>
      </w:r>
      <w:bookmarkEnd w:id="2"/>
    </w:p>
    <w:p w14:paraId="375660C0" w14:textId="6E034D34" w:rsidR="00CA6B0F" w:rsidRDefault="0030408A">
      <w:pPr>
        <w:pStyle w:val="1"/>
      </w:pPr>
      <w:r>
        <w:lastRenderedPageBreak/>
        <w:t>四、上市公司控股股东</w:t>
      </w:r>
      <w:r>
        <w:rPr>
          <w:rFonts w:hint="eastAsia"/>
        </w:rPr>
        <w:t>、实际控制人</w:t>
      </w:r>
      <w:r w:rsidR="00453C85">
        <w:rPr>
          <w:rFonts w:hint="eastAsia"/>
        </w:rPr>
        <w:t>及</w:t>
      </w:r>
      <w:r w:rsidR="00453C85" w:rsidRPr="00453C85">
        <w:rPr>
          <w:rFonts w:hint="eastAsia"/>
        </w:rPr>
        <w:t>董事、高级管理人员</w:t>
      </w:r>
      <w:r>
        <w:t>关于</w:t>
      </w:r>
      <w:r w:rsidR="00453C85">
        <w:rPr>
          <w:rFonts w:hint="eastAsia"/>
        </w:rPr>
        <w:t>本次重组</w:t>
      </w:r>
      <w:r>
        <w:rPr>
          <w:rFonts w:hint="eastAsia"/>
        </w:rPr>
        <w:t>摊薄即期回报采取填补措施的承诺</w:t>
      </w:r>
    </w:p>
    <w:p w14:paraId="07CA74F4"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上市公司控股股东、实际控制人已出具《关于本次重组摊薄即期回报采取填补措施的承诺函》，承诺内容如下：</w:t>
      </w:r>
    </w:p>
    <w:p w14:paraId="7CF567E3"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w:t>
      </w:r>
      <w:r>
        <w:rPr>
          <w:rFonts w:cs="Times New Roman" w:hint="eastAsia"/>
          <w:snapToGrid/>
          <w:color w:val="auto"/>
          <w:kern w:val="2"/>
          <w:szCs w:val="22"/>
        </w:rPr>
        <w:t>1</w:t>
      </w:r>
      <w:r>
        <w:rPr>
          <w:rFonts w:cs="Times New Roman" w:hint="eastAsia"/>
          <w:snapToGrid/>
          <w:color w:val="auto"/>
          <w:kern w:val="2"/>
          <w:szCs w:val="22"/>
        </w:rPr>
        <w:t>、本人承诺不越权干预上市公司经营管理活动，也不采用其他方式损害上市公司利益。</w:t>
      </w:r>
    </w:p>
    <w:p w14:paraId="6D9F78F5"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2</w:t>
      </w:r>
      <w:r>
        <w:rPr>
          <w:rFonts w:cs="Times New Roman" w:hint="eastAsia"/>
          <w:snapToGrid/>
          <w:color w:val="auto"/>
          <w:kern w:val="2"/>
          <w:szCs w:val="22"/>
        </w:rPr>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19F034D6"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3</w:t>
      </w:r>
      <w:r>
        <w:rPr>
          <w:rFonts w:cs="Times New Roman" w:hint="eastAsia"/>
          <w:snapToGrid/>
          <w:color w:val="auto"/>
          <w:kern w:val="2"/>
          <w:szCs w:val="22"/>
        </w:rPr>
        <w:t>、如本人违反上述承诺并因此给上市公司或者上市公司股东造成损失的，本人将依法承担赔偿责任。”</w:t>
      </w:r>
    </w:p>
    <w:p w14:paraId="2F27A386"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上市公司董事、高级管理人员已出具《关于本次重组摊薄即期回报采取填补措施的承诺函》，承诺内容如下：</w:t>
      </w:r>
    </w:p>
    <w:p w14:paraId="1EB924D9" w14:textId="0FB5C765"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w:t>
      </w:r>
      <w:r>
        <w:rPr>
          <w:rFonts w:cs="Times New Roman" w:hint="eastAsia"/>
          <w:snapToGrid/>
          <w:color w:val="auto"/>
          <w:kern w:val="2"/>
          <w:szCs w:val="22"/>
        </w:rPr>
        <w:t>1</w:t>
      </w:r>
      <w:r>
        <w:rPr>
          <w:rFonts w:cs="Times New Roman" w:hint="eastAsia"/>
          <w:snapToGrid/>
          <w:color w:val="auto"/>
          <w:kern w:val="2"/>
          <w:szCs w:val="22"/>
        </w:rPr>
        <w:t>、本人承诺忠实、勤勉地履行上市公司董事或高级管理人员的职责，维护公司和全体股东的合法权益</w:t>
      </w:r>
      <w:r w:rsidR="00622605">
        <w:rPr>
          <w:rFonts w:cs="Times New Roman" w:hint="eastAsia"/>
          <w:snapToGrid/>
          <w:color w:val="auto"/>
          <w:kern w:val="2"/>
          <w:szCs w:val="22"/>
        </w:rPr>
        <w:t>。</w:t>
      </w:r>
    </w:p>
    <w:p w14:paraId="3FC75227"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2</w:t>
      </w:r>
      <w:r>
        <w:rPr>
          <w:rFonts w:cs="Times New Roman" w:hint="eastAsia"/>
          <w:snapToGrid/>
          <w:color w:val="auto"/>
          <w:kern w:val="2"/>
          <w:szCs w:val="22"/>
        </w:rPr>
        <w:t>、本人承诺不无偿或以不公平条件向其他单位或者个人输送利益，也不采用其他方式损害上市公司利益。</w:t>
      </w:r>
    </w:p>
    <w:p w14:paraId="5CA77A48"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3</w:t>
      </w:r>
      <w:r>
        <w:rPr>
          <w:rFonts w:cs="Times New Roman" w:hint="eastAsia"/>
          <w:snapToGrid/>
          <w:color w:val="auto"/>
          <w:kern w:val="2"/>
          <w:szCs w:val="22"/>
        </w:rPr>
        <w:t>、本人承诺对本人的职务消费行为进行约束。</w:t>
      </w:r>
    </w:p>
    <w:p w14:paraId="200B0D60"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4</w:t>
      </w:r>
      <w:r>
        <w:rPr>
          <w:rFonts w:cs="Times New Roman" w:hint="eastAsia"/>
          <w:snapToGrid/>
          <w:color w:val="auto"/>
          <w:kern w:val="2"/>
          <w:szCs w:val="22"/>
        </w:rPr>
        <w:t>、本人承诺不得动用上市公司资产从事与本人履行职责无关的投资、消费活动。</w:t>
      </w:r>
    </w:p>
    <w:p w14:paraId="630CE0F5"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5</w:t>
      </w:r>
      <w:r>
        <w:rPr>
          <w:rFonts w:cs="Times New Roman" w:hint="eastAsia"/>
          <w:snapToGrid/>
          <w:color w:val="auto"/>
          <w:kern w:val="2"/>
          <w:szCs w:val="22"/>
        </w:rPr>
        <w:t>、本人承诺支持董事会或薪酬与考核委员会制订薪酬制度时，应与上市公司填补回报措施的执行情况相挂钩。</w:t>
      </w:r>
    </w:p>
    <w:p w14:paraId="001F02FB"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6</w:t>
      </w:r>
      <w:r>
        <w:rPr>
          <w:rFonts w:cs="Times New Roman" w:hint="eastAsia"/>
          <w:snapToGrid/>
          <w:color w:val="auto"/>
          <w:kern w:val="2"/>
          <w:szCs w:val="22"/>
        </w:rPr>
        <w:t>、未来上市公司如实施股权激励计划，在本人合法权限范围内，促使拟公告的股权激励计划设置的行权条件将与上市公司填补回报措施的执行情况相挂钩。</w:t>
      </w:r>
    </w:p>
    <w:p w14:paraId="40C200D8"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lastRenderedPageBreak/>
        <w:t>7</w:t>
      </w:r>
      <w:r>
        <w:rPr>
          <w:rFonts w:cs="Times New Roman" w:hint="eastAsia"/>
          <w:snapToGrid/>
          <w:color w:val="auto"/>
          <w:kern w:val="2"/>
          <w:szCs w:val="22"/>
        </w:rPr>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6DA73802" w14:textId="77777777" w:rsidR="00CA6B0F" w:rsidRDefault="0030408A">
      <w:pPr>
        <w:widowControl w:val="0"/>
        <w:overflowPunct/>
        <w:autoSpaceDE/>
        <w:autoSpaceDN/>
        <w:adjustRightInd/>
        <w:snapToGrid/>
        <w:spacing w:before="120" w:after="120"/>
        <w:ind w:firstLine="480"/>
        <w:textAlignment w:val="auto"/>
        <w:rPr>
          <w:rFonts w:cs="Times New Roman"/>
          <w:snapToGrid/>
          <w:color w:val="auto"/>
          <w:kern w:val="2"/>
          <w:szCs w:val="22"/>
        </w:rPr>
      </w:pPr>
      <w:r>
        <w:rPr>
          <w:rFonts w:cs="Times New Roman" w:hint="eastAsia"/>
          <w:snapToGrid/>
          <w:color w:val="auto"/>
          <w:kern w:val="2"/>
          <w:szCs w:val="22"/>
        </w:rPr>
        <w:t>8</w:t>
      </w:r>
      <w:r>
        <w:rPr>
          <w:rFonts w:cs="Times New Roman" w:hint="eastAsia"/>
          <w:snapToGrid/>
          <w:color w:val="auto"/>
          <w:kern w:val="2"/>
          <w:szCs w:val="22"/>
        </w:rPr>
        <w:t>、本人承诺切实履行上市公司制定的有关填补回报措施以及本人对此作出的任何有关填补回报措施的承诺，若本人违反该等承诺并给上市公司或者投资者造成损失的，本人将依法承担相应的法律责任。”</w:t>
      </w:r>
    </w:p>
    <w:p w14:paraId="431C8F46" w14:textId="77777777" w:rsidR="00CA6B0F" w:rsidRDefault="0030408A">
      <w:pPr>
        <w:pStyle w:val="1"/>
      </w:pPr>
      <w:r>
        <w:rPr>
          <w:rFonts w:hint="eastAsia"/>
        </w:rPr>
        <w:t>五</w:t>
      </w:r>
      <w:r>
        <w:t>、相关审议程序</w:t>
      </w:r>
    </w:p>
    <w:p w14:paraId="39B155A9" w14:textId="5455F84A" w:rsidR="00CA6B0F" w:rsidRDefault="0030408A">
      <w:pPr>
        <w:spacing w:before="120" w:after="120"/>
        <w:ind w:firstLine="480"/>
      </w:pPr>
      <w:r>
        <w:rPr>
          <w:rFonts w:hint="eastAsia"/>
        </w:rPr>
        <w:t>本次交易已经上市公司第三届董事会第三十二次会议、第三届监事会第二十八次会议、第三届董事会第四次独立董事专门会议以及第四届董事会第</w:t>
      </w:r>
      <w:r w:rsidR="00453C85">
        <w:rPr>
          <w:rFonts w:hint="eastAsia"/>
        </w:rPr>
        <w:t>三</w:t>
      </w:r>
      <w:r>
        <w:rPr>
          <w:rFonts w:hint="eastAsia"/>
        </w:rPr>
        <w:t>次会议、第四届董事会第一次独立董事专门会议审议通过，并将提交公司股东会审议表决，以进一步维护中小投资者的权益。</w:t>
      </w:r>
    </w:p>
    <w:p w14:paraId="632FF714" w14:textId="77777777" w:rsidR="00CA6B0F" w:rsidRDefault="0030408A">
      <w:pPr>
        <w:pStyle w:val="1"/>
      </w:pPr>
      <w:r>
        <w:rPr>
          <w:rFonts w:hint="eastAsia"/>
        </w:rPr>
        <w:t>六</w:t>
      </w:r>
      <w:r>
        <w:t>、独立财务顾问结论性意见</w:t>
      </w:r>
    </w:p>
    <w:p w14:paraId="4226AD6E" w14:textId="01232426" w:rsidR="00CA6B0F" w:rsidRDefault="0030408A">
      <w:pPr>
        <w:spacing w:before="120" w:after="120"/>
        <w:ind w:firstLine="480"/>
      </w:pPr>
      <w:r>
        <w:t>综上</w:t>
      </w:r>
      <w:r>
        <w:rPr>
          <w:rFonts w:hint="eastAsia"/>
        </w:rPr>
        <w:t>所述</w:t>
      </w:r>
      <w:r>
        <w:t>，经核查，本独立财务顾问认为：上市公司对于本次重组摊薄即期回报的分析具有合理性，并制定了填补可能被摊薄即期回报的措施，上市公司控股股东</w:t>
      </w:r>
      <w:r>
        <w:rPr>
          <w:rFonts w:hint="eastAsia"/>
        </w:rPr>
        <w:t>、实际控制人</w:t>
      </w:r>
      <w:r>
        <w:t>以及董事、高级管理人员</w:t>
      </w:r>
      <w:r>
        <w:rPr>
          <w:rFonts w:hint="eastAsia"/>
        </w:rPr>
        <w:t>已</w:t>
      </w:r>
      <w:r>
        <w:t>出具了相关承诺，符合《国务院办公厅关于进一步加强资本市场中小投资者合法权益保护工作的意见》《国务院关于进一步促进资本市场健康发展的若干意见》和中国证券监督管理委员会《关于首发及再融资、重大资产重组摊薄即期回报有关事项的指导意见》的有关规定，有利于保护中小投资者的合法权益。</w:t>
      </w:r>
    </w:p>
    <w:p w14:paraId="60D835C4" w14:textId="77777777" w:rsidR="00CA6B0F" w:rsidRDefault="0030408A">
      <w:pPr>
        <w:spacing w:before="120" w:after="120"/>
        <w:ind w:firstLine="480"/>
        <w:sectPr w:rsidR="00CA6B0F" w:rsidSect="00B97981">
          <w:headerReference w:type="even" r:id="rId6"/>
          <w:headerReference w:type="default" r:id="rId7"/>
          <w:footerReference w:type="even" r:id="rId8"/>
          <w:footerReference w:type="default" r:id="rId9"/>
          <w:headerReference w:type="first" r:id="rId10"/>
          <w:footerReference w:type="first" r:id="rId11"/>
          <w:pgSz w:w="11900" w:h="16840"/>
          <w:pgMar w:top="1440" w:right="1797" w:bottom="1440" w:left="1797" w:header="851" w:footer="992" w:gutter="0"/>
          <w:cols w:space="720"/>
          <w:docGrid w:linePitch="286"/>
        </w:sectPr>
      </w:pPr>
      <w:r>
        <w:t>（以下无正文）</w:t>
      </w:r>
    </w:p>
    <w:p w14:paraId="6193941E" w14:textId="2295D862" w:rsidR="00CA6B0F" w:rsidRDefault="0030408A">
      <w:pPr>
        <w:widowControl w:val="0"/>
        <w:overflowPunct/>
        <w:autoSpaceDE/>
        <w:autoSpaceDN/>
        <w:adjustRightInd/>
        <w:snapToGrid/>
        <w:spacing w:before="156" w:after="156"/>
        <w:ind w:firstLineChars="0" w:firstLine="0"/>
        <w:jc w:val="left"/>
        <w:textAlignment w:val="auto"/>
        <w:rPr>
          <w:rFonts w:cs="Times New Roman"/>
          <w:snapToGrid/>
          <w:color w:val="auto"/>
          <w:kern w:val="2"/>
          <w:szCs w:val="24"/>
        </w:rPr>
      </w:pPr>
      <w:r>
        <w:rPr>
          <w:rFonts w:cs="Times New Roman" w:hint="eastAsia"/>
          <w:snapToGrid/>
          <w:color w:val="auto"/>
          <w:kern w:val="2"/>
          <w:szCs w:val="24"/>
        </w:rPr>
        <w:lastRenderedPageBreak/>
        <w:t>（本页无正文，为《</w:t>
      </w:r>
      <w:bookmarkStart w:id="3" w:name="OLE_LINK2"/>
      <w:r>
        <w:rPr>
          <w:rFonts w:cs="Times New Roman" w:hint="eastAsia"/>
          <w:snapToGrid/>
          <w:color w:val="auto"/>
          <w:kern w:val="2"/>
          <w:szCs w:val="24"/>
        </w:rPr>
        <w:t>国泰海通证券股份有限公司关于广东天亿马信息产业股份有限公司本次交易摊薄即期回报情况及采取填补措施的专项核查意见</w:t>
      </w:r>
      <w:bookmarkEnd w:id="3"/>
      <w:r>
        <w:rPr>
          <w:rFonts w:cs="Times New Roman" w:hint="eastAsia"/>
          <w:snapToGrid/>
          <w:color w:val="auto"/>
          <w:kern w:val="2"/>
          <w:szCs w:val="24"/>
        </w:rPr>
        <w:t>》之签字盖章页）</w:t>
      </w:r>
    </w:p>
    <w:p w14:paraId="75A61CA9" w14:textId="77777777" w:rsidR="00CA6B0F" w:rsidRDefault="00CA6B0F">
      <w:pPr>
        <w:spacing w:before="156" w:after="156"/>
        <w:ind w:firstLine="560"/>
        <w:rPr>
          <w:rFonts w:cs="Times New Roman"/>
          <w:sz w:val="28"/>
          <w:szCs w:val="28"/>
        </w:rPr>
      </w:pPr>
    </w:p>
    <w:p w14:paraId="00A67077" w14:textId="77777777" w:rsidR="00CA6B0F" w:rsidRDefault="00CA6B0F">
      <w:pPr>
        <w:spacing w:before="156" w:after="156"/>
        <w:ind w:firstLine="560"/>
        <w:rPr>
          <w:rFonts w:cs="Times New Roman"/>
          <w:sz w:val="28"/>
          <w:szCs w:val="28"/>
        </w:rPr>
      </w:pPr>
    </w:p>
    <w:tbl>
      <w:tblPr>
        <w:tblStyle w:val="12"/>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CA6B0F" w14:paraId="1592C518" w14:textId="77777777">
        <w:tc>
          <w:tcPr>
            <w:tcW w:w="2689" w:type="dxa"/>
            <w:vAlign w:val="center"/>
          </w:tcPr>
          <w:p w14:paraId="0C353C75" w14:textId="77777777" w:rsidR="00CA6B0F" w:rsidRDefault="0030408A">
            <w:pPr>
              <w:overflowPunct/>
              <w:autoSpaceDE/>
              <w:autoSpaceDN/>
              <w:adjustRightInd/>
              <w:snapToGrid/>
              <w:spacing w:before="156" w:after="156"/>
              <w:ind w:firstLineChars="0" w:firstLine="0"/>
              <w:jc w:val="center"/>
              <w:textAlignment w:val="auto"/>
              <w:rPr>
                <w:rFonts w:cs="宋体"/>
                <w:color w:val="auto"/>
                <w:szCs w:val="24"/>
              </w:rPr>
            </w:pPr>
            <w:r>
              <w:rPr>
                <w:rFonts w:cs="宋体" w:hint="eastAsia"/>
                <w:color w:val="auto"/>
                <w:szCs w:val="24"/>
              </w:rPr>
              <w:t>独立财务顾问主办人：</w:t>
            </w:r>
          </w:p>
        </w:tc>
        <w:tc>
          <w:tcPr>
            <w:tcW w:w="1417" w:type="dxa"/>
            <w:tcBorders>
              <w:top w:val="nil"/>
              <w:left w:val="nil"/>
              <w:bottom w:val="single" w:sz="4" w:space="0" w:color="auto"/>
              <w:right w:val="nil"/>
            </w:tcBorders>
            <w:vAlign w:val="center"/>
          </w:tcPr>
          <w:p w14:paraId="715D02F5"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709" w:type="dxa"/>
            <w:vAlign w:val="center"/>
          </w:tcPr>
          <w:p w14:paraId="18476E06"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1417" w:type="dxa"/>
            <w:tcBorders>
              <w:top w:val="nil"/>
              <w:left w:val="nil"/>
              <w:bottom w:val="single" w:sz="4" w:space="0" w:color="auto"/>
              <w:right w:val="nil"/>
            </w:tcBorders>
            <w:vAlign w:val="center"/>
          </w:tcPr>
          <w:p w14:paraId="0754A58A"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709" w:type="dxa"/>
            <w:vAlign w:val="center"/>
          </w:tcPr>
          <w:p w14:paraId="555F4BF0"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1417" w:type="dxa"/>
            <w:tcBorders>
              <w:top w:val="nil"/>
              <w:left w:val="nil"/>
              <w:bottom w:val="single" w:sz="4" w:space="0" w:color="auto"/>
              <w:right w:val="nil"/>
            </w:tcBorders>
            <w:vAlign w:val="center"/>
          </w:tcPr>
          <w:p w14:paraId="43F127DB"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r>
      <w:tr w:rsidR="00CA6B0F" w14:paraId="3D0034B0" w14:textId="77777777">
        <w:tc>
          <w:tcPr>
            <w:tcW w:w="2689" w:type="dxa"/>
            <w:vAlign w:val="center"/>
          </w:tcPr>
          <w:p w14:paraId="3A9FD69A"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1417" w:type="dxa"/>
            <w:tcBorders>
              <w:top w:val="single" w:sz="4" w:space="0" w:color="auto"/>
              <w:left w:val="nil"/>
              <w:bottom w:val="nil"/>
              <w:right w:val="nil"/>
            </w:tcBorders>
            <w:vAlign w:val="center"/>
          </w:tcPr>
          <w:p w14:paraId="20F8A438" w14:textId="77777777" w:rsidR="00CA6B0F" w:rsidRDefault="0030408A">
            <w:pPr>
              <w:overflowPunct/>
              <w:autoSpaceDE/>
              <w:autoSpaceDN/>
              <w:adjustRightInd/>
              <w:snapToGrid/>
              <w:spacing w:before="156" w:after="156"/>
              <w:ind w:firstLineChars="0" w:firstLine="0"/>
              <w:jc w:val="center"/>
              <w:textAlignment w:val="auto"/>
              <w:rPr>
                <w:rFonts w:cs="宋体"/>
                <w:color w:val="auto"/>
                <w:szCs w:val="24"/>
              </w:rPr>
            </w:pPr>
            <w:r>
              <w:rPr>
                <w:rFonts w:cs="宋体"/>
                <w:color w:val="auto"/>
                <w:szCs w:val="24"/>
              </w:rPr>
              <w:t>邢雨晨</w:t>
            </w:r>
          </w:p>
        </w:tc>
        <w:tc>
          <w:tcPr>
            <w:tcW w:w="709" w:type="dxa"/>
            <w:vAlign w:val="center"/>
          </w:tcPr>
          <w:p w14:paraId="7DC0BCC0"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1417" w:type="dxa"/>
            <w:tcBorders>
              <w:top w:val="single" w:sz="4" w:space="0" w:color="auto"/>
              <w:left w:val="nil"/>
              <w:bottom w:val="nil"/>
              <w:right w:val="nil"/>
            </w:tcBorders>
            <w:vAlign w:val="center"/>
          </w:tcPr>
          <w:p w14:paraId="66160BBB" w14:textId="77777777" w:rsidR="00CA6B0F" w:rsidRDefault="0030408A">
            <w:pPr>
              <w:overflowPunct/>
              <w:autoSpaceDE/>
              <w:autoSpaceDN/>
              <w:adjustRightInd/>
              <w:snapToGrid/>
              <w:spacing w:before="156" w:after="156"/>
              <w:ind w:firstLineChars="0" w:firstLine="0"/>
              <w:jc w:val="center"/>
              <w:textAlignment w:val="auto"/>
              <w:rPr>
                <w:rFonts w:cs="宋体"/>
                <w:color w:val="auto"/>
                <w:szCs w:val="24"/>
              </w:rPr>
            </w:pPr>
            <w:r>
              <w:rPr>
                <w:rFonts w:cs="宋体" w:hint="eastAsia"/>
                <w:color w:val="auto"/>
                <w:szCs w:val="24"/>
              </w:rPr>
              <w:t>徐振宇</w:t>
            </w:r>
          </w:p>
        </w:tc>
        <w:tc>
          <w:tcPr>
            <w:tcW w:w="709" w:type="dxa"/>
            <w:vAlign w:val="center"/>
          </w:tcPr>
          <w:p w14:paraId="76CCFA0B" w14:textId="77777777" w:rsidR="00CA6B0F" w:rsidRDefault="00CA6B0F">
            <w:pPr>
              <w:overflowPunct/>
              <w:autoSpaceDE/>
              <w:autoSpaceDN/>
              <w:adjustRightInd/>
              <w:snapToGrid/>
              <w:spacing w:before="156" w:after="156"/>
              <w:ind w:firstLineChars="0" w:firstLine="0"/>
              <w:jc w:val="center"/>
              <w:textAlignment w:val="auto"/>
              <w:rPr>
                <w:rFonts w:cs="宋体"/>
                <w:color w:val="auto"/>
                <w:szCs w:val="24"/>
              </w:rPr>
            </w:pPr>
          </w:p>
        </w:tc>
        <w:tc>
          <w:tcPr>
            <w:tcW w:w="1417" w:type="dxa"/>
            <w:tcBorders>
              <w:top w:val="single" w:sz="4" w:space="0" w:color="auto"/>
              <w:left w:val="nil"/>
              <w:bottom w:val="nil"/>
              <w:right w:val="nil"/>
            </w:tcBorders>
            <w:vAlign w:val="center"/>
          </w:tcPr>
          <w:p w14:paraId="30A17487" w14:textId="77777777" w:rsidR="00CA6B0F" w:rsidRDefault="0030408A">
            <w:pPr>
              <w:overflowPunct/>
              <w:autoSpaceDE/>
              <w:autoSpaceDN/>
              <w:adjustRightInd/>
              <w:snapToGrid/>
              <w:spacing w:before="156" w:after="156"/>
              <w:ind w:firstLineChars="0" w:firstLine="0"/>
              <w:jc w:val="center"/>
              <w:textAlignment w:val="auto"/>
              <w:rPr>
                <w:rFonts w:cs="宋体"/>
                <w:color w:val="auto"/>
                <w:szCs w:val="24"/>
              </w:rPr>
            </w:pPr>
            <w:r>
              <w:rPr>
                <w:rFonts w:cs="宋体" w:hint="eastAsia"/>
                <w:color w:val="auto"/>
                <w:szCs w:val="24"/>
              </w:rPr>
              <w:t>张成浩</w:t>
            </w:r>
          </w:p>
        </w:tc>
      </w:tr>
    </w:tbl>
    <w:p w14:paraId="4BF20F04" w14:textId="77777777" w:rsidR="00CA6B0F" w:rsidRDefault="00CA6B0F">
      <w:pPr>
        <w:spacing w:before="156" w:after="156"/>
        <w:ind w:firstLine="560"/>
        <w:rPr>
          <w:rFonts w:cs="Times New Roman"/>
          <w:sz w:val="28"/>
          <w:szCs w:val="28"/>
        </w:rPr>
      </w:pPr>
    </w:p>
    <w:p w14:paraId="2036E672" w14:textId="77777777" w:rsidR="00CA6B0F" w:rsidRDefault="00CA6B0F">
      <w:pPr>
        <w:spacing w:before="156" w:after="156" w:line="440" w:lineRule="exact"/>
        <w:ind w:leftChars="257" w:left="617" w:firstLineChars="1600" w:firstLine="3840"/>
        <w:jc w:val="right"/>
        <w:rPr>
          <w:rFonts w:cs="Times New Roman"/>
        </w:rPr>
      </w:pPr>
    </w:p>
    <w:p w14:paraId="75335CA8" w14:textId="77777777" w:rsidR="00CA6B0F" w:rsidRDefault="00CA6B0F">
      <w:pPr>
        <w:spacing w:before="156" w:after="156" w:line="440" w:lineRule="exact"/>
        <w:ind w:leftChars="257" w:left="617" w:firstLineChars="1600" w:firstLine="3840"/>
        <w:jc w:val="right"/>
        <w:rPr>
          <w:rFonts w:cs="Times New Roman"/>
        </w:rPr>
      </w:pPr>
    </w:p>
    <w:p w14:paraId="4E76908B" w14:textId="77777777" w:rsidR="00CA6B0F" w:rsidRDefault="00CA6B0F">
      <w:pPr>
        <w:spacing w:before="156" w:after="156" w:line="440" w:lineRule="exact"/>
        <w:ind w:leftChars="257" w:left="617" w:firstLineChars="1600" w:firstLine="3840"/>
        <w:jc w:val="right"/>
        <w:rPr>
          <w:rFonts w:cs="Times New Roman"/>
        </w:rPr>
      </w:pPr>
    </w:p>
    <w:p w14:paraId="3593F38C" w14:textId="77777777" w:rsidR="00CA6B0F" w:rsidRDefault="00CA6B0F">
      <w:pPr>
        <w:spacing w:before="156" w:after="156" w:line="440" w:lineRule="exact"/>
        <w:ind w:leftChars="257" w:left="617" w:firstLineChars="1600" w:firstLine="3840"/>
        <w:jc w:val="right"/>
        <w:rPr>
          <w:rFonts w:cs="Times New Roman"/>
        </w:rPr>
      </w:pPr>
    </w:p>
    <w:p w14:paraId="07F30D8A" w14:textId="77777777" w:rsidR="00CA6B0F" w:rsidRDefault="00CA6B0F">
      <w:pPr>
        <w:widowControl w:val="0"/>
        <w:overflowPunct/>
        <w:snapToGrid/>
        <w:spacing w:beforeLines="100" w:before="312" w:afterLines="0" w:line="440" w:lineRule="exact"/>
        <w:ind w:leftChars="257" w:left="617" w:firstLineChars="1600" w:firstLine="3840"/>
        <w:jc w:val="right"/>
        <w:textAlignment w:val="auto"/>
        <w:rPr>
          <w:rFonts w:cs="Times New Roman"/>
          <w:snapToGrid/>
          <w:kern w:val="2"/>
          <w:szCs w:val="24"/>
        </w:rPr>
      </w:pPr>
    </w:p>
    <w:p w14:paraId="125B2C25" w14:textId="77777777" w:rsidR="00CA6B0F" w:rsidRDefault="0030408A">
      <w:pPr>
        <w:widowControl w:val="0"/>
        <w:overflowPunct/>
        <w:snapToGrid/>
        <w:spacing w:beforeLines="100" w:before="312" w:afterLines="0" w:line="440" w:lineRule="exact"/>
        <w:ind w:leftChars="257" w:left="617" w:firstLineChars="1600" w:firstLine="3840"/>
        <w:jc w:val="right"/>
        <w:textAlignment w:val="auto"/>
        <w:rPr>
          <w:rFonts w:cs="Times New Roman"/>
          <w:snapToGrid/>
          <w:kern w:val="2"/>
          <w:szCs w:val="24"/>
        </w:rPr>
      </w:pPr>
      <w:r>
        <w:rPr>
          <w:rFonts w:cs="Times New Roman" w:hint="eastAsia"/>
          <w:snapToGrid/>
          <w:kern w:val="2"/>
          <w:szCs w:val="24"/>
        </w:rPr>
        <w:t>国泰海通证券股份有限公司</w:t>
      </w:r>
    </w:p>
    <w:p w14:paraId="4EB94615" w14:textId="30071DCA" w:rsidR="00CA6B0F" w:rsidRPr="001D2967" w:rsidRDefault="001D2967">
      <w:pPr>
        <w:widowControl w:val="0"/>
        <w:overflowPunct/>
        <w:snapToGrid/>
        <w:spacing w:beforeLines="100" w:before="312" w:afterLines="0" w:line="440" w:lineRule="exact"/>
        <w:ind w:leftChars="257" w:left="617" w:firstLineChars="1600" w:firstLine="3840"/>
        <w:jc w:val="right"/>
        <w:textAlignment w:val="auto"/>
        <w:rPr>
          <w:rFonts w:cs="Times New Roman"/>
          <w:snapToGrid/>
          <w:kern w:val="2"/>
          <w:szCs w:val="24"/>
        </w:rPr>
      </w:pPr>
      <w:r w:rsidRPr="001D2967">
        <w:rPr>
          <w:rFonts w:cs="Times New Roman"/>
          <w:snapToGrid/>
          <w:kern w:val="2"/>
          <w:szCs w:val="24"/>
        </w:rPr>
        <w:t>2025</w:t>
      </w:r>
      <w:r w:rsidR="0030408A" w:rsidRPr="001D2967">
        <w:rPr>
          <w:rFonts w:cs="Times New Roman"/>
          <w:snapToGrid/>
          <w:kern w:val="2"/>
          <w:szCs w:val="24"/>
        </w:rPr>
        <w:t xml:space="preserve">  </w:t>
      </w:r>
      <w:r w:rsidR="0030408A" w:rsidRPr="001D2967">
        <w:rPr>
          <w:rFonts w:cs="Times New Roman"/>
          <w:snapToGrid/>
          <w:kern w:val="2"/>
          <w:szCs w:val="24"/>
        </w:rPr>
        <w:t>年</w:t>
      </w:r>
      <w:r w:rsidR="0030408A" w:rsidRPr="001D2967">
        <w:rPr>
          <w:rFonts w:cs="Times New Roman"/>
          <w:snapToGrid/>
          <w:kern w:val="2"/>
          <w:szCs w:val="24"/>
        </w:rPr>
        <w:t xml:space="preserve"> </w:t>
      </w:r>
      <w:r w:rsidRPr="001D2967">
        <w:rPr>
          <w:rFonts w:cs="Times New Roman"/>
          <w:snapToGrid/>
          <w:kern w:val="2"/>
          <w:szCs w:val="24"/>
        </w:rPr>
        <w:t>11</w:t>
      </w:r>
      <w:r w:rsidR="0030408A" w:rsidRPr="001D2967">
        <w:rPr>
          <w:rFonts w:cs="Times New Roman"/>
          <w:snapToGrid/>
          <w:kern w:val="2"/>
          <w:szCs w:val="24"/>
        </w:rPr>
        <w:t xml:space="preserve">  </w:t>
      </w:r>
      <w:r w:rsidR="0030408A" w:rsidRPr="001D2967">
        <w:rPr>
          <w:rFonts w:cs="Times New Roman"/>
          <w:snapToGrid/>
          <w:kern w:val="2"/>
          <w:szCs w:val="24"/>
        </w:rPr>
        <w:t>月</w:t>
      </w:r>
      <w:r w:rsidR="0030408A" w:rsidRPr="001D2967">
        <w:rPr>
          <w:rFonts w:cs="Times New Roman"/>
          <w:snapToGrid/>
          <w:kern w:val="2"/>
          <w:szCs w:val="24"/>
        </w:rPr>
        <w:t xml:space="preserve"> </w:t>
      </w:r>
      <w:r w:rsidRPr="001D2967">
        <w:rPr>
          <w:rFonts w:cs="Times New Roman"/>
          <w:snapToGrid/>
          <w:kern w:val="2"/>
          <w:szCs w:val="24"/>
        </w:rPr>
        <w:t>18</w:t>
      </w:r>
      <w:r w:rsidR="0030408A" w:rsidRPr="001D2967">
        <w:rPr>
          <w:rFonts w:cs="Times New Roman"/>
          <w:snapToGrid/>
          <w:kern w:val="2"/>
          <w:szCs w:val="24"/>
        </w:rPr>
        <w:t xml:space="preserve"> </w:t>
      </w:r>
      <w:r w:rsidR="0030408A" w:rsidRPr="001D2967">
        <w:rPr>
          <w:rFonts w:cs="Times New Roman"/>
          <w:snapToGrid/>
          <w:kern w:val="2"/>
          <w:szCs w:val="24"/>
        </w:rPr>
        <w:t>日</w:t>
      </w:r>
    </w:p>
    <w:p w14:paraId="34C267C6" w14:textId="77777777" w:rsidR="00CA6B0F" w:rsidRDefault="00CA6B0F">
      <w:pPr>
        <w:spacing w:before="156" w:after="156"/>
        <w:ind w:firstLine="480"/>
        <w:rPr>
          <w:rFonts w:cs="Times New Roman"/>
          <w:szCs w:val="22"/>
        </w:rPr>
      </w:pPr>
    </w:p>
    <w:p w14:paraId="2113F019" w14:textId="77777777" w:rsidR="00CA6B0F" w:rsidRDefault="00CA6B0F">
      <w:pPr>
        <w:spacing w:before="156" w:afterLines="0" w:after="0"/>
        <w:ind w:firstLineChars="0" w:firstLine="0"/>
      </w:pPr>
    </w:p>
    <w:sectPr w:rsidR="00CA6B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3D90B" w14:textId="77777777" w:rsidR="002D448F" w:rsidRDefault="002D448F">
      <w:pPr>
        <w:spacing w:before="120" w:after="120" w:line="240" w:lineRule="auto"/>
        <w:ind w:firstLine="480"/>
      </w:pPr>
      <w:r>
        <w:separator/>
      </w:r>
    </w:p>
  </w:endnote>
  <w:endnote w:type="continuationSeparator" w:id="0">
    <w:p w14:paraId="56F0E0BF" w14:textId="77777777" w:rsidR="002D448F" w:rsidRDefault="002D448F">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ABDB4" w14:textId="77777777" w:rsidR="00CA6B0F" w:rsidRDefault="00CA6B0F">
    <w:pPr>
      <w:pStyle w:val="a7"/>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6556895"/>
    </w:sdtPr>
    <w:sdtContent>
      <w:p w14:paraId="0278093B" w14:textId="0ACC269D" w:rsidR="00CA6B0F" w:rsidRDefault="0030408A" w:rsidP="00B97981">
        <w:pPr>
          <w:pStyle w:val="a7"/>
          <w:spacing w:before="120" w:after="120"/>
          <w:ind w:firstLine="360"/>
          <w:jc w:val="center"/>
        </w:pPr>
        <w:r>
          <w:fldChar w:fldCharType="begin"/>
        </w:r>
        <w:r>
          <w:instrText>PAGE   \* MERGEFORMAT</w:instrText>
        </w:r>
        <w:r>
          <w:fldChar w:fldCharType="separate"/>
        </w:r>
        <w:r w:rsidR="001D041C" w:rsidRPr="001D041C">
          <w:rPr>
            <w:noProof/>
            <w:lang w:val="zh-CN"/>
          </w:rPr>
          <w:t>4</w:t>
        </w:r>
        <w:r>
          <w:fldChar w:fldCharType="end"/>
        </w:r>
      </w:p>
    </w:sdtContent>
  </w:sdt>
  <w:p w14:paraId="5206CE69" w14:textId="77777777" w:rsidR="00CA6B0F" w:rsidRDefault="00CA6B0F">
    <w:pPr>
      <w:spacing w:before="120" w:after="120" w:line="14" w:lineRule="auto"/>
      <w:ind w:firstLine="40"/>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AF3F9" w14:textId="77777777" w:rsidR="00CA6B0F" w:rsidRDefault="00CA6B0F">
    <w:pPr>
      <w:pStyle w:val="a7"/>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642E4" w14:textId="77777777" w:rsidR="002D448F" w:rsidRDefault="002D448F">
      <w:pPr>
        <w:spacing w:before="120" w:after="120"/>
        <w:ind w:firstLine="480"/>
      </w:pPr>
      <w:r>
        <w:separator/>
      </w:r>
    </w:p>
  </w:footnote>
  <w:footnote w:type="continuationSeparator" w:id="0">
    <w:p w14:paraId="7D39A223" w14:textId="77777777" w:rsidR="002D448F" w:rsidRDefault="002D448F">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59E9E" w14:textId="77777777" w:rsidR="00CA6B0F" w:rsidRDefault="00CA6B0F">
    <w:pPr>
      <w:pStyle w:val="a9"/>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429C9" w14:textId="77777777" w:rsidR="00CA6B0F" w:rsidRDefault="00CA6B0F">
    <w:pPr>
      <w:spacing w:before="120" w:after="120" w:line="14" w:lineRule="auto"/>
      <w:ind w:firstLine="40"/>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3A101" w14:textId="77777777" w:rsidR="00CA6B0F" w:rsidRDefault="00CA6B0F">
    <w:pPr>
      <w:pStyle w:val="a9"/>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295D"/>
    <w:rsid w:val="00012B6B"/>
    <w:rsid w:val="00064B1E"/>
    <w:rsid w:val="00065C3F"/>
    <w:rsid w:val="00066AB1"/>
    <w:rsid w:val="000961F1"/>
    <w:rsid w:val="00097D53"/>
    <w:rsid w:val="000A25EB"/>
    <w:rsid w:val="000A290E"/>
    <w:rsid w:val="000A4BA7"/>
    <w:rsid w:val="000A6F46"/>
    <w:rsid w:val="000D3E26"/>
    <w:rsid w:val="000D6783"/>
    <w:rsid w:val="000E55D6"/>
    <w:rsid w:val="000E598B"/>
    <w:rsid w:val="000F438B"/>
    <w:rsid w:val="00104A8B"/>
    <w:rsid w:val="00110768"/>
    <w:rsid w:val="0012602B"/>
    <w:rsid w:val="00132819"/>
    <w:rsid w:val="00154E6C"/>
    <w:rsid w:val="00176854"/>
    <w:rsid w:val="00183D1F"/>
    <w:rsid w:val="00192A68"/>
    <w:rsid w:val="001A3BB5"/>
    <w:rsid w:val="001B0C3C"/>
    <w:rsid w:val="001B3F93"/>
    <w:rsid w:val="001C23FE"/>
    <w:rsid w:val="001D041C"/>
    <w:rsid w:val="001D2967"/>
    <w:rsid w:val="00201066"/>
    <w:rsid w:val="0020361E"/>
    <w:rsid w:val="00206BAE"/>
    <w:rsid w:val="00212345"/>
    <w:rsid w:val="00227044"/>
    <w:rsid w:val="00233AC3"/>
    <w:rsid w:val="002512A9"/>
    <w:rsid w:val="002579EF"/>
    <w:rsid w:val="00257D3E"/>
    <w:rsid w:val="00271810"/>
    <w:rsid w:val="00272CD8"/>
    <w:rsid w:val="00294D69"/>
    <w:rsid w:val="002B1260"/>
    <w:rsid w:val="002D237E"/>
    <w:rsid w:val="002D2DA8"/>
    <w:rsid w:val="002D448F"/>
    <w:rsid w:val="002E0C79"/>
    <w:rsid w:val="003033C4"/>
    <w:rsid w:val="0030408A"/>
    <w:rsid w:val="003061F7"/>
    <w:rsid w:val="00322DDA"/>
    <w:rsid w:val="00350D07"/>
    <w:rsid w:val="003620AB"/>
    <w:rsid w:val="00366147"/>
    <w:rsid w:val="0037550D"/>
    <w:rsid w:val="003B6AC2"/>
    <w:rsid w:val="003F0938"/>
    <w:rsid w:val="003F1EE4"/>
    <w:rsid w:val="004223CA"/>
    <w:rsid w:val="00426475"/>
    <w:rsid w:val="0043082A"/>
    <w:rsid w:val="00430EBA"/>
    <w:rsid w:val="004313DE"/>
    <w:rsid w:val="00453C85"/>
    <w:rsid w:val="00491739"/>
    <w:rsid w:val="004B3C0D"/>
    <w:rsid w:val="004C466F"/>
    <w:rsid w:val="004D3896"/>
    <w:rsid w:val="004D6E81"/>
    <w:rsid w:val="005301A3"/>
    <w:rsid w:val="00544348"/>
    <w:rsid w:val="0055070C"/>
    <w:rsid w:val="005516AB"/>
    <w:rsid w:val="00551E43"/>
    <w:rsid w:val="00552D6C"/>
    <w:rsid w:val="005617B4"/>
    <w:rsid w:val="005678B6"/>
    <w:rsid w:val="00572D66"/>
    <w:rsid w:val="00581349"/>
    <w:rsid w:val="0058334B"/>
    <w:rsid w:val="005A1F51"/>
    <w:rsid w:val="005A6CFA"/>
    <w:rsid w:val="005A7B15"/>
    <w:rsid w:val="005B06CB"/>
    <w:rsid w:val="005C7555"/>
    <w:rsid w:val="005D097F"/>
    <w:rsid w:val="005D3828"/>
    <w:rsid w:val="005E4ADE"/>
    <w:rsid w:val="005E7CF1"/>
    <w:rsid w:val="00607889"/>
    <w:rsid w:val="00622605"/>
    <w:rsid w:val="00623D61"/>
    <w:rsid w:val="0064667C"/>
    <w:rsid w:val="006741E6"/>
    <w:rsid w:val="00682363"/>
    <w:rsid w:val="006832C1"/>
    <w:rsid w:val="0069048C"/>
    <w:rsid w:val="00693BE4"/>
    <w:rsid w:val="006A5E40"/>
    <w:rsid w:val="006C156E"/>
    <w:rsid w:val="006C6E34"/>
    <w:rsid w:val="006C78F7"/>
    <w:rsid w:val="006D3118"/>
    <w:rsid w:val="006D40ED"/>
    <w:rsid w:val="006D4465"/>
    <w:rsid w:val="006E3743"/>
    <w:rsid w:val="006E530E"/>
    <w:rsid w:val="00702663"/>
    <w:rsid w:val="00727CC5"/>
    <w:rsid w:val="00731E13"/>
    <w:rsid w:val="007509F3"/>
    <w:rsid w:val="007815CA"/>
    <w:rsid w:val="007912A7"/>
    <w:rsid w:val="007A6337"/>
    <w:rsid w:val="007E56BD"/>
    <w:rsid w:val="008120C4"/>
    <w:rsid w:val="00814B83"/>
    <w:rsid w:val="00833570"/>
    <w:rsid w:val="00860371"/>
    <w:rsid w:val="00890F07"/>
    <w:rsid w:val="0089281A"/>
    <w:rsid w:val="00893B3E"/>
    <w:rsid w:val="008A2542"/>
    <w:rsid w:val="008B7655"/>
    <w:rsid w:val="008E23C0"/>
    <w:rsid w:val="008F1609"/>
    <w:rsid w:val="008F361F"/>
    <w:rsid w:val="008F6A8A"/>
    <w:rsid w:val="008F775A"/>
    <w:rsid w:val="00903B77"/>
    <w:rsid w:val="00912985"/>
    <w:rsid w:val="00914870"/>
    <w:rsid w:val="00917665"/>
    <w:rsid w:val="0092270A"/>
    <w:rsid w:val="00972515"/>
    <w:rsid w:val="00980076"/>
    <w:rsid w:val="00985393"/>
    <w:rsid w:val="009875B0"/>
    <w:rsid w:val="009921DC"/>
    <w:rsid w:val="009D58E5"/>
    <w:rsid w:val="009D7571"/>
    <w:rsid w:val="009F4BEF"/>
    <w:rsid w:val="00A12E1F"/>
    <w:rsid w:val="00A13D18"/>
    <w:rsid w:val="00A141D0"/>
    <w:rsid w:val="00A44F6B"/>
    <w:rsid w:val="00A45D1F"/>
    <w:rsid w:val="00A569F6"/>
    <w:rsid w:val="00A6200C"/>
    <w:rsid w:val="00A66212"/>
    <w:rsid w:val="00A8325B"/>
    <w:rsid w:val="00AA1696"/>
    <w:rsid w:val="00AA222D"/>
    <w:rsid w:val="00AA715D"/>
    <w:rsid w:val="00AB3802"/>
    <w:rsid w:val="00AC1D47"/>
    <w:rsid w:val="00AD0005"/>
    <w:rsid w:val="00AF1F35"/>
    <w:rsid w:val="00B02FE5"/>
    <w:rsid w:val="00B17F01"/>
    <w:rsid w:val="00B2295D"/>
    <w:rsid w:val="00B322D6"/>
    <w:rsid w:val="00B3304E"/>
    <w:rsid w:val="00B44B97"/>
    <w:rsid w:val="00B51862"/>
    <w:rsid w:val="00B615C2"/>
    <w:rsid w:val="00B635B0"/>
    <w:rsid w:val="00B71E8E"/>
    <w:rsid w:val="00B77495"/>
    <w:rsid w:val="00B9712F"/>
    <w:rsid w:val="00B97981"/>
    <w:rsid w:val="00BC2F83"/>
    <w:rsid w:val="00C102D2"/>
    <w:rsid w:val="00C11F6E"/>
    <w:rsid w:val="00C276C2"/>
    <w:rsid w:val="00C27927"/>
    <w:rsid w:val="00C32DC2"/>
    <w:rsid w:val="00C355E2"/>
    <w:rsid w:val="00C400D1"/>
    <w:rsid w:val="00C7476B"/>
    <w:rsid w:val="00CA6B0F"/>
    <w:rsid w:val="00CA7C2F"/>
    <w:rsid w:val="00CB2A42"/>
    <w:rsid w:val="00CB7A39"/>
    <w:rsid w:val="00CD207F"/>
    <w:rsid w:val="00CF004F"/>
    <w:rsid w:val="00D023D2"/>
    <w:rsid w:val="00D20CBE"/>
    <w:rsid w:val="00D232F8"/>
    <w:rsid w:val="00D24E62"/>
    <w:rsid w:val="00D337DA"/>
    <w:rsid w:val="00D37707"/>
    <w:rsid w:val="00D61562"/>
    <w:rsid w:val="00D862A3"/>
    <w:rsid w:val="00D90514"/>
    <w:rsid w:val="00DC7A30"/>
    <w:rsid w:val="00DF242D"/>
    <w:rsid w:val="00E03F1F"/>
    <w:rsid w:val="00E415E9"/>
    <w:rsid w:val="00E45B14"/>
    <w:rsid w:val="00E523C4"/>
    <w:rsid w:val="00E608C0"/>
    <w:rsid w:val="00E67EE1"/>
    <w:rsid w:val="00E73DBF"/>
    <w:rsid w:val="00E77308"/>
    <w:rsid w:val="00E96EEF"/>
    <w:rsid w:val="00EB0F9A"/>
    <w:rsid w:val="00EC1D7B"/>
    <w:rsid w:val="00ED7E11"/>
    <w:rsid w:val="00EF0E0C"/>
    <w:rsid w:val="00F06B46"/>
    <w:rsid w:val="00F07C31"/>
    <w:rsid w:val="00F126BE"/>
    <w:rsid w:val="00F1339B"/>
    <w:rsid w:val="00F203D9"/>
    <w:rsid w:val="00F23D1B"/>
    <w:rsid w:val="00F36F2B"/>
    <w:rsid w:val="00F72599"/>
    <w:rsid w:val="00F83944"/>
    <w:rsid w:val="00F85EF9"/>
    <w:rsid w:val="00FB69E0"/>
    <w:rsid w:val="00FD38C6"/>
    <w:rsid w:val="00FD4749"/>
    <w:rsid w:val="00FE1006"/>
    <w:rsid w:val="04581CB1"/>
    <w:rsid w:val="055C31C7"/>
    <w:rsid w:val="05FC3F93"/>
    <w:rsid w:val="07767530"/>
    <w:rsid w:val="0CB77DD7"/>
    <w:rsid w:val="125A1950"/>
    <w:rsid w:val="128E5977"/>
    <w:rsid w:val="13A55581"/>
    <w:rsid w:val="140D666A"/>
    <w:rsid w:val="15D66ED9"/>
    <w:rsid w:val="16A8198D"/>
    <w:rsid w:val="16C15493"/>
    <w:rsid w:val="17854713"/>
    <w:rsid w:val="1CB02232"/>
    <w:rsid w:val="1F390E39"/>
    <w:rsid w:val="1F3A5200"/>
    <w:rsid w:val="253F02EE"/>
    <w:rsid w:val="25441CB3"/>
    <w:rsid w:val="29A80F84"/>
    <w:rsid w:val="29EE5617"/>
    <w:rsid w:val="2A5B023D"/>
    <w:rsid w:val="2AB928E0"/>
    <w:rsid w:val="2BCC24B9"/>
    <w:rsid w:val="2F283F03"/>
    <w:rsid w:val="322059E1"/>
    <w:rsid w:val="34D41EF3"/>
    <w:rsid w:val="3D527239"/>
    <w:rsid w:val="3EA77317"/>
    <w:rsid w:val="40CD0F43"/>
    <w:rsid w:val="41DE7E7A"/>
    <w:rsid w:val="46F669BE"/>
    <w:rsid w:val="48D4476D"/>
    <w:rsid w:val="4B037E03"/>
    <w:rsid w:val="4B47726B"/>
    <w:rsid w:val="4BD7310C"/>
    <w:rsid w:val="4C251C5B"/>
    <w:rsid w:val="4D8427CC"/>
    <w:rsid w:val="4E843E1F"/>
    <w:rsid w:val="518F4CE4"/>
    <w:rsid w:val="52C2246A"/>
    <w:rsid w:val="53914750"/>
    <w:rsid w:val="567A298E"/>
    <w:rsid w:val="5EFE7460"/>
    <w:rsid w:val="64DA6466"/>
    <w:rsid w:val="66C63E6B"/>
    <w:rsid w:val="6A514698"/>
    <w:rsid w:val="74E81A91"/>
    <w:rsid w:val="7A335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61996B"/>
  <w15:docId w15:val="{3E0CF87D-5904-48F1-BAA1-E5B3B225F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overflowPunct w:val="0"/>
      <w:autoSpaceDE w:val="0"/>
      <w:autoSpaceDN w:val="0"/>
      <w:adjustRightInd w:val="0"/>
      <w:snapToGrid w:val="0"/>
      <w:spacing w:beforeLines="50" w:before="50" w:afterLines="50" w:after="50" w:line="360" w:lineRule="auto"/>
      <w:ind w:firstLineChars="200" w:firstLine="200"/>
      <w:jc w:val="both"/>
      <w:textAlignment w:val="baseline"/>
    </w:pPr>
    <w:rPr>
      <w:rFonts w:cs="Arial"/>
      <w:snapToGrid w:val="0"/>
      <w:color w:val="000000"/>
      <w:sz w:val="24"/>
      <w:szCs w:val="21"/>
    </w:rPr>
  </w:style>
  <w:style w:type="paragraph" w:styleId="1">
    <w:name w:val="heading 1"/>
    <w:basedOn w:val="a"/>
    <w:next w:val="a"/>
    <w:link w:val="10"/>
    <w:qFormat/>
    <w:pPr>
      <w:spacing w:before="120" w:after="120"/>
      <w:ind w:firstLine="482"/>
      <w:outlineLvl w:val="0"/>
    </w:pPr>
    <w:rPr>
      <w:b/>
      <w:bCs/>
    </w:rPr>
  </w:style>
  <w:style w:type="paragraph" w:styleId="2">
    <w:name w:val="heading 2"/>
    <w:basedOn w:val="a"/>
    <w:next w:val="a"/>
    <w:link w:val="20"/>
    <w:uiPriority w:val="9"/>
    <w:unhideWhenUsed/>
    <w:qFormat/>
    <w:pPr>
      <w:spacing w:before="120" w:after="120"/>
      <w:ind w:firstLine="482"/>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pPr>
      <w:spacing w:before="0" w:after="0" w:line="240" w:lineRule="auto"/>
    </w:pPr>
    <w:rPr>
      <w:sz w:val="18"/>
      <w:szCs w:val="18"/>
    </w:rPr>
  </w:style>
  <w:style w:type="paragraph" w:styleId="a7">
    <w:name w:val="footer"/>
    <w:basedOn w:val="a"/>
    <w:link w:val="a8"/>
    <w:uiPriority w:val="99"/>
    <w:unhideWhenUsed/>
    <w:qFormat/>
    <w:pPr>
      <w:tabs>
        <w:tab w:val="center" w:pos="4153"/>
        <w:tab w:val="right" w:pos="8306"/>
      </w:tabs>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jc w:val="center"/>
    </w:pPr>
    <w:rPr>
      <w:sz w:val="18"/>
      <w:szCs w:val="18"/>
    </w:rPr>
  </w:style>
  <w:style w:type="paragraph" w:styleId="ab">
    <w:name w:val="Title"/>
    <w:basedOn w:val="1"/>
    <w:next w:val="a"/>
    <w:link w:val="ac"/>
    <w:uiPriority w:val="10"/>
    <w:qFormat/>
    <w:pPr>
      <w:shd w:val="clear" w:color="auto" w:fill="FFFFFF"/>
      <w:overflowPunct/>
      <w:autoSpaceDE/>
      <w:autoSpaceDN/>
      <w:adjustRightInd/>
      <w:snapToGrid/>
      <w:ind w:firstLineChars="0" w:firstLine="0"/>
      <w:jc w:val="center"/>
      <w:textAlignment w:val="auto"/>
    </w:pPr>
    <w:rPr>
      <w:rFonts w:eastAsia="黑体" w:cs="Times New Roman"/>
      <w:snapToGrid/>
      <w:color w:val="auto"/>
      <w:kern w:val="44"/>
      <w:sz w:val="30"/>
      <w:szCs w:val="30"/>
      <w:shd w:val="clear" w:color="auto" w:fill="FFFFFF"/>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thinThickSmallGap" w:sz="24" w:space="0" w:color="auto"/>
        <w:bottom w:val="thickThinSmallGap" w:sz="24" w:space="0" w:color="auto"/>
        <w:insideH w:val="single" w:sz="4" w:space="0" w:color="auto"/>
        <w:insideV w:val="single" w:sz="4" w:space="0" w:color="auto"/>
      </w:tblBorders>
    </w:tblPr>
  </w:style>
  <w:style w:type="character" w:styleId="af0">
    <w:name w:val="Emphasis"/>
    <w:basedOn w:val="a0"/>
    <w:uiPriority w:val="20"/>
    <w:qFormat/>
    <w:rPr>
      <w:i/>
    </w:rPr>
  </w:style>
  <w:style w:type="character" w:styleId="af1">
    <w:name w:val="Hyperlink"/>
    <w:basedOn w:val="a0"/>
    <w:uiPriority w:val="99"/>
    <w:semiHidden/>
    <w:unhideWhenUsed/>
    <w:qFormat/>
    <w:rPr>
      <w:color w:val="0000FF"/>
      <w:u w:val="single"/>
    </w:rPr>
  </w:style>
  <w:style w:type="character" w:styleId="af2">
    <w:name w:val="annotation reference"/>
    <w:basedOn w:val="a0"/>
    <w:uiPriority w:val="99"/>
    <w:semiHidden/>
    <w:unhideWhenUsed/>
    <w:qFormat/>
    <w:rPr>
      <w:sz w:val="21"/>
      <w:szCs w:val="21"/>
    </w:rPr>
  </w:style>
  <w:style w:type="character" w:customStyle="1" w:styleId="10">
    <w:name w:val="标题 1 字符"/>
    <w:basedOn w:val="a0"/>
    <w:link w:val="1"/>
    <w:qFormat/>
    <w:rPr>
      <w:rFonts w:ascii="Times New Roman" w:eastAsia="宋体" w:hAnsi="Times New Roman"/>
      <w:b/>
      <w:bCs/>
      <w:sz w:val="24"/>
    </w:rPr>
  </w:style>
  <w:style w:type="character" w:customStyle="1" w:styleId="20">
    <w:name w:val="标题 2 字符"/>
    <w:basedOn w:val="a0"/>
    <w:link w:val="2"/>
    <w:uiPriority w:val="9"/>
    <w:qFormat/>
    <w:rPr>
      <w:rFonts w:ascii="Times New Roman" w:eastAsia="宋体" w:hAnsi="Times New Roman"/>
      <w:b/>
      <w:bCs/>
      <w:sz w:val="24"/>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c">
    <w:name w:val="标题 字符"/>
    <w:basedOn w:val="a0"/>
    <w:link w:val="ab"/>
    <w:uiPriority w:val="10"/>
    <w:qFormat/>
    <w:rPr>
      <w:rFonts w:ascii="Times New Roman" w:eastAsia="黑体" w:hAnsi="Times New Roman" w:cs="Times New Roman"/>
      <w:b/>
      <w:bCs/>
      <w:snapToGrid/>
      <w:color w:val="auto"/>
      <w:kern w:val="44"/>
      <w:sz w:val="30"/>
      <w:szCs w:val="30"/>
      <w:shd w:val="clear" w:color="auto" w:fill="FFFFFF"/>
    </w:rPr>
  </w:style>
  <w:style w:type="paragraph" w:customStyle="1" w:styleId="af3">
    <w:name w:val="表格字体"/>
    <w:basedOn w:val="a"/>
    <w:qFormat/>
    <w:pPr>
      <w:spacing w:beforeLines="0" w:before="0" w:afterLines="0" w:after="0" w:line="240" w:lineRule="auto"/>
      <w:ind w:firstLineChars="0" w:firstLine="0"/>
    </w:pPr>
    <w:rPr>
      <w:sz w:val="21"/>
    </w:rPr>
  </w:style>
  <w:style w:type="paragraph" w:customStyle="1" w:styleId="af4">
    <w:name w:val="单位字体"/>
    <w:basedOn w:val="af3"/>
    <w:qFormat/>
    <w:pPr>
      <w:ind w:firstLineChars="200" w:firstLine="420"/>
      <w:jc w:val="left"/>
    </w:pPr>
  </w:style>
  <w:style w:type="paragraph" w:customStyle="1" w:styleId="af5">
    <w:name w:val="注释字体"/>
    <w:basedOn w:val="af4"/>
    <w:qFormat/>
    <w:pPr>
      <w:ind w:firstLine="200"/>
      <w:jc w:val="both"/>
    </w:pPr>
  </w:style>
  <w:style w:type="paragraph" w:customStyle="1" w:styleId="11">
    <w:name w:val="修订1"/>
    <w:hidden/>
    <w:uiPriority w:val="99"/>
    <w:semiHidden/>
    <w:qFormat/>
    <w:rPr>
      <w:rFonts w:cs="Arial"/>
      <w:snapToGrid w:val="0"/>
      <w:color w:val="000000"/>
      <w:sz w:val="24"/>
      <w:szCs w:val="21"/>
    </w:rPr>
  </w:style>
  <w:style w:type="character" w:customStyle="1" w:styleId="a4">
    <w:name w:val="批注文字 字符"/>
    <w:basedOn w:val="a0"/>
    <w:link w:val="a3"/>
    <w:uiPriority w:val="99"/>
    <w:semiHidden/>
    <w:qFormat/>
    <w:rPr>
      <w:rFonts w:ascii="Times New Roman" w:eastAsia="宋体" w:hAnsi="Times New Roman"/>
      <w:sz w:val="24"/>
    </w:rPr>
  </w:style>
  <w:style w:type="character" w:customStyle="1" w:styleId="ae">
    <w:name w:val="批注主题 字符"/>
    <w:basedOn w:val="a4"/>
    <w:link w:val="ad"/>
    <w:uiPriority w:val="99"/>
    <w:semiHidden/>
    <w:qFormat/>
    <w:rPr>
      <w:rFonts w:ascii="Times New Roman" w:eastAsia="宋体" w:hAnsi="Times New Roman"/>
      <w:b/>
      <w:bCs/>
      <w:sz w:val="24"/>
    </w:rPr>
  </w:style>
  <w:style w:type="table" w:customStyle="1" w:styleId="12">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修订2"/>
    <w:hidden/>
    <w:uiPriority w:val="99"/>
    <w:unhideWhenUsed/>
    <w:qFormat/>
    <w:rPr>
      <w:rFonts w:cs="Arial"/>
      <w:snapToGrid w:val="0"/>
      <w:color w:val="000000"/>
      <w:sz w:val="24"/>
      <w:szCs w:val="21"/>
    </w:rPr>
  </w:style>
  <w:style w:type="paragraph" w:customStyle="1" w:styleId="30">
    <w:name w:val="修订3"/>
    <w:hidden/>
    <w:uiPriority w:val="99"/>
    <w:unhideWhenUsed/>
    <w:qFormat/>
    <w:rPr>
      <w:rFonts w:cs="Arial"/>
      <w:snapToGrid w:val="0"/>
      <w:color w:val="000000"/>
      <w:sz w:val="24"/>
      <w:szCs w:val="21"/>
    </w:rPr>
  </w:style>
  <w:style w:type="character" w:customStyle="1" w:styleId="a6">
    <w:name w:val="批注框文本 字符"/>
    <w:basedOn w:val="a0"/>
    <w:link w:val="a5"/>
    <w:uiPriority w:val="99"/>
    <w:semiHidden/>
    <w:qFormat/>
    <w:rPr>
      <w:rFonts w:cs="Arial"/>
      <w:snapToGrid w:val="0"/>
      <w:color w:val="000000"/>
      <w:sz w:val="18"/>
      <w:szCs w:val="18"/>
    </w:rPr>
  </w:style>
  <w:style w:type="paragraph" w:styleId="af6">
    <w:name w:val="Revision"/>
    <w:hidden/>
    <w:uiPriority w:val="99"/>
    <w:semiHidden/>
    <w:rsid w:val="008F775A"/>
    <w:rPr>
      <w:rFonts w:cs="Arial"/>
      <w:snapToGrid w:val="0"/>
      <w:color w:val="00000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5</Pages>
  <Words>426</Words>
  <Characters>2434</Characters>
  <Application>Microsoft Office Word</Application>
  <DocSecurity>0</DocSecurity>
  <Lines>20</Lines>
  <Paragraphs>5</Paragraphs>
  <ScaleCrop>false</ScaleCrop>
  <Company>Microsoft</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www36</dc:creator>
  <cp:lastModifiedBy>Yang LI</cp:lastModifiedBy>
  <cp:revision>90</cp:revision>
  <dcterms:created xsi:type="dcterms:W3CDTF">2021-03-30T23:26:00Z</dcterms:created>
  <dcterms:modified xsi:type="dcterms:W3CDTF">2025-11-18T06:56:00Z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Created">
    <vt:filetime>2022-05-10T10:51:05Z</vt:filetime>
  </property>
  <property fmtid="{D5CDD505-2E9C-101B-9397-08002B2CF9AE}" pid="4" name="KSOTemplateDocerSaveRecord">
    <vt:lpwstr>eyJoZGlkIjoiNDBkMzZhYjg1MTA5NWQxZDBlZTkzNTdlNjQ1NThlNjAiLCJ1c2VySWQiOiIxOTk5NDQxOTYifQ==</vt:lpwstr>
  </property>
  <property fmtid="{D5CDD505-2E9C-101B-9397-08002B2CF9AE}" pid="5" name="KSOProductBuildVer">
    <vt:lpwstr>2052-12.1.0.23125</vt:lpwstr>
  </property>
  <property fmtid="{D5CDD505-2E9C-101B-9397-08002B2CF9AE}" pid="6" name="ICV">
    <vt:lpwstr>6D8A3F15CE8449F2A61E30AA6562C211_12</vt:lpwstr>
  </property>
</Properties>
</file>