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0E5B81" w14:textId="77777777" w:rsidR="00831479" w:rsidRDefault="009272F5">
      <w:pPr>
        <w:widowControl/>
        <w:shd w:val="clear" w:color="auto" w:fill="FFFFFF"/>
        <w:spacing w:after="0" w:line="360" w:lineRule="auto"/>
        <w:jc w:val="center"/>
        <w:outlineLvl w:val="0"/>
        <w:rPr>
          <w:rFonts w:ascii="Times New Roman" w:eastAsia="黑体" w:hAnsi="Times New Roman" w:cs="Times New Roman"/>
          <w:b/>
          <w:bCs/>
          <w:kern w:val="44"/>
          <w:sz w:val="28"/>
          <w:szCs w:val="28"/>
          <w:shd w:val="clear" w:color="auto" w:fill="FFFFFF"/>
          <w14:ligatures w14:val="none"/>
        </w:rPr>
      </w:pPr>
      <w:r>
        <w:rPr>
          <w:rFonts w:ascii="Times New Roman" w:eastAsia="黑体" w:hAnsi="Times New Roman" w:cs="Times New Roman"/>
          <w:b/>
          <w:bCs/>
          <w:kern w:val="44"/>
          <w:sz w:val="28"/>
          <w:szCs w:val="28"/>
          <w:shd w:val="clear" w:color="auto" w:fill="FFFFFF"/>
          <w14:ligatures w14:val="none"/>
        </w:rPr>
        <w:t>国泰海通证券股份有限公司</w:t>
      </w:r>
    </w:p>
    <w:p w14:paraId="7CD94917" w14:textId="77777777" w:rsidR="00831479" w:rsidRDefault="009272F5">
      <w:pPr>
        <w:widowControl/>
        <w:shd w:val="clear" w:color="auto" w:fill="FFFFFF"/>
        <w:spacing w:after="0" w:line="360" w:lineRule="auto"/>
        <w:jc w:val="center"/>
        <w:outlineLvl w:val="0"/>
        <w:rPr>
          <w:rFonts w:ascii="Times New Roman" w:eastAsia="黑体" w:hAnsi="Times New Roman" w:cs="Times New Roman"/>
          <w:b/>
          <w:bCs/>
          <w:kern w:val="44"/>
          <w:sz w:val="28"/>
          <w:szCs w:val="28"/>
          <w:shd w:val="clear" w:color="auto" w:fill="FFFFFF"/>
          <w14:ligatures w14:val="none"/>
        </w:rPr>
      </w:pPr>
      <w:r>
        <w:rPr>
          <w:rFonts w:ascii="Times New Roman" w:eastAsia="黑体" w:hAnsi="Times New Roman" w:cs="Times New Roman"/>
          <w:b/>
          <w:bCs/>
          <w:kern w:val="44"/>
          <w:sz w:val="28"/>
          <w:szCs w:val="28"/>
          <w:shd w:val="clear" w:color="auto" w:fill="FFFFFF"/>
          <w14:ligatures w14:val="none"/>
        </w:rPr>
        <w:t>关于标的资产是否存在被其股东及其关联方</w:t>
      </w:r>
    </w:p>
    <w:p w14:paraId="36D5E07B" w14:textId="77777777" w:rsidR="00831479" w:rsidRDefault="009272F5">
      <w:pPr>
        <w:widowControl/>
        <w:shd w:val="clear" w:color="auto" w:fill="FFFFFF"/>
        <w:spacing w:afterLines="100" w:after="240" w:line="360" w:lineRule="auto"/>
        <w:jc w:val="center"/>
        <w:outlineLvl w:val="0"/>
        <w:rPr>
          <w:rFonts w:ascii="Times New Roman" w:eastAsia="黑体" w:hAnsi="Times New Roman" w:cs="Times New Roman"/>
          <w:b/>
          <w:bCs/>
          <w:kern w:val="44"/>
          <w:sz w:val="28"/>
          <w:szCs w:val="28"/>
          <w:shd w:val="clear" w:color="auto" w:fill="FFFFFF"/>
          <w14:ligatures w14:val="none"/>
        </w:rPr>
      </w:pPr>
      <w:r>
        <w:rPr>
          <w:rFonts w:ascii="Times New Roman" w:eastAsia="黑体" w:hAnsi="Times New Roman" w:cs="Times New Roman"/>
          <w:b/>
          <w:bCs/>
          <w:kern w:val="44"/>
          <w:sz w:val="28"/>
          <w:szCs w:val="28"/>
          <w:shd w:val="clear" w:color="auto" w:fill="FFFFFF"/>
          <w14:ligatures w14:val="none"/>
        </w:rPr>
        <w:t>非经营性占用资金事项的核查意见</w:t>
      </w:r>
    </w:p>
    <w:p w14:paraId="4611A287" w14:textId="77777777" w:rsidR="00831479" w:rsidRDefault="009272F5" w:rsidP="00532BD0">
      <w:pPr>
        <w:widowControl/>
        <w:shd w:val="clear" w:color="auto" w:fill="FFFFFF"/>
        <w:spacing w:beforeLines="50" w:before="120" w:afterLines="50" w:after="120" w:line="360" w:lineRule="auto"/>
        <w:ind w:firstLineChars="200" w:firstLine="480"/>
        <w:jc w:val="both"/>
        <w:rPr>
          <w:rFonts w:ascii="Times New Roman" w:eastAsia="宋体" w:hAnsi="Times New Roman" w:cs="Times New Roman"/>
          <w:kern w:val="0"/>
          <w:sz w:val="24"/>
          <w14:ligatures w14:val="none"/>
        </w:rPr>
      </w:pPr>
      <w:r>
        <w:rPr>
          <w:rFonts w:ascii="Times New Roman" w:eastAsia="宋体" w:hAnsi="Times New Roman" w:cs="Times New Roman" w:hint="eastAsia"/>
          <w:kern w:val="0"/>
          <w:sz w:val="24"/>
          <w:shd w:val="clear" w:color="auto" w:fill="FFFFFF"/>
          <w14:ligatures w14:val="none"/>
        </w:rPr>
        <w:t>广东天亿马信息产业股份有限公司（以下简称“上市公司”）拟通过发行股份及支付现金方式购买广东星云开物科技股份有限公司（以下简称“标的公司”）</w:t>
      </w:r>
      <w:r>
        <w:rPr>
          <w:rFonts w:ascii="Times New Roman" w:eastAsia="宋体" w:hAnsi="Times New Roman" w:cs="Times New Roman" w:hint="eastAsia"/>
          <w:kern w:val="0"/>
          <w:sz w:val="24"/>
          <w:shd w:val="clear" w:color="auto" w:fill="FFFFFF"/>
          <w14:ligatures w14:val="none"/>
        </w:rPr>
        <w:t>98.5632%</w:t>
      </w:r>
      <w:r>
        <w:rPr>
          <w:rFonts w:ascii="Times New Roman" w:eastAsia="宋体" w:hAnsi="Times New Roman" w:cs="Times New Roman" w:hint="eastAsia"/>
          <w:kern w:val="0"/>
          <w:sz w:val="24"/>
          <w:shd w:val="clear" w:color="auto" w:fill="FFFFFF"/>
          <w14:ligatures w14:val="none"/>
        </w:rPr>
        <w:t>股权并募集配套资金（以下简称“本次交易”）。</w:t>
      </w:r>
    </w:p>
    <w:p w14:paraId="2D94F8B3" w14:textId="6722965D" w:rsidR="00831479" w:rsidRDefault="009272F5" w:rsidP="00532BD0">
      <w:pPr>
        <w:widowControl/>
        <w:shd w:val="clear" w:color="auto" w:fill="FFFFFF"/>
        <w:spacing w:beforeLines="50" w:before="120" w:afterLines="50" w:after="120" w:line="360" w:lineRule="auto"/>
        <w:ind w:firstLineChars="200" w:firstLine="480"/>
        <w:jc w:val="both"/>
        <w:rPr>
          <w:rFonts w:ascii="Times New Roman" w:eastAsia="宋体" w:hAnsi="Times New Roman" w:cs="Times New Roman"/>
          <w:kern w:val="0"/>
          <w:sz w:val="24"/>
          <w:shd w:val="clear" w:color="auto" w:fill="FFFFFF"/>
          <w14:ligatures w14:val="none"/>
        </w:rPr>
      </w:pPr>
      <w:r>
        <w:rPr>
          <w:rFonts w:ascii="Times New Roman" w:eastAsia="宋体" w:hAnsi="Times New Roman" w:cs="Times New Roman" w:hint="eastAsia"/>
          <w:kern w:val="0"/>
          <w:sz w:val="24"/>
          <w:shd w:val="clear" w:color="auto" w:fill="FFFFFF"/>
          <w14:ligatures w14:val="none"/>
        </w:rPr>
        <w:t>国泰海通证券股份有限公司（以下简称“独立财务顾问”）接受上市公司委托，担任上市公司本次交易的独立财务顾问，对上市公司本次交易标的资产是否存在被其股东及其关联方非经营性占用资金事项核查如下：</w:t>
      </w:r>
    </w:p>
    <w:p w14:paraId="4715B4D5" w14:textId="77777777" w:rsidR="00831479" w:rsidRDefault="009272F5" w:rsidP="00532BD0">
      <w:pPr>
        <w:widowControl/>
        <w:shd w:val="clear" w:color="auto" w:fill="FFFFFF"/>
        <w:spacing w:beforeLines="50" w:before="120" w:afterLines="50" w:after="120" w:line="360" w:lineRule="auto"/>
        <w:ind w:firstLineChars="200" w:firstLine="480"/>
        <w:jc w:val="both"/>
        <w:rPr>
          <w:rFonts w:ascii="Times New Roman" w:eastAsia="宋体" w:hAnsi="Times New Roman" w:cs="Times New Roman"/>
          <w:kern w:val="0"/>
          <w:sz w:val="24"/>
          <w:shd w:val="clear" w:color="auto" w:fill="FFFFFF"/>
          <w14:ligatures w14:val="none"/>
        </w:rPr>
      </w:pPr>
      <w:r>
        <w:rPr>
          <w:rFonts w:ascii="Times New Roman" w:eastAsia="宋体" w:hAnsi="Times New Roman" w:cs="Times New Roman" w:hint="eastAsia"/>
          <w:kern w:val="0"/>
          <w:sz w:val="24"/>
          <w:shd w:val="clear" w:color="auto" w:fill="FFFFFF"/>
          <w14:ligatures w14:val="none"/>
        </w:rPr>
        <w:t>经核查，截至本核查意见签署日，标的公司不存在被其股东及其关联方非经营性占用资金事项。本次交易完成后，标的公司将成为上市公司的控股子公司，将遵守上市公司关于防止关联方资金占用的相关制度，防止资金占用情形的发生。因此，独立财务顾问认为本次交易符合《上市公司监管指引第</w:t>
      </w:r>
      <w:r>
        <w:rPr>
          <w:rFonts w:ascii="Times New Roman" w:eastAsia="宋体" w:hAnsi="Times New Roman" w:cs="Times New Roman"/>
          <w:kern w:val="0"/>
          <w:sz w:val="24"/>
          <w:shd w:val="clear" w:color="auto" w:fill="FFFFFF"/>
          <w14:ligatures w14:val="none"/>
        </w:rPr>
        <w:t>9</w:t>
      </w:r>
      <w:r>
        <w:rPr>
          <w:rFonts w:ascii="Times New Roman" w:eastAsia="宋体" w:hAnsi="Times New Roman" w:cs="Times New Roman" w:hint="eastAsia"/>
          <w:kern w:val="0"/>
          <w:sz w:val="24"/>
          <w:shd w:val="clear" w:color="auto" w:fill="FFFFFF"/>
          <w14:ligatures w14:val="none"/>
        </w:rPr>
        <w:t>号——上市公司筹划和实施重大资产重组的监管要求》的相关规定。</w:t>
      </w:r>
    </w:p>
    <w:p w14:paraId="26C725FF" w14:textId="77777777" w:rsidR="00831479" w:rsidRDefault="009272F5" w:rsidP="00532BD0">
      <w:pPr>
        <w:spacing w:beforeLines="50" w:before="120" w:afterLines="50" w:after="120" w:line="360" w:lineRule="auto"/>
        <w:ind w:right="960" w:firstLineChars="200" w:firstLine="480"/>
        <w:rPr>
          <w:rFonts w:ascii="Times New Roman" w:eastAsia="宋体" w:hAnsi="Times New Roman" w:cs="Times New Roman"/>
          <w:sz w:val="24"/>
          <w:szCs w:val="22"/>
          <w14:ligatures w14:val="none"/>
        </w:rPr>
      </w:pPr>
      <w:r>
        <w:rPr>
          <w:rFonts w:ascii="Times New Roman" w:eastAsia="宋体" w:hAnsi="Times New Roman" w:cs="Times New Roman"/>
          <w:sz w:val="24"/>
          <w14:ligatures w14:val="none"/>
        </w:rPr>
        <w:t>（以下无正文）</w:t>
      </w:r>
      <w:r>
        <w:rPr>
          <w:rFonts w:ascii="Times New Roman" w:eastAsia="宋体" w:hAnsi="Times New Roman" w:cs="Times New Roman"/>
          <w:sz w:val="24"/>
          <w:szCs w:val="22"/>
          <w14:ligatures w14:val="none"/>
        </w:rPr>
        <w:br w:type="page"/>
      </w:r>
    </w:p>
    <w:p w14:paraId="41098094" w14:textId="220654AE" w:rsidR="00831479" w:rsidRDefault="009272F5" w:rsidP="00532BD0">
      <w:pPr>
        <w:spacing w:beforeLines="50" w:before="120" w:afterLines="50" w:after="120" w:line="360" w:lineRule="auto"/>
        <w:rPr>
          <w:rFonts w:ascii="宋体" w:eastAsia="宋体" w:hAnsi="宋体" w:cs="Times New Roman" w:hint="eastAsia"/>
          <w:color w:val="000000"/>
          <w:sz w:val="24"/>
        </w:rPr>
      </w:pPr>
      <w:r>
        <w:rPr>
          <w:rFonts w:ascii="宋体" w:eastAsia="宋体" w:hAnsi="宋体" w:cs="Times New Roman" w:hint="eastAsia"/>
          <w:sz w:val="24"/>
        </w:rPr>
        <w:lastRenderedPageBreak/>
        <w:t>（本页</w:t>
      </w:r>
      <w:r>
        <w:rPr>
          <w:rFonts w:ascii="宋体" w:eastAsia="宋体" w:hAnsi="宋体" w:cs="Times New Roman" w:hint="eastAsia"/>
          <w:color w:val="000000"/>
          <w:sz w:val="24"/>
        </w:rPr>
        <w:t>无正文，为《国泰海通证券股份有限公司关于标的资产是否存在被其股东及其关联方非经营性占用资金事项的核查意见》之签字盖章页）</w:t>
      </w:r>
    </w:p>
    <w:p w14:paraId="2496788C" w14:textId="49FD2A25" w:rsidR="00831479" w:rsidRDefault="00831479">
      <w:pPr>
        <w:spacing w:after="0" w:line="240" w:lineRule="auto"/>
        <w:rPr>
          <w:rFonts w:ascii="宋体" w:eastAsia="宋体" w:hAnsi="宋体" w:cs="Times New Roman" w:hint="eastAsia"/>
          <w:sz w:val="24"/>
        </w:rPr>
      </w:pPr>
    </w:p>
    <w:p w14:paraId="3B9B50FA" w14:textId="0F818D03" w:rsidR="00831479" w:rsidRDefault="00831479">
      <w:pPr>
        <w:spacing w:after="0" w:line="240" w:lineRule="auto"/>
        <w:rPr>
          <w:rFonts w:ascii="宋体" w:eastAsia="宋体" w:hAnsi="宋体" w:cs="Times New Roman" w:hint="eastAsia"/>
          <w:sz w:val="24"/>
        </w:rPr>
      </w:pPr>
    </w:p>
    <w:tbl>
      <w:tblPr>
        <w:tblStyle w:val="110"/>
        <w:tblW w:w="83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9"/>
        <w:gridCol w:w="1417"/>
        <w:gridCol w:w="709"/>
        <w:gridCol w:w="1417"/>
        <w:gridCol w:w="709"/>
        <w:gridCol w:w="1417"/>
      </w:tblGrid>
      <w:tr w:rsidR="00831479" w14:paraId="3C13678B" w14:textId="77777777">
        <w:tc>
          <w:tcPr>
            <w:tcW w:w="2689" w:type="dxa"/>
            <w:vAlign w:val="center"/>
          </w:tcPr>
          <w:p w14:paraId="507E508D" w14:textId="77777777" w:rsidR="00831479" w:rsidRDefault="009272F5">
            <w:pPr>
              <w:widowControl/>
              <w:spacing w:before="120" w:after="120"/>
              <w:jc w:val="center"/>
              <w:rPr>
                <w:rFonts w:ascii="宋体" w:eastAsia="宋体" w:hAnsi="宋体" w:cs="宋体" w:hint="eastAsia"/>
                <w:kern w:val="0"/>
                <w:sz w:val="24"/>
              </w:rPr>
            </w:pPr>
            <w:r>
              <w:rPr>
                <w:rFonts w:ascii="宋体" w:eastAsia="宋体" w:hAnsi="宋体" w:cs="宋体" w:hint="eastAsia"/>
                <w:kern w:val="0"/>
                <w:sz w:val="24"/>
              </w:rPr>
              <w:t>独立财务顾问主办人：</w:t>
            </w:r>
          </w:p>
        </w:tc>
        <w:tc>
          <w:tcPr>
            <w:tcW w:w="1417" w:type="dxa"/>
            <w:tcBorders>
              <w:top w:val="nil"/>
              <w:left w:val="nil"/>
              <w:bottom w:val="single" w:sz="4" w:space="0" w:color="auto"/>
              <w:right w:val="nil"/>
            </w:tcBorders>
            <w:vAlign w:val="center"/>
          </w:tcPr>
          <w:p w14:paraId="18E500E0" w14:textId="77777777" w:rsidR="00831479" w:rsidRDefault="00831479">
            <w:pPr>
              <w:widowControl/>
              <w:spacing w:before="120" w:after="120"/>
              <w:jc w:val="center"/>
              <w:rPr>
                <w:rFonts w:ascii="宋体" w:eastAsia="宋体" w:hAnsi="宋体" w:cs="宋体" w:hint="eastAsia"/>
                <w:kern w:val="0"/>
                <w:sz w:val="24"/>
              </w:rPr>
            </w:pPr>
          </w:p>
        </w:tc>
        <w:tc>
          <w:tcPr>
            <w:tcW w:w="709" w:type="dxa"/>
            <w:vAlign w:val="center"/>
          </w:tcPr>
          <w:p w14:paraId="245F4813" w14:textId="77777777" w:rsidR="00831479" w:rsidRDefault="00831479">
            <w:pPr>
              <w:widowControl/>
              <w:spacing w:before="120" w:after="120"/>
              <w:jc w:val="center"/>
              <w:rPr>
                <w:rFonts w:ascii="宋体" w:eastAsia="宋体" w:hAnsi="宋体" w:cs="宋体" w:hint="eastAsia"/>
                <w:kern w:val="0"/>
                <w:sz w:val="24"/>
              </w:rPr>
            </w:pPr>
          </w:p>
        </w:tc>
        <w:tc>
          <w:tcPr>
            <w:tcW w:w="1417" w:type="dxa"/>
            <w:tcBorders>
              <w:top w:val="nil"/>
              <w:left w:val="nil"/>
              <w:bottom w:val="single" w:sz="4" w:space="0" w:color="auto"/>
              <w:right w:val="nil"/>
            </w:tcBorders>
            <w:vAlign w:val="center"/>
          </w:tcPr>
          <w:p w14:paraId="765CCB4E" w14:textId="77777777" w:rsidR="00831479" w:rsidRDefault="00831479">
            <w:pPr>
              <w:widowControl/>
              <w:spacing w:before="120" w:after="120"/>
              <w:jc w:val="center"/>
              <w:rPr>
                <w:rFonts w:ascii="宋体" w:eastAsia="宋体" w:hAnsi="宋体" w:cs="宋体" w:hint="eastAsia"/>
                <w:kern w:val="0"/>
                <w:sz w:val="24"/>
              </w:rPr>
            </w:pPr>
          </w:p>
        </w:tc>
        <w:tc>
          <w:tcPr>
            <w:tcW w:w="709" w:type="dxa"/>
            <w:vAlign w:val="center"/>
          </w:tcPr>
          <w:p w14:paraId="60F05756" w14:textId="77777777" w:rsidR="00831479" w:rsidRDefault="00831479">
            <w:pPr>
              <w:widowControl/>
              <w:spacing w:before="120" w:after="120"/>
              <w:jc w:val="center"/>
              <w:rPr>
                <w:rFonts w:ascii="宋体" w:eastAsia="宋体" w:hAnsi="宋体" w:cs="宋体" w:hint="eastAsia"/>
                <w:kern w:val="0"/>
                <w:sz w:val="24"/>
              </w:rPr>
            </w:pPr>
          </w:p>
        </w:tc>
        <w:tc>
          <w:tcPr>
            <w:tcW w:w="1417" w:type="dxa"/>
            <w:tcBorders>
              <w:top w:val="nil"/>
              <w:left w:val="nil"/>
              <w:bottom w:val="single" w:sz="4" w:space="0" w:color="auto"/>
              <w:right w:val="nil"/>
            </w:tcBorders>
            <w:vAlign w:val="center"/>
          </w:tcPr>
          <w:p w14:paraId="7F535C93" w14:textId="77777777" w:rsidR="00831479" w:rsidRDefault="00831479">
            <w:pPr>
              <w:widowControl/>
              <w:spacing w:before="120" w:after="120"/>
              <w:jc w:val="center"/>
              <w:rPr>
                <w:rFonts w:ascii="宋体" w:eastAsia="宋体" w:hAnsi="宋体" w:cs="宋体" w:hint="eastAsia"/>
                <w:kern w:val="0"/>
                <w:sz w:val="24"/>
              </w:rPr>
            </w:pPr>
          </w:p>
        </w:tc>
      </w:tr>
      <w:tr w:rsidR="00831479" w14:paraId="2A033DD0" w14:textId="77777777">
        <w:tc>
          <w:tcPr>
            <w:tcW w:w="2689" w:type="dxa"/>
            <w:vAlign w:val="center"/>
          </w:tcPr>
          <w:p w14:paraId="4F7807F3" w14:textId="77777777" w:rsidR="00831479" w:rsidRDefault="00831479">
            <w:pPr>
              <w:widowControl/>
              <w:spacing w:before="120" w:after="120"/>
              <w:jc w:val="center"/>
              <w:rPr>
                <w:rFonts w:ascii="宋体" w:eastAsia="宋体" w:hAnsi="宋体" w:cs="宋体" w:hint="eastAsia"/>
                <w:kern w:val="0"/>
                <w:sz w:val="24"/>
              </w:rPr>
            </w:pPr>
          </w:p>
        </w:tc>
        <w:tc>
          <w:tcPr>
            <w:tcW w:w="1417" w:type="dxa"/>
            <w:tcBorders>
              <w:top w:val="single" w:sz="4" w:space="0" w:color="auto"/>
              <w:left w:val="nil"/>
              <w:bottom w:val="nil"/>
              <w:right w:val="nil"/>
            </w:tcBorders>
            <w:vAlign w:val="center"/>
          </w:tcPr>
          <w:p w14:paraId="4AD5E7EB" w14:textId="7FD1008D" w:rsidR="00831479" w:rsidRDefault="009272F5">
            <w:pPr>
              <w:widowControl/>
              <w:spacing w:before="120" w:after="120"/>
              <w:jc w:val="center"/>
              <w:rPr>
                <w:rFonts w:ascii="宋体" w:eastAsia="宋体" w:hAnsi="宋体" w:cs="宋体" w:hint="eastAsia"/>
                <w:kern w:val="0"/>
                <w:sz w:val="24"/>
              </w:rPr>
            </w:pPr>
            <w:r>
              <w:rPr>
                <w:rFonts w:ascii="宋体" w:eastAsia="宋体" w:hAnsi="宋体" w:cs="宋体"/>
                <w:kern w:val="0"/>
                <w:sz w:val="24"/>
              </w:rPr>
              <w:t>邢雨晨</w:t>
            </w:r>
          </w:p>
        </w:tc>
        <w:tc>
          <w:tcPr>
            <w:tcW w:w="709" w:type="dxa"/>
            <w:vAlign w:val="center"/>
          </w:tcPr>
          <w:p w14:paraId="0B2EF8C4" w14:textId="77777777" w:rsidR="00831479" w:rsidRDefault="00831479">
            <w:pPr>
              <w:widowControl/>
              <w:spacing w:before="120" w:after="120"/>
              <w:jc w:val="center"/>
              <w:rPr>
                <w:rFonts w:ascii="宋体" w:eastAsia="宋体" w:hAnsi="宋体" w:cs="宋体" w:hint="eastAsia"/>
                <w:kern w:val="0"/>
                <w:sz w:val="24"/>
              </w:rPr>
            </w:pPr>
          </w:p>
        </w:tc>
        <w:tc>
          <w:tcPr>
            <w:tcW w:w="1417" w:type="dxa"/>
            <w:tcBorders>
              <w:top w:val="single" w:sz="4" w:space="0" w:color="auto"/>
              <w:left w:val="nil"/>
              <w:bottom w:val="nil"/>
              <w:right w:val="nil"/>
            </w:tcBorders>
            <w:vAlign w:val="center"/>
          </w:tcPr>
          <w:p w14:paraId="240A3B3D" w14:textId="77777777" w:rsidR="00831479" w:rsidRDefault="009272F5">
            <w:pPr>
              <w:widowControl/>
              <w:spacing w:before="120" w:after="120"/>
              <w:jc w:val="center"/>
              <w:rPr>
                <w:rFonts w:ascii="宋体" w:eastAsia="宋体" w:hAnsi="宋体" w:cs="宋体" w:hint="eastAsia"/>
                <w:kern w:val="0"/>
                <w:sz w:val="24"/>
              </w:rPr>
            </w:pPr>
            <w:r>
              <w:rPr>
                <w:rFonts w:ascii="宋体" w:eastAsia="宋体" w:hAnsi="宋体" w:cs="宋体" w:hint="eastAsia"/>
                <w:kern w:val="0"/>
                <w:sz w:val="24"/>
              </w:rPr>
              <w:t>徐振宇</w:t>
            </w:r>
          </w:p>
        </w:tc>
        <w:tc>
          <w:tcPr>
            <w:tcW w:w="709" w:type="dxa"/>
            <w:vAlign w:val="center"/>
          </w:tcPr>
          <w:p w14:paraId="378F6A4D" w14:textId="77777777" w:rsidR="00831479" w:rsidRDefault="00831479">
            <w:pPr>
              <w:widowControl/>
              <w:spacing w:before="120" w:after="120"/>
              <w:jc w:val="center"/>
              <w:rPr>
                <w:rFonts w:ascii="宋体" w:eastAsia="宋体" w:hAnsi="宋体" w:cs="宋体" w:hint="eastAsia"/>
                <w:kern w:val="0"/>
                <w:sz w:val="24"/>
              </w:rPr>
            </w:pPr>
          </w:p>
        </w:tc>
        <w:tc>
          <w:tcPr>
            <w:tcW w:w="1417" w:type="dxa"/>
            <w:tcBorders>
              <w:top w:val="single" w:sz="4" w:space="0" w:color="auto"/>
              <w:left w:val="nil"/>
              <w:bottom w:val="nil"/>
              <w:right w:val="nil"/>
            </w:tcBorders>
            <w:vAlign w:val="center"/>
          </w:tcPr>
          <w:p w14:paraId="13EDEF55" w14:textId="77777777" w:rsidR="00831479" w:rsidRDefault="009272F5">
            <w:pPr>
              <w:widowControl/>
              <w:spacing w:before="120" w:after="120"/>
              <w:jc w:val="center"/>
              <w:rPr>
                <w:rFonts w:ascii="宋体" w:eastAsia="宋体" w:hAnsi="宋体" w:cs="宋体" w:hint="eastAsia"/>
                <w:kern w:val="0"/>
                <w:sz w:val="24"/>
              </w:rPr>
            </w:pPr>
            <w:r>
              <w:rPr>
                <w:rFonts w:ascii="宋体" w:eastAsia="宋体" w:hAnsi="宋体" w:cs="宋体" w:hint="eastAsia"/>
                <w:kern w:val="0"/>
                <w:sz w:val="24"/>
              </w:rPr>
              <w:t>张成浩</w:t>
            </w:r>
          </w:p>
        </w:tc>
      </w:tr>
    </w:tbl>
    <w:p w14:paraId="5967154D" w14:textId="77777777" w:rsidR="00831479" w:rsidRDefault="00831479">
      <w:pPr>
        <w:spacing w:after="0" w:line="240" w:lineRule="auto"/>
        <w:rPr>
          <w:rFonts w:ascii="宋体" w:eastAsia="宋体" w:hAnsi="宋体" w:cs="Times New Roman" w:hint="eastAsia"/>
          <w:sz w:val="24"/>
        </w:rPr>
      </w:pPr>
    </w:p>
    <w:p w14:paraId="62A9026A" w14:textId="77777777" w:rsidR="00831479" w:rsidRDefault="00831479">
      <w:pPr>
        <w:autoSpaceDE w:val="0"/>
        <w:autoSpaceDN w:val="0"/>
        <w:adjustRightInd w:val="0"/>
        <w:spacing w:before="120" w:after="50" w:line="440" w:lineRule="exact"/>
        <w:ind w:leftChars="257" w:left="565" w:firstLineChars="1600" w:firstLine="3840"/>
        <w:jc w:val="right"/>
        <w:rPr>
          <w:rFonts w:ascii="宋体" w:eastAsia="宋体" w:hAnsi="宋体" w:cs="Times New Roman" w:hint="eastAsia"/>
          <w:kern w:val="0"/>
          <w:sz w:val="24"/>
        </w:rPr>
      </w:pPr>
    </w:p>
    <w:p w14:paraId="08CE7560" w14:textId="77777777" w:rsidR="00831479" w:rsidRDefault="00831479">
      <w:pPr>
        <w:autoSpaceDE w:val="0"/>
        <w:autoSpaceDN w:val="0"/>
        <w:adjustRightInd w:val="0"/>
        <w:spacing w:before="120" w:after="50" w:line="440" w:lineRule="exact"/>
        <w:ind w:leftChars="257" w:left="565" w:firstLineChars="1600" w:firstLine="3840"/>
        <w:jc w:val="right"/>
        <w:rPr>
          <w:rFonts w:ascii="宋体" w:eastAsia="宋体" w:hAnsi="宋体" w:cs="Times New Roman" w:hint="eastAsia"/>
          <w:kern w:val="0"/>
          <w:sz w:val="24"/>
        </w:rPr>
      </w:pPr>
    </w:p>
    <w:p w14:paraId="7379A7AF" w14:textId="77777777" w:rsidR="00831479" w:rsidRDefault="00831479">
      <w:pPr>
        <w:autoSpaceDE w:val="0"/>
        <w:autoSpaceDN w:val="0"/>
        <w:adjustRightInd w:val="0"/>
        <w:spacing w:before="120" w:after="50" w:line="440" w:lineRule="exact"/>
        <w:ind w:leftChars="257" w:left="565" w:firstLineChars="1600" w:firstLine="3840"/>
        <w:jc w:val="right"/>
        <w:rPr>
          <w:rFonts w:ascii="宋体" w:eastAsia="宋体" w:hAnsi="宋体" w:cs="Times New Roman" w:hint="eastAsia"/>
          <w:color w:val="000000"/>
          <w:kern w:val="0"/>
          <w:sz w:val="24"/>
        </w:rPr>
      </w:pPr>
    </w:p>
    <w:p w14:paraId="1D22CD2D" w14:textId="77777777" w:rsidR="00831479" w:rsidRDefault="00831479">
      <w:pPr>
        <w:autoSpaceDE w:val="0"/>
        <w:autoSpaceDN w:val="0"/>
        <w:adjustRightInd w:val="0"/>
        <w:spacing w:before="120" w:after="50" w:line="440" w:lineRule="exact"/>
        <w:ind w:leftChars="257" w:left="565" w:firstLineChars="1600" w:firstLine="3840"/>
        <w:jc w:val="right"/>
        <w:rPr>
          <w:rFonts w:ascii="宋体" w:eastAsia="宋体" w:hAnsi="宋体" w:cs="Times New Roman" w:hint="eastAsia"/>
          <w:color w:val="000000"/>
          <w:kern w:val="0"/>
          <w:sz w:val="24"/>
        </w:rPr>
      </w:pPr>
    </w:p>
    <w:p w14:paraId="5B2600B3" w14:textId="77777777" w:rsidR="00831479" w:rsidRDefault="00831479">
      <w:pPr>
        <w:autoSpaceDE w:val="0"/>
        <w:autoSpaceDN w:val="0"/>
        <w:adjustRightInd w:val="0"/>
        <w:spacing w:beforeLines="100" w:before="240" w:after="50" w:line="440" w:lineRule="exact"/>
        <w:ind w:leftChars="257" w:left="565" w:firstLineChars="1350" w:firstLine="3240"/>
        <w:jc w:val="right"/>
        <w:rPr>
          <w:rFonts w:ascii="宋体" w:eastAsia="宋体" w:hAnsi="宋体" w:cs="Times New Roman" w:hint="eastAsia"/>
          <w:color w:val="000000"/>
          <w:kern w:val="0"/>
          <w:sz w:val="24"/>
        </w:rPr>
      </w:pPr>
    </w:p>
    <w:p w14:paraId="5BF5CC8F" w14:textId="77777777" w:rsidR="00831479" w:rsidRDefault="009272F5">
      <w:pPr>
        <w:autoSpaceDE w:val="0"/>
        <w:autoSpaceDN w:val="0"/>
        <w:adjustRightInd w:val="0"/>
        <w:spacing w:beforeLines="100" w:before="240" w:after="50" w:line="440" w:lineRule="exact"/>
        <w:ind w:leftChars="257" w:left="565" w:firstLineChars="1600" w:firstLine="3840"/>
        <w:jc w:val="right"/>
        <w:rPr>
          <w:rFonts w:ascii="宋体" w:eastAsia="宋体" w:hAnsi="宋体" w:cs="Times New Roman" w:hint="eastAsia"/>
          <w:color w:val="000000"/>
          <w:sz w:val="24"/>
        </w:rPr>
      </w:pPr>
      <w:r>
        <w:rPr>
          <w:rFonts w:ascii="宋体" w:eastAsia="宋体" w:hAnsi="宋体" w:cs="Times New Roman" w:hint="eastAsia"/>
          <w:color w:val="000000"/>
          <w:sz w:val="24"/>
        </w:rPr>
        <w:t>国泰海通证券股份有限公司</w:t>
      </w:r>
    </w:p>
    <w:p w14:paraId="7FB57B9D" w14:textId="7368147D" w:rsidR="00831479" w:rsidRPr="00544327" w:rsidRDefault="009272F5">
      <w:pPr>
        <w:autoSpaceDE w:val="0"/>
        <w:autoSpaceDN w:val="0"/>
        <w:adjustRightInd w:val="0"/>
        <w:spacing w:beforeLines="100" w:before="240" w:after="50" w:line="440" w:lineRule="exact"/>
        <w:ind w:leftChars="257" w:left="565" w:firstLineChars="1600" w:firstLine="3840"/>
        <w:jc w:val="right"/>
        <w:rPr>
          <w:rFonts w:ascii="Times New Roman" w:eastAsia="宋体" w:hAnsi="Times New Roman" w:cs="Times New Roman"/>
          <w:bCs/>
          <w:kern w:val="0"/>
          <w:sz w:val="24"/>
        </w:rPr>
      </w:pPr>
      <w:r w:rsidRPr="00544327">
        <w:rPr>
          <w:rFonts w:ascii="Times New Roman" w:eastAsia="宋体" w:hAnsi="Times New Roman" w:cs="Times New Roman"/>
          <w:color w:val="000000"/>
          <w:kern w:val="0"/>
          <w:sz w:val="24"/>
        </w:rPr>
        <w:t xml:space="preserve"> </w:t>
      </w:r>
      <w:r w:rsidR="00544327" w:rsidRPr="00544327">
        <w:rPr>
          <w:rFonts w:ascii="Times New Roman" w:eastAsia="宋体" w:hAnsi="Times New Roman" w:cs="Times New Roman"/>
          <w:color w:val="000000"/>
          <w:kern w:val="0"/>
          <w:sz w:val="24"/>
        </w:rPr>
        <w:t xml:space="preserve">2025 </w:t>
      </w:r>
      <w:r w:rsidRPr="00544327">
        <w:rPr>
          <w:rFonts w:ascii="Times New Roman" w:eastAsia="宋体" w:hAnsi="Times New Roman" w:cs="Times New Roman"/>
          <w:color w:val="000000"/>
          <w:kern w:val="0"/>
          <w:sz w:val="24"/>
        </w:rPr>
        <w:t>年</w:t>
      </w:r>
      <w:r w:rsidRPr="00544327">
        <w:rPr>
          <w:rFonts w:ascii="Times New Roman" w:eastAsia="宋体" w:hAnsi="Times New Roman" w:cs="Times New Roman"/>
          <w:color w:val="000000"/>
          <w:kern w:val="0"/>
          <w:sz w:val="24"/>
        </w:rPr>
        <w:t xml:space="preserve"> </w:t>
      </w:r>
      <w:r w:rsidR="00544327" w:rsidRPr="00544327">
        <w:rPr>
          <w:rFonts w:ascii="Times New Roman" w:eastAsia="宋体" w:hAnsi="Times New Roman" w:cs="Times New Roman"/>
          <w:color w:val="000000"/>
          <w:kern w:val="0"/>
          <w:sz w:val="24"/>
        </w:rPr>
        <w:t>11</w:t>
      </w:r>
      <w:r w:rsidRPr="00544327">
        <w:rPr>
          <w:rFonts w:ascii="Times New Roman" w:eastAsia="宋体" w:hAnsi="Times New Roman" w:cs="Times New Roman"/>
          <w:color w:val="000000"/>
          <w:kern w:val="0"/>
          <w:sz w:val="24"/>
        </w:rPr>
        <w:t xml:space="preserve"> </w:t>
      </w:r>
      <w:r w:rsidRPr="00544327">
        <w:rPr>
          <w:rFonts w:ascii="Times New Roman" w:eastAsia="宋体" w:hAnsi="Times New Roman" w:cs="Times New Roman"/>
          <w:color w:val="000000"/>
          <w:kern w:val="0"/>
          <w:sz w:val="24"/>
        </w:rPr>
        <w:t>月</w:t>
      </w:r>
      <w:r w:rsidRPr="00544327">
        <w:rPr>
          <w:rFonts w:ascii="Times New Roman" w:eastAsia="宋体" w:hAnsi="Times New Roman" w:cs="Times New Roman"/>
          <w:color w:val="000000"/>
          <w:kern w:val="0"/>
          <w:sz w:val="24"/>
        </w:rPr>
        <w:t xml:space="preserve"> </w:t>
      </w:r>
      <w:r w:rsidR="00544327" w:rsidRPr="00544327">
        <w:rPr>
          <w:rFonts w:ascii="Times New Roman" w:eastAsia="宋体" w:hAnsi="Times New Roman" w:cs="Times New Roman"/>
          <w:color w:val="000000"/>
          <w:kern w:val="0"/>
          <w:sz w:val="24"/>
        </w:rPr>
        <w:t>18</w:t>
      </w:r>
      <w:r w:rsidRPr="00544327">
        <w:rPr>
          <w:rFonts w:ascii="Times New Roman" w:eastAsia="宋体" w:hAnsi="Times New Roman" w:cs="Times New Roman"/>
          <w:color w:val="000000"/>
          <w:kern w:val="0"/>
          <w:sz w:val="24"/>
        </w:rPr>
        <w:t xml:space="preserve"> </w:t>
      </w:r>
      <w:r w:rsidRPr="00544327">
        <w:rPr>
          <w:rFonts w:ascii="Times New Roman" w:eastAsia="宋体" w:hAnsi="Times New Roman" w:cs="Times New Roman"/>
          <w:color w:val="000000"/>
          <w:kern w:val="0"/>
          <w:sz w:val="24"/>
        </w:rPr>
        <w:t>日</w:t>
      </w:r>
    </w:p>
    <w:p w14:paraId="705424ED" w14:textId="77777777" w:rsidR="00831479" w:rsidRDefault="00831479">
      <w:pPr>
        <w:widowControl/>
        <w:spacing w:after="0" w:line="240" w:lineRule="auto"/>
        <w:rPr>
          <w:rFonts w:ascii="Times New Roman" w:eastAsia="宋体" w:hAnsi="Times New Roman" w:cs="Times New Roman"/>
          <w:sz w:val="24"/>
          <w:szCs w:val="22"/>
          <w14:ligatures w14:val="none"/>
        </w:rPr>
      </w:pPr>
    </w:p>
    <w:sectPr w:rsidR="00831479">
      <w:footerReference w:type="default" r:id="rId7"/>
      <w:pgSz w:w="11910" w:h="16840"/>
      <w:pgMar w:top="1276" w:right="1800" w:bottom="1440" w:left="1800" w:header="964" w:footer="98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267CFA" w14:textId="77777777" w:rsidR="0020315B" w:rsidRDefault="0020315B">
      <w:pPr>
        <w:spacing w:line="240" w:lineRule="auto"/>
        <w:rPr>
          <w:rFonts w:hint="eastAsia"/>
        </w:rPr>
      </w:pPr>
      <w:r>
        <w:separator/>
      </w:r>
    </w:p>
  </w:endnote>
  <w:endnote w:type="continuationSeparator" w:id="0">
    <w:p w14:paraId="66F686B8" w14:textId="77777777" w:rsidR="0020315B" w:rsidRDefault="0020315B">
      <w:pPr>
        <w:spacing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FDC2F7" w14:textId="77777777" w:rsidR="00831479" w:rsidRDefault="009272F5">
    <w:pPr>
      <w:pStyle w:val="a5"/>
      <w:spacing w:after="0" w:line="240" w:lineRule="auto"/>
      <w:jc w:val="center"/>
      <w:rPr>
        <w:rFonts w:ascii="Times New Roman" w:hAnsi="Times New Roman" w:cs="Times New Roman"/>
        <w:sz w:val="21"/>
      </w:rPr>
    </w:pPr>
    <w:r>
      <w:rPr>
        <w:rFonts w:ascii="Times New Roman" w:hAnsi="Times New Roman" w:cs="Times New Roman"/>
        <w:sz w:val="21"/>
      </w:rPr>
      <w:fldChar w:fldCharType="begin"/>
    </w:r>
    <w:r>
      <w:rPr>
        <w:rFonts w:ascii="Times New Roman" w:hAnsi="Times New Roman" w:cs="Times New Roman"/>
        <w:sz w:val="21"/>
      </w:rPr>
      <w:instrText>PAGE   \* MERGEFORMAT</w:instrText>
    </w:r>
    <w:r>
      <w:rPr>
        <w:rFonts w:ascii="Times New Roman" w:hAnsi="Times New Roman" w:cs="Times New Roman"/>
        <w:sz w:val="21"/>
      </w:rPr>
      <w:fldChar w:fldCharType="separate"/>
    </w:r>
    <w:r w:rsidR="004B176A" w:rsidRPr="004B176A">
      <w:rPr>
        <w:rFonts w:ascii="Times New Roman" w:hAnsi="Times New Roman" w:cs="Times New Roman"/>
        <w:noProof/>
        <w:sz w:val="21"/>
        <w:lang w:val="zh-CN"/>
      </w:rPr>
      <w:t>1</w:t>
    </w:r>
    <w:r>
      <w:rPr>
        <w:rFonts w:ascii="Times New Roman" w:hAnsi="Times New Roman" w:cs="Times New Roman"/>
        <w:sz w:val="21"/>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56FCA7" w14:textId="77777777" w:rsidR="0020315B" w:rsidRDefault="0020315B">
      <w:pPr>
        <w:spacing w:after="0"/>
        <w:rPr>
          <w:rFonts w:hint="eastAsia"/>
        </w:rPr>
      </w:pPr>
      <w:r>
        <w:separator/>
      </w:r>
    </w:p>
  </w:footnote>
  <w:footnote w:type="continuationSeparator" w:id="0">
    <w:p w14:paraId="0C194FD4" w14:textId="77777777" w:rsidR="0020315B" w:rsidRDefault="0020315B">
      <w:pPr>
        <w:spacing w:after="0"/>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6007C"/>
    <w:rsid w:val="00003539"/>
    <w:rsid w:val="000264C8"/>
    <w:rsid w:val="0003061E"/>
    <w:rsid w:val="00030745"/>
    <w:rsid w:val="0004394C"/>
    <w:rsid w:val="00047228"/>
    <w:rsid w:val="00065149"/>
    <w:rsid w:val="00067A4F"/>
    <w:rsid w:val="00090FE8"/>
    <w:rsid w:val="000A27AB"/>
    <w:rsid w:val="000A6F46"/>
    <w:rsid w:val="000B478B"/>
    <w:rsid w:val="000B5F7C"/>
    <w:rsid w:val="000D4393"/>
    <w:rsid w:val="000E1590"/>
    <w:rsid w:val="000F450F"/>
    <w:rsid w:val="000F531D"/>
    <w:rsid w:val="000F7107"/>
    <w:rsid w:val="001053BB"/>
    <w:rsid w:val="001069A0"/>
    <w:rsid w:val="00107481"/>
    <w:rsid w:val="00110A25"/>
    <w:rsid w:val="001111E0"/>
    <w:rsid w:val="001164AC"/>
    <w:rsid w:val="00126AA6"/>
    <w:rsid w:val="001403AA"/>
    <w:rsid w:val="001509C8"/>
    <w:rsid w:val="00151F02"/>
    <w:rsid w:val="00154E6C"/>
    <w:rsid w:val="00155ADF"/>
    <w:rsid w:val="00172D40"/>
    <w:rsid w:val="001738A9"/>
    <w:rsid w:val="001816F4"/>
    <w:rsid w:val="00183BA3"/>
    <w:rsid w:val="00185D05"/>
    <w:rsid w:val="001A4E4F"/>
    <w:rsid w:val="001A71D1"/>
    <w:rsid w:val="001E4540"/>
    <w:rsid w:val="001E64D2"/>
    <w:rsid w:val="0020315B"/>
    <w:rsid w:val="00206979"/>
    <w:rsid w:val="00206BAE"/>
    <w:rsid w:val="00207AD8"/>
    <w:rsid w:val="002154DD"/>
    <w:rsid w:val="00222551"/>
    <w:rsid w:val="00233F3D"/>
    <w:rsid w:val="0026636C"/>
    <w:rsid w:val="002663C6"/>
    <w:rsid w:val="00266D43"/>
    <w:rsid w:val="002903A1"/>
    <w:rsid w:val="00295C04"/>
    <w:rsid w:val="002B3257"/>
    <w:rsid w:val="002B50C8"/>
    <w:rsid w:val="002C1835"/>
    <w:rsid w:val="002D19A9"/>
    <w:rsid w:val="003133C6"/>
    <w:rsid w:val="003435FD"/>
    <w:rsid w:val="003439EE"/>
    <w:rsid w:val="003722CD"/>
    <w:rsid w:val="0037492E"/>
    <w:rsid w:val="003A2811"/>
    <w:rsid w:val="003B1FD5"/>
    <w:rsid w:val="003B5862"/>
    <w:rsid w:val="003C08F0"/>
    <w:rsid w:val="003C2C30"/>
    <w:rsid w:val="003C4447"/>
    <w:rsid w:val="00401B6A"/>
    <w:rsid w:val="00414808"/>
    <w:rsid w:val="0042743F"/>
    <w:rsid w:val="00435EA0"/>
    <w:rsid w:val="0045453A"/>
    <w:rsid w:val="00454B60"/>
    <w:rsid w:val="00474C62"/>
    <w:rsid w:val="00483214"/>
    <w:rsid w:val="0048410A"/>
    <w:rsid w:val="00496FBA"/>
    <w:rsid w:val="004A2E61"/>
    <w:rsid w:val="004B176A"/>
    <w:rsid w:val="004B3D5C"/>
    <w:rsid w:val="004D0663"/>
    <w:rsid w:val="004D5011"/>
    <w:rsid w:val="004D6857"/>
    <w:rsid w:val="004E6A81"/>
    <w:rsid w:val="004E7942"/>
    <w:rsid w:val="005021D1"/>
    <w:rsid w:val="0051329A"/>
    <w:rsid w:val="00522170"/>
    <w:rsid w:val="00532BD0"/>
    <w:rsid w:val="00543EC8"/>
    <w:rsid w:val="00544327"/>
    <w:rsid w:val="00553E3B"/>
    <w:rsid w:val="0055772B"/>
    <w:rsid w:val="00570D3C"/>
    <w:rsid w:val="0058440A"/>
    <w:rsid w:val="005A5348"/>
    <w:rsid w:val="005B1CAA"/>
    <w:rsid w:val="005C2135"/>
    <w:rsid w:val="005C3A68"/>
    <w:rsid w:val="005D097F"/>
    <w:rsid w:val="005D4B63"/>
    <w:rsid w:val="005D6A84"/>
    <w:rsid w:val="005E01EB"/>
    <w:rsid w:val="0060451D"/>
    <w:rsid w:val="006075CF"/>
    <w:rsid w:val="00635D36"/>
    <w:rsid w:val="00645156"/>
    <w:rsid w:val="00653005"/>
    <w:rsid w:val="00664C7B"/>
    <w:rsid w:val="00676807"/>
    <w:rsid w:val="00681726"/>
    <w:rsid w:val="00683E50"/>
    <w:rsid w:val="006B3E56"/>
    <w:rsid w:val="006C743F"/>
    <w:rsid w:val="00702663"/>
    <w:rsid w:val="00713696"/>
    <w:rsid w:val="00713743"/>
    <w:rsid w:val="00715428"/>
    <w:rsid w:val="00734279"/>
    <w:rsid w:val="007524A0"/>
    <w:rsid w:val="0076007C"/>
    <w:rsid w:val="00772BC1"/>
    <w:rsid w:val="00790BBF"/>
    <w:rsid w:val="007A4121"/>
    <w:rsid w:val="007A5AEE"/>
    <w:rsid w:val="007A5F25"/>
    <w:rsid w:val="007B3F8F"/>
    <w:rsid w:val="007B612B"/>
    <w:rsid w:val="007C1F19"/>
    <w:rsid w:val="007C21DE"/>
    <w:rsid w:val="007E7D4E"/>
    <w:rsid w:val="007F447A"/>
    <w:rsid w:val="008204B9"/>
    <w:rsid w:val="00822192"/>
    <w:rsid w:val="0082401A"/>
    <w:rsid w:val="00831479"/>
    <w:rsid w:val="00832634"/>
    <w:rsid w:val="0084796C"/>
    <w:rsid w:val="00854BA8"/>
    <w:rsid w:val="008763DE"/>
    <w:rsid w:val="00877789"/>
    <w:rsid w:val="00886FA7"/>
    <w:rsid w:val="008E11DD"/>
    <w:rsid w:val="008E5D7C"/>
    <w:rsid w:val="008F1014"/>
    <w:rsid w:val="008F48CC"/>
    <w:rsid w:val="008F50A5"/>
    <w:rsid w:val="00900E77"/>
    <w:rsid w:val="00925864"/>
    <w:rsid w:val="009269D7"/>
    <w:rsid w:val="009272F5"/>
    <w:rsid w:val="00942DC5"/>
    <w:rsid w:val="00951C18"/>
    <w:rsid w:val="00957394"/>
    <w:rsid w:val="0096170C"/>
    <w:rsid w:val="00966281"/>
    <w:rsid w:val="00976BFC"/>
    <w:rsid w:val="00980076"/>
    <w:rsid w:val="00983699"/>
    <w:rsid w:val="009B644B"/>
    <w:rsid w:val="009B7ED2"/>
    <w:rsid w:val="009C02C9"/>
    <w:rsid w:val="009C1463"/>
    <w:rsid w:val="009C1F97"/>
    <w:rsid w:val="009E5E2A"/>
    <w:rsid w:val="009F7AA0"/>
    <w:rsid w:val="009F7E49"/>
    <w:rsid w:val="00A06FBC"/>
    <w:rsid w:val="00A1425A"/>
    <w:rsid w:val="00A2065B"/>
    <w:rsid w:val="00A33F12"/>
    <w:rsid w:val="00A5502B"/>
    <w:rsid w:val="00A63EEF"/>
    <w:rsid w:val="00A6481A"/>
    <w:rsid w:val="00A7503B"/>
    <w:rsid w:val="00A97957"/>
    <w:rsid w:val="00AA36D6"/>
    <w:rsid w:val="00AB09FF"/>
    <w:rsid w:val="00B0375A"/>
    <w:rsid w:val="00B16FB1"/>
    <w:rsid w:val="00B32915"/>
    <w:rsid w:val="00B57D84"/>
    <w:rsid w:val="00B668EE"/>
    <w:rsid w:val="00B77CEB"/>
    <w:rsid w:val="00B8100E"/>
    <w:rsid w:val="00B84A0D"/>
    <w:rsid w:val="00B9014B"/>
    <w:rsid w:val="00B94FF1"/>
    <w:rsid w:val="00BB541E"/>
    <w:rsid w:val="00BC5777"/>
    <w:rsid w:val="00BF70CE"/>
    <w:rsid w:val="00C01C72"/>
    <w:rsid w:val="00C02CBE"/>
    <w:rsid w:val="00C21309"/>
    <w:rsid w:val="00C223E1"/>
    <w:rsid w:val="00C2406B"/>
    <w:rsid w:val="00C307DB"/>
    <w:rsid w:val="00C5366A"/>
    <w:rsid w:val="00C7548E"/>
    <w:rsid w:val="00C77B7C"/>
    <w:rsid w:val="00C937AC"/>
    <w:rsid w:val="00CB5CD5"/>
    <w:rsid w:val="00CD11C1"/>
    <w:rsid w:val="00CD79FD"/>
    <w:rsid w:val="00CE677A"/>
    <w:rsid w:val="00CF7E64"/>
    <w:rsid w:val="00D0573B"/>
    <w:rsid w:val="00D1271C"/>
    <w:rsid w:val="00D14488"/>
    <w:rsid w:val="00D15217"/>
    <w:rsid w:val="00D16220"/>
    <w:rsid w:val="00D235C7"/>
    <w:rsid w:val="00D44A93"/>
    <w:rsid w:val="00D6054F"/>
    <w:rsid w:val="00D6610F"/>
    <w:rsid w:val="00D816FE"/>
    <w:rsid w:val="00D907A0"/>
    <w:rsid w:val="00DA7D42"/>
    <w:rsid w:val="00DB70DA"/>
    <w:rsid w:val="00DB76D5"/>
    <w:rsid w:val="00DC6A71"/>
    <w:rsid w:val="00DD3FF9"/>
    <w:rsid w:val="00E1064A"/>
    <w:rsid w:val="00E12081"/>
    <w:rsid w:val="00E31D66"/>
    <w:rsid w:val="00E56411"/>
    <w:rsid w:val="00E67451"/>
    <w:rsid w:val="00E73DBF"/>
    <w:rsid w:val="00E901A5"/>
    <w:rsid w:val="00EA34FE"/>
    <w:rsid w:val="00EB1267"/>
    <w:rsid w:val="00EC53E9"/>
    <w:rsid w:val="00EE009B"/>
    <w:rsid w:val="00EE4D7B"/>
    <w:rsid w:val="00EE5E6C"/>
    <w:rsid w:val="00EF0F3A"/>
    <w:rsid w:val="00EF2AFB"/>
    <w:rsid w:val="00F231F7"/>
    <w:rsid w:val="00F2357F"/>
    <w:rsid w:val="00F337F7"/>
    <w:rsid w:val="00F4059E"/>
    <w:rsid w:val="00F4141A"/>
    <w:rsid w:val="00F646B6"/>
    <w:rsid w:val="00F67A74"/>
    <w:rsid w:val="00F744DC"/>
    <w:rsid w:val="00F8119F"/>
    <w:rsid w:val="00F81CF4"/>
    <w:rsid w:val="00F841FF"/>
    <w:rsid w:val="00F91E56"/>
    <w:rsid w:val="00FA204E"/>
    <w:rsid w:val="00FA5F59"/>
    <w:rsid w:val="00FB5CB0"/>
    <w:rsid w:val="00FB76F3"/>
    <w:rsid w:val="00FD1095"/>
    <w:rsid w:val="00FD4830"/>
    <w:rsid w:val="00FE184E"/>
    <w:rsid w:val="00FF02EF"/>
    <w:rsid w:val="00FF0954"/>
    <w:rsid w:val="27501E77"/>
    <w:rsid w:val="332C530D"/>
    <w:rsid w:val="3FFFD040"/>
    <w:rsid w:val="6C9662E9"/>
    <w:rsid w:val="77CF1645"/>
    <w:rsid w:val="7D3C7572"/>
    <w:rsid w:val="7EBFEC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56DFC24"/>
  <w15:docId w15:val="{4D15FC67-18E0-46C1-BF02-ECAB62658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after="160" w:line="278" w:lineRule="auto"/>
    </w:pPr>
    <w:rPr>
      <w:kern w:val="2"/>
      <w:sz w:val="22"/>
      <w:szCs w:val="24"/>
      <w14:ligatures w14:val="standardContextual"/>
    </w:rPr>
  </w:style>
  <w:style w:type="paragraph" w:styleId="1">
    <w:name w:val="heading 1"/>
    <w:basedOn w:val="a"/>
    <w:next w:val="a"/>
    <w:link w:val="10"/>
    <w:uiPriority w:val="9"/>
    <w:qFormat/>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pPr>
      <w:keepNext/>
      <w:keepLines/>
      <w:spacing w:before="40" w:after="0"/>
      <w:outlineLvl w:val="5"/>
    </w:pPr>
    <w:rPr>
      <w:rFonts w:cstheme="majorBidi"/>
      <w:b/>
      <w:bCs/>
      <w:color w:val="0F4761" w:themeColor="accent1" w:themeShade="BF"/>
    </w:rPr>
  </w:style>
  <w:style w:type="paragraph" w:styleId="7">
    <w:name w:val="heading 7"/>
    <w:basedOn w:val="a"/>
    <w:next w:val="a"/>
    <w:link w:val="70"/>
    <w:uiPriority w:val="9"/>
    <w:semiHidden/>
    <w:unhideWhenUsed/>
    <w:qFormat/>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style>
  <w:style w:type="paragraph" w:styleId="a5">
    <w:name w:val="Body Text"/>
    <w:basedOn w:val="a"/>
    <w:link w:val="a6"/>
    <w:uiPriority w:val="99"/>
    <w:semiHidden/>
    <w:unhideWhenUsed/>
    <w:qFormat/>
    <w:pPr>
      <w:spacing w:after="120"/>
    </w:pPr>
  </w:style>
  <w:style w:type="paragraph" w:styleId="a7">
    <w:name w:val="Balloon Text"/>
    <w:basedOn w:val="a"/>
    <w:link w:val="a8"/>
    <w:uiPriority w:val="99"/>
    <w:semiHidden/>
    <w:unhideWhenUsed/>
    <w:qFormat/>
    <w:pPr>
      <w:spacing w:after="0" w:line="240" w:lineRule="auto"/>
    </w:pPr>
    <w:rPr>
      <w:sz w:val="18"/>
      <w:szCs w:val="18"/>
    </w:rPr>
  </w:style>
  <w:style w:type="paragraph" w:styleId="a9">
    <w:name w:val="footer"/>
    <w:basedOn w:val="a"/>
    <w:link w:val="aa"/>
    <w:uiPriority w:val="99"/>
    <w:unhideWhenUsed/>
    <w:qFormat/>
    <w:pPr>
      <w:tabs>
        <w:tab w:val="center" w:pos="4153"/>
        <w:tab w:val="right" w:pos="8306"/>
      </w:tabs>
      <w:snapToGrid w:val="0"/>
      <w:spacing w:line="240" w:lineRule="auto"/>
    </w:pPr>
    <w:rPr>
      <w:sz w:val="18"/>
      <w:szCs w:val="18"/>
    </w:rPr>
  </w:style>
  <w:style w:type="paragraph" w:styleId="ab">
    <w:name w:val="header"/>
    <w:basedOn w:val="a"/>
    <w:link w:val="ac"/>
    <w:uiPriority w:val="99"/>
    <w:unhideWhenUsed/>
    <w:qFormat/>
    <w:pPr>
      <w:tabs>
        <w:tab w:val="center" w:pos="4153"/>
        <w:tab w:val="right" w:pos="8306"/>
      </w:tabs>
      <w:snapToGrid w:val="0"/>
      <w:spacing w:line="240" w:lineRule="auto"/>
      <w:jc w:val="center"/>
    </w:pPr>
    <w:rPr>
      <w:sz w:val="18"/>
      <w:szCs w:val="18"/>
    </w:rPr>
  </w:style>
  <w:style w:type="paragraph" w:styleId="ad">
    <w:name w:val="Subtitle"/>
    <w:basedOn w:val="a"/>
    <w:next w:val="a"/>
    <w:link w:val="ae"/>
    <w:uiPriority w:val="11"/>
    <w:qFormat/>
    <w:pPr>
      <w:jc w:val="center"/>
    </w:pPr>
    <w:rPr>
      <w:rFonts w:asciiTheme="majorHAnsi" w:eastAsiaTheme="majorEastAsia" w:hAnsiTheme="majorHAnsi" w:cstheme="majorBidi"/>
      <w:color w:val="595959" w:themeColor="text1" w:themeTint="A6"/>
      <w:spacing w:val="15"/>
      <w:sz w:val="28"/>
      <w:szCs w:val="28"/>
    </w:rPr>
  </w:style>
  <w:style w:type="paragraph" w:styleId="af">
    <w:name w:val="Title"/>
    <w:basedOn w:val="a"/>
    <w:next w:val="a"/>
    <w:link w:val="af0"/>
    <w:uiPriority w:val="10"/>
    <w:qFormat/>
    <w:pPr>
      <w:spacing w:after="80" w:line="240" w:lineRule="auto"/>
      <w:contextualSpacing/>
      <w:jc w:val="center"/>
    </w:pPr>
    <w:rPr>
      <w:rFonts w:asciiTheme="majorHAnsi" w:eastAsiaTheme="majorEastAsia" w:hAnsiTheme="majorHAnsi" w:cstheme="majorBidi"/>
      <w:spacing w:val="-10"/>
      <w:kern w:val="28"/>
      <w:sz w:val="56"/>
      <w:szCs w:val="56"/>
    </w:rPr>
  </w:style>
  <w:style w:type="paragraph" w:styleId="af1">
    <w:name w:val="annotation subject"/>
    <w:basedOn w:val="a3"/>
    <w:next w:val="a3"/>
    <w:link w:val="af2"/>
    <w:uiPriority w:val="99"/>
    <w:semiHidden/>
    <w:unhideWhenUsed/>
    <w:qFormat/>
    <w:rPr>
      <w:b/>
      <w:bCs/>
    </w:rPr>
  </w:style>
  <w:style w:type="table" w:styleId="af3">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annotation reference"/>
    <w:basedOn w:val="a0"/>
    <w:uiPriority w:val="99"/>
    <w:semiHidden/>
    <w:unhideWhenUsed/>
    <w:qFormat/>
    <w:rPr>
      <w:sz w:val="21"/>
      <w:szCs w:val="21"/>
    </w:rPr>
  </w:style>
  <w:style w:type="character" w:customStyle="1" w:styleId="10">
    <w:name w:val="标题 1 字符"/>
    <w:basedOn w:val="a0"/>
    <w:link w:val="1"/>
    <w:uiPriority w:val="9"/>
    <w:qFormat/>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qFormat/>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qFormat/>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qFormat/>
    <w:rPr>
      <w:rFonts w:cstheme="majorBidi"/>
      <w:color w:val="0F4761" w:themeColor="accent1" w:themeShade="BF"/>
      <w:sz w:val="28"/>
      <w:szCs w:val="28"/>
    </w:rPr>
  </w:style>
  <w:style w:type="character" w:customStyle="1" w:styleId="50">
    <w:name w:val="标题 5 字符"/>
    <w:basedOn w:val="a0"/>
    <w:link w:val="5"/>
    <w:uiPriority w:val="9"/>
    <w:semiHidden/>
    <w:qFormat/>
    <w:rPr>
      <w:rFonts w:cstheme="majorBidi"/>
      <w:color w:val="0F4761" w:themeColor="accent1" w:themeShade="BF"/>
      <w:sz w:val="24"/>
    </w:rPr>
  </w:style>
  <w:style w:type="character" w:customStyle="1" w:styleId="60">
    <w:name w:val="标题 6 字符"/>
    <w:basedOn w:val="a0"/>
    <w:link w:val="6"/>
    <w:uiPriority w:val="9"/>
    <w:semiHidden/>
    <w:qFormat/>
    <w:rPr>
      <w:rFonts w:cstheme="majorBidi"/>
      <w:b/>
      <w:bCs/>
      <w:color w:val="0F4761" w:themeColor="accent1" w:themeShade="BF"/>
    </w:rPr>
  </w:style>
  <w:style w:type="character" w:customStyle="1" w:styleId="70">
    <w:name w:val="标题 7 字符"/>
    <w:basedOn w:val="a0"/>
    <w:link w:val="7"/>
    <w:uiPriority w:val="9"/>
    <w:semiHidden/>
    <w:qFormat/>
    <w:rPr>
      <w:rFonts w:cstheme="majorBidi"/>
      <w:b/>
      <w:bCs/>
      <w:color w:val="595959" w:themeColor="text1" w:themeTint="A6"/>
    </w:rPr>
  </w:style>
  <w:style w:type="character" w:customStyle="1" w:styleId="80">
    <w:name w:val="标题 8 字符"/>
    <w:basedOn w:val="a0"/>
    <w:link w:val="8"/>
    <w:uiPriority w:val="9"/>
    <w:semiHidden/>
    <w:qFormat/>
    <w:rPr>
      <w:rFonts w:cstheme="majorBidi"/>
      <w:color w:val="595959" w:themeColor="text1" w:themeTint="A6"/>
    </w:rPr>
  </w:style>
  <w:style w:type="character" w:customStyle="1" w:styleId="90">
    <w:name w:val="标题 9 字符"/>
    <w:basedOn w:val="a0"/>
    <w:link w:val="9"/>
    <w:uiPriority w:val="9"/>
    <w:semiHidden/>
    <w:qFormat/>
    <w:rPr>
      <w:rFonts w:eastAsiaTheme="majorEastAsia" w:cstheme="majorBidi"/>
      <w:color w:val="595959" w:themeColor="text1" w:themeTint="A6"/>
    </w:rPr>
  </w:style>
  <w:style w:type="character" w:customStyle="1" w:styleId="af0">
    <w:name w:val="标题 字符"/>
    <w:basedOn w:val="a0"/>
    <w:link w:val="af"/>
    <w:uiPriority w:val="10"/>
    <w:qFormat/>
    <w:rPr>
      <w:rFonts w:asciiTheme="majorHAnsi" w:eastAsiaTheme="majorEastAsia" w:hAnsiTheme="majorHAnsi" w:cstheme="majorBidi"/>
      <w:spacing w:val="-10"/>
      <w:kern w:val="28"/>
      <w:sz w:val="56"/>
      <w:szCs w:val="56"/>
    </w:rPr>
  </w:style>
  <w:style w:type="character" w:customStyle="1" w:styleId="ae">
    <w:name w:val="副标题 字符"/>
    <w:basedOn w:val="a0"/>
    <w:link w:val="ad"/>
    <w:uiPriority w:val="11"/>
    <w:qFormat/>
    <w:rPr>
      <w:rFonts w:asciiTheme="majorHAnsi" w:eastAsiaTheme="majorEastAsia" w:hAnsiTheme="majorHAnsi" w:cstheme="majorBidi"/>
      <w:color w:val="595959" w:themeColor="text1" w:themeTint="A6"/>
      <w:spacing w:val="15"/>
      <w:sz w:val="28"/>
      <w:szCs w:val="28"/>
    </w:rPr>
  </w:style>
  <w:style w:type="paragraph" w:styleId="af5">
    <w:name w:val="Quote"/>
    <w:basedOn w:val="a"/>
    <w:next w:val="a"/>
    <w:link w:val="af6"/>
    <w:uiPriority w:val="29"/>
    <w:qFormat/>
    <w:pPr>
      <w:spacing w:before="160"/>
      <w:jc w:val="center"/>
    </w:pPr>
    <w:rPr>
      <w:i/>
      <w:iCs/>
      <w:color w:val="404040" w:themeColor="text1" w:themeTint="BF"/>
    </w:rPr>
  </w:style>
  <w:style w:type="character" w:customStyle="1" w:styleId="af6">
    <w:name w:val="引用 字符"/>
    <w:basedOn w:val="a0"/>
    <w:link w:val="af5"/>
    <w:uiPriority w:val="29"/>
    <w:qFormat/>
    <w:rPr>
      <w:i/>
      <w:iCs/>
      <w:color w:val="404040" w:themeColor="text1" w:themeTint="BF"/>
    </w:rPr>
  </w:style>
  <w:style w:type="paragraph" w:styleId="af7">
    <w:name w:val="List Paragraph"/>
    <w:basedOn w:val="a"/>
    <w:uiPriority w:val="34"/>
    <w:qFormat/>
    <w:pPr>
      <w:ind w:left="720"/>
      <w:contextualSpacing/>
    </w:pPr>
  </w:style>
  <w:style w:type="character" w:customStyle="1" w:styleId="11">
    <w:name w:val="明显强调1"/>
    <w:basedOn w:val="a0"/>
    <w:uiPriority w:val="21"/>
    <w:qFormat/>
    <w:rPr>
      <w:i/>
      <w:iCs/>
      <w:color w:val="0F4761" w:themeColor="accent1" w:themeShade="BF"/>
    </w:rPr>
  </w:style>
  <w:style w:type="paragraph" w:styleId="af8">
    <w:name w:val="Intense Quote"/>
    <w:basedOn w:val="a"/>
    <w:next w:val="a"/>
    <w:link w:val="af9"/>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f9">
    <w:name w:val="明显引用 字符"/>
    <w:basedOn w:val="a0"/>
    <w:link w:val="af8"/>
    <w:uiPriority w:val="30"/>
    <w:qFormat/>
    <w:rPr>
      <w:i/>
      <w:iCs/>
      <w:color w:val="0F4761" w:themeColor="accent1" w:themeShade="BF"/>
    </w:rPr>
  </w:style>
  <w:style w:type="character" w:customStyle="1" w:styleId="12">
    <w:name w:val="明显参考1"/>
    <w:basedOn w:val="a0"/>
    <w:uiPriority w:val="32"/>
    <w:qFormat/>
    <w:rPr>
      <w:b/>
      <w:bCs/>
      <w:smallCaps/>
      <w:color w:val="0F4761" w:themeColor="accent1" w:themeShade="BF"/>
      <w:spacing w:val="5"/>
    </w:r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a6">
    <w:name w:val="正文文本 字符"/>
    <w:basedOn w:val="a0"/>
    <w:link w:val="a5"/>
    <w:uiPriority w:val="99"/>
    <w:semiHidden/>
    <w:qFormat/>
  </w:style>
  <w:style w:type="character" w:customStyle="1" w:styleId="a4">
    <w:name w:val="批注文字 字符"/>
    <w:basedOn w:val="a0"/>
    <w:link w:val="a3"/>
    <w:uiPriority w:val="99"/>
    <w:semiHidden/>
    <w:qFormat/>
  </w:style>
  <w:style w:type="character" w:customStyle="1" w:styleId="af2">
    <w:name w:val="批注主题 字符"/>
    <w:basedOn w:val="a4"/>
    <w:link w:val="af1"/>
    <w:uiPriority w:val="99"/>
    <w:semiHidden/>
    <w:qFormat/>
    <w:rPr>
      <w:b/>
      <w:bCs/>
    </w:rPr>
  </w:style>
  <w:style w:type="character" w:customStyle="1" w:styleId="a8">
    <w:name w:val="批注框文本 字符"/>
    <w:basedOn w:val="a0"/>
    <w:link w:val="a7"/>
    <w:uiPriority w:val="99"/>
    <w:semiHidden/>
    <w:qFormat/>
    <w:rPr>
      <w:sz w:val="18"/>
      <w:szCs w:val="18"/>
    </w:rPr>
  </w:style>
  <w:style w:type="paragraph" w:customStyle="1" w:styleId="13">
    <w:name w:val="修订1"/>
    <w:hidden/>
    <w:uiPriority w:val="99"/>
    <w:semiHidden/>
    <w:qFormat/>
    <w:rPr>
      <w:kern w:val="2"/>
      <w:sz w:val="22"/>
      <w:szCs w:val="24"/>
      <w14:ligatures w14:val="standardContextual"/>
    </w:rPr>
  </w:style>
  <w:style w:type="table" w:customStyle="1" w:styleId="110">
    <w:name w:val="网格型11"/>
    <w:basedOn w:val="a1"/>
    <w:uiPriority w:val="59"/>
    <w:qFormat/>
    <w:rPr>
      <w:rFonts w:ascii="等线" w:eastAsia="等线" w:hAnsi="等线"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a">
    <w:name w:val="Revision"/>
    <w:hidden/>
    <w:uiPriority w:val="99"/>
    <w:semiHidden/>
    <w:rsid w:val="009C1463"/>
    <w:rPr>
      <w:kern w:val="2"/>
      <w:sz w:val="22"/>
      <w:szCs w:val="24"/>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43524B-9CA8-48E1-8EBB-DA763AD3ED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238</TotalTime>
  <Pages>2</Pages>
  <Words>82</Words>
  <Characters>471</Characters>
  <Application>Microsoft Office Word</Application>
  <DocSecurity>0</DocSecurity>
  <Lines>3</Lines>
  <Paragraphs>1</Paragraphs>
  <ScaleCrop>false</ScaleCrop>
  <Company>Microsoft</Company>
  <LinksUpToDate>false</LinksUpToDate>
  <CharactersWithSpaces>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嘉诚 高</dc:creator>
  <cp:lastModifiedBy>Yang LI</cp:lastModifiedBy>
  <cp:revision>38</cp:revision>
  <dcterms:created xsi:type="dcterms:W3CDTF">2025-05-13T03:02:00Z</dcterms:created>
  <dcterms:modified xsi:type="dcterms:W3CDTF">2025-11-18T06:57:00Z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eyJoZGlkIjoiNDBkMzZhYjg1MTA5NWQxZDBlZTkzNTdlNjQ1NThlNjAiLCJ1c2VySWQiOiIxOTk5NDQxOTYifQ==</vt:lpwstr>
  </property>
  <property fmtid="{D5CDD505-2E9C-101B-9397-08002B2CF9AE}" pid="3" name="KSOProductBuildVer">
    <vt:lpwstr>2052-12.1.0.23125</vt:lpwstr>
  </property>
  <property fmtid="{D5CDD505-2E9C-101B-9397-08002B2CF9AE}" pid="4" name="ICV">
    <vt:lpwstr>2A2B3D671556C61594AB226828BA22E6_43</vt:lpwstr>
  </property>
</Properties>
</file>