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073CB8" w14:textId="77777777" w:rsidR="008B31A5" w:rsidRDefault="006242DD">
      <w:pPr>
        <w:pStyle w:val="1"/>
        <w:widowControl/>
        <w:shd w:val="clear" w:color="auto" w:fill="FFFFFF"/>
        <w:spacing w:beforeAutospacing="0" w:afterAutospacing="0" w:line="360" w:lineRule="auto"/>
        <w:jc w:val="center"/>
        <w:rPr>
          <w:rFonts w:ascii="Times New Roman" w:eastAsia="黑体" w:hAnsi="Times New Roman" w:hint="default"/>
          <w:sz w:val="30"/>
          <w:szCs w:val="30"/>
          <w:shd w:val="clear" w:color="auto" w:fill="FFFFFF"/>
        </w:rPr>
      </w:pPr>
      <w:proofErr w:type="gramStart"/>
      <w:r>
        <w:rPr>
          <w:rFonts w:ascii="Times New Roman" w:eastAsia="黑体" w:hAnsi="Times New Roman"/>
          <w:sz w:val="30"/>
          <w:szCs w:val="30"/>
          <w:shd w:val="clear" w:color="auto" w:fill="FFFFFF"/>
        </w:rPr>
        <w:t>国泰海通</w:t>
      </w:r>
      <w:proofErr w:type="gramEnd"/>
      <w:r>
        <w:rPr>
          <w:rFonts w:ascii="Times New Roman" w:eastAsia="黑体" w:hAnsi="Times New Roman"/>
          <w:sz w:val="30"/>
          <w:szCs w:val="30"/>
          <w:shd w:val="clear" w:color="auto" w:fill="FFFFFF"/>
        </w:rPr>
        <w:t>证券股份有限公司</w:t>
      </w:r>
    </w:p>
    <w:p w14:paraId="364E10A1" w14:textId="77777777" w:rsidR="008B31A5" w:rsidRDefault="006242DD">
      <w:pPr>
        <w:pStyle w:val="1"/>
        <w:widowControl/>
        <w:shd w:val="clear" w:color="auto" w:fill="FFFFFF"/>
        <w:spacing w:beforeAutospacing="0" w:afterAutospacing="0" w:line="360" w:lineRule="auto"/>
        <w:jc w:val="center"/>
        <w:rPr>
          <w:rFonts w:ascii="Times New Roman" w:eastAsia="黑体" w:hAnsi="Times New Roman" w:hint="default"/>
          <w:sz w:val="30"/>
          <w:szCs w:val="30"/>
          <w:shd w:val="clear" w:color="auto" w:fill="FFFFFF"/>
        </w:rPr>
      </w:pPr>
      <w:r>
        <w:rPr>
          <w:rFonts w:ascii="Times New Roman" w:eastAsia="黑体" w:hAnsi="Times New Roman"/>
          <w:sz w:val="30"/>
          <w:szCs w:val="30"/>
          <w:shd w:val="clear" w:color="auto" w:fill="FFFFFF"/>
        </w:rPr>
        <w:t>关于广东天亿马信息产业股份有限公司本次交易</w:t>
      </w:r>
    </w:p>
    <w:p w14:paraId="3CB1463F" w14:textId="77777777" w:rsidR="008B31A5" w:rsidRDefault="006242DD">
      <w:pPr>
        <w:pStyle w:val="1"/>
        <w:widowControl/>
        <w:shd w:val="clear" w:color="auto" w:fill="FFFFFF"/>
        <w:spacing w:beforeAutospacing="0" w:afterAutospacing="0" w:line="360" w:lineRule="auto"/>
        <w:jc w:val="center"/>
        <w:rPr>
          <w:rFonts w:ascii="Times New Roman" w:eastAsia="黑体" w:hAnsi="Times New Roman" w:hint="default"/>
          <w:sz w:val="30"/>
          <w:szCs w:val="30"/>
          <w:shd w:val="clear" w:color="auto" w:fill="FFFFFF"/>
        </w:rPr>
      </w:pPr>
      <w:r>
        <w:rPr>
          <w:rFonts w:ascii="Times New Roman" w:eastAsia="黑体" w:hAnsi="Times New Roman"/>
          <w:sz w:val="30"/>
          <w:szCs w:val="30"/>
          <w:shd w:val="clear" w:color="auto" w:fill="FFFFFF"/>
        </w:rPr>
        <w:t>符合《</w:t>
      </w:r>
      <w:bookmarkStart w:id="0" w:name="OLE_LINK2"/>
      <w:r>
        <w:rPr>
          <w:rFonts w:ascii="Times New Roman" w:eastAsia="黑体" w:hAnsi="Times New Roman"/>
          <w:sz w:val="30"/>
          <w:szCs w:val="30"/>
          <w:shd w:val="clear" w:color="auto" w:fill="FFFFFF"/>
        </w:rPr>
        <w:t>上市公司监管指引第</w:t>
      </w:r>
      <w:r>
        <w:rPr>
          <w:rFonts w:ascii="Times New Roman" w:eastAsia="黑体" w:hAnsi="Times New Roman"/>
          <w:sz w:val="30"/>
          <w:szCs w:val="30"/>
          <w:shd w:val="clear" w:color="auto" w:fill="FFFFFF"/>
        </w:rPr>
        <w:t>9</w:t>
      </w:r>
      <w:r>
        <w:rPr>
          <w:rFonts w:ascii="Times New Roman" w:eastAsia="黑体" w:hAnsi="Times New Roman"/>
          <w:sz w:val="30"/>
          <w:szCs w:val="30"/>
          <w:shd w:val="clear" w:color="auto" w:fill="FFFFFF"/>
        </w:rPr>
        <w:t>号</w:t>
      </w:r>
      <w:bookmarkEnd w:id="0"/>
      <w:r>
        <w:rPr>
          <w:rFonts w:ascii="Times New Roman" w:eastAsia="黑体" w:hAnsi="Times New Roman"/>
          <w:sz w:val="30"/>
          <w:szCs w:val="30"/>
          <w:shd w:val="clear" w:color="auto" w:fill="FFFFFF"/>
        </w:rPr>
        <w:t>——上市公司筹划和实施重大资产重组的监管要求》第四条规定的核查意见</w:t>
      </w:r>
    </w:p>
    <w:p w14:paraId="77E0ABD6" w14:textId="77777777" w:rsidR="008B31A5" w:rsidRDefault="008B31A5">
      <w:pPr>
        <w:jc w:val="center"/>
      </w:pPr>
    </w:p>
    <w:p w14:paraId="012D1F7E" w14:textId="13150CE2" w:rsidR="008B31A5" w:rsidRDefault="006242DD" w:rsidP="00BC4E44">
      <w:pPr>
        <w:pStyle w:val="af"/>
        <w:widowControl/>
        <w:shd w:val="clear" w:color="auto" w:fill="FFFFFF"/>
        <w:spacing w:beforeLines="50" w:before="156" w:beforeAutospacing="0" w:afterLines="50" w:after="156" w:afterAutospacing="0" w:line="360" w:lineRule="auto"/>
        <w:ind w:firstLineChars="200" w:firstLine="480"/>
        <w:jc w:val="both"/>
        <w:rPr>
          <w:rFonts w:ascii="Times New Roman" w:eastAsia="宋体" w:hAnsi="Times New Roman"/>
        </w:rPr>
      </w:pPr>
      <w:r>
        <w:rPr>
          <w:rFonts w:ascii="Times New Roman" w:eastAsia="宋体" w:hAnsi="Times New Roman" w:hint="eastAsia"/>
          <w:shd w:val="clear" w:color="auto" w:fill="FFFFFF"/>
        </w:rPr>
        <w:t>广东天亿马信息产业股份有限公司（以下简称“公司”）拟通过发行股份及支付现金的方式购买广东星云开物科技股份有限公司（以下简称“星云开物”或“标的公司”）</w:t>
      </w:r>
      <w:r>
        <w:rPr>
          <w:rFonts w:ascii="Times New Roman" w:eastAsia="宋体" w:hAnsi="Times New Roman" w:hint="eastAsia"/>
          <w:shd w:val="clear" w:color="auto" w:fill="FFFFFF"/>
        </w:rPr>
        <w:t>98.5632%</w:t>
      </w:r>
      <w:r w:rsidR="002B5D67">
        <w:rPr>
          <w:rFonts w:ascii="Times New Roman" w:eastAsia="宋体" w:hAnsi="Times New Roman" w:hint="eastAsia"/>
          <w:shd w:val="clear" w:color="auto" w:fill="FFFFFF"/>
        </w:rPr>
        <w:t>股权</w:t>
      </w:r>
      <w:r>
        <w:rPr>
          <w:rFonts w:ascii="Times New Roman" w:eastAsia="宋体" w:hAnsi="Times New Roman" w:hint="eastAsia"/>
          <w:shd w:val="clear" w:color="auto" w:fill="FFFFFF"/>
        </w:rPr>
        <w:t>（以下简称“标的资产”）并募集配套资金（以下简称“本次交易”）</w:t>
      </w:r>
      <w:r>
        <w:rPr>
          <w:rFonts w:ascii="Times New Roman" w:eastAsia="宋体" w:hAnsi="Times New Roman"/>
        </w:rPr>
        <w:t>。</w:t>
      </w:r>
    </w:p>
    <w:p w14:paraId="3B1DC3DF" w14:textId="55223757" w:rsidR="008B31A5" w:rsidRDefault="006242DD" w:rsidP="00BC4E44">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proofErr w:type="gramStart"/>
      <w:r>
        <w:rPr>
          <w:rFonts w:ascii="Times New Roman" w:eastAsia="宋体" w:hAnsi="Times New Roman" w:hint="eastAsia"/>
          <w:shd w:val="clear" w:color="auto" w:fill="FFFFFF"/>
        </w:rPr>
        <w:t>国泰海通</w:t>
      </w:r>
      <w:proofErr w:type="gramEnd"/>
      <w:r>
        <w:rPr>
          <w:rFonts w:ascii="Times New Roman" w:eastAsia="宋体" w:hAnsi="Times New Roman" w:hint="eastAsia"/>
          <w:shd w:val="clear" w:color="auto" w:fill="FFFFFF"/>
        </w:rPr>
        <w:t>证券股份有限公司（以下简称</w:t>
      </w:r>
      <w:r w:rsidR="001D2228" w:rsidDel="001D2228">
        <w:rPr>
          <w:rFonts w:ascii="Times New Roman" w:eastAsia="宋体" w:hAnsi="Times New Roman" w:hint="eastAsia"/>
          <w:shd w:val="clear" w:color="auto" w:fill="FFFFFF"/>
        </w:rPr>
        <w:t xml:space="preserve"> </w:t>
      </w:r>
      <w:r>
        <w:rPr>
          <w:rFonts w:ascii="Times New Roman" w:eastAsia="宋体" w:hAnsi="Times New Roman" w:hint="eastAsia"/>
          <w:shd w:val="clear" w:color="auto" w:fill="FFFFFF"/>
        </w:rPr>
        <w:t>“独立财务顾问”）接受上市公司委托，担任上市公司本次交易的独立财务顾问，对本次交易是否符合《上市公司监管指引第</w:t>
      </w:r>
      <w:r>
        <w:rPr>
          <w:rFonts w:ascii="Times New Roman" w:eastAsia="宋体" w:hAnsi="Times New Roman" w:hint="eastAsia"/>
          <w:shd w:val="clear" w:color="auto" w:fill="FFFFFF"/>
        </w:rPr>
        <w:t>9</w:t>
      </w:r>
      <w:r>
        <w:rPr>
          <w:rFonts w:ascii="Times New Roman" w:eastAsia="宋体" w:hAnsi="Times New Roman" w:hint="eastAsia"/>
          <w:shd w:val="clear" w:color="auto" w:fill="FFFFFF"/>
        </w:rPr>
        <w:t>号——上市公司筹划和实施重大资产重组的监管要求》第四条规定进行了核查并发表如下意见：</w:t>
      </w:r>
    </w:p>
    <w:p w14:paraId="1717B243" w14:textId="3E705A38" w:rsidR="008B31A5" w:rsidRDefault="006242DD" w:rsidP="00BC4E44">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1</w:t>
      </w:r>
      <w:r>
        <w:rPr>
          <w:rFonts w:ascii="Times New Roman" w:eastAsia="宋体" w:hAnsi="Times New Roman" w:hint="eastAsia"/>
          <w:shd w:val="clear" w:color="auto" w:fill="FFFFFF"/>
        </w:rPr>
        <w:t>、本次交易</w:t>
      </w:r>
      <w:r w:rsidR="00C32145">
        <w:rPr>
          <w:rFonts w:ascii="Times New Roman" w:eastAsia="宋体" w:hAnsi="Times New Roman" w:hint="eastAsia"/>
          <w:shd w:val="clear" w:color="auto" w:fill="FFFFFF"/>
        </w:rPr>
        <w:t>的</w:t>
      </w:r>
      <w:r>
        <w:rPr>
          <w:rFonts w:ascii="Times New Roman" w:eastAsia="宋体" w:hAnsi="Times New Roman" w:hint="eastAsia"/>
          <w:shd w:val="clear" w:color="auto" w:fill="FFFFFF"/>
        </w:rPr>
        <w:t>标的资产为股权资产，不涉及立项、环保、行业准入、用地、规划、建设施工等有关报批事项。本次交易已经履行的程序、尚需履行的程序已在</w:t>
      </w:r>
      <w:r w:rsidR="00BC4E44">
        <w:rPr>
          <w:rFonts w:ascii="Times New Roman" w:eastAsia="宋体" w:hAnsi="Times New Roman" w:hint="eastAsia"/>
          <w:shd w:val="clear" w:color="auto" w:fill="FFFFFF"/>
        </w:rPr>
        <w:t>《广东天亿马信息产业股份有限公司发行股份及支付现金购买资产并募集配套资金</w:t>
      </w:r>
      <w:r w:rsidR="00696191" w:rsidRPr="00696191">
        <w:rPr>
          <w:rFonts w:ascii="Times New Roman" w:eastAsia="宋体" w:hAnsi="Times New Roman" w:hint="eastAsia"/>
          <w:shd w:val="clear" w:color="auto" w:fill="FFFFFF"/>
        </w:rPr>
        <w:t>暨关联交易报告书（草案）</w:t>
      </w:r>
      <w:r w:rsidR="00BC4E44">
        <w:rPr>
          <w:rFonts w:ascii="Times New Roman" w:eastAsia="宋体" w:hAnsi="Times New Roman" w:hint="eastAsia"/>
          <w:shd w:val="clear" w:color="auto" w:fill="FFFFFF"/>
        </w:rPr>
        <w:t>》</w:t>
      </w:r>
      <w:r>
        <w:rPr>
          <w:rFonts w:ascii="Times New Roman" w:eastAsia="宋体" w:hAnsi="Times New Roman" w:hint="eastAsia"/>
          <w:shd w:val="clear" w:color="auto" w:fill="FFFFFF"/>
        </w:rPr>
        <w:t>中详细披露，并对可能无法获得批准的风险</w:t>
      </w:r>
      <w:proofErr w:type="gramStart"/>
      <w:r>
        <w:rPr>
          <w:rFonts w:ascii="Times New Roman" w:eastAsia="宋体" w:hAnsi="Times New Roman" w:hint="eastAsia"/>
          <w:shd w:val="clear" w:color="auto" w:fill="FFFFFF"/>
        </w:rPr>
        <w:t>作出</w:t>
      </w:r>
      <w:proofErr w:type="gramEnd"/>
      <w:r>
        <w:rPr>
          <w:rFonts w:ascii="Times New Roman" w:eastAsia="宋体" w:hAnsi="Times New Roman" w:hint="eastAsia"/>
          <w:shd w:val="clear" w:color="auto" w:fill="FFFFFF"/>
        </w:rPr>
        <w:t>了特别提示。</w:t>
      </w:r>
    </w:p>
    <w:p w14:paraId="031E6652" w14:textId="77777777" w:rsidR="008B31A5" w:rsidRDefault="006242DD" w:rsidP="00BC4E44">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2</w:t>
      </w:r>
      <w:r>
        <w:rPr>
          <w:rFonts w:ascii="Times New Roman" w:eastAsia="宋体" w:hAnsi="Times New Roman" w:hint="eastAsia"/>
          <w:shd w:val="clear" w:color="auto" w:fill="FFFFFF"/>
        </w:rPr>
        <w:t>、标的公司为依法设立且有效存续的公司，不存在出资不实或影响其合法存续的情形。交易对方已出具承诺函，承诺其已依据相关法律法规及标的公司之公司章程履行出资义务，不存在任何虚假出资、抽逃出资、出资不实、出资瑕疵等违反股东义务及责任的行为。</w:t>
      </w:r>
    </w:p>
    <w:p w14:paraId="2DBA2739" w14:textId="1CB1D980" w:rsidR="00C32145" w:rsidRDefault="006242DD" w:rsidP="00BC4E44">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3</w:t>
      </w:r>
      <w:r>
        <w:rPr>
          <w:rFonts w:ascii="Times New Roman" w:eastAsia="宋体" w:hAnsi="Times New Roman" w:hint="eastAsia"/>
          <w:shd w:val="clear" w:color="auto" w:fill="FFFFFF"/>
        </w:rPr>
        <w:t>、标的公司拥有独立完整的业务体系，能够独立自主地进行生产经营活动，本次交易有利于提高公司资产的完整性，有利于公司在人员、采购、生产、销售、知识产权等方面保持独立。</w:t>
      </w:r>
    </w:p>
    <w:p w14:paraId="415E546C" w14:textId="77777777" w:rsidR="008B31A5" w:rsidRDefault="006242DD" w:rsidP="00C32145">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lastRenderedPageBreak/>
        <w:t>4</w:t>
      </w:r>
      <w:r>
        <w:rPr>
          <w:rFonts w:ascii="Times New Roman" w:eastAsia="宋体" w:hAnsi="Times New Roman" w:hint="eastAsia"/>
          <w:shd w:val="clear" w:color="auto" w:fill="FFFFFF"/>
        </w:rPr>
        <w:t>、本次交易有利于公司改善财务状况、增强持续盈利能力，有利于公司突出主业、增强抗风险能力，有利于公司增强独立性，不会导致新增重大不利影响的同业竞争，以及严重影响独立性或者显失公平的关联交易</w:t>
      </w:r>
      <w:r>
        <w:rPr>
          <w:rFonts w:ascii="Times New Roman" w:eastAsia="宋体" w:hAnsi="Times New Roman"/>
          <w:shd w:val="clear" w:color="auto" w:fill="FFFFFF"/>
        </w:rPr>
        <w:t>。</w:t>
      </w:r>
    </w:p>
    <w:p w14:paraId="5AD97ADD" w14:textId="6DF1D59E" w:rsidR="008B31A5" w:rsidRDefault="001D2228" w:rsidP="00BC4E44">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r>
        <w:rPr>
          <w:rFonts w:ascii="Times New Roman" w:eastAsia="宋体" w:hAnsi="Times New Roman" w:hint="eastAsia"/>
          <w:shd w:val="clear" w:color="auto" w:fill="FFFFFF"/>
        </w:rPr>
        <w:t>经核查，独立财务顾问认为：</w:t>
      </w:r>
      <w:r w:rsidR="006242DD">
        <w:rPr>
          <w:rFonts w:ascii="Times New Roman" w:eastAsia="宋体" w:hAnsi="Times New Roman" w:hint="eastAsia"/>
          <w:shd w:val="clear" w:color="auto" w:fill="FFFFFF"/>
        </w:rPr>
        <w:t>本次交易符合《上市公司监管指引第</w:t>
      </w:r>
      <w:r w:rsidR="006242DD">
        <w:rPr>
          <w:rFonts w:ascii="Times New Roman" w:eastAsia="宋体" w:hAnsi="Times New Roman" w:hint="eastAsia"/>
          <w:shd w:val="clear" w:color="auto" w:fill="FFFFFF"/>
        </w:rPr>
        <w:t>9</w:t>
      </w:r>
      <w:r w:rsidR="006242DD">
        <w:rPr>
          <w:rFonts w:ascii="Times New Roman" w:eastAsia="宋体" w:hAnsi="Times New Roman" w:hint="eastAsia"/>
          <w:shd w:val="clear" w:color="auto" w:fill="FFFFFF"/>
        </w:rPr>
        <w:t>号——上市公司筹划和实施重大资产重组的监管要求》第四条的规定。</w:t>
      </w:r>
    </w:p>
    <w:p w14:paraId="644B6300" w14:textId="77777777" w:rsidR="008B31A5" w:rsidRDefault="006242DD" w:rsidP="00BC4E44">
      <w:pPr>
        <w:pStyle w:val="af"/>
        <w:widowControl/>
        <w:shd w:val="clear" w:color="auto" w:fill="FFFFFF"/>
        <w:spacing w:beforeLines="50" w:before="156" w:beforeAutospacing="0" w:afterLines="50" w:after="156" w:afterAutospacing="0" w:line="360" w:lineRule="auto"/>
        <w:ind w:firstLineChars="200" w:firstLine="480"/>
        <w:jc w:val="both"/>
        <w:rPr>
          <w:rFonts w:ascii="Times New Roman" w:eastAsia="宋体" w:hAnsi="Times New Roman"/>
          <w:shd w:val="clear" w:color="auto" w:fill="FFFFFF"/>
        </w:rPr>
      </w:pPr>
      <w:r>
        <w:rPr>
          <w:rFonts w:ascii="Times New Roman" w:eastAsia="宋体" w:hAnsi="Times New Roman" w:hint="eastAsia"/>
          <w:shd w:val="clear" w:color="auto" w:fill="FFFFFF"/>
        </w:rPr>
        <w:t>特此说明。</w:t>
      </w:r>
    </w:p>
    <w:p w14:paraId="3B21D45C" w14:textId="77777777" w:rsidR="008B31A5" w:rsidRDefault="006242DD" w:rsidP="00BC4E44">
      <w:pPr>
        <w:spacing w:beforeLines="50" w:before="156" w:afterLines="50" w:after="156"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（以下无正文）</w:t>
      </w:r>
    </w:p>
    <w:p w14:paraId="1BDCB3B4" w14:textId="77777777" w:rsidR="008B31A5" w:rsidRDefault="008B31A5">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pPr>
    </w:p>
    <w:p w14:paraId="7CE6B18A" w14:textId="77777777" w:rsidR="008B31A5" w:rsidRDefault="008B31A5">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sectPr w:rsidR="008B31A5">
          <w:footerReference w:type="default" r:id="rId7"/>
          <w:pgSz w:w="11906" w:h="16838"/>
          <w:pgMar w:top="1440" w:right="1800" w:bottom="1440" w:left="1800" w:header="851" w:footer="992" w:gutter="0"/>
          <w:cols w:space="425"/>
          <w:docGrid w:type="lines" w:linePitch="312"/>
        </w:sectPr>
      </w:pPr>
    </w:p>
    <w:p w14:paraId="13B5E47F" w14:textId="69F8533D" w:rsidR="008B31A5" w:rsidRDefault="006242DD" w:rsidP="00BC4E44">
      <w:pPr>
        <w:spacing w:beforeLines="50" w:before="156" w:afterLines="50" w:after="156" w:line="360" w:lineRule="auto"/>
        <w:jc w:val="left"/>
        <w:rPr>
          <w:rFonts w:ascii="宋体" w:eastAsia="宋体" w:hAnsi="宋体" w:cs="Times New Roman" w:hint="eastAsia"/>
          <w:color w:val="000000"/>
          <w:sz w:val="24"/>
        </w:rPr>
      </w:pPr>
      <w:r>
        <w:rPr>
          <w:rFonts w:ascii="宋体" w:eastAsia="宋体" w:hAnsi="宋体" w:cs="Times New Roman" w:hint="eastAsia"/>
          <w:sz w:val="24"/>
        </w:rPr>
        <w:lastRenderedPageBreak/>
        <w:t>（本页</w:t>
      </w:r>
      <w:r>
        <w:rPr>
          <w:rFonts w:ascii="宋体" w:eastAsia="宋体" w:hAnsi="宋体" w:cs="Times New Roman" w:hint="eastAsia"/>
          <w:color w:val="000000"/>
          <w:sz w:val="24"/>
        </w:rPr>
        <w:t>无正文，为《</w:t>
      </w:r>
      <w:r>
        <w:rPr>
          <w:rFonts w:ascii="Times New Roman" w:eastAsia="宋体" w:hAnsi="Times New Roman" w:cs="Times New Roman" w:hint="eastAsia"/>
          <w:color w:val="000000"/>
          <w:sz w:val="24"/>
        </w:rPr>
        <w:t>国泰海通证券股份有限公司关于广东天亿马信息产业股份有限公司本次交易符合</w:t>
      </w:r>
      <w:r>
        <w:rPr>
          <w:rFonts w:ascii="Times New Roman" w:eastAsia="宋体" w:hAnsi="Times New Roman" w:cs="Times New Roman" w:hint="eastAsia"/>
          <w:color w:val="000000"/>
          <w:sz w:val="24"/>
        </w:rPr>
        <w:t>&lt;</w:t>
      </w:r>
      <w:r>
        <w:rPr>
          <w:rFonts w:ascii="Times New Roman" w:eastAsia="宋体" w:hAnsi="Times New Roman" w:cs="Times New Roman" w:hint="eastAsia"/>
          <w:color w:val="000000"/>
          <w:sz w:val="24"/>
        </w:rPr>
        <w:t>上市公司监管指引第</w:t>
      </w:r>
      <w:r>
        <w:rPr>
          <w:rFonts w:ascii="Times New Roman" w:eastAsia="宋体" w:hAnsi="Times New Roman" w:cs="Times New Roman" w:hint="eastAsia"/>
          <w:color w:val="000000"/>
          <w:sz w:val="24"/>
        </w:rPr>
        <w:t>9</w:t>
      </w:r>
      <w:r>
        <w:rPr>
          <w:rFonts w:ascii="Times New Roman" w:eastAsia="宋体" w:hAnsi="Times New Roman" w:cs="Times New Roman" w:hint="eastAsia"/>
          <w:color w:val="000000"/>
          <w:sz w:val="24"/>
        </w:rPr>
        <w:t>号——上市公司筹划和实施重大资产重组的监管要求</w:t>
      </w:r>
      <w:r>
        <w:rPr>
          <w:rFonts w:ascii="Times New Roman" w:eastAsia="宋体" w:hAnsi="Times New Roman" w:cs="Times New Roman" w:hint="eastAsia"/>
          <w:color w:val="000000"/>
          <w:sz w:val="24"/>
        </w:rPr>
        <w:t>&gt;</w:t>
      </w:r>
      <w:r>
        <w:rPr>
          <w:rFonts w:ascii="Times New Roman" w:eastAsia="宋体" w:hAnsi="Times New Roman" w:cs="Times New Roman" w:hint="eastAsia"/>
          <w:color w:val="000000"/>
          <w:sz w:val="24"/>
        </w:rPr>
        <w:t>第四条规定的核查意见</w:t>
      </w:r>
      <w:r>
        <w:rPr>
          <w:rFonts w:ascii="宋体" w:eastAsia="宋体" w:hAnsi="宋体" w:cs="Times New Roman" w:hint="eastAsia"/>
          <w:color w:val="000000"/>
          <w:sz w:val="24"/>
        </w:rPr>
        <w:t>》之签字盖章页）</w:t>
      </w:r>
    </w:p>
    <w:p w14:paraId="440B8DF7" w14:textId="77777777" w:rsidR="008B31A5" w:rsidRDefault="008B31A5">
      <w:pPr>
        <w:rPr>
          <w:rFonts w:ascii="宋体" w:eastAsia="宋体" w:hAnsi="宋体" w:cs="Times New Roman" w:hint="eastAsia"/>
          <w:sz w:val="28"/>
          <w:szCs w:val="28"/>
        </w:rPr>
      </w:pPr>
    </w:p>
    <w:p w14:paraId="0A520E8E" w14:textId="77777777" w:rsidR="008B31A5" w:rsidRDefault="008B31A5">
      <w:pPr>
        <w:rPr>
          <w:rFonts w:ascii="宋体" w:eastAsia="宋体" w:hAnsi="宋体" w:cs="Times New Roman" w:hint="eastAsia"/>
          <w:sz w:val="28"/>
          <w:szCs w:val="28"/>
        </w:rPr>
      </w:pPr>
    </w:p>
    <w:tbl>
      <w:tblPr>
        <w:tblStyle w:val="110"/>
        <w:tblW w:w="8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417"/>
        <w:gridCol w:w="709"/>
        <w:gridCol w:w="1417"/>
        <w:gridCol w:w="709"/>
        <w:gridCol w:w="1417"/>
      </w:tblGrid>
      <w:tr w:rsidR="008B31A5" w14:paraId="5315CE9C" w14:textId="77777777">
        <w:tc>
          <w:tcPr>
            <w:tcW w:w="2689" w:type="dxa"/>
            <w:vAlign w:val="center"/>
          </w:tcPr>
          <w:p w14:paraId="09051E8D" w14:textId="77777777" w:rsidR="008B31A5" w:rsidRDefault="006242DD">
            <w:pPr>
              <w:widowControl/>
              <w:spacing w:beforeLines="50" w:before="156" w:afterLines="50" w:after="156" w:line="360" w:lineRule="auto"/>
              <w:rPr>
                <w:rFonts w:ascii="宋体" w:eastAsia="宋体" w:hAnsi="宋体" w:cs="宋体" w:hint="eastAsia"/>
                <w:kern w:val="0"/>
                <w:sz w:val="24"/>
              </w:rPr>
            </w:pPr>
            <w:r>
              <w:rPr>
                <w:rFonts w:ascii="宋体" w:eastAsia="宋体" w:hAnsi="宋体" w:cs="宋体" w:hint="eastAsia"/>
                <w:kern w:val="0"/>
                <w:sz w:val="24"/>
              </w:rPr>
              <w:t>独立财务顾问主办人：</w:t>
            </w:r>
          </w:p>
        </w:tc>
        <w:tc>
          <w:tcPr>
            <w:tcW w:w="1417" w:type="dxa"/>
            <w:tcBorders>
              <w:top w:val="nil"/>
              <w:left w:val="nil"/>
              <w:bottom w:val="single" w:sz="4" w:space="0" w:color="auto"/>
              <w:right w:val="nil"/>
            </w:tcBorders>
            <w:vAlign w:val="center"/>
          </w:tcPr>
          <w:p w14:paraId="2471CD35" w14:textId="3D95793A" w:rsidR="008B31A5" w:rsidRDefault="008B31A5">
            <w:pPr>
              <w:widowControl/>
              <w:spacing w:beforeLines="50" w:before="156" w:afterLines="50" w:after="156" w:line="360" w:lineRule="auto"/>
              <w:rPr>
                <w:rFonts w:ascii="宋体" w:eastAsia="宋体" w:hAnsi="宋体" w:cs="宋体" w:hint="eastAsia"/>
                <w:kern w:val="0"/>
                <w:sz w:val="24"/>
              </w:rPr>
            </w:pPr>
          </w:p>
        </w:tc>
        <w:tc>
          <w:tcPr>
            <w:tcW w:w="709" w:type="dxa"/>
            <w:vAlign w:val="center"/>
          </w:tcPr>
          <w:p w14:paraId="3CDA36C2" w14:textId="77777777" w:rsidR="008B31A5" w:rsidRDefault="008B31A5">
            <w:pPr>
              <w:widowControl/>
              <w:spacing w:beforeLines="50" w:before="156" w:afterLines="50" w:after="156" w:line="360" w:lineRule="auto"/>
              <w:rPr>
                <w:rFonts w:ascii="宋体" w:eastAsia="宋体" w:hAnsi="宋体" w:cs="宋体" w:hint="eastAsia"/>
                <w:kern w:val="0"/>
                <w:sz w:val="24"/>
              </w:rPr>
            </w:pPr>
          </w:p>
        </w:tc>
        <w:tc>
          <w:tcPr>
            <w:tcW w:w="1417" w:type="dxa"/>
            <w:tcBorders>
              <w:top w:val="nil"/>
              <w:left w:val="nil"/>
              <w:bottom w:val="single" w:sz="4" w:space="0" w:color="auto"/>
              <w:right w:val="nil"/>
            </w:tcBorders>
            <w:vAlign w:val="center"/>
          </w:tcPr>
          <w:p w14:paraId="1A73756A" w14:textId="77777777" w:rsidR="008B31A5" w:rsidRDefault="008B31A5">
            <w:pPr>
              <w:widowControl/>
              <w:spacing w:beforeLines="50" w:before="156" w:afterLines="50" w:after="156" w:line="360" w:lineRule="auto"/>
              <w:rPr>
                <w:rFonts w:ascii="宋体" w:eastAsia="宋体" w:hAnsi="宋体" w:cs="宋体" w:hint="eastAsia"/>
                <w:kern w:val="0"/>
                <w:sz w:val="24"/>
              </w:rPr>
            </w:pPr>
          </w:p>
        </w:tc>
        <w:tc>
          <w:tcPr>
            <w:tcW w:w="709" w:type="dxa"/>
            <w:vAlign w:val="center"/>
          </w:tcPr>
          <w:p w14:paraId="5A6C1B2E" w14:textId="77777777" w:rsidR="008B31A5" w:rsidRDefault="008B31A5">
            <w:pPr>
              <w:widowControl/>
              <w:spacing w:beforeLines="50" w:before="156" w:afterLines="50" w:after="156" w:line="360" w:lineRule="auto"/>
              <w:rPr>
                <w:rFonts w:ascii="宋体" w:eastAsia="宋体" w:hAnsi="宋体" w:cs="宋体" w:hint="eastAsia"/>
                <w:kern w:val="0"/>
                <w:sz w:val="24"/>
              </w:rPr>
            </w:pPr>
          </w:p>
        </w:tc>
        <w:tc>
          <w:tcPr>
            <w:tcW w:w="1417" w:type="dxa"/>
            <w:tcBorders>
              <w:top w:val="nil"/>
              <w:left w:val="nil"/>
              <w:bottom w:val="single" w:sz="4" w:space="0" w:color="auto"/>
              <w:right w:val="nil"/>
            </w:tcBorders>
            <w:vAlign w:val="center"/>
          </w:tcPr>
          <w:p w14:paraId="005B8BFB" w14:textId="77777777" w:rsidR="008B31A5" w:rsidRDefault="008B31A5">
            <w:pPr>
              <w:widowControl/>
              <w:spacing w:beforeLines="50" w:before="156" w:afterLines="50" w:after="156" w:line="360" w:lineRule="auto"/>
              <w:rPr>
                <w:rFonts w:ascii="宋体" w:eastAsia="宋体" w:hAnsi="宋体" w:cs="宋体" w:hint="eastAsia"/>
                <w:kern w:val="0"/>
                <w:sz w:val="24"/>
              </w:rPr>
            </w:pPr>
          </w:p>
        </w:tc>
      </w:tr>
      <w:tr w:rsidR="008B31A5" w14:paraId="7D261661" w14:textId="77777777">
        <w:tc>
          <w:tcPr>
            <w:tcW w:w="2689" w:type="dxa"/>
            <w:vAlign w:val="center"/>
          </w:tcPr>
          <w:p w14:paraId="06A419E2" w14:textId="77777777" w:rsidR="008B31A5" w:rsidRDefault="008B31A5">
            <w:pPr>
              <w:widowControl/>
              <w:spacing w:beforeLines="50" w:before="156" w:afterLines="50" w:after="156" w:line="360" w:lineRule="auto"/>
              <w:rPr>
                <w:rFonts w:ascii="宋体" w:eastAsia="宋体" w:hAnsi="宋体" w:cs="宋体" w:hint="eastAsia"/>
                <w:kern w:val="0"/>
                <w:sz w:val="24"/>
              </w:rPr>
            </w:pPr>
          </w:p>
        </w:tc>
        <w:tc>
          <w:tcPr>
            <w:tcW w:w="1417" w:type="dxa"/>
            <w:tcBorders>
              <w:top w:val="single" w:sz="4" w:space="0" w:color="auto"/>
              <w:left w:val="nil"/>
              <w:bottom w:val="nil"/>
              <w:right w:val="nil"/>
            </w:tcBorders>
            <w:vAlign w:val="center"/>
          </w:tcPr>
          <w:p w14:paraId="6081A17B" w14:textId="77777777" w:rsidR="008B31A5" w:rsidRDefault="006242DD">
            <w:pPr>
              <w:widowControl/>
              <w:spacing w:beforeLines="50" w:before="156" w:afterLines="50" w:after="156" w:line="360" w:lineRule="auto"/>
              <w:jc w:val="center"/>
              <w:rPr>
                <w:rFonts w:ascii="宋体" w:eastAsia="宋体" w:hAnsi="宋体" w:cs="宋体" w:hint="eastAsia"/>
                <w:kern w:val="0"/>
                <w:sz w:val="24"/>
              </w:rPr>
            </w:pPr>
            <w:r>
              <w:rPr>
                <w:rFonts w:ascii="宋体" w:eastAsia="宋体" w:hAnsi="宋体" w:cs="宋体"/>
                <w:kern w:val="0"/>
                <w:sz w:val="24"/>
              </w:rPr>
              <w:t>邢雨晨</w:t>
            </w:r>
          </w:p>
        </w:tc>
        <w:tc>
          <w:tcPr>
            <w:tcW w:w="709" w:type="dxa"/>
            <w:vAlign w:val="center"/>
          </w:tcPr>
          <w:p w14:paraId="681CD63B" w14:textId="77777777" w:rsidR="008B31A5" w:rsidRDefault="008B31A5">
            <w:pPr>
              <w:widowControl/>
              <w:spacing w:beforeLines="50" w:before="156" w:afterLines="50" w:after="156" w:line="360" w:lineRule="auto"/>
              <w:jc w:val="center"/>
              <w:rPr>
                <w:rFonts w:ascii="宋体" w:eastAsia="宋体" w:hAnsi="宋体" w:cs="宋体" w:hint="eastAsia"/>
                <w:kern w:val="0"/>
                <w:sz w:val="24"/>
              </w:rPr>
            </w:pPr>
          </w:p>
        </w:tc>
        <w:tc>
          <w:tcPr>
            <w:tcW w:w="1417" w:type="dxa"/>
            <w:tcBorders>
              <w:top w:val="single" w:sz="4" w:space="0" w:color="auto"/>
              <w:left w:val="nil"/>
              <w:bottom w:val="nil"/>
              <w:right w:val="nil"/>
            </w:tcBorders>
            <w:vAlign w:val="center"/>
          </w:tcPr>
          <w:p w14:paraId="35537A83" w14:textId="77777777" w:rsidR="008B31A5" w:rsidRDefault="006242DD">
            <w:pPr>
              <w:widowControl/>
              <w:spacing w:beforeLines="50" w:before="156" w:afterLines="50" w:after="156" w:line="360" w:lineRule="auto"/>
              <w:jc w:val="center"/>
              <w:rPr>
                <w:rFonts w:ascii="宋体" w:eastAsia="宋体" w:hAnsi="宋体" w:cs="宋体" w:hint="eastAsia"/>
                <w:kern w:val="0"/>
                <w:sz w:val="24"/>
              </w:rPr>
            </w:pPr>
            <w:r>
              <w:rPr>
                <w:rFonts w:ascii="宋体" w:eastAsia="宋体" w:hAnsi="宋体" w:cs="宋体" w:hint="eastAsia"/>
                <w:kern w:val="0"/>
                <w:sz w:val="24"/>
              </w:rPr>
              <w:t>徐振宇</w:t>
            </w:r>
          </w:p>
        </w:tc>
        <w:tc>
          <w:tcPr>
            <w:tcW w:w="709" w:type="dxa"/>
            <w:vAlign w:val="center"/>
          </w:tcPr>
          <w:p w14:paraId="5E8FCEB3" w14:textId="77777777" w:rsidR="008B31A5" w:rsidRDefault="008B31A5">
            <w:pPr>
              <w:widowControl/>
              <w:spacing w:beforeLines="50" w:before="156" w:afterLines="50" w:after="156" w:line="360" w:lineRule="auto"/>
              <w:jc w:val="center"/>
              <w:rPr>
                <w:rFonts w:ascii="宋体" w:eastAsia="宋体" w:hAnsi="宋体" w:cs="宋体" w:hint="eastAsia"/>
                <w:kern w:val="0"/>
                <w:sz w:val="24"/>
              </w:rPr>
            </w:pPr>
          </w:p>
        </w:tc>
        <w:tc>
          <w:tcPr>
            <w:tcW w:w="1417" w:type="dxa"/>
            <w:tcBorders>
              <w:top w:val="single" w:sz="4" w:space="0" w:color="auto"/>
              <w:left w:val="nil"/>
              <w:bottom w:val="nil"/>
              <w:right w:val="nil"/>
            </w:tcBorders>
            <w:vAlign w:val="center"/>
          </w:tcPr>
          <w:p w14:paraId="4DF9A46F" w14:textId="77777777" w:rsidR="008B31A5" w:rsidRDefault="006242DD">
            <w:pPr>
              <w:widowControl/>
              <w:spacing w:beforeLines="50" w:before="156" w:afterLines="50" w:after="156" w:line="360" w:lineRule="auto"/>
              <w:jc w:val="center"/>
              <w:rPr>
                <w:rFonts w:ascii="宋体" w:eastAsia="宋体" w:hAnsi="宋体" w:cs="宋体" w:hint="eastAsia"/>
                <w:kern w:val="0"/>
                <w:sz w:val="24"/>
              </w:rPr>
            </w:pPr>
            <w:r>
              <w:rPr>
                <w:rFonts w:ascii="宋体" w:eastAsia="宋体" w:hAnsi="宋体" w:cs="宋体" w:hint="eastAsia"/>
                <w:kern w:val="0"/>
                <w:sz w:val="24"/>
              </w:rPr>
              <w:t>张成</w:t>
            </w:r>
            <w:proofErr w:type="gramStart"/>
            <w:r>
              <w:rPr>
                <w:rFonts w:ascii="宋体" w:eastAsia="宋体" w:hAnsi="宋体" w:cs="宋体" w:hint="eastAsia"/>
                <w:kern w:val="0"/>
                <w:sz w:val="24"/>
              </w:rPr>
              <w:t>浩</w:t>
            </w:r>
            <w:proofErr w:type="gramEnd"/>
          </w:p>
        </w:tc>
      </w:tr>
    </w:tbl>
    <w:p w14:paraId="39358232" w14:textId="77777777" w:rsidR="008B31A5" w:rsidRDefault="008B31A5">
      <w:pPr>
        <w:rPr>
          <w:rFonts w:ascii="宋体" w:eastAsia="宋体" w:hAnsi="宋体" w:cs="Times New Roman" w:hint="eastAsia"/>
          <w:sz w:val="28"/>
          <w:szCs w:val="28"/>
        </w:rPr>
      </w:pPr>
    </w:p>
    <w:p w14:paraId="54D094D9" w14:textId="77777777" w:rsidR="008B31A5" w:rsidRDefault="008B31A5">
      <w:pPr>
        <w:autoSpaceDE w:val="0"/>
        <w:autoSpaceDN w:val="0"/>
        <w:adjustRightInd w:val="0"/>
        <w:spacing w:beforeLines="50" w:before="156" w:after="50" w:line="440" w:lineRule="exact"/>
        <w:ind w:leftChars="257" w:left="540" w:firstLineChars="1600" w:firstLine="3840"/>
        <w:jc w:val="right"/>
        <w:rPr>
          <w:rFonts w:ascii="宋体" w:eastAsia="宋体" w:hAnsi="宋体" w:cs="Times New Roman" w:hint="eastAsia"/>
          <w:kern w:val="0"/>
          <w:sz w:val="24"/>
        </w:rPr>
      </w:pPr>
    </w:p>
    <w:p w14:paraId="60EB3D1E" w14:textId="77777777" w:rsidR="008B31A5" w:rsidRDefault="008B31A5">
      <w:pPr>
        <w:autoSpaceDE w:val="0"/>
        <w:autoSpaceDN w:val="0"/>
        <w:adjustRightInd w:val="0"/>
        <w:spacing w:beforeLines="50" w:before="156" w:after="50" w:line="440" w:lineRule="exact"/>
        <w:ind w:leftChars="257" w:left="540" w:firstLineChars="1600" w:firstLine="3840"/>
        <w:jc w:val="right"/>
        <w:rPr>
          <w:rFonts w:ascii="宋体" w:eastAsia="宋体" w:hAnsi="宋体" w:cs="Times New Roman" w:hint="eastAsia"/>
          <w:kern w:val="0"/>
          <w:sz w:val="24"/>
        </w:rPr>
      </w:pPr>
    </w:p>
    <w:p w14:paraId="3B94A481" w14:textId="77777777" w:rsidR="008B31A5" w:rsidRDefault="008B31A5">
      <w:pPr>
        <w:autoSpaceDE w:val="0"/>
        <w:autoSpaceDN w:val="0"/>
        <w:adjustRightInd w:val="0"/>
        <w:spacing w:beforeLines="50" w:before="156" w:after="50" w:line="440" w:lineRule="exact"/>
        <w:ind w:leftChars="257" w:left="540" w:firstLineChars="1600" w:firstLine="3840"/>
        <w:jc w:val="right"/>
        <w:rPr>
          <w:rFonts w:ascii="宋体" w:eastAsia="宋体" w:hAnsi="宋体" w:cs="Times New Roman" w:hint="eastAsia"/>
          <w:color w:val="000000"/>
          <w:kern w:val="0"/>
          <w:sz w:val="24"/>
        </w:rPr>
      </w:pPr>
    </w:p>
    <w:p w14:paraId="5077C553" w14:textId="77777777" w:rsidR="008B31A5" w:rsidRDefault="008B31A5">
      <w:pPr>
        <w:autoSpaceDE w:val="0"/>
        <w:autoSpaceDN w:val="0"/>
        <w:adjustRightInd w:val="0"/>
        <w:spacing w:beforeLines="50" w:before="156" w:after="50" w:line="440" w:lineRule="exact"/>
        <w:ind w:leftChars="257" w:left="540" w:firstLineChars="1600" w:firstLine="3840"/>
        <w:jc w:val="right"/>
        <w:rPr>
          <w:rFonts w:ascii="宋体" w:eastAsia="宋体" w:hAnsi="宋体" w:cs="Times New Roman" w:hint="eastAsia"/>
          <w:color w:val="000000"/>
          <w:kern w:val="0"/>
          <w:sz w:val="24"/>
        </w:rPr>
      </w:pPr>
    </w:p>
    <w:p w14:paraId="1DD9E08A" w14:textId="77777777" w:rsidR="008B31A5" w:rsidRDefault="008B31A5">
      <w:pPr>
        <w:autoSpaceDE w:val="0"/>
        <w:autoSpaceDN w:val="0"/>
        <w:adjustRightInd w:val="0"/>
        <w:spacing w:beforeLines="100" w:before="312" w:after="50" w:line="440" w:lineRule="exact"/>
        <w:ind w:leftChars="257" w:left="540" w:firstLineChars="1350" w:firstLine="3240"/>
        <w:jc w:val="right"/>
        <w:rPr>
          <w:rFonts w:ascii="宋体" w:eastAsia="宋体" w:hAnsi="宋体" w:cs="Times New Roman" w:hint="eastAsia"/>
          <w:color w:val="000000"/>
          <w:kern w:val="0"/>
          <w:sz w:val="24"/>
        </w:rPr>
      </w:pPr>
    </w:p>
    <w:p w14:paraId="4A87CA60" w14:textId="77777777" w:rsidR="008B31A5" w:rsidRDefault="006242DD">
      <w:pPr>
        <w:autoSpaceDE w:val="0"/>
        <w:autoSpaceDN w:val="0"/>
        <w:adjustRightInd w:val="0"/>
        <w:spacing w:beforeLines="100" w:before="312" w:after="50" w:line="440" w:lineRule="exact"/>
        <w:ind w:leftChars="257" w:left="540" w:firstLineChars="1600" w:firstLine="3840"/>
        <w:jc w:val="right"/>
        <w:rPr>
          <w:rFonts w:ascii="宋体" w:eastAsia="宋体" w:hAnsi="宋体" w:cs="Times New Roman" w:hint="eastAsia"/>
          <w:color w:val="000000"/>
          <w:sz w:val="24"/>
        </w:rPr>
      </w:pPr>
      <w:proofErr w:type="gramStart"/>
      <w:r>
        <w:rPr>
          <w:rFonts w:ascii="宋体" w:eastAsia="宋体" w:hAnsi="宋体" w:cs="Times New Roman" w:hint="eastAsia"/>
          <w:color w:val="000000"/>
          <w:sz w:val="24"/>
        </w:rPr>
        <w:t>国泰海通</w:t>
      </w:r>
      <w:proofErr w:type="gramEnd"/>
      <w:r>
        <w:rPr>
          <w:rFonts w:ascii="宋体" w:eastAsia="宋体" w:hAnsi="宋体" w:cs="Times New Roman" w:hint="eastAsia"/>
          <w:color w:val="000000"/>
          <w:sz w:val="24"/>
        </w:rPr>
        <w:t>证券股份有限公司</w:t>
      </w:r>
    </w:p>
    <w:p w14:paraId="566BA036" w14:textId="658260DC" w:rsidR="008B31A5" w:rsidRPr="00190FA6" w:rsidRDefault="00190FA6">
      <w:pPr>
        <w:autoSpaceDE w:val="0"/>
        <w:autoSpaceDN w:val="0"/>
        <w:adjustRightInd w:val="0"/>
        <w:spacing w:beforeLines="100" w:before="312" w:after="50" w:line="440" w:lineRule="exact"/>
        <w:ind w:leftChars="257" w:left="540" w:firstLineChars="1600" w:firstLine="3840"/>
        <w:jc w:val="right"/>
        <w:rPr>
          <w:rFonts w:ascii="Times New Roman" w:eastAsia="宋体" w:hAnsi="Times New Roman" w:cs="Times New Roman"/>
          <w:bCs/>
          <w:kern w:val="0"/>
          <w:sz w:val="24"/>
        </w:rPr>
      </w:pPr>
      <w:r w:rsidRPr="00190FA6">
        <w:rPr>
          <w:rFonts w:ascii="Times New Roman" w:eastAsia="宋体" w:hAnsi="Times New Roman" w:cs="Times New Roman"/>
          <w:color w:val="000000"/>
          <w:kern w:val="0"/>
          <w:sz w:val="24"/>
        </w:rPr>
        <w:t>2025</w:t>
      </w:r>
      <w:r w:rsidR="006242DD" w:rsidRPr="00190FA6">
        <w:rPr>
          <w:rFonts w:ascii="Times New Roman" w:eastAsia="宋体" w:hAnsi="Times New Roman" w:cs="Times New Roman"/>
          <w:color w:val="000000"/>
          <w:kern w:val="0"/>
          <w:sz w:val="24"/>
        </w:rPr>
        <w:t xml:space="preserve"> </w:t>
      </w:r>
      <w:r w:rsidR="006242DD" w:rsidRPr="00190FA6">
        <w:rPr>
          <w:rFonts w:ascii="Times New Roman" w:eastAsia="宋体" w:hAnsi="Times New Roman" w:cs="Times New Roman"/>
          <w:color w:val="000000"/>
          <w:kern w:val="0"/>
          <w:sz w:val="24"/>
        </w:rPr>
        <w:t>年</w:t>
      </w:r>
      <w:r w:rsidR="006242DD" w:rsidRPr="00190FA6">
        <w:rPr>
          <w:rFonts w:ascii="Times New Roman" w:eastAsia="宋体" w:hAnsi="Times New Roman" w:cs="Times New Roman"/>
          <w:color w:val="000000"/>
          <w:kern w:val="0"/>
          <w:sz w:val="24"/>
        </w:rPr>
        <w:t xml:space="preserve"> </w:t>
      </w:r>
      <w:r w:rsidRPr="00190FA6">
        <w:rPr>
          <w:rFonts w:ascii="Times New Roman" w:eastAsia="宋体" w:hAnsi="Times New Roman" w:cs="Times New Roman"/>
          <w:color w:val="000000"/>
          <w:kern w:val="0"/>
          <w:sz w:val="24"/>
        </w:rPr>
        <w:t>11</w:t>
      </w:r>
      <w:r w:rsidR="006242DD" w:rsidRPr="00190FA6">
        <w:rPr>
          <w:rFonts w:ascii="Times New Roman" w:eastAsia="宋体" w:hAnsi="Times New Roman" w:cs="Times New Roman"/>
          <w:color w:val="000000"/>
          <w:kern w:val="0"/>
          <w:sz w:val="24"/>
        </w:rPr>
        <w:t xml:space="preserve"> </w:t>
      </w:r>
      <w:r w:rsidR="006242DD" w:rsidRPr="00190FA6">
        <w:rPr>
          <w:rFonts w:ascii="Times New Roman" w:eastAsia="宋体" w:hAnsi="Times New Roman" w:cs="Times New Roman"/>
          <w:color w:val="000000"/>
          <w:kern w:val="0"/>
          <w:sz w:val="24"/>
        </w:rPr>
        <w:t>月</w:t>
      </w:r>
      <w:r w:rsidR="006242DD" w:rsidRPr="00190FA6">
        <w:rPr>
          <w:rFonts w:ascii="Times New Roman" w:eastAsia="宋体" w:hAnsi="Times New Roman" w:cs="Times New Roman"/>
          <w:color w:val="000000"/>
          <w:kern w:val="0"/>
          <w:sz w:val="24"/>
        </w:rPr>
        <w:t xml:space="preserve"> </w:t>
      </w:r>
      <w:r w:rsidRPr="00190FA6">
        <w:rPr>
          <w:rFonts w:ascii="Times New Roman" w:eastAsia="宋体" w:hAnsi="Times New Roman" w:cs="Times New Roman"/>
          <w:color w:val="000000"/>
          <w:kern w:val="0"/>
          <w:sz w:val="24"/>
        </w:rPr>
        <w:t>18</w:t>
      </w:r>
      <w:r w:rsidR="006242DD" w:rsidRPr="00190FA6">
        <w:rPr>
          <w:rFonts w:ascii="Times New Roman" w:eastAsia="宋体" w:hAnsi="Times New Roman" w:cs="Times New Roman"/>
          <w:color w:val="000000"/>
          <w:kern w:val="0"/>
          <w:sz w:val="24"/>
        </w:rPr>
        <w:t xml:space="preserve"> </w:t>
      </w:r>
      <w:r w:rsidR="006242DD" w:rsidRPr="00190FA6">
        <w:rPr>
          <w:rFonts w:ascii="Times New Roman" w:eastAsia="宋体" w:hAnsi="Times New Roman" w:cs="Times New Roman"/>
          <w:color w:val="000000"/>
          <w:kern w:val="0"/>
          <w:sz w:val="24"/>
        </w:rPr>
        <w:t>日</w:t>
      </w:r>
    </w:p>
    <w:p w14:paraId="79EE2190" w14:textId="77777777" w:rsidR="008B31A5" w:rsidRDefault="008B31A5">
      <w:pPr>
        <w:autoSpaceDE w:val="0"/>
        <w:autoSpaceDN w:val="0"/>
        <w:spacing w:before="120" w:after="120" w:line="360" w:lineRule="auto"/>
        <w:jc w:val="left"/>
        <w:rPr>
          <w:rFonts w:ascii="宋体" w:eastAsia="宋体" w:hAnsi="宋体" w:hint="eastAsia"/>
          <w:sz w:val="24"/>
        </w:rPr>
      </w:pPr>
    </w:p>
    <w:p w14:paraId="5B76631C" w14:textId="77777777" w:rsidR="008B31A5" w:rsidRDefault="008B31A5">
      <w:pPr>
        <w:spacing w:beforeLines="50" w:before="156" w:afterLines="50" w:after="156" w:line="360" w:lineRule="auto"/>
        <w:rPr>
          <w:rFonts w:ascii="Times New Roman" w:eastAsia="宋体" w:hAnsi="Times New Roman" w:cs="Times New Roman"/>
          <w:sz w:val="24"/>
          <w:szCs w:val="22"/>
        </w:rPr>
      </w:pPr>
    </w:p>
    <w:sectPr w:rsidR="008B31A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A1D455" w14:textId="77777777" w:rsidR="00C20C5B" w:rsidRDefault="00C20C5B">
      <w:r>
        <w:separator/>
      </w:r>
    </w:p>
  </w:endnote>
  <w:endnote w:type="continuationSeparator" w:id="0">
    <w:p w14:paraId="25213D84" w14:textId="77777777" w:rsidR="00C20C5B" w:rsidRDefault="00C20C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5784791"/>
    </w:sdtPr>
    <w:sdtEndPr>
      <w:rPr>
        <w:rFonts w:ascii="Times New Roman" w:hAnsi="Times New Roman" w:cs="Times New Roman"/>
      </w:rPr>
    </w:sdtEndPr>
    <w:sdtContent>
      <w:p w14:paraId="3F61FC33" w14:textId="77777777" w:rsidR="008B31A5" w:rsidRDefault="006242DD">
        <w:pPr>
          <w:pStyle w:val="a9"/>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sidR="00BC4E44" w:rsidRPr="00BC4E44">
          <w:rPr>
            <w:rFonts w:ascii="Times New Roman" w:hAnsi="Times New Roman" w:cs="Times New Roman"/>
            <w:noProof/>
            <w:lang w:val="zh-CN"/>
          </w:rPr>
          <w:t>1</w:t>
        </w:r>
        <w:r>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4C7A49" w14:textId="77777777" w:rsidR="00C20C5B" w:rsidRDefault="00C20C5B">
      <w:r>
        <w:separator/>
      </w:r>
    </w:p>
  </w:footnote>
  <w:footnote w:type="continuationSeparator" w:id="0">
    <w:p w14:paraId="3B90EA54" w14:textId="77777777" w:rsidR="00C20C5B" w:rsidRDefault="00C20C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2FD4484E"/>
    <w:rsid w:val="8DFF3911"/>
    <w:rsid w:val="9A2DA4EC"/>
    <w:rsid w:val="9EED6CD7"/>
    <w:rsid w:val="A57B183E"/>
    <w:rsid w:val="ADFDE751"/>
    <w:rsid w:val="AFEEA460"/>
    <w:rsid w:val="B3DFBA76"/>
    <w:rsid w:val="BBFD3E99"/>
    <w:rsid w:val="BF7E98A1"/>
    <w:rsid w:val="BFF74CEA"/>
    <w:rsid w:val="CB2E9D91"/>
    <w:rsid w:val="DDEFB8B9"/>
    <w:rsid w:val="DDFF2C56"/>
    <w:rsid w:val="E3662AC8"/>
    <w:rsid w:val="E3FBFB6D"/>
    <w:rsid w:val="EDED7ABC"/>
    <w:rsid w:val="EFFC6ADF"/>
    <w:rsid w:val="F2FFE3D8"/>
    <w:rsid w:val="F7FFFDC1"/>
    <w:rsid w:val="FB7FD669"/>
    <w:rsid w:val="FBDF678B"/>
    <w:rsid w:val="FBFF5DE3"/>
    <w:rsid w:val="FBFF63E7"/>
    <w:rsid w:val="FD7F72EF"/>
    <w:rsid w:val="FEFC613D"/>
    <w:rsid w:val="FEFF13AC"/>
    <w:rsid w:val="FEFF41D8"/>
    <w:rsid w:val="FF53B76B"/>
    <w:rsid w:val="FFBD665F"/>
    <w:rsid w:val="FFBFFEA8"/>
    <w:rsid w:val="FFEDF58B"/>
    <w:rsid w:val="FFF7CF70"/>
    <w:rsid w:val="000028CE"/>
    <w:rsid w:val="00005D13"/>
    <w:rsid w:val="00015529"/>
    <w:rsid w:val="000155B6"/>
    <w:rsid w:val="00016655"/>
    <w:rsid w:val="00021631"/>
    <w:rsid w:val="0002182A"/>
    <w:rsid w:val="00024581"/>
    <w:rsid w:val="00030764"/>
    <w:rsid w:val="0003755B"/>
    <w:rsid w:val="00042D80"/>
    <w:rsid w:val="000451D5"/>
    <w:rsid w:val="00052988"/>
    <w:rsid w:val="00055285"/>
    <w:rsid w:val="00056D2B"/>
    <w:rsid w:val="000675C0"/>
    <w:rsid w:val="0007615D"/>
    <w:rsid w:val="0008098C"/>
    <w:rsid w:val="00082E04"/>
    <w:rsid w:val="000A0107"/>
    <w:rsid w:val="000A1A42"/>
    <w:rsid w:val="000B3FE8"/>
    <w:rsid w:val="000D74EC"/>
    <w:rsid w:val="001030F4"/>
    <w:rsid w:val="001052A4"/>
    <w:rsid w:val="00111CCF"/>
    <w:rsid w:val="00111D9D"/>
    <w:rsid w:val="0011243E"/>
    <w:rsid w:val="001272FD"/>
    <w:rsid w:val="00130B16"/>
    <w:rsid w:val="00132A40"/>
    <w:rsid w:val="00136E4B"/>
    <w:rsid w:val="0015088E"/>
    <w:rsid w:val="001776B8"/>
    <w:rsid w:val="00190FA6"/>
    <w:rsid w:val="001952F4"/>
    <w:rsid w:val="001A4D7C"/>
    <w:rsid w:val="001A621A"/>
    <w:rsid w:val="001B0015"/>
    <w:rsid w:val="001B0AAB"/>
    <w:rsid w:val="001B1597"/>
    <w:rsid w:val="001B4F10"/>
    <w:rsid w:val="001C22BE"/>
    <w:rsid w:val="001C511C"/>
    <w:rsid w:val="001D2228"/>
    <w:rsid w:val="001D4137"/>
    <w:rsid w:val="001E36AA"/>
    <w:rsid w:val="00204D15"/>
    <w:rsid w:val="00206BAE"/>
    <w:rsid w:val="00215A8F"/>
    <w:rsid w:val="00222281"/>
    <w:rsid w:val="00246A79"/>
    <w:rsid w:val="002507CA"/>
    <w:rsid w:val="0026364C"/>
    <w:rsid w:val="00277704"/>
    <w:rsid w:val="002A6F7C"/>
    <w:rsid w:val="002B136C"/>
    <w:rsid w:val="002B194F"/>
    <w:rsid w:val="002B552E"/>
    <w:rsid w:val="002B5D67"/>
    <w:rsid w:val="002B64BA"/>
    <w:rsid w:val="002C2317"/>
    <w:rsid w:val="002C7859"/>
    <w:rsid w:val="002D3362"/>
    <w:rsid w:val="002D53D7"/>
    <w:rsid w:val="002D7095"/>
    <w:rsid w:val="002E3D54"/>
    <w:rsid w:val="002E4285"/>
    <w:rsid w:val="002E4C23"/>
    <w:rsid w:val="002E7664"/>
    <w:rsid w:val="00301151"/>
    <w:rsid w:val="00302695"/>
    <w:rsid w:val="003061F7"/>
    <w:rsid w:val="00307453"/>
    <w:rsid w:val="003108DA"/>
    <w:rsid w:val="00316A8C"/>
    <w:rsid w:val="00323693"/>
    <w:rsid w:val="00330260"/>
    <w:rsid w:val="003407DD"/>
    <w:rsid w:val="00343916"/>
    <w:rsid w:val="00347EED"/>
    <w:rsid w:val="00350DF0"/>
    <w:rsid w:val="003639E6"/>
    <w:rsid w:val="003648E1"/>
    <w:rsid w:val="00365A44"/>
    <w:rsid w:val="003720EA"/>
    <w:rsid w:val="00375AE9"/>
    <w:rsid w:val="00395A25"/>
    <w:rsid w:val="003A0ECF"/>
    <w:rsid w:val="003A1374"/>
    <w:rsid w:val="003B2FE2"/>
    <w:rsid w:val="003B72EC"/>
    <w:rsid w:val="003C44C2"/>
    <w:rsid w:val="003D194B"/>
    <w:rsid w:val="003D6392"/>
    <w:rsid w:val="003E65A1"/>
    <w:rsid w:val="003E7448"/>
    <w:rsid w:val="004027FB"/>
    <w:rsid w:val="00402C55"/>
    <w:rsid w:val="00421ABA"/>
    <w:rsid w:val="004305DC"/>
    <w:rsid w:val="0043658F"/>
    <w:rsid w:val="004405DF"/>
    <w:rsid w:val="00452B3D"/>
    <w:rsid w:val="0047694E"/>
    <w:rsid w:val="0047762D"/>
    <w:rsid w:val="004923C7"/>
    <w:rsid w:val="0049601E"/>
    <w:rsid w:val="004A2CDC"/>
    <w:rsid w:val="004B3C0D"/>
    <w:rsid w:val="004D25A9"/>
    <w:rsid w:val="004D3DF1"/>
    <w:rsid w:val="004E35F2"/>
    <w:rsid w:val="004E6616"/>
    <w:rsid w:val="004F094D"/>
    <w:rsid w:val="004F0E71"/>
    <w:rsid w:val="004F3D85"/>
    <w:rsid w:val="004F5B10"/>
    <w:rsid w:val="004F6493"/>
    <w:rsid w:val="005019EB"/>
    <w:rsid w:val="00501D6F"/>
    <w:rsid w:val="00510573"/>
    <w:rsid w:val="005216FD"/>
    <w:rsid w:val="00533BC0"/>
    <w:rsid w:val="00552075"/>
    <w:rsid w:val="005530E9"/>
    <w:rsid w:val="00555410"/>
    <w:rsid w:val="00562A44"/>
    <w:rsid w:val="00597021"/>
    <w:rsid w:val="005A1F51"/>
    <w:rsid w:val="005A5DED"/>
    <w:rsid w:val="005A68A5"/>
    <w:rsid w:val="005B1DBB"/>
    <w:rsid w:val="005B6C90"/>
    <w:rsid w:val="005D097F"/>
    <w:rsid w:val="005D710E"/>
    <w:rsid w:val="005E1F2B"/>
    <w:rsid w:val="00601188"/>
    <w:rsid w:val="00602144"/>
    <w:rsid w:val="00607889"/>
    <w:rsid w:val="006242DD"/>
    <w:rsid w:val="00640BDA"/>
    <w:rsid w:val="00646427"/>
    <w:rsid w:val="00655353"/>
    <w:rsid w:val="006660A3"/>
    <w:rsid w:val="006676B8"/>
    <w:rsid w:val="0067406D"/>
    <w:rsid w:val="00680CFE"/>
    <w:rsid w:val="00684DA7"/>
    <w:rsid w:val="0069175C"/>
    <w:rsid w:val="00696191"/>
    <w:rsid w:val="00696F32"/>
    <w:rsid w:val="006A7A80"/>
    <w:rsid w:val="006D4465"/>
    <w:rsid w:val="006D59E4"/>
    <w:rsid w:val="006E18B6"/>
    <w:rsid w:val="006E256B"/>
    <w:rsid w:val="006E2E31"/>
    <w:rsid w:val="00700E12"/>
    <w:rsid w:val="00702663"/>
    <w:rsid w:val="00716A59"/>
    <w:rsid w:val="007235A0"/>
    <w:rsid w:val="00727592"/>
    <w:rsid w:val="00731E13"/>
    <w:rsid w:val="00743EBC"/>
    <w:rsid w:val="007821FA"/>
    <w:rsid w:val="0079141E"/>
    <w:rsid w:val="007A036D"/>
    <w:rsid w:val="007A29E0"/>
    <w:rsid w:val="007A3479"/>
    <w:rsid w:val="007B1250"/>
    <w:rsid w:val="007C51BA"/>
    <w:rsid w:val="007C7894"/>
    <w:rsid w:val="007D40FE"/>
    <w:rsid w:val="007E6847"/>
    <w:rsid w:val="007F2740"/>
    <w:rsid w:val="007F3268"/>
    <w:rsid w:val="008102E3"/>
    <w:rsid w:val="00813898"/>
    <w:rsid w:val="008169AB"/>
    <w:rsid w:val="00816CB3"/>
    <w:rsid w:val="008234BB"/>
    <w:rsid w:val="00832ABF"/>
    <w:rsid w:val="00833BA7"/>
    <w:rsid w:val="00846768"/>
    <w:rsid w:val="00861E38"/>
    <w:rsid w:val="0086441A"/>
    <w:rsid w:val="00871B2C"/>
    <w:rsid w:val="0087441C"/>
    <w:rsid w:val="008815BE"/>
    <w:rsid w:val="00891F14"/>
    <w:rsid w:val="008954B6"/>
    <w:rsid w:val="008A4FC7"/>
    <w:rsid w:val="008A7D0C"/>
    <w:rsid w:val="008B2078"/>
    <w:rsid w:val="008B31A5"/>
    <w:rsid w:val="008D1B2F"/>
    <w:rsid w:val="008D2061"/>
    <w:rsid w:val="008E0793"/>
    <w:rsid w:val="008E23C5"/>
    <w:rsid w:val="008F5F34"/>
    <w:rsid w:val="009001DA"/>
    <w:rsid w:val="00900AE9"/>
    <w:rsid w:val="00921B35"/>
    <w:rsid w:val="00934AF8"/>
    <w:rsid w:val="00937BDC"/>
    <w:rsid w:val="00947741"/>
    <w:rsid w:val="009617B3"/>
    <w:rsid w:val="00972515"/>
    <w:rsid w:val="009762A1"/>
    <w:rsid w:val="00976DDE"/>
    <w:rsid w:val="00977F65"/>
    <w:rsid w:val="00992F12"/>
    <w:rsid w:val="009970AB"/>
    <w:rsid w:val="009A0A22"/>
    <w:rsid w:val="009A7F75"/>
    <w:rsid w:val="009C1A3B"/>
    <w:rsid w:val="009D67AA"/>
    <w:rsid w:val="00A00657"/>
    <w:rsid w:val="00A01182"/>
    <w:rsid w:val="00A25936"/>
    <w:rsid w:val="00A27335"/>
    <w:rsid w:val="00A41C9D"/>
    <w:rsid w:val="00A4336D"/>
    <w:rsid w:val="00A43C41"/>
    <w:rsid w:val="00A6003A"/>
    <w:rsid w:val="00A75A77"/>
    <w:rsid w:val="00A75B6B"/>
    <w:rsid w:val="00A773E2"/>
    <w:rsid w:val="00A868A3"/>
    <w:rsid w:val="00A96B3B"/>
    <w:rsid w:val="00AA6B0A"/>
    <w:rsid w:val="00AB4A72"/>
    <w:rsid w:val="00AB643F"/>
    <w:rsid w:val="00AC3A87"/>
    <w:rsid w:val="00AD4538"/>
    <w:rsid w:val="00AD4BBB"/>
    <w:rsid w:val="00AE1AA7"/>
    <w:rsid w:val="00B24F1C"/>
    <w:rsid w:val="00B271C2"/>
    <w:rsid w:val="00B32911"/>
    <w:rsid w:val="00B4223F"/>
    <w:rsid w:val="00B536D6"/>
    <w:rsid w:val="00B57A11"/>
    <w:rsid w:val="00B60C07"/>
    <w:rsid w:val="00B71C4E"/>
    <w:rsid w:val="00B73611"/>
    <w:rsid w:val="00B736BA"/>
    <w:rsid w:val="00B82E9A"/>
    <w:rsid w:val="00B9268E"/>
    <w:rsid w:val="00BA290C"/>
    <w:rsid w:val="00BA58D6"/>
    <w:rsid w:val="00BB7CB8"/>
    <w:rsid w:val="00BC4E44"/>
    <w:rsid w:val="00BC6665"/>
    <w:rsid w:val="00BF27D8"/>
    <w:rsid w:val="00BF46B0"/>
    <w:rsid w:val="00C117F0"/>
    <w:rsid w:val="00C13C09"/>
    <w:rsid w:val="00C15C07"/>
    <w:rsid w:val="00C17314"/>
    <w:rsid w:val="00C20C5B"/>
    <w:rsid w:val="00C3119E"/>
    <w:rsid w:val="00C32145"/>
    <w:rsid w:val="00C32F37"/>
    <w:rsid w:val="00C62454"/>
    <w:rsid w:val="00C73F6A"/>
    <w:rsid w:val="00C8469A"/>
    <w:rsid w:val="00C85D98"/>
    <w:rsid w:val="00C93A13"/>
    <w:rsid w:val="00C9651D"/>
    <w:rsid w:val="00CA5E9F"/>
    <w:rsid w:val="00CB1216"/>
    <w:rsid w:val="00CB280F"/>
    <w:rsid w:val="00CC3149"/>
    <w:rsid w:val="00CD1DAB"/>
    <w:rsid w:val="00CD5212"/>
    <w:rsid w:val="00CD5556"/>
    <w:rsid w:val="00CF2D25"/>
    <w:rsid w:val="00D0332F"/>
    <w:rsid w:val="00D128C2"/>
    <w:rsid w:val="00D17F4D"/>
    <w:rsid w:val="00D21779"/>
    <w:rsid w:val="00D30225"/>
    <w:rsid w:val="00D361D1"/>
    <w:rsid w:val="00D42FB7"/>
    <w:rsid w:val="00D45639"/>
    <w:rsid w:val="00D52EED"/>
    <w:rsid w:val="00D82D84"/>
    <w:rsid w:val="00D8543E"/>
    <w:rsid w:val="00DA6934"/>
    <w:rsid w:val="00DA778F"/>
    <w:rsid w:val="00DD7759"/>
    <w:rsid w:val="00DE4667"/>
    <w:rsid w:val="00DF2EB9"/>
    <w:rsid w:val="00E020F6"/>
    <w:rsid w:val="00E03F1F"/>
    <w:rsid w:val="00E15253"/>
    <w:rsid w:val="00E17A1C"/>
    <w:rsid w:val="00E21270"/>
    <w:rsid w:val="00E329DD"/>
    <w:rsid w:val="00E55201"/>
    <w:rsid w:val="00E56435"/>
    <w:rsid w:val="00E64970"/>
    <w:rsid w:val="00E71CA0"/>
    <w:rsid w:val="00E73DBF"/>
    <w:rsid w:val="00E800BF"/>
    <w:rsid w:val="00E80485"/>
    <w:rsid w:val="00E83ABD"/>
    <w:rsid w:val="00EA14D5"/>
    <w:rsid w:val="00EB415A"/>
    <w:rsid w:val="00ED116D"/>
    <w:rsid w:val="00ED75E9"/>
    <w:rsid w:val="00EE0432"/>
    <w:rsid w:val="00EE1F12"/>
    <w:rsid w:val="00EE24D4"/>
    <w:rsid w:val="00EF2E1F"/>
    <w:rsid w:val="00EF33FD"/>
    <w:rsid w:val="00EF7A37"/>
    <w:rsid w:val="00F01A54"/>
    <w:rsid w:val="00F1294D"/>
    <w:rsid w:val="00F5782E"/>
    <w:rsid w:val="00F6577E"/>
    <w:rsid w:val="00F82219"/>
    <w:rsid w:val="00F85EF9"/>
    <w:rsid w:val="00F8636F"/>
    <w:rsid w:val="00FA2545"/>
    <w:rsid w:val="00FA4FF7"/>
    <w:rsid w:val="00FB2C62"/>
    <w:rsid w:val="00FC0477"/>
    <w:rsid w:val="00FD2DEA"/>
    <w:rsid w:val="00FD74C1"/>
    <w:rsid w:val="00FF0F3E"/>
    <w:rsid w:val="00FF5256"/>
    <w:rsid w:val="14681FEA"/>
    <w:rsid w:val="15864359"/>
    <w:rsid w:val="1C9047F7"/>
    <w:rsid w:val="1E596016"/>
    <w:rsid w:val="1EFF31E6"/>
    <w:rsid w:val="1FE598D6"/>
    <w:rsid w:val="1FFBAF8C"/>
    <w:rsid w:val="28B7567B"/>
    <w:rsid w:val="2C5F0F16"/>
    <w:rsid w:val="2FD4484E"/>
    <w:rsid w:val="31BA54EB"/>
    <w:rsid w:val="31FDE975"/>
    <w:rsid w:val="37FFABE0"/>
    <w:rsid w:val="38AF14A5"/>
    <w:rsid w:val="391CED57"/>
    <w:rsid w:val="3A5FBA83"/>
    <w:rsid w:val="3BDE7109"/>
    <w:rsid w:val="3D6F1B0A"/>
    <w:rsid w:val="3EAB6E43"/>
    <w:rsid w:val="3EFF565D"/>
    <w:rsid w:val="3F7D5E35"/>
    <w:rsid w:val="3FD77D63"/>
    <w:rsid w:val="3FFC02E1"/>
    <w:rsid w:val="3FFF5B9F"/>
    <w:rsid w:val="44573CDC"/>
    <w:rsid w:val="451E1B7F"/>
    <w:rsid w:val="467FD0F4"/>
    <w:rsid w:val="46FDA65D"/>
    <w:rsid w:val="48C91E02"/>
    <w:rsid w:val="4FBFD62C"/>
    <w:rsid w:val="553C0BF0"/>
    <w:rsid w:val="5CED1B79"/>
    <w:rsid w:val="5EF73C55"/>
    <w:rsid w:val="5FAFF7CB"/>
    <w:rsid w:val="5FF71C1F"/>
    <w:rsid w:val="5FFE4073"/>
    <w:rsid w:val="6BB1F5B1"/>
    <w:rsid w:val="6E303EF4"/>
    <w:rsid w:val="6FFD69A5"/>
    <w:rsid w:val="733A1535"/>
    <w:rsid w:val="73E9C783"/>
    <w:rsid w:val="75FBCB23"/>
    <w:rsid w:val="75FEB1E9"/>
    <w:rsid w:val="77397139"/>
    <w:rsid w:val="79164340"/>
    <w:rsid w:val="796F7CF7"/>
    <w:rsid w:val="7B46A725"/>
    <w:rsid w:val="7BEB5DE7"/>
    <w:rsid w:val="7BF4B242"/>
    <w:rsid w:val="7BFB6916"/>
    <w:rsid w:val="7D3FF485"/>
    <w:rsid w:val="7DAC31CF"/>
    <w:rsid w:val="7DF59953"/>
    <w:rsid w:val="7E6F55F9"/>
    <w:rsid w:val="7E7E6334"/>
    <w:rsid w:val="7EB5B785"/>
    <w:rsid w:val="7EFA7EC3"/>
    <w:rsid w:val="7F301B45"/>
    <w:rsid w:val="7FCBBFE3"/>
    <w:rsid w:val="7FE51661"/>
    <w:rsid w:val="7FE76B63"/>
    <w:rsid w:val="7FEF6F13"/>
    <w:rsid w:val="7FEFE68D"/>
    <w:rsid w:val="7FFEAF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63600D"/>
  <w15:docId w15:val="{5DC2796B-99DE-4F52-835A-C83957016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qFormat/>
    <w:rPr>
      <w:rFonts w:ascii="宋体" w:eastAsia="宋体"/>
      <w:sz w:val="18"/>
      <w:szCs w:val="18"/>
    </w:rPr>
  </w:style>
  <w:style w:type="paragraph" w:styleId="a5">
    <w:name w:val="annotation text"/>
    <w:basedOn w:val="a"/>
    <w:link w:val="a6"/>
    <w:qFormat/>
    <w:pPr>
      <w:jc w:val="left"/>
    </w:pPr>
  </w:style>
  <w:style w:type="paragraph" w:styleId="a7">
    <w:name w:val="Balloon Text"/>
    <w:basedOn w:val="a"/>
    <w:link w:val="a8"/>
    <w:qFormat/>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ad">
    <w:name w:val="Subtitle"/>
    <w:basedOn w:val="a"/>
    <w:next w:val="a"/>
    <w:qFormat/>
    <w:pPr>
      <w:spacing w:before="240" w:after="60" w:line="312" w:lineRule="auto"/>
      <w:jc w:val="center"/>
      <w:outlineLvl w:val="1"/>
    </w:pPr>
    <w:rPr>
      <w:rFonts w:asciiTheme="majorHAnsi" w:eastAsia="宋体" w:hAnsiTheme="majorHAnsi" w:cstheme="majorBidi"/>
      <w:b/>
      <w:bCs/>
      <w:kern w:val="28"/>
      <w:sz w:val="32"/>
      <w:szCs w:val="32"/>
    </w:rPr>
  </w:style>
  <w:style w:type="paragraph" w:styleId="ae">
    <w:name w:val="footnote text"/>
    <w:basedOn w:val="a"/>
    <w:link w:val="11"/>
    <w:semiHidden/>
    <w:unhideWhenUsed/>
    <w:qFormat/>
    <w:pPr>
      <w:snapToGrid w:val="0"/>
      <w:jc w:val="left"/>
    </w:pPr>
    <w:rPr>
      <w:sz w:val="18"/>
      <w:szCs w:val="18"/>
    </w:rPr>
  </w:style>
  <w:style w:type="paragraph" w:styleId="af">
    <w:name w:val="Normal (Web)"/>
    <w:basedOn w:val="a"/>
    <w:qFormat/>
    <w:pPr>
      <w:spacing w:beforeAutospacing="1" w:afterAutospacing="1"/>
      <w:jc w:val="left"/>
    </w:pPr>
    <w:rPr>
      <w:rFonts w:cs="Times New Roman"/>
      <w:kern w:val="0"/>
      <w:sz w:val="24"/>
    </w:rPr>
  </w:style>
  <w:style w:type="paragraph" w:styleId="af0">
    <w:name w:val="annotation subject"/>
    <w:basedOn w:val="a5"/>
    <w:next w:val="a5"/>
    <w:link w:val="af1"/>
    <w:qFormat/>
    <w:rPr>
      <w:b/>
      <w:bCs/>
    </w:rPr>
  </w:style>
  <w:style w:type="table" w:styleId="af2">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annotation reference"/>
    <w:basedOn w:val="a0"/>
    <w:qFormat/>
    <w:rPr>
      <w:sz w:val="21"/>
      <w:szCs w:val="21"/>
    </w:rPr>
  </w:style>
  <w:style w:type="character" w:styleId="af4">
    <w:name w:val="footnote reference"/>
    <w:basedOn w:val="a0"/>
    <w:uiPriority w:val="99"/>
    <w:semiHidden/>
    <w:unhideWhenUsed/>
    <w:qFormat/>
    <w:rPr>
      <w:vertAlign w:val="superscript"/>
    </w:rPr>
  </w:style>
  <w:style w:type="character" w:customStyle="1" w:styleId="ac">
    <w:name w:val="页眉 字符"/>
    <w:basedOn w:val="a0"/>
    <w:link w:val="ab"/>
    <w:qFormat/>
    <w:rPr>
      <w:rFonts w:asciiTheme="minorHAnsi" w:eastAsiaTheme="minorEastAsia" w:hAnsiTheme="minorHAnsi" w:cstheme="minorBidi"/>
      <w:kern w:val="2"/>
      <w:sz w:val="18"/>
      <w:szCs w:val="18"/>
    </w:rPr>
  </w:style>
  <w:style w:type="character" w:customStyle="1" w:styleId="aa">
    <w:name w:val="页脚 字符"/>
    <w:basedOn w:val="a0"/>
    <w:link w:val="a9"/>
    <w:uiPriority w:val="99"/>
    <w:qFormat/>
    <w:rPr>
      <w:rFonts w:asciiTheme="minorHAnsi" w:eastAsiaTheme="minorEastAsia" w:hAnsiTheme="minorHAnsi" w:cstheme="minorBidi"/>
      <w:kern w:val="2"/>
      <w:sz w:val="18"/>
      <w:szCs w:val="18"/>
    </w:rPr>
  </w:style>
  <w:style w:type="character" w:customStyle="1" w:styleId="a8">
    <w:name w:val="批注框文本 字符"/>
    <w:basedOn w:val="a0"/>
    <w:link w:val="a7"/>
    <w:qFormat/>
    <w:rPr>
      <w:rFonts w:asciiTheme="minorHAnsi" w:eastAsiaTheme="minorEastAsia" w:hAnsiTheme="minorHAnsi" w:cstheme="minorBidi"/>
      <w:kern w:val="2"/>
      <w:sz w:val="18"/>
      <w:szCs w:val="18"/>
    </w:rPr>
  </w:style>
  <w:style w:type="character" w:customStyle="1" w:styleId="a6">
    <w:name w:val="批注文字 字符"/>
    <w:basedOn w:val="a0"/>
    <w:link w:val="a5"/>
    <w:qFormat/>
    <w:rPr>
      <w:rFonts w:asciiTheme="minorHAnsi" w:eastAsiaTheme="minorEastAsia" w:hAnsiTheme="minorHAnsi" w:cstheme="minorBidi"/>
      <w:kern w:val="2"/>
      <w:sz w:val="21"/>
      <w:szCs w:val="24"/>
    </w:rPr>
  </w:style>
  <w:style w:type="character" w:customStyle="1" w:styleId="af1">
    <w:name w:val="批注主题 字符"/>
    <w:basedOn w:val="a6"/>
    <w:link w:val="af0"/>
    <w:qFormat/>
    <w:rPr>
      <w:rFonts w:asciiTheme="minorHAnsi" w:eastAsiaTheme="minorEastAsia" w:hAnsiTheme="minorHAnsi" w:cstheme="minorBidi"/>
      <w:b/>
      <w:bCs/>
      <w:kern w:val="2"/>
      <w:sz w:val="21"/>
      <w:szCs w:val="24"/>
    </w:rPr>
  </w:style>
  <w:style w:type="character" w:customStyle="1" w:styleId="a4">
    <w:name w:val="文档结构图 字符"/>
    <w:basedOn w:val="a0"/>
    <w:link w:val="a3"/>
    <w:qFormat/>
    <w:rPr>
      <w:rFonts w:ascii="宋体" w:hAnsiTheme="minorHAnsi" w:cstheme="minorBidi"/>
      <w:kern w:val="2"/>
      <w:sz w:val="18"/>
      <w:szCs w:val="18"/>
    </w:rPr>
  </w:style>
  <w:style w:type="paragraph" w:customStyle="1" w:styleId="12">
    <w:name w:val="脚注文本1"/>
    <w:basedOn w:val="a"/>
    <w:next w:val="ae"/>
    <w:link w:val="af5"/>
    <w:uiPriority w:val="99"/>
    <w:semiHidden/>
    <w:unhideWhenUsed/>
    <w:qFormat/>
    <w:pPr>
      <w:snapToGrid w:val="0"/>
      <w:jc w:val="left"/>
    </w:pPr>
    <w:rPr>
      <w:rFonts w:ascii="Times New Roman" w:eastAsia="宋体" w:hAnsi="Times New Roman" w:cs="Times New Roman"/>
      <w:sz w:val="18"/>
      <w:szCs w:val="18"/>
    </w:rPr>
  </w:style>
  <w:style w:type="character" w:customStyle="1" w:styleId="af5">
    <w:name w:val="脚注文本 字符"/>
    <w:basedOn w:val="a0"/>
    <w:link w:val="12"/>
    <w:uiPriority w:val="99"/>
    <w:semiHidden/>
    <w:qFormat/>
    <w:rPr>
      <w:kern w:val="2"/>
      <w:sz w:val="18"/>
      <w:szCs w:val="18"/>
    </w:rPr>
  </w:style>
  <w:style w:type="character" w:customStyle="1" w:styleId="11">
    <w:name w:val="脚注文本 字符1"/>
    <w:basedOn w:val="a0"/>
    <w:link w:val="ae"/>
    <w:semiHidden/>
    <w:qFormat/>
    <w:rPr>
      <w:rFonts w:asciiTheme="minorHAnsi" w:eastAsiaTheme="minorEastAsia" w:hAnsiTheme="minorHAnsi" w:cstheme="minorBidi"/>
      <w:kern w:val="2"/>
      <w:sz w:val="18"/>
      <w:szCs w:val="18"/>
    </w:rPr>
  </w:style>
  <w:style w:type="character" w:customStyle="1" w:styleId="10">
    <w:name w:val="标题 1 字符"/>
    <w:basedOn w:val="a0"/>
    <w:link w:val="1"/>
    <w:qFormat/>
    <w:rPr>
      <w:rFonts w:ascii="宋体" w:hAnsi="宋体"/>
      <w:b/>
      <w:bCs/>
      <w:kern w:val="44"/>
      <w:sz w:val="48"/>
      <w:szCs w:val="48"/>
    </w:rPr>
  </w:style>
  <w:style w:type="paragraph" w:customStyle="1" w:styleId="13">
    <w:name w:val="修订1"/>
    <w:hidden/>
    <w:uiPriority w:val="99"/>
    <w:unhideWhenUsed/>
    <w:qFormat/>
    <w:rPr>
      <w:rFonts w:asciiTheme="minorHAnsi" w:eastAsiaTheme="minorEastAsia" w:hAnsiTheme="minorHAnsi" w:cstheme="minorBidi"/>
      <w:kern w:val="2"/>
      <w:sz w:val="21"/>
      <w:szCs w:val="24"/>
    </w:rPr>
  </w:style>
  <w:style w:type="table" w:customStyle="1" w:styleId="3">
    <w:name w:val="网格型3"/>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修订2"/>
    <w:hidden/>
    <w:uiPriority w:val="99"/>
    <w:unhideWhenUsed/>
    <w:qFormat/>
    <w:rPr>
      <w:rFonts w:asciiTheme="minorHAnsi" w:eastAsiaTheme="minorEastAsia" w:hAnsiTheme="minorHAnsi" w:cstheme="minorBidi"/>
      <w:kern w:val="2"/>
      <w:sz w:val="21"/>
      <w:szCs w:val="24"/>
    </w:rPr>
  </w:style>
  <w:style w:type="table" w:customStyle="1" w:styleId="110">
    <w:name w:val="网格型11"/>
    <w:basedOn w:val="a1"/>
    <w:uiPriority w:val="5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Revision"/>
    <w:hidden/>
    <w:uiPriority w:val="99"/>
    <w:unhideWhenUsed/>
    <w:rsid w:val="00696191"/>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8A936D-84CE-4EC6-B4F8-EBABDDDAB0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Pages>
  <Words>151</Words>
  <Characters>861</Characters>
  <Application>Microsoft Office Word</Application>
  <DocSecurity>0</DocSecurity>
  <Lines>7</Lines>
  <Paragraphs>2</Paragraphs>
  <ScaleCrop>false</ScaleCrop>
  <Company>国泰君安证券股份有限公司</Company>
  <LinksUpToDate>false</LinksUpToDate>
  <CharactersWithSpaces>1010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lhy</dc:creator>
  <cp:lastModifiedBy>Yang LI</cp:lastModifiedBy>
  <cp:revision>173</cp:revision>
  <dcterms:created xsi:type="dcterms:W3CDTF">2020-04-07T03:00:00Z</dcterms:created>
  <dcterms:modified xsi:type="dcterms:W3CDTF">2025-11-18T06:58:00Z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eyJoZGlkIjoiNDBkMzZhYjg1MTA5NWQxZDBlZTkzNTdlNjQ1NThlNjAiLCJ1c2VySWQiOiIxOTk5NDQxOTYifQ==</vt:lpwstr>
  </property>
  <property fmtid="{D5CDD505-2E9C-101B-9397-08002B2CF9AE}" pid="4" name="ICV">
    <vt:lpwstr>C0B3D15686B34858A276255E54978B85_12</vt:lpwstr>
  </property>
</Properties>
</file>