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AAF1C" w14:textId="77777777" w:rsidR="00A91E28" w:rsidRDefault="00EA7C37">
      <w:pPr>
        <w:pStyle w:val="1"/>
        <w:widowControl/>
        <w:shd w:val="clear" w:color="auto" w:fill="FFFFFF"/>
        <w:spacing w:beforeAutospacing="0" w:afterAutospacing="0" w:line="360" w:lineRule="auto"/>
        <w:jc w:val="center"/>
        <w:rPr>
          <w:rFonts w:ascii="Times New Roman" w:eastAsia="黑体" w:hAnsi="Times New Roman" w:hint="default"/>
          <w:sz w:val="28"/>
          <w:szCs w:val="28"/>
          <w:shd w:val="clear" w:color="auto" w:fill="FFFFFF"/>
        </w:rPr>
      </w:pPr>
      <w:proofErr w:type="gramStart"/>
      <w:r>
        <w:rPr>
          <w:rFonts w:ascii="Times New Roman" w:eastAsia="黑体" w:hAnsi="Times New Roman"/>
          <w:sz w:val="28"/>
          <w:szCs w:val="28"/>
          <w:shd w:val="clear" w:color="auto" w:fill="FFFFFF"/>
        </w:rPr>
        <w:t>国泰海通</w:t>
      </w:r>
      <w:proofErr w:type="gramEnd"/>
      <w:r>
        <w:rPr>
          <w:rFonts w:ascii="Times New Roman" w:eastAsia="黑体" w:hAnsi="Times New Roman"/>
          <w:sz w:val="28"/>
          <w:szCs w:val="28"/>
          <w:shd w:val="clear" w:color="auto" w:fill="FFFFFF"/>
        </w:rPr>
        <w:t>证券股份有限公司</w:t>
      </w:r>
    </w:p>
    <w:p w14:paraId="5DE9A6C2" w14:textId="77777777" w:rsidR="00A91E28" w:rsidRDefault="00EA7C37">
      <w:pPr>
        <w:pStyle w:val="1"/>
        <w:widowControl/>
        <w:shd w:val="clear" w:color="auto" w:fill="FFFFFF"/>
        <w:spacing w:beforeAutospacing="0" w:afterAutospacing="0" w:line="360" w:lineRule="auto"/>
        <w:jc w:val="center"/>
        <w:rPr>
          <w:rFonts w:ascii="Times New Roman" w:eastAsia="黑体" w:hAnsi="Times New Roman" w:hint="default"/>
          <w:sz w:val="28"/>
          <w:szCs w:val="28"/>
          <w:shd w:val="clear" w:color="auto" w:fill="FFFFFF"/>
        </w:rPr>
      </w:pPr>
      <w:r>
        <w:rPr>
          <w:rFonts w:ascii="Times New Roman" w:eastAsia="黑体" w:hAnsi="Times New Roman"/>
          <w:sz w:val="28"/>
          <w:szCs w:val="28"/>
          <w:shd w:val="clear" w:color="auto" w:fill="FFFFFF"/>
        </w:rPr>
        <w:t>关于广东天亿马信息产业股份有限公司本次交易</w:t>
      </w:r>
    </w:p>
    <w:p w14:paraId="3DFCC41A" w14:textId="77777777" w:rsidR="00A91E28" w:rsidRDefault="00EA7C37">
      <w:pPr>
        <w:pStyle w:val="1"/>
        <w:widowControl/>
        <w:shd w:val="clear" w:color="auto" w:fill="FFFFFF"/>
        <w:spacing w:beforeAutospacing="0" w:afterAutospacing="0" w:line="360" w:lineRule="auto"/>
        <w:jc w:val="center"/>
        <w:rPr>
          <w:rFonts w:ascii="Times New Roman" w:eastAsia="黑体" w:hAnsi="Times New Roman" w:hint="default"/>
          <w:sz w:val="28"/>
          <w:szCs w:val="28"/>
          <w:shd w:val="clear" w:color="auto" w:fill="FFFFFF"/>
        </w:rPr>
      </w:pPr>
      <w:r>
        <w:rPr>
          <w:rFonts w:ascii="Times New Roman" w:eastAsia="黑体" w:hAnsi="Times New Roman"/>
          <w:sz w:val="28"/>
          <w:szCs w:val="28"/>
          <w:shd w:val="clear" w:color="auto" w:fill="FFFFFF"/>
        </w:rPr>
        <w:t>符合创业板上市公司相关规定的核查意见</w:t>
      </w:r>
    </w:p>
    <w:p w14:paraId="24FBE7E6" w14:textId="77777777" w:rsidR="00A91E28" w:rsidRDefault="00A91E28">
      <w:pPr>
        <w:jc w:val="center"/>
      </w:pPr>
    </w:p>
    <w:p w14:paraId="6EFC1CD9" w14:textId="6B1A9A7A"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rPr>
      </w:pPr>
      <w:r>
        <w:rPr>
          <w:rFonts w:ascii="Times New Roman" w:eastAsia="宋体" w:hAnsi="Times New Roman" w:hint="eastAsia"/>
          <w:shd w:val="clear" w:color="auto" w:fill="FFFFFF"/>
        </w:rPr>
        <w:t>广东天亿马信息产业股份有限公司（以下简称</w:t>
      </w:r>
      <w:r w:rsidR="00EB18A1">
        <w:rPr>
          <w:rFonts w:ascii="Times New Roman" w:eastAsia="宋体" w:hAnsi="Times New Roman" w:hint="eastAsia"/>
          <w:shd w:val="clear" w:color="auto" w:fill="FFFFFF"/>
        </w:rPr>
        <w:t>“上市公司”或</w:t>
      </w:r>
      <w:r>
        <w:rPr>
          <w:rFonts w:ascii="Times New Roman" w:eastAsia="宋体" w:hAnsi="Times New Roman" w:hint="eastAsia"/>
          <w:shd w:val="clear" w:color="auto" w:fill="FFFFFF"/>
        </w:rPr>
        <w:t>“公司”）拟通过发行股份及支付现金的方式购买广东星云开物科技股份有限公司（以下简称“标的公司”）</w:t>
      </w:r>
      <w:r>
        <w:rPr>
          <w:rFonts w:ascii="Times New Roman" w:eastAsia="宋体" w:hAnsi="Times New Roman" w:hint="eastAsia"/>
          <w:shd w:val="clear" w:color="auto" w:fill="FFFFFF"/>
        </w:rPr>
        <w:t>98.5632%</w:t>
      </w:r>
      <w:r>
        <w:rPr>
          <w:rFonts w:ascii="Times New Roman" w:eastAsia="宋体" w:hAnsi="Times New Roman" w:hint="eastAsia"/>
          <w:shd w:val="clear" w:color="auto" w:fill="FFFFFF"/>
        </w:rPr>
        <w:t>股份（以下简称“标的资产”）并募集配套资金（以下简称“本次交易”）</w:t>
      </w:r>
      <w:r>
        <w:rPr>
          <w:rFonts w:ascii="Times New Roman" w:eastAsia="宋体" w:hAnsi="Times New Roman"/>
        </w:rPr>
        <w:t>。</w:t>
      </w:r>
    </w:p>
    <w:p w14:paraId="58EB96CF" w14:textId="1931679D"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proofErr w:type="gramStart"/>
      <w:r>
        <w:rPr>
          <w:rFonts w:ascii="Times New Roman" w:eastAsia="宋体" w:hAnsi="Times New Roman" w:hint="eastAsia"/>
          <w:shd w:val="clear" w:color="auto" w:fill="FFFFFF"/>
        </w:rPr>
        <w:t>国泰海通</w:t>
      </w:r>
      <w:proofErr w:type="gramEnd"/>
      <w:r>
        <w:rPr>
          <w:rFonts w:ascii="Times New Roman" w:eastAsia="宋体" w:hAnsi="Times New Roman" w:hint="eastAsia"/>
          <w:shd w:val="clear" w:color="auto" w:fill="FFFFFF"/>
        </w:rPr>
        <w:t>证券股份有限公司</w:t>
      </w:r>
      <w:bookmarkStart w:id="0" w:name="OLE_LINK1"/>
      <w:r>
        <w:rPr>
          <w:rFonts w:ascii="Times New Roman" w:eastAsia="宋体" w:hAnsi="Times New Roman" w:hint="eastAsia"/>
          <w:shd w:val="clear" w:color="auto" w:fill="FFFFFF"/>
        </w:rPr>
        <w:t>（以下简称“独立财务顾问”）</w:t>
      </w:r>
      <w:bookmarkEnd w:id="0"/>
      <w:r>
        <w:rPr>
          <w:rFonts w:ascii="Times New Roman" w:eastAsia="宋体" w:hAnsi="Times New Roman" w:hint="eastAsia"/>
          <w:shd w:val="clear" w:color="auto" w:fill="FFFFFF"/>
        </w:rPr>
        <w:t>接受上市公司委托，担任上市公司本次交易的独立财务顾问，对上市公司本次交易是否符合《上市公司证券发行注册管理办法》</w:t>
      </w:r>
      <w:r w:rsidR="003F6191">
        <w:rPr>
          <w:rFonts w:ascii="Times New Roman" w:eastAsia="宋体" w:hAnsi="Times New Roman" w:hint="eastAsia"/>
          <w:shd w:val="clear" w:color="auto" w:fill="FFFFFF"/>
        </w:rPr>
        <w:t>（以下简称“《发行注册管理办法》”）、</w:t>
      </w:r>
      <w:r>
        <w:rPr>
          <w:rFonts w:ascii="Times New Roman" w:eastAsia="宋体" w:hAnsi="Times New Roman" w:hint="eastAsia"/>
          <w:shd w:val="clear" w:color="auto" w:fill="FFFFFF"/>
        </w:rPr>
        <w:t>《创业板上市公司持续监管办法（试行）》</w:t>
      </w:r>
      <w:r w:rsidR="003F6191">
        <w:rPr>
          <w:rFonts w:ascii="Times New Roman" w:eastAsia="宋体" w:hAnsi="Times New Roman" w:hint="eastAsia"/>
          <w:shd w:val="clear" w:color="auto" w:fill="FFFFFF"/>
        </w:rPr>
        <w:t>（以下简称“</w:t>
      </w:r>
      <w:bookmarkStart w:id="1" w:name="_Hlk214325515"/>
      <w:r w:rsidR="003F6191">
        <w:rPr>
          <w:rFonts w:ascii="Times New Roman" w:eastAsia="宋体" w:hAnsi="Times New Roman" w:hint="eastAsia"/>
          <w:shd w:val="clear" w:color="auto" w:fill="FFFFFF"/>
        </w:rPr>
        <w:t>《创业板持续监管办法》</w:t>
      </w:r>
      <w:bookmarkEnd w:id="1"/>
      <w:r w:rsidR="003F6191">
        <w:rPr>
          <w:rFonts w:ascii="Times New Roman" w:eastAsia="宋体" w:hAnsi="Times New Roman" w:hint="eastAsia"/>
          <w:shd w:val="clear" w:color="auto" w:fill="FFFFFF"/>
        </w:rPr>
        <w:t>”）</w:t>
      </w:r>
      <w:r w:rsidR="003F6191">
        <w:rPr>
          <w:rFonts w:ascii="Times New Roman" w:eastAsiaTheme="majorEastAsia" w:hAnsi="Times New Roman" w:hint="eastAsia"/>
        </w:rPr>
        <w:t>、《深圳证券交易所创业板企业发行上市申报及推荐暂行规定（</w:t>
      </w:r>
      <w:r w:rsidR="003F6191">
        <w:rPr>
          <w:rFonts w:ascii="Times New Roman" w:eastAsiaTheme="majorEastAsia" w:hAnsi="Times New Roman" w:hint="eastAsia"/>
        </w:rPr>
        <w:t>2024</w:t>
      </w:r>
      <w:r w:rsidR="003F6191">
        <w:rPr>
          <w:rFonts w:ascii="Times New Roman" w:eastAsiaTheme="majorEastAsia" w:hAnsi="Times New Roman" w:hint="eastAsia"/>
        </w:rPr>
        <w:t>年修订）》（以下简称“《创业板暂行规定》”）</w:t>
      </w:r>
      <w:r>
        <w:rPr>
          <w:rFonts w:ascii="Times New Roman" w:eastAsia="宋体" w:hAnsi="Times New Roman" w:hint="eastAsia"/>
          <w:shd w:val="clear" w:color="auto" w:fill="FFFFFF"/>
        </w:rPr>
        <w:t>和《深圳证券交易所上市公司重大资产重组审核规则》</w:t>
      </w:r>
      <w:r w:rsidR="003F6191">
        <w:rPr>
          <w:rFonts w:ascii="Times New Roman" w:eastAsia="宋体" w:hAnsi="Times New Roman" w:hint="eastAsia"/>
          <w:shd w:val="clear" w:color="auto" w:fill="FFFFFF"/>
        </w:rPr>
        <w:t>（以下简称“《深交所重组审核规则》”）</w:t>
      </w:r>
      <w:r>
        <w:rPr>
          <w:rFonts w:ascii="Times New Roman" w:eastAsia="宋体" w:hAnsi="Times New Roman" w:hint="eastAsia"/>
          <w:shd w:val="clear" w:color="auto" w:fill="FFFFFF"/>
        </w:rPr>
        <w:t>等相关规定核查如下：</w:t>
      </w:r>
    </w:p>
    <w:p w14:paraId="61056547"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jc w:val="both"/>
        <w:rPr>
          <w:rFonts w:ascii="Times New Roman" w:eastAsia="宋体" w:hAnsi="Times New Roman"/>
          <w:b/>
          <w:bCs/>
          <w:shd w:val="clear" w:color="auto" w:fill="FFFFFF"/>
        </w:rPr>
      </w:pPr>
      <w:r>
        <w:rPr>
          <w:rFonts w:ascii="Times New Roman" w:eastAsia="宋体" w:hAnsi="Times New Roman" w:hint="eastAsia"/>
          <w:b/>
          <w:bCs/>
          <w:shd w:val="clear" w:color="auto" w:fill="FFFFFF"/>
        </w:rPr>
        <w:t>一、本次交易符合《发行注册管理办法》的规定</w:t>
      </w:r>
    </w:p>
    <w:p w14:paraId="270B4C15"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1</w:t>
      </w:r>
      <w:r>
        <w:rPr>
          <w:rFonts w:ascii="Times New Roman" w:eastAsia="宋体" w:hAnsi="Times New Roman" w:hint="eastAsia"/>
          <w:b/>
          <w:bCs/>
          <w:shd w:val="clear" w:color="auto" w:fill="FFFFFF"/>
        </w:rPr>
        <w:t>、本次交易不存在《发行注册管理办法》第十一条规定的不得向特定对象发行股票的情形</w:t>
      </w:r>
    </w:p>
    <w:p w14:paraId="77727BB2"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截至本核查意见签署日，上市公司不存在《发行注册管理办法》第十一条规定之不得向特定对象发行股票的如下情形：</w:t>
      </w:r>
    </w:p>
    <w:p w14:paraId="7A616659"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w:t>
      </w:r>
      <w:r>
        <w:rPr>
          <w:rFonts w:ascii="Times New Roman" w:eastAsia="宋体" w:hAnsi="Times New Roman" w:hint="eastAsia"/>
          <w:shd w:val="clear" w:color="auto" w:fill="FFFFFF"/>
        </w:rPr>
        <w:t>1</w:t>
      </w:r>
      <w:r>
        <w:rPr>
          <w:rFonts w:ascii="Times New Roman" w:eastAsia="宋体" w:hAnsi="Times New Roman" w:hint="eastAsia"/>
          <w:shd w:val="clear" w:color="auto" w:fill="FFFFFF"/>
        </w:rPr>
        <w:t>）擅自改变前次募集资金用途未作纠正，或者未经股东会认可；</w:t>
      </w:r>
    </w:p>
    <w:p w14:paraId="05A050AF"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w:t>
      </w:r>
      <w:r>
        <w:rPr>
          <w:rFonts w:ascii="Times New Roman" w:eastAsia="宋体" w:hAnsi="Times New Roman" w:hint="eastAsia"/>
          <w:shd w:val="clear" w:color="auto" w:fill="FFFFFF"/>
        </w:rPr>
        <w:t>2</w:t>
      </w:r>
      <w:r>
        <w:rPr>
          <w:rFonts w:ascii="Times New Roman" w:eastAsia="宋体" w:hAnsi="Times New Roman" w:hint="eastAsia"/>
          <w:shd w:val="clear" w:color="auto" w:fill="FFFFFF"/>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7243EFDC"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lastRenderedPageBreak/>
        <w:t>（</w:t>
      </w:r>
      <w:r>
        <w:rPr>
          <w:rFonts w:ascii="Times New Roman" w:eastAsia="宋体" w:hAnsi="Times New Roman" w:hint="eastAsia"/>
          <w:shd w:val="clear" w:color="auto" w:fill="FFFFFF"/>
        </w:rPr>
        <w:t>3</w:t>
      </w:r>
      <w:r>
        <w:rPr>
          <w:rFonts w:ascii="Times New Roman" w:eastAsia="宋体" w:hAnsi="Times New Roman" w:hint="eastAsia"/>
          <w:shd w:val="clear" w:color="auto" w:fill="FFFFFF"/>
        </w:rPr>
        <w:t>）现任董事、高级管理人员最近三年受到中国证监会行政处罚，或者最近一年受到证券交易所公开谴责；</w:t>
      </w:r>
    </w:p>
    <w:p w14:paraId="3355C428"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w:t>
      </w:r>
      <w:r>
        <w:rPr>
          <w:rFonts w:ascii="Times New Roman" w:eastAsia="宋体" w:hAnsi="Times New Roman" w:hint="eastAsia"/>
          <w:shd w:val="clear" w:color="auto" w:fill="FFFFFF"/>
        </w:rPr>
        <w:t>4</w:t>
      </w:r>
      <w:r>
        <w:rPr>
          <w:rFonts w:ascii="Times New Roman" w:eastAsia="宋体" w:hAnsi="Times New Roman" w:hint="eastAsia"/>
          <w:shd w:val="clear" w:color="auto" w:fill="FFFFFF"/>
        </w:rPr>
        <w:t>）上市公司及其现任董事、高级管理人员因涉嫌犯罪正在被司法机关立案侦查或者涉嫌违法违规正被中国证监会立案调查；</w:t>
      </w:r>
    </w:p>
    <w:p w14:paraId="7C530878"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w:t>
      </w:r>
      <w:r>
        <w:rPr>
          <w:rFonts w:ascii="Times New Roman" w:eastAsia="宋体" w:hAnsi="Times New Roman" w:hint="eastAsia"/>
          <w:shd w:val="clear" w:color="auto" w:fill="FFFFFF"/>
        </w:rPr>
        <w:t>5</w:t>
      </w:r>
      <w:r>
        <w:rPr>
          <w:rFonts w:ascii="Times New Roman" w:eastAsia="宋体" w:hAnsi="Times New Roman" w:hint="eastAsia"/>
          <w:shd w:val="clear" w:color="auto" w:fill="FFFFFF"/>
        </w:rPr>
        <w:t>）控股股东、实际控制人最近三年存在严重损害上市公司利益或者投资者合法权益的重大违法行为；</w:t>
      </w:r>
    </w:p>
    <w:p w14:paraId="7E23F54E"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w:t>
      </w:r>
      <w:r>
        <w:rPr>
          <w:rFonts w:ascii="Times New Roman" w:eastAsia="宋体" w:hAnsi="Times New Roman" w:hint="eastAsia"/>
          <w:shd w:val="clear" w:color="auto" w:fill="FFFFFF"/>
        </w:rPr>
        <w:t>6</w:t>
      </w:r>
      <w:r>
        <w:rPr>
          <w:rFonts w:ascii="Times New Roman" w:eastAsia="宋体" w:hAnsi="Times New Roman" w:hint="eastAsia"/>
          <w:shd w:val="clear" w:color="auto" w:fill="FFFFFF"/>
        </w:rPr>
        <w:t>）最近三年存在严重损害投资者合法权益或者社会公共利益的重大违法行为。</w:t>
      </w:r>
    </w:p>
    <w:p w14:paraId="4486B489"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因此，本次交易符合《发行注册管理办法》第十一条的规定。</w:t>
      </w:r>
    </w:p>
    <w:p w14:paraId="7EC8C7B4"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2</w:t>
      </w:r>
      <w:r>
        <w:rPr>
          <w:rFonts w:ascii="Times New Roman" w:eastAsia="宋体" w:hAnsi="Times New Roman" w:hint="eastAsia"/>
          <w:b/>
          <w:bCs/>
          <w:shd w:val="clear" w:color="auto" w:fill="FFFFFF"/>
        </w:rPr>
        <w:t>、本次交易符合《发行注册管理办法》第十二条的规定</w:t>
      </w:r>
    </w:p>
    <w:p w14:paraId="791D8252"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上市公司本次募集配套资金总额不超过</w:t>
      </w:r>
      <w:r>
        <w:rPr>
          <w:rFonts w:ascii="Times New Roman" w:eastAsia="宋体" w:hAnsi="Times New Roman" w:hint="eastAsia"/>
          <w:shd w:val="clear" w:color="auto" w:fill="FFFFFF"/>
        </w:rPr>
        <w:t>15,500.00</w:t>
      </w:r>
      <w:r>
        <w:rPr>
          <w:rFonts w:ascii="Times New Roman" w:eastAsia="宋体" w:hAnsi="Times New Roman" w:hint="eastAsia"/>
          <w:shd w:val="clear" w:color="auto" w:fill="FFFFFF"/>
        </w:rPr>
        <w:t>万元（含本数），用于支付本次交易现金对价、支付本次交易的中介机构费用、相关税费，未超过本次交易拟购买资产交易价格的</w:t>
      </w:r>
      <w:r>
        <w:rPr>
          <w:rFonts w:ascii="Times New Roman" w:eastAsia="宋体" w:hAnsi="Times New Roman" w:hint="eastAsia"/>
          <w:shd w:val="clear" w:color="auto" w:fill="FFFFFF"/>
        </w:rPr>
        <w:t>100%</w:t>
      </w:r>
      <w:r>
        <w:rPr>
          <w:rFonts w:ascii="Times New Roman" w:eastAsia="宋体" w:hAnsi="Times New Roman" w:hint="eastAsia"/>
          <w:shd w:val="clear" w:color="auto" w:fill="FFFFFF"/>
        </w:rPr>
        <w:t>。上市公司发行股份募集配套资金用途符合国家产业政策和有关环境保护、土地管理等法律、行政法规规定；本次募集资金使用不为持有财务性投资，未直接或者间接投资于以买卖有价证券为主要业务的公司；本次交易完成后，不会与上市公司控股股东及其控制的其他企业新增构成重大不利影响的同业竞争、显失公平的关联交易，或者严重影响公司生产经营的独立性。</w:t>
      </w:r>
    </w:p>
    <w:p w14:paraId="26737573"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因此，本次交易符合《发行注册管理办法》第十二条的规定。</w:t>
      </w:r>
    </w:p>
    <w:p w14:paraId="366D7D24"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3</w:t>
      </w:r>
      <w:r>
        <w:rPr>
          <w:rFonts w:ascii="Times New Roman" w:eastAsia="宋体" w:hAnsi="Times New Roman" w:hint="eastAsia"/>
          <w:b/>
          <w:bCs/>
          <w:shd w:val="clear" w:color="auto" w:fill="FFFFFF"/>
        </w:rPr>
        <w:t>、本次交易符合《发行注册管理办法》第五十五条的规定</w:t>
      </w:r>
    </w:p>
    <w:p w14:paraId="2166A90B" w14:textId="55687414"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根据《发行注册管理办法》第五十五条，上市公司向特定对象发行证券，发行对象应当符合股东大会决议规定的条件，且每次发行对象不超过三十五名。上市公司本次募集配套资金</w:t>
      </w:r>
      <w:r w:rsidR="00EB18A1">
        <w:rPr>
          <w:rFonts w:ascii="Times New Roman" w:eastAsia="宋体" w:hAnsi="Times New Roman" w:hint="eastAsia"/>
          <w:shd w:val="clear" w:color="auto" w:fill="FFFFFF"/>
        </w:rPr>
        <w:t>的发行</w:t>
      </w:r>
      <w:r w:rsidR="00130F59">
        <w:rPr>
          <w:rFonts w:ascii="Times New Roman" w:eastAsia="宋体" w:hAnsi="Times New Roman" w:hint="eastAsia"/>
          <w:shd w:val="clear" w:color="auto" w:fill="FFFFFF"/>
        </w:rPr>
        <w:t>对象为</w:t>
      </w:r>
      <w:r>
        <w:rPr>
          <w:rFonts w:ascii="Times New Roman" w:eastAsia="宋体" w:hAnsi="Times New Roman" w:hint="eastAsia"/>
          <w:shd w:val="clear" w:color="auto" w:fill="FFFFFF"/>
        </w:rPr>
        <w:t>上市公司实际控制人之一马学沛，符合《发行注册管理办法》第五十五条的规定。</w:t>
      </w:r>
    </w:p>
    <w:p w14:paraId="7A6FD21A"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4</w:t>
      </w:r>
      <w:r>
        <w:rPr>
          <w:rFonts w:ascii="Times New Roman" w:eastAsia="宋体" w:hAnsi="Times New Roman" w:hint="eastAsia"/>
          <w:b/>
          <w:bCs/>
          <w:shd w:val="clear" w:color="auto" w:fill="FFFFFF"/>
        </w:rPr>
        <w:t>、本次交易符合《发行注册管理办法》第五十六条、五十七条、五十八条的规定</w:t>
      </w:r>
    </w:p>
    <w:p w14:paraId="2EDC17BF" w14:textId="576A7D42" w:rsidR="00A91E28" w:rsidRDefault="00441CE2"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sidRPr="00441CE2">
        <w:rPr>
          <w:rFonts w:ascii="Times New Roman" w:eastAsia="宋体" w:hAnsi="Times New Roman" w:hint="eastAsia"/>
          <w:shd w:val="clear" w:color="auto" w:fill="FFFFFF"/>
        </w:rPr>
        <w:lastRenderedPageBreak/>
        <w:t>本次募集配套资金的发行对象为上市公司实际控制人之一马学沛先生，定价基准日为第三届董事会第三十二次会议决议公告日。本次募集配套资金的发行价格为</w:t>
      </w:r>
      <w:r w:rsidRPr="00441CE2">
        <w:rPr>
          <w:rFonts w:ascii="Times New Roman" w:eastAsia="宋体" w:hAnsi="Times New Roman" w:hint="eastAsia"/>
          <w:shd w:val="clear" w:color="auto" w:fill="FFFFFF"/>
        </w:rPr>
        <w:t>32.74</w:t>
      </w:r>
      <w:r w:rsidRPr="00441CE2">
        <w:rPr>
          <w:rFonts w:ascii="Times New Roman" w:eastAsia="宋体" w:hAnsi="Times New Roman" w:hint="eastAsia"/>
          <w:shd w:val="clear" w:color="auto" w:fill="FFFFFF"/>
        </w:rPr>
        <w:t>元，不低于定价基准日前</w:t>
      </w:r>
      <w:r w:rsidRPr="00441CE2">
        <w:rPr>
          <w:rFonts w:ascii="Times New Roman" w:eastAsia="宋体" w:hAnsi="Times New Roman" w:hint="eastAsia"/>
          <w:shd w:val="clear" w:color="auto" w:fill="FFFFFF"/>
        </w:rPr>
        <w:t>20</w:t>
      </w:r>
      <w:r w:rsidRPr="00441CE2">
        <w:rPr>
          <w:rFonts w:ascii="Times New Roman" w:eastAsia="宋体" w:hAnsi="Times New Roman" w:hint="eastAsia"/>
          <w:shd w:val="clear" w:color="auto" w:fill="FFFFFF"/>
        </w:rPr>
        <w:t>个交易日公司股票均价的</w:t>
      </w:r>
      <w:r w:rsidRPr="00441CE2">
        <w:rPr>
          <w:rFonts w:ascii="Times New Roman" w:eastAsia="宋体" w:hAnsi="Times New Roman" w:hint="eastAsia"/>
          <w:shd w:val="clear" w:color="auto" w:fill="FFFFFF"/>
        </w:rPr>
        <w:t>80%</w:t>
      </w:r>
      <w:r w:rsidRPr="00441CE2">
        <w:rPr>
          <w:rFonts w:ascii="Times New Roman" w:eastAsia="宋体" w:hAnsi="Times New Roman" w:hint="eastAsia"/>
          <w:shd w:val="clear" w:color="auto" w:fill="FFFFFF"/>
        </w:rPr>
        <w:t>。本次募集配套资金符合《发行注册管理办法》第五十六条、五十七条、五十八条的规定</w:t>
      </w:r>
      <w:r w:rsidR="00EA7C37">
        <w:rPr>
          <w:rFonts w:ascii="Times New Roman" w:eastAsia="宋体" w:hAnsi="Times New Roman" w:hint="eastAsia"/>
          <w:shd w:val="clear" w:color="auto" w:fill="FFFFFF"/>
        </w:rPr>
        <w:t>。</w:t>
      </w:r>
    </w:p>
    <w:p w14:paraId="4C87CE3B"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5</w:t>
      </w:r>
      <w:r>
        <w:rPr>
          <w:rFonts w:ascii="Times New Roman" w:eastAsia="宋体" w:hAnsi="Times New Roman" w:hint="eastAsia"/>
          <w:b/>
          <w:bCs/>
          <w:shd w:val="clear" w:color="auto" w:fill="FFFFFF"/>
        </w:rPr>
        <w:t>、本次交易符合《发行注册管理办法》第五十九条的规定</w:t>
      </w:r>
    </w:p>
    <w:p w14:paraId="376DE929"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本次参与募集配套资金认购的特定对象以现金认购取得的股份自发行结束之日起</w:t>
      </w:r>
      <w:r>
        <w:rPr>
          <w:rFonts w:ascii="Times New Roman" w:eastAsia="宋体" w:hAnsi="Times New Roman" w:hint="eastAsia"/>
          <w:shd w:val="clear" w:color="auto" w:fill="FFFFFF"/>
        </w:rPr>
        <w:t>18</w:t>
      </w:r>
      <w:r>
        <w:rPr>
          <w:rFonts w:ascii="Times New Roman" w:eastAsia="宋体" w:hAnsi="Times New Roman" w:hint="eastAsia"/>
          <w:shd w:val="clear" w:color="auto" w:fill="FFFFFF"/>
        </w:rPr>
        <w:t>个月内不得转让。锁定期届满后，该等股份转让和交易将按照届时有效的法律、法规、证监会和深交所的有关规定执行，符合《发行注册管理办法》第五十九条的规定。</w:t>
      </w:r>
    </w:p>
    <w:p w14:paraId="0E96A084" w14:textId="01037EB1"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jc w:val="both"/>
        <w:rPr>
          <w:rFonts w:ascii="Times New Roman" w:eastAsia="宋体" w:hAnsi="Times New Roman"/>
          <w:b/>
          <w:bCs/>
          <w:shd w:val="clear" w:color="auto" w:fill="FFFFFF"/>
        </w:rPr>
      </w:pPr>
      <w:r>
        <w:rPr>
          <w:rFonts w:ascii="Times New Roman" w:eastAsia="宋体" w:hAnsi="Times New Roman" w:hint="eastAsia"/>
          <w:b/>
          <w:bCs/>
          <w:shd w:val="clear" w:color="auto" w:fill="FFFFFF"/>
        </w:rPr>
        <w:t>二、本次交易符合</w:t>
      </w:r>
      <w:r w:rsidR="003F6191" w:rsidRPr="003F6191">
        <w:rPr>
          <w:rFonts w:ascii="Times New Roman" w:eastAsia="宋体" w:hAnsi="Times New Roman" w:hint="eastAsia"/>
          <w:b/>
          <w:bCs/>
          <w:shd w:val="clear" w:color="auto" w:fill="FFFFFF"/>
        </w:rPr>
        <w:t>《创业板持续监管办法》</w:t>
      </w:r>
      <w:r>
        <w:rPr>
          <w:rFonts w:ascii="Times New Roman" w:eastAsia="宋体" w:hAnsi="Times New Roman" w:hint="eastAsia"/>
          <w:b/>
          <w:bCs/>
          <w:shd w:val="clear" w:color="auto" w:fill="FFFFFF"/>
        </w:rPr>
        <w:t>第十八条和《</w:t>
      </w:r>
      <w:r w:rsidR="003F6191">
        <w:rPr>
          <w:rFonts w:ascii="Times New Roman" w:eastAsia="宋体" w:hAnsi="Times New Roman" w:hint="eastAsia"/>
          <w:b/>
          <w:bCs/>
          <w:shd w:val="clear" w:color="auto" w:fill="FFFFFF"/>
        </w:rPr>
        <w:t>深交所</w:t>
      </w:r>
      <w:r>
        <w:rPr>
          <w:rFonts w:ascii="Times New Roman" w:eastAsia="宋体" w:hAnsi="Times New Roman" w:hint="eastAsia"/>
          <w:b/>
          <w:bCs/>
          <w:shd w:val="clear" w:color="auto" w:fill="FFFFFF"/>
        </w:rPr>
        <w:t>重组审核规则》第八条的相关规定</w:t>
      </w:r>
    </w:p>
    <w:p w14:paraId="215A1A6F" w14:textId="7E1FFBE0" w:rsidR="00A91E28" w:rsidRDefault="003F6191"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sidRPr="003F6191">
        <w:rPr>
          <w:rFonts w:ascii="Times New Roman" w:eastAsia="宋体" w:hAnsi="Times New Roman" w:hint="eastAsia"/>
          <w:shd w:val="clear" w:color="auto" w:fill="FFFFFF"/>
        </w:rPr>
        <w:t>《创业板持续监管办法》</w:t>
      </w:r>
      <w:r w:rsidR="00EA7C37">
        <w:rPr>
          <w:rFonts w:ascii="Times New Roman" w:eastAsia="宋体" w:hAnsi="Times New Roman" w:hint="eastAsia"/>
          <w:shd w:val="clear" w:color="auto" w:fill="FFFFFF"/>
        </w:rPr>
        <w:t>第十八条规定，“上市公司实施重大资产重组或者发行股份购买资产的，标的资产所属行业应当符合创业板定位，或者与上市公司处于同行业或者上下游”。《重组审核规则》第八条规定，“创业板上市公司实施重大资产重组的，拟购买资产所属行业应当符合创业板定位，或者与上市公司处于同行业或者上下游”。</w:t>
      </w:r>
    </w:p>
    <w:p w14:paraId="18B4D31E" w14:textId="77777777" w:rsidR="00A91E28" w:rsidRDefault="00EA7C37" w:rsidP="00FC5F2E">
      <w:pPr>
        <w:adjustRightInd w:val="0"/>
        <w:snapToGrid w:val="0"/>
        <w:spacing w:beforeLines="50" w:before="156" w:afterLines="50" w:after="156" w:line="360" w:lineRule="auto"/>
        <w:ind w:firstLineChars="200" w:firstLine="482"/>
        <w:contextualSpacing/>
        <w:outlineLvl w:val="1"/>
        <w:rPr>
          <w:rFonts w:ascii="Times New Roman" w:eastAsia="宋体" w:hAnsi="Times New Roman" w:cs="仿宋"/>
          <w:b/>
          <w:sz w:val="24"/>
        </w:rPr>
      </w:pPr>
      <w:r>
        <w:rPr>
          <w:rFonts w:ascii="Times New Roman" w:eastAsia="宋体" w:hAnsi="Times New Roman" w:cs="仿宋" w:hint="eastAsia"/>
          <w:b/>
          <w:sz w:val="24"/>
        </w:rPr>
        <w:t>（一）标的公司符合创业板定位及其依据</w:t>
      </w:r>
    </w:p>
    <w:p w14:paraId="6C13E19D"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1</w:t>
      </w:r>
      <w:r>
        <w:rPr>
          <w:rFonts w:ascii="Times New Roman" w:eastAsia="宋体" w:hAnsi="Times New Roman" w:hint="eastAsia"/>
          <w:b/>
          <w:bCs/>
          <w:shd w:val="clear" w:color="auto" w:fill="FFFFFF"/>
        </w:rPr>
        <w:t>、标的公司符合创业</w:t>
      </w:r>
      <w:proofErr w:type="gramStart"/>
      <w:r>
        <w:rPr>
          <w:rFonts w:ascii="Times New Roman" w:eastAsia="宋体" w:hAnsi="Times New Roman" w:hint="eastAsia"/>
          <w:b/>
          <w:bCs/>
          <w:shd w:val="clear" w:color="auto" w:fill="FFFFFF"/>
        </w:rPr>
        <w:t>板行业</w:t>
      </w:r>
      <w:proofErr w:type="gramEnd"/>
      <w:r>
        <w:rPr>
          <w:rFonts w:ascii="Times New Roman" w:eastAsia="宋体" w:hAnsi="Times New Roman" w:hint="eastAsia"/>
          <w:b/>
          <w:bCs/>
          <w:shd w:val="clear" w:color="auto" w:fill="FFFFFF"/>
        </w:rPr>
        <w:t>领域及其依据</w:t>
      </w:r>
    </w:p>
    <w:p w14:paraId="30EB48EE" w14:textId="47E0140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根据</w:t>
      </w:r>
      <w:r w:rsidR="003F6191">
        <w:rPr>
          <w:rFonts w:ascii="Times New Roman" w:eastAsiaTheme="majorEastAsia" w:hAnsi="Times New Roman" w:hint="eastAsia"/>
        </w:rPr>
        <w:t>《创业板暂行规定》</w:t>
      </w:r>
      <w:r>
        <w:rPr>
          <w:rFonts w:ascii="Times New Roman" w:eastAsia="宋体" w:hAnsi="Times New Roman" w:hint="eastAsia"/>
          <w:shd w:val="clear" w:color="auto" w:fill="FFFFFF"/>
        </w:rPr>
        <w:t>第五条的规定：属于上市公司行业分类相关规定中下列行业的企业，原则上不支持其申报在创业</w:t>
      </w:r>
      <w:proofErr w:type="gramStart"/>
      <w:r>
        <w:rPr>
          <w:rFonts w:ascii="Times New Roman" w:eastAsia="宋体" w:hAnsi="Times New Roman" w:hint="eastAsia"/>
          <w:shd w:val="clear" w:color="auto" w:fill="FFFFFF"/>
        </w:rPr>
        <w:t>板发行</w:t>
      </w:r>
      <w:proofErr w:type="gramEnd"/>
      <w:r>
        <w:rPr>
          <w:rFonts w:ascii="Times New Roman" w:eastAsia="宋体" w:hAnsi="Times New Roman" w:hint="eastAsia"/>
          <w:shd w:val="clear" w:color="auto" w:fill="FFFFFF"/>
        </w:rPr>
        <w:t>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p w14:paraId="4D59AEEC"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lastRenderedPageBreak/>
        <w:t>标的公司是一家智能自助设备数字化服务提供商，专注于提供“</w:t>
      </w:r>
      <w:r>
        <w:rPr>
          <w:rFonts w:ascii="Times New Roman" w:eastAsia="宋体" w:hAnsi="Times New Roman" w:hint="eastAsia"/>
          <w:shd w:val="clear" w:color="auto" w:fill="FFFFFF"/>
        </w:rPr>
        <w:t>IoT</w:t>
      </w:r>
      <w:r>
        <w:rPr>
          <w:rFonts w:ascii="Times New Roman" w:eastAsia="宋体" w:hAnsi="Times New Roman" w:hint="eastAsia"/>
          <w:shd w:val="clear" w:color="auto" w:fill="FFFFFF"/>
        </w:rPr>
        <w:t>智能硬件</w:t>
      </w:r>
      <w:r>
        <w:rPr>
          <w:rFonts w:ascii="Times New Roman" w:eastAsia="宋体" w:hAnsi="Times New Roman" w:hint="eastAsia"/>
          <w:shd w:val="clear" w:color="auto" w:fill="FFFFFF"/>
        </w:rPr>
        <w:t>+SaaS</w:t>
      </w:r>
      <w:r>
        <w:rPr>
          <w:rFonts w:ascii="Times New Roman" w:eastAsia="宋体" w:hAnsi="Times New Roman" w:hint="eastAsia"/>
          <w:shd w:val="clear" w:color="auto" w:fill="FFFFFF"/>
        </w:rPr>
        <w:t>云平台”一体化解决方案，致力于实现自助设备产业的数字化升级。自</w:t>
      </w:r>
      <w:r>
        <w:rPr>
          <w:rFonts w:ascii="Times New Roman" w:eastAsia="宋体" w:hAnsi="Times New Roman" w:hint="eastAsia"/>
          <w:shd w:val="clear" w:color="auto" w:fill="FFFFFF"/>
        </w:rPr>
        <w:t>2015</w:t>
      </w:r>
      <w:r>
        <w:rPr>
          <w:rFonts w:ascii="Times New Roman" w:eastAsia="宋体" w:hAnsi="Times New Roman" w:hint="eastAsia"/>
          <w:shd w:val="clear" w:color="auto" w:fill="FFFFFF"/>
        </w:rPr>
        <w:t>年成立以来，标的公司秉承“打造千万级智能设备平台”的</w:t>
      </w:r>
      <w:proofErr w:type="gramStart"/>
      <w:r>
        <w:rPr>
          <w:rFonts w:ascii="Times New Roman" w:eastAsia="宋体" w:hAnsi="Times New Roman" w:hint="eastAsia"/>
          <w:shd w:val="clear" w:color="auto" w:fill="FFFFFF"/>
        </w:rPr>
        <w:t>长期愿景和</w:t>
      </w:r>
      <w:proofErr w:type="gramEnd"/>
      <w:r>
        <w:rPr>
          <w:rFonts w:ascii="Times New Roman" w:eastAsia="宋体" w:hAnsi="Times New Roman" w:hint="eastAsia"/>
          <w:shd w:val="clear" w:color="auto" w:fill="FFFFFF"/>
        </w:rPr>
        <w:t>“让设备更智能，让生活更美好”的企业使命，已成为国内自助设备物联网硬软件的头部服务商。</w:t>
      </w:r>
    </w:p>
    <w:p w14:paraId="094DF0C8" w14:textId="6FB23978"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根据《国民经济行业分类》（</w:t>
      </w:r>
      <w:r>
        <w:rPr>
          <w:rFonts w:ascii="Times New Roman" w:eastAsia="宋体" w:hAnsi="Times New Roman" w:hint="eastAsia"/>
          <w:shd w:val="clear" w:color="auto" w:fill="FFFFFF"/>
        </w:rPr>
        <w:t>GB/T4754-2017</w:t>
      </w:r>
      <w:r>
        <w:rPr>
          <w:rFonts w:ascii="Times New Roman" w:eastAsia="宋体" w:hAnsi="Times New Roman" w:hint="eastAsia"/>
          <w:shd w:val="clear" w:color="auto" w:fill="FFFFFF"/>
        </w:rPr>
        <w:t>），标的公司所属行业为“信息传输、软件和信息技术服务业”下的“信息系统集成和</w:t>
      </w:r>
      <w:proofErr w:type="gramStart"/>
      <w:r>
        <w:rPr>
          <w:rFonts w:ascii="Times New Roman" w:eastAsia="宋体" w:hAnsi="Times New Roman" w:hint="eastAsia"/>
          <w:shd w:val="clear" w:color="auto" w:fill="FFFFFF"/>
        </w:rPr>
        <w:t>物联网</w:t>
      </w:r>
      <w:proofErr w:type="gramEnd"/>
      <w:r>
        <w:rPr>
          <w:rFonts w:ascii="Times New Roman" w:eastAsia="宋体" w:hAnsi="Times New Roman" w:hint="eastAsia"/>
          <w:shd w:val="clear" w:color="auto" w:fill="FFFFFF"/>
        </w:rPr>
        <w:t>技术服务”（</w:t>
      </w:r>
      <w:r>
        <w:rPr>
          <w:rFonts w:ascii="Times New Roman" w:eastAsia="宋体" w:hAnsi="Times New Roman" w:hint="eastAsia"/>
          <w:shd w:val="clear" w:color="auto" w:fill="FFFFFF"/>
        </w:rPr>
        <w:t>I653</w:t>
      </w:r>
      <w:r>
        <w:rPr>
          <w:rFonts w:ascii="Times New Roman" w:eastAsia="宋体" w:hAnsi="Times New Roman" w:hint="eastAsia"/>
          <w:shd w:val="clear" w:color="auto" w:fill="FFFFFF"/>
        </w:rPr>
        <w:t>）。标的公司所处行业不属于</w:t>
      </w:r>
      <w:r w:rsidR="003F6191">
        <w:rPr>
          <w:rFonts w:ascii="Times New Roman" w:eastAsiaTheme="majorEastAsia" w:hAnsi="Times New Roman" w:hint="eastAsia"/>
        </w:rPr>
        <w:t>《创业板暂行规定》</w:t>
      </w:r>
      <w:r>
        <w:rPr>
          <w:rFonts w:ascii="Times New Roman" w:eastAsia="宋体" w:hAnsi="Times New Roman" w:hint="eastAsia"/>
          <w:shd w:val="clear" w:color="auto" w:fill="FFFFFF"/>
        </w:rPr>
        <w:t>第五条规定的原则上不支持申报的行业类别，符合创业</w:t>
      </w:r>
      <w:proofErr w:type="gramStart"/>
      <w:r>
        <w:rPr>
          <w:rFonts w:ascii="Times New Roman" w:eastAsia="宋体" w:hAnsi="Times New Roman" w:hint="eastAsia"/>
          <w:shd w:val="clear" w:color="auto" w:fill="FFFFFF"/>
        </w:rPr>
        <w:t>板行业</w:t>
      </w:r>
      <w:proofErr w:type="gramEnd"/>
      <w:r>
        <w:rPr>
          <w:rFonts w:ascii="Times New Roman" w:eastAsia="宋体" w:hAnsi="Times New Roman" w:hint="eastAsia"/>
          <w:shd w:val="clear" w:color="auto" w:fill="FFFFFF"/>
        </w:rPr>
        <w:t>范围。</w:t>
      </w:r>
    </w:p>
    <w:p w14:paraId="43AA5FE2" w14:textId="6517F125" w:rsidR="00A91E28" w:rsidRDefault="002E4FEA"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2</w:t>
      </w:r>
      <w:r w:rsidR="00EA7C37">
        <w:rPr>
          <w:rFonts w:ascii="Times New Roman" w:eastAsia="宋体" w:hAnsi="Times New Roman" w:hint="eastAsia"/>
          <w:b/>
          <w:bCs/>
          <w:shd w:val="clear" w:color="auto" w:fill="FFFFFF"/>
        </w:rPr>
        <w:t>、标的公司能够通过创新、创造、创意促进新质生产力发展</w:t>
      </w:r>
    </w:p>
    <w:p w14:paraId="7A2D382A"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标的公司将物联网、大数据、</w:t>
      </w:r>
      <w:proofErr w:type="gramStart"/>
      <w:r>
        <w:rPr>
          <w:rFonts w:ascii="Times New Roman" w:eastAsia="宋体" w:hAnsi="Times New Roman" w:hint="eastAsia"/>
          <w:shd w:val="clear" w:color="auto" w:fill="FFFFFF"/>
        </w:rPr>
        <w:t>云计算</w:t>
      </w:r>
      <w:proofErr w:type="gramEnd"/>
      <w:r>
        <w:rPr>
          <w:rFonts w:ascii="Times New Roman" w:eastAsia="宋体" w:hAnsi="Times New Roman" w:hint="eastAsia"/>
          <w:shd w:val="clear" w:color="auto" w:fill="FFFFFF"/>
        </w:rPr>
        <w:t>等各项创新技术与多元应用场景相结合，促进生活、零售、出行等行业终端自助设备的全面数字化转型升级，并实现新技术、新业态、新模式与传统产业深度融合，可有效促进下游行业新质生产力的发展。</w:t>
      </w:r>
    </w:p>
    <w:p w14:paraId="33D0A602" w14:textId="5DA745A6"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标的公司基于自有</w:t>
      </w:r>
      <w:r>
        <w:rPr>
          <w:rFonts w:ascii="Times New Roman" w:eastAsia="宋体" w:hAnsi="Times New Roman" w:hint="eastAsia"/>
          <w:shd w:val="clear" w:color="auto" w:fill="FFFFFF"/>
        </w:rPr>
        <w:t>IoT</w:t>
      </w:r>
      <w:r>
        <w:rPr>
          <w:rFonts w:ascii="Times New Roman" w:eastAsia="宋体" w:hAnsi="Times New Roman" w:hint="eastAsia"/>
          <w:shd w:val="clear" w:color="auto" w:fill="FFFFFF"/>
        </w:rPr>
        <w:t>核心技术，自</w:t>
      </w:r>
      <w:proofErr w:type="gramStart"/>
      <w:r>
        <w:rPr>
          <w:rFonts w:ascii="Times New Roman" w:eastAsia="宋体" w:hAnsi="Times New Roman" w:hint="eastAsia"/>
          <w:shd w:val="clear" w:color="auto" w:fill="FFFFFF"/>
        </w:rPr>
        <w:t>研</w:t>
      </w:r>
      <w:proofErr w:type="gramEnd"/>
      <w:r>
        <w:rPr>
          <w:rFonts w:ascii="Times New Roman" w:eastAsia="宋体" w:hAnsi="Times New Roman" w:hint="eastAsia"/>
          <w:shd w:val="clear" w:color="auto" w:fill="FFFFFF"/>
        </w:rPr>
        <w:t>多品类</w:t>
      </w:r>
      <w:r>
        <w:rPr>
          <w:rFonts w:ascii="Times New Roman" w:eastAsia="宋体" w:hAnsi="Times New Roman" w:hint="eastAsia"/>
          <w:shd w:val="clear" w:color="auto" w:fill="FFFFFF"/>
        </w:rPr>
        <w:t>IoT</w:t>
      </w:r>
      <w:r>
        <w:rPr>
          <w:rFonts w:ascii="Times New Roman" w:eastAsia="宋体" w:hAnsi="Times New Roman" w:hint="eastAsia"/>
          <w:shd w:val="clear" w:color="auto" w:fill="FFFFFF"/>
        </w:rPr>
        <w:t>智能硬件，使孤立的、功能单一的自助</w:t>
      </w:r>
      <w:r w:rsidR="00EB18A1">
        <w:rPr>
          <w:rFonts w:ascii="Times New Roman" w:eastAsia="宋体" w:hAnsi="Times New Roman" w:hint="eastAsia"/>
          <w:shd w:val="clear" w:color="auto" w:fill="FFFFFF"/>
        </w:rPr>
        <w:t>设备</w:t>
      </w:r>
      <w:r>
        <w:rPr>
          <w:rFonts w:ascii="Times New Roman" w:eastAsia="宋体" w:hAnsi="Times New Roman" w:hint="eastAsia"/>
          <w:shd w:val="clear" w:color="auto" w:fill="FFFFFF"/>
        </w:rPr>
        <w:t>转变为互联互通、数据驱动的智能化服务节点，从而有效填补了自助设备物联通讯和智能管理的技术空白。同时，标的公司基于云计算技术平台，借助多种网络通讯技术，将智能终端采集的数据汇总在</w:t>
      </w:r>
      <w:r>
        <w:rPr>
          <w:rFonts w:ascii="Times New Roman" w:eastAsia="宋体" w:hAnsi="Times New Roman" w:hint="eastAsia"/>
          <w:shd w:val="clear" w:color="auto" w:fill="FFFFFF"/>
        </w:rPr>
        <w:t>SaaS</w:t>
      </w:r>
      <w:r>
        <w:rPr>
          <w:rFonts w:ascii="Times New Roman" w:eastAsia="宋体" w:hAnsi="Times New Roman" w:hint="eastAsia"/>
          <w:shd w:val="clear" w:color="auto" w:fill="FFFFFF"/>
        </w:rPr>
        <w:t>云平台，实现了数据收集、数据建模、数据测试、故障诊断和智能预测的智能自助设备全链条数据开发和应用，进而助力下游客户提升管理效率和经营效益。</w:t>
      </w:r>
    </w:p>
    <w:p w14:paraId="667D7337" w14:textId="7177299C" w:rsidR="00A91E28" w:rsidRDefault="00441CE2"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sidRPr="00441CE2">
        <w:rPr>
          <w:rFonts w:ascii="Times New Roman" w:eastAsia="宋体" w:hAnsi="Times New Roman" w:hint="eastAsia"/>
          <w:shd w:val="clear" w:color="auto" w:fill="FFFFFF"/>
        </w:rPr>
        <w:t>标的公司积极响应国家制造强国发展战略，赋能制造业数字转型，其技术创新能力获得了较为广泛的认可。标的公司</w:t>
      </w:r>
      <w:r w:rsidRPr="00441CE2">
        <w:rPr>
          <w:rFonts w:ascii="Times New Roman" w:eastAsia="宋体" w:hAnsi="Times New Roman" w:hint="eastAsia"/>
          <w:shd w:val="clear" w:color="auto" w:fill="FFFFFF"/>
        </w:rPr>
        <w:t>2023</w:t>
      </w:r>
      <w:r w:rsidRPr="00441CE2">
        <w:rPr>
          <w:rFonts w:ascii="Times New Roman" w:eastAsia="宋体" w:hAnsi="Times New Roman" w:hint="eastAsia"/>
          <w:shd w:val="clear" w:color="auto" w:fill="FFFFFF"/>
        </w:rPr>
        <w:t>年度及</w:t>
      </w:r>
      <w:r w:rsidRPr="00441CE2">
        <w:rPr>
          <w:rFonts w:ascii="Times New Roman" w:eastAsia="宋体" w:hAnsi="Times New Roman" w:hint="eastAsia"/>
          <w:shd w:val="clear" w:color="auto" w:fill="FFFFFF"/>
        </w:rPr>
        <w:t>2024</w:t>
      </w:r>
      <w:r w:rsidRPr="00441CE2">
        <w:rPr>
          <w:rFonts w:ascii="Times New Roman" w:eastAsia="宋体" w:hAnsi="Times New Roman" w:hint="eastAsia"/>
          <w:shd w:val="clear" w:color="auto" w:fill="FFFFFF"/>
        </w:rPr>
        <w:t>年度分别被工业和信息化部评为“专精特新‘小巨人’企业”“国家级专精特新重点‘小巨人’企业”。标的公司先后荣获“广东自助设备产业链数字化应用工程技术研究中心”“中国国际物联网产业大奖（优秀平台奖）”“中国产学研合作创新示范企业”“</w:t>
      </w:r>
      <w:r w:rsidRPr="00441CE2">
        <w:rPr>
          <w:rFonts w:ascii="Times New Roman" w:eastAsia="宋体" w:hAnsi="Times New Roman" w:hint="eastAsia"/>
          <w:shd w:val="clear" w:color="auto" w:fill="FFFFFF"/>
        </w:rPr>
        <w:t>2023</w:t>
      </w:r>
      <w:r w:rsidRPr="00441CE2">
        <w:rPr>
          <w:rFonts w:ascii="Times New Roman" w:eastAsia="宋体" w:hAnsi="Times New Roman" w:hint="eastAsia"/>
          <w:shd w:val="clear" w:color="auto" w:fill="FFFFFF"/>
        </w:rPr>
        <w:t>年度世界物联网大会年度优秀企业奖”“</w:t>
      </w:r>
      <w:r w:rsidRPr="00441CE2">
        <w:rPr>
          <w:rFonts w:ascii="Times New Roman" w:eastAsia="宋体" w:hAnsi="Times New Roman" w:hint="eastAsia"/>
          <w:shd w:val="clear" w:color="auto" w:fill="FFFFFF"/>
        </w:rPr>
        <w:t>2023</w:t>
      </w:r>
      <w:r w:rsidRPr="00441CE2">
        <w:rPr>
          <w:rFonts w:ascii="Times New Roman" w:eastAsia="宋体" w:hAnsi="Times New Roman" w:hint="eastAsia"/>
          <w:shd w:val="clear" w:color="auto" w:fill="FFFFFF"/>
        </w:rPr>
        <w:t>中国物联网企业投资价值</w:t>
      </w:r>
      <w:r w:rsidRPr="00441CE2">
        <w:rPr>
          <w:rFonts w:ascii="Times New Roman" w:eastAsia="宋体" w:hAnsi="Times New Roman" w:hint="eastAsia"/>
          <w:shd w:val="clear" w:color="auto" w:fill="FFFFFF"/>
        </w:rPr>
        <w:t>50</w:t>
      </w:r>
      <w:r w:rsidRPr="00441CE2">
        <w:rPr>
          <w:rFonts w:ascii="Times New Roman" w:eastAsia="宋体" w:hAnsi="Times New Roman" w:hint="eastAsia"/>
          <w:shd w:val="clear" w:color="auto" w:fill="FFFFFF"/>
        </w:rPr>
        <w:t>强”“</w:t>
      </w:r>
      <w:r w:rsidRPr="00441CE2">
        <w:rPr>
          <w:rFonts w:ascii="Times New Roman" w:eastAsia="宋体" w:hAnsi="Times New Roman" w:hint="eastAsia"/>
          <w:shd w:val="clear" w:color="auto" w:fill="FFFFFF"/>
        </w:rPr>
        <w:t>2024</w:t>
      </w:r>
      <w:r w:rsidRPr="00441CE2">
        <w:rPr>
          <w:rFonts w:ascii="Times New Roman" w:eastAsia="宋体" w:hAnsi="Times New Roman" w:hint="eastAsia"/>
          <w:shd w:val="clear" w:color="auto" w:fill="FFFFFF"/>
        </w:rPr>
        <w:t>世界物联网</w:t>
      </w:r>
      <w:r w:rsidRPr="00441CE2">
        <w:rPr>
          <w:rFonts w:ascii="Times New Roman" w:eastAsia="宋体" w:hAnsi="Times New Roman" w:hint="eastAsia"/>
          <w:shd w:val="clear" w:color="auto" w:fill="FFFFFF"/>
        </w:rPr>
        <w:t>500</w:t>
      </w:r>
      <w:r w:rsidRPr="00441CE2">
        <w:rPr>
          <w:rFonts w:ascii="Times New Roman" w:eastAsia="宋体" w:hAnsi="Times New Roman" w:hint="eastAsia"/>
          <w:shd w:val="clear" w:color="auto" w:fill="FFFFFF"/>
        </w:rPr>
        <w:t>强·潜力榜百强”“</w:t>
      </w:r>
      <w:r w:rsidRPr="00441CE2">
        <w:rPr>
          <w:rFonts w:ascii="Times New Roman" w:eastAsia="宋体" w:hAnsi="Times New Roman" w:hint="eastAsia"/>
          <w:shd w:val="clear" w:color="auto" w:fill="FFFFFF"/>
        </w:rPr>
        <w:t>2024</w:t>
      </w:r>
      <w:r w:rsidRPr="00441CE2">
        <w:rPr>
          <w:rFonts w:ascii="Times New Roman" w:eastAsia="宋体" w:hAnsi="Times New Roman" w:hint="eastAsia"/>
          <w:shd w:val="clear" w:color="auto" w:fill="FFFFFF"/>
        </w:rPr>
        <w:t>广州新质生产力高企百强榜”等荣誉</w:t>
      </w:r>
      <w:r w:rsidR="00EA7C37">
        <w:rPr>
          <w:rFonts w:ascii="Times New Roman" w:eastAsia="宋体" w:hAnsi="Times New Roman" w:hint="eastAsia"/>
          <w:shd w:val="clear" w:color="auto" w:fill="FFFFFF"/>
        </w:rPr>
        <w:t>。</w:t>
      </w:r>
    </w:p>
    <w:p w14:paraId="75B9F2AC" w14:textId="0661F4F3"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lastRenderedPageBreak/>
        <w:t>综上，标的公司依靠创新驱动业务发展，具备创新特征，属于成长型创新创业企业，符合</w:t>
      </w:r>
      <w:r w:rsidR="003F6191">
        <w:rPr>
          <w:rFonts w:ascii="Times New Roman" w:eastAsiaTheme="majorEastAsia" w:hAnsi="Times New Roman" w:hint="eastAsia"/>
        </w:rPr>
        <w:t>《创业板暂行规定》</w:t>
      </w:r>
      <w:r>
        <w:rPr>
          <w:rFonts w:ascii="Times New Roman" w:eastAsia="宋体" w:hAnsi="Times New Roman" w:hint="eastAsia"/>
          <w:shd w:val="clear" w:color="auto" w:fill="FFFFFF"/>
        </w:rPr>
        <w:t>第二条规定；标的公司属于能够通过创新、创造、创意促进互联网、大数据、云计算、自动化、人工智能、新能源等新技术、新产业、新业态、新模式与传统产业深度融合，推动行业向高端化、智能化、绿色化发展的企业，符合</w:t>
      </w:r>
      <w:r w:rsidR="003F6191">
        <w:rPr>
          <w:rFonts w:ascii="Times New Roman" w:eastAsiaTheme="majorEastAsia" w:hAnsi="Times New Roman" w:hint="eastAsia"/>
        </w:rPr>
        <w:t>《创业板暂行规定》</w:t>
      </w:r>
      <w:r>
        <w:rPr>
          <w:rFonts w:ascii="Times New Roman" w:eastAsia="宋体" w:hAnsi="Times New Roman" w:hint="eastAsia"/>
          <w:shd w:val="clear" w:color="auto" w:fill="FFFFFF"/>
        </w:rPr>
        <w:t>第三条规定。</w:t>
      </w:r>
    </w:p>
    <w:p w14:paraId="799FADB0" w14:textId="77777777" w:rsidR="00A91E28" w:rsidRDefault="00EA7C37" w:rsidP="00FC5F2E">
      <w:pPr>
        <w:adjustRightInd w:val="0"/>
        <w:snapToGrid w:val="0"/>
        <w:spacing w:beforeLines="50" w:before="156" w:afterLines="50" w:after="156" w:line="360" w:lineRule="auto"/>
        <w:ind w:firstLineChars="200" w:firstLine="482"/>
        <w:contextualSpacing/>
        <w:outlineLvl w:val="1"/>
        <w:rPr>
          <w:rFonts w:ascii="Times New Roman" w:eastAsia="宋体" w:hAnsi="Times New Roman" w:cs="仿宋"/>
          <w:b/>
          <w:sz w:val="24"/>
        </w:rPr>
      </w:pPr>
      <w:r>
        <w:rPr>
          <w:rFonts w:ascii="Times New Roman" w:eastAsia="宋体" w:hAnsi="Times New Roman" w:cs="仿宋" w:hint="eastAsia"/>
          <w:b/>
          <w:sz w:val="24"/>
        </w:rPr>
        <w:t>（二）标的公司与上市公司处于同行业的认定依据及其合理性</w:t>
      </w:r>
    </w:p>
    <w:p w14:paraId="7DD726DB" w14:textId="111953D1"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1</w:t>
      </w:r>
      <w:r>
        <w:rPr>
          <w:rFonts w:ascii="Times New Roman" w:eastAsia="宋体" w:hAnsi="Times New Roman" w:hint="eastAsia"/>
          <w:b/>
          <w:bCs/>
          <w:shd w:val="clear" w:color="auto" w:fill="FFFFFF"/>
        </w:rPr>
        <w:t>、标的公司与上市公司</w:t>
      </w:r>
      <w:r w:rsidR="00EB18A1" w:rsidRPr="00EB18A1">
        <w:rPr>
          <w:rFonts w:ascii="Times New Roman" w:eastAsia="宋体" w:hAnsi="Times New Roman" w:hint="eastAsia"/>
          <w:b/>
          <w:bCs/>
          <w:shd w:val="clear" w:color="auto" w:fill="FFFFFF"/>
        </w:rPr>
        <w:t>同属于软件和信息技术服务业</w:t>
      </w:r>
    </w:p>
    <w:p w14:paraId="039DF6FA" w14:textId="77777777" w:rsidR="00EB18A1" w:rsidRPr="00EB18A1" w:rsidRDefault="00EB18A1" w:rsidP="00EB18A1">
      <w:pPr>
        <w:pStyle w:val="af"/>
        <w:widowControl/>
        <w:shd w:val="clear" w:color="auto" w:fill="FFFFFF"/>
        <w:spacing w:beforeLines="50" w:before="156" w:afterLines="50" w:after="156" w:line="360" w:lineRule="auto"/>
        <w:ind w:firstLineChars="200" w:firstLine="480"/>
        <w:rPr>
          <w:rFonts w:ascii="Times New Roman" w:eastAsia="宋体" w:hAnsi="Times New Roman"/>
          <w:shd w:val="clear" w:color="auto" w:fill="FFFFFF"/>
        </w:rPr>
      </w:pPr>
      <w:r w:rsidRPr="00EB18A1">
        <w:rPr>
          <w:rFonts w:ascii="Times New Roman" w:eastAsia="宋体" w:hAnsi="Times New Roman" w:hint="eastAsia"/>
          <w:shd w:val="clear" w:color="auto" w:fill="FFFFFF"/>
        </w:rPr>
        <w:t>上市公司系一家智慧城市解决方案提供商，致力于融合应用物联网、大数据、云计算、</w:t>
      </w:r>
      <w:r w:rsidRPr="00EB18A1">
        <w:rPr>
          <w:rFonts w:ascii="Times New Roman" w:eastAsia="宋体" w:hAnsi="Times New Roman" w:hint="eastAsia"/>
          <w:shd w:val="clear" w:color="auto" w:fill="FFFFFF"/>
        </w:rPr>
        <w:t>GIS</w:t>
      </w:r>
      <w:r w:rsidRPr="00EB18A1">
        <w:rPr>
          <w:rFonts w:ascii="Times New Roman" w:eastAsia="宋体" w:hAnsi="Times New Roman" w:hint="eastAsia"/>
          <w:shd w:val="clear" w:color="auto" w:fill="FFFFFF"/>
        </w:rPr>
        <w:t>、人工智能等新一代信息技术，为客户提供项目总体规划、方案设计、软件研发、项目实施及运维服务一体化的信息技术解决方案。标的公司是一家智能自助设备数字化服务提供商，专注于提供“</w:t>
      </w:r>
      <w:r w:rsidRPr="00EB18A1">
        <w:rPr>
          <w:rFonts w:ascii="Times New Roman" w:eastAsia="宋体" w:hAnsi="Times New Roman" w:hint="eastAsia"/>
          <w:shd w:val="clear" w:color="auto" w:fill="FFFFFF"/>
        </w:rPr>
        <w:t>IoT</w:t>
      </w:r>
      <w:r w:rsidRPr="00EB18A1">
        <w:rPr>
          <w:rFonts w:ascii="Times New Roman" w:eastAsia="宋体" w:hAnsi="Times New Roman" w:hint="eastAsia"/>
          <w:shd w:val="clear" w:color="auto" w:fill="FFFFFF"/>
        </w:rPr>
        <w:t>智能硬件</w:t>
      </w:r>
      <w:r w:rsidRPr="00EB18A1">
        <w:rPr>
          <w:rFonts w:ascii="Times New Roman" w:eastAsia="宋体" w:hAnsi="Times New Roman" w:hint="eastAsia"/>
          <w:shd w:val="clear" w:color="auto" w:fill="FFFFFF"/>
        </w:rPr>
        <w:t>+SaaS</w:t>
      </w:r>
      <w:r w:rsidRPr="00EB18A1">
        <w:rPr>
          <w:rFonts w:ascii="Times New Roman" w:eastAsia="宋体" w:hAnsi="Times New Roman" w:hint="eastAsia"/>
          <w:shd w:val="clear" w:color="auto" w:fill="FFFFFF"/>
        </w:rPr>
        <w:t>云平台”一体化解决方案。</w:t>
      </w:r>
    </w:p>
    <w:p w14:paraId="43C1F0C3" w14:textId="0010D21C" w:rsidR="00A91E28" w:rsidRDefault="00EB18A1"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sidRPr="00EB18A1">
        <w:rPr>
          <w:rFonts w:ascii="Times New Roman" w:eastAsia="宋体" w:hAnsi="Times New Roman" w:hint="eastAsia"/>
          <w:shd w:val="clear" w:color="auto" w:fill="FFFFFF"/>
        </w:rPr>
        <w:t>根据《国民经济行业分类》（</w:t>
      </w:r>
      <w:r w:rsidRPr="00EB18A1">
        <w:rPr>
          <w:rFonts w:ascii="Times New Roman" w:eastAsia="宋体" w:hAnsi="Times New Roman" w:hint="eastAsia"/>
          <w:shd w:val="clear" w:color="auto" w:fill="FFFFFF"/>
        </w:rPr>
        <w:t>GB/T4754-2017</w:t>
      </w:r>
      <w:r w:rsidRPr="00EB18A1">
        <w:rPr>
          <w:rFonts w:ascii="Times New Roman" w:eastAsia="宋体" w:hAnsi="Times New Roman" w:hint="eastAsia"/>
          <w:shd w:val="clear" w:color="auto" w:fill="FFFFFF"/>
        </w:rPr>
        <w:t>），上市公司与标的公司同属于软件和信息技术服务业（</w:t>
      </w:r>
      <w:r w:rsidRPr="00EB18A1">
        <w:rPr>
          <w:rFonts w:ascii="Times New Roman" w:eastAsia="宋体" w:hAnsi="Times New Roman" w:hint="eastAsia"/>
          <w:shd w:val="clear" w:color="auto" w:fill="FFFFFF"/>
        </w:rPr>
        <w:t>I65</w:t>
      </w:r>
      <w:r w:rsidRPr="00EB18A1">
        <w:rPr>
          <w:rFonts w:ascii="Times New Roman" w:eastAsia="宋体" w:hAnsi="Times New Roman" w:hint="eastAsia"/>
          <w:shd w:val="clear" w:color="auto" w:fill="FFFFFF"/>
        </w:rPr>
        <w:t>）</w:t>
      </w:r>
      <w:r w:rsidR="00EA7C37">
        <w:rPr>
          <w:rFonts w:ascii="Times New Roman" w:eastAsia="宋体" w:hAnsi="Times New Roman" w:hint="eastAsia"/>
          <w:shd w:val="clear" w:color="auto" w:fill="FFFFFF"/>
        </w:rPr>
        <w:t>。</w:t>
      </w:r>
    </w:p>
    <w:p w14:paraId="023E5198"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rPr>
          <w:rFonts w:ascii="Times New Roman" w:eastAsia="宋体" w:hAnsi="Times New Roman"/>
          <w:b/>
          <w:bCs/>
          <w:shd w:val="clear" w:color="auto" w:fill="FFFFFF"/>
        </w:rPr>
      </w:pPr>
      <w:r>
        <w:rPr>
          <w:rFonts w:ascii="Times New Roman" w:eastAsia="宋体" w:hAnsi="Times New Roman" w:hint="eastAsia"/>
          <w:b/>
          <w:bCs/>
          <w:shd w:val="clear" w:color="auto" w:fill="FFFFFF"/>
        </w:rPr>
        <w:t>2</w:t>
      </w:r>
      <w:r>
        <w:rPr>
          <w:rFonts w:ascii="Times New Roman" w:eastAsia="宋体" w:hAnsi="Times New Roman" w:hint="eastAsia"/>
          <w:b/>
          <w:bCs/>
          <w:shd w:val="clear" w:color="auto" w:fill="FFFFFF"/>
        </w:rPr>
        <w:t>、标的公司与上市公司业务同属于数字经济领域</w:t>
      </w:r>
    </w:p>
    <w:p w14:paraId="2BCCE526"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上市公司致力于融合物联网、大数据、云计算、人工智能等新一代信息技术，持续创新并成功落地了市</w:t>
      </w:r>
      <w:proofErr w:type="gramStart"/>
      <w:r>
        <w:rPr>
          <w:rFonts w:ascii="Times New Roman" w:eastAsia="宋体" w:hAnsi="Times New Roman" w:hint="eastAsia"/>
          <w:shd w:val="clear" w:color="auto" w:fill="FFFFFF"/>
        </w:rPr>
        <w:t>域社会</w:t>
      </w:r>
      <w:proofErr w:type="gramEnd"/>
      <w:r>
        <w:rPr>
          <w:rFonts w:ascii="Times New Roman" w:eastAsia="宋体" w:hAnsi="Times New Roman" w:hint="eastAsia"/>
          <w:shd w:val="clear" w:color="auto" w:fill="FFFFFF"/>
        </w:rPr>
        <w:t>治理、数字乡村、社会治安综合治理、智慧社区、智慧党建、行政便民服务、轨道交通无人值守等一系列应用产品和解决方案，广泛服务于各级党政部门、企事业单位。近年来，上市公司紧抓“数字经济”发展机遇，在继续巩固政务、教育、医疗等领域优势的同时，进一步开拓了智慧轨道交通、智慧企业、智慧能源业务。</w:t>
      </w:r>
    </w:p>
    <w:p w14:paraId="6E7FADBC"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国家发展改革委等关于深化智慧城市发展推进城市全域数字化转型的指导意见》（以下简称“《指导意见》”）中明确指出，要培育壮大城市数字经济，推动商贸、文旅、康养等生活性服务业数字化转型，提升“上云用数赋智”水平。而标的公司长期专注于提供“</w:t>
      </w:r>
      <w:r>
        <w:rPr>
          <w:rFonts w:ascii="Times New Roman" w:eastAsia="宋体" w:hAnsi="Times New Roman" w:hint="eastAsia"/>
          <w:shd w:val="clear" w:color="auto" w:fill="FFFFFF"/>
        </w:rPr>
        <w:t>IoT</w:t>
      </w:r>
      <w:r>
        <w:rPr>
          <w:rFonts w:ascii="Times New Roman" w:eastAsia="宋体" w:hAnsi="Times New Roman" w:hint="eastAsia"/>
          <w:shd w:val="clear" w:color="auto" w:fill="FFFFFF"/>
        </w:rPr>
        <w:t>物联网</w:t>
      </w:r>
      <w:r>
        <w:rPr>
          <w:rFonts w:ascii="Times New Roman" w:eastAsia="宋体" w:hAnsi="Times New Roman" w:hint="eastAsia"/>
          <w:shd w:val="clear" w:color="auto" w:fill="FFFFFF"/>
        </w:rPr>
        <w:t>+SaaS</w:t>
      </w:r>
      <w:r>
        <w:rPr>
          <w:rFonts w:ascii="Times New Roman" w:eastAsia="宋体" w:hAnsi="Times New Roman" w:hint="eastAsia"/>
          <w:shd w:val="clear" w:color="auto" w:fill="FFFFFF"/>
        </w:rPr>
        <w:t>云平台”一体化解决方案，致力于打造生活、零售、出行等生活性服务业数字化转型的技术底座，以技术创新和</w:t>
      </w:r>
      <w:r>
        <w:rPr>
          <w:rFonts w:ascii="Times New Roman" w:eastAsia="宋体" w:hAnsi="Times New Roman" w:hint="eastAsia"/>
          <w:shd w:val="clear" w:color="auto" w:fill="FFFFFF"/>
        </w:rPr>
        <w:lastRenderedPageBreak/>
        <w:t>商业化实践助力城市数字经济发展，符合《指导意见》中关于“培育壮大城市数字经济”的相关要求。</w:t>
      </w:r>
    </w:p>
    <w:p w14:paraId="3338E85A"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因此，标的公司与上市公司业务同属于数字经济领域。</w:t>
      </w:r>
    </w:p>
    <w:p w14:paraId="2936A3A2" w14:textId="5A6E2893"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综上，标的公司与上市公司处于同行业，本次交易符合</w:t>
      </w:r>
      <w:bookmarkStart w:id="2" w:name="_Hlk214325717"/>
      <w:r>
        <w:rPr>
          <w:rFonts w:ascii="Times New Roman" w:eastAsia="宋体" w:hAnsi="Times New Roman" w:hint="eastAsia"/>
          <w:shd w:val="clear" w:color="auto" w:fill="FFFFFF"/>
        </w:rPr>
        <w:t>《</w:t>
      </w:r>
      <w:r w:rsidR="003F6191">
        <w:rPr>
          <w:rFonts w:ascii="Times New Roman" w:eastAsia="宋体" w:hAnsi="Times New Roman" w:hint="eastAsia"/>
          <w:shd w:val="clear" w:color="auto" w:fill="FFFFFF"/>
        </w:rPr>
        <w:t>创业板</w:t>
      </w:r>
      <w:r>
        <w:rPr>
          <w:rFonts w:ascii="Times New Roman" w:eastAsia="宋体" w:hAnsi="Times New Roman" w:hint="eastAsia"/>
          <w:shd w:val="clear" w:color="auto" w:fill="FFFFFF"/>
        </w:rPr>
        <w:t>持续监管办法》</w:t>
      </w:r>
      <w:bookmarkEnd w:id="2"/>
      <w:r>
        <w:rPr>
          <w:rFonts w:ascii="Times New Roman" w:eastAsia="宋体" w:hAnsi="Times New Roman" w:hint="eastAsia"/>
          <w:shd w:val="clear" w:color="auto" w:fill="FFFFFF"/>
        </w:rPr>
        <w:t>第十八条和《</w:t>
      </w:r>
      <w:r w:rsidR="003F6191">
        <w:rPr>
          <w:rFonts w:ascii="Times New Roman" w:eastAsia="宋体" w:hAnsi="Times New Roman" w:hint="eastAsia"/>
          <w:shd w:val="clear" w:color="auto" w:fill="FFFFFF"/>
        </w:rPr>
        <w:t>深交所</w:t>
      </w:r>
      <w:r>
        <w:rPr>
          <w:rFonts w:ascii="Times New Roman" w:eastAsia="宋体" w:hAnsi="Times New Roman" w:hint="eastAsia"/>
          <w:shd w:val="clear" w:color="auto" w:fill="FFFFFF"/>
        </w:rPr>
        <w:t>重组审核规则》第八条的规定。</w:t>
      </w:r>
    </w:p>
    <w:p w14:paraId="4F128BDC" w14:textId="55787689"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jc w:val="both"/>
        <w:rPr>
          <w:rFonts w:ascii="Times New Roman" w:eastAsia="宋体" w:hAnsi="Times New Roman"/>
          <w:b/>
          <w:bCs/>
          <w:shd w:val="clear" w:color="auto" w:fill="FFFFFF"/>
        </w:rPr>
      </w:pPr>
      <w:r>
        <w:rPr>
          <w:rFonts w:ascii="Times New Roman" w:eastAsia="宋体" w:hAnsi="Times New Roman" w:hint="eastAsia"/>
          <w:b/>
          <w:bCs/>
          <w:shd w:val="clear" w:color="auto" w:fill="FFFFFF"/>
        </w:rPr>
        <w:t>三、本次交易符合</w:t>
      </w:r>
      <w:r w:rsidR="003F6191" w:rsidRPr="003F6191">
        <w:rPr>
          <w:rFonts w:ascii="Times New Roman" w:eastAsia="宋体" w:hAnsi="Times New Roman" w:hint="eastAsia"/>
          <w:b/>
          <w:bCs/>
          <w:shd w:val="clear" w:color="auto" w:fill="FFFFFF"/>
        </w:rPr>
        <w:t>《创业板持续监管办法》</w:t>
      </w:r>
      <w:r>
        <w:rPr>
          <w:rFonts w:ascii="Times New Roman" w:eastAsia="宋体" w:hAnsi="Times New Roman" w:hint="eastAsia"/>
          <w:b/>
          <w:bCs/>
          <w:shd w:val="clear" w:color="auto" w:fill="FFFFFF"/>
        </w:rPr>
        <w:t>第二十一条的规定</w:t>
      </w:r>
    </w:p>
    <w:p w14:paraId="48D91E12" w14:textId="31052DC2"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根据《</w:t>
      </w:r>
      <w:r w:rsidR="003F6191">
        <w:rPr>
          <w:rFonts w:ascii="Times New Roman" w:eastAsia="宋体" w:hAnsi="Times New Roman" w:hint="eastAsia"/>
          <w:shd w:val="clear" w:color="auto" w:fill="FFFFFF"/>
        </w:rPr>
        <w:t>创业板</w:t>
      </w:r>
      <w:r>
        <w:rPr>
          <w:rFonts w:ascii="Times New Roman" w:eastAsia="宋体" w:hAnsi="Times New Roman" w:hint="eastAsia"/>
          <w:shd w:val="clear" w:color="auto" w:fill="FFFFFF"/>
        </w:rPr>
        <w:t>持续监管办法》第二十一条的规定，上市公司发行股份购买资产的，发行股份的价格不得低于市场参考价的百分之八十。市场参考价为本次发行股份购买资产的董事会决议公告日前二十个交易日、六十个交易日或者一百二十个交易日的公司股票交易均价之一。</w:t>
      </w:r>
    </w:p>
    <w:p w14:paraId="4C6376CC" w14:textId="338A528E"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本次发行股份购买资产定价基准日为上市公司第三届董事会第三十二次会议决议公告日，本次发行股份购买资产涉及的股票发行价格为</w:t>
      </w:r>
      <w:r>
        <w:rPr>
          <w:rFonts w:ascii="Times New Roman" w:eastAsia="宋体" w:hAnsi="Times New Roman" w:hint="eastAsia"/>
          <w:shd w:val="clear" w:color="auto" w:fill="FFFFFF"/>
        </w:rPr>
        <w:t>26.76</w:t>
      </w:r>
      <w:r>
        <w:rPr>
          <w:rFonts w:ascii="Times New Roman" w:eastAsia="宋体" w:hAnsi="Times New Roman" w:hint="eastAsia"/>
          <w:shd w:val="clear" w:color="auto" w:fill="FFFFFF"/>
        </w:rPr>
        <w:t>元</w:t>
      </w:r>
      <w:r>
        <w:rPr>
          <w:rFonts w:ascii="Times New Roman" w:eastAsia="宋体" w:hAnsi="Times New Roman" w:hint="eastAsia"/>
          <w:shd w:val="clear" w:color="auto" w:fill="FFFFFF"/>
        </w:rPr>
        <w:t>/</w:t>
      </w:r>
      <w:r>
        <w:rPr>
          <w:rFonts w:ascii="Times New Roman" w:eastAsia="宋体" w:hAnsi="Times New Roman" w:hint="eastAsia"/>
          <w:shd w:val="clear" w:color="auto" w:fill="FFFFFF"/>
        </w:rPr>
        <w:t>股，不低于定价基准日前</w:t>
      </w:r>
      <w:r>
        <w:rPr>
          <w:rFonts w:ascii="Times New Roman" w:eastAsia="宋体" w:hAnsi="Times New Roman" w:hint="eastAsia"/>
          <w:shd w:val="clear" w:color="auto" w:fill="FFFFFF"/>
        </w:rPr>
        <w:t>120</w:t>
      </w:r>
      <w:r>
        <w:rPr>
          <w:rFonts w:ascii="Times New Roman" w:eastAsia="宋体" w:hAnsi="Times New Roman" w:hint="eastAsia"/>
          <w:shd w:val="clear" w:color="auto" w:fill="FFFFFF"/>
        </w:rPr>
        <w:t>个交易日公司股票均价的</w:t>
      </w:r>
      <w:r>
        <w:rPr>
          <w:rFonts w:ascii="Times New Roman" w:eastAsia="宋体" w:hAnsi="Times New Roman" w:hint="eastAsia"/>
          <w:shd w:val="clear" w:color="auto" w:fill="FFFFFF"/>
        </w:rPr>
        <w:t>80%</w:t>
      </w:r>
      <w:r>
        <w:rPr>
          <w:rFonts w:ascii="Times New Roman" w:eastAsia="宋体" w:hAnsi="Times New Roman" w:hint="eastAsia"/>
          <w:shd w:val="clear" w:color="auto" w:fill="FFFFFF"/>
        </w:rPr>
        <w:t>，符合《</w:t>
      </w:r>
      <w:r w:rsidR="003F6191">
        <w:rPr>
          <w:rFonts w:ascii="Times New Roman" w:eastAsia="宋体" w:hAnsi="Times New Roman" w:hint="eastAsia"/>
          <w:shd w:val="clear" w:color="auto" w:fill="FFFFFF"/>
        </w:rPr>
        <w:t>创业板</w:t>
      </w:r>
      <w:r>
        <w:rPr>
          <w:rFonts w:ascii="Times New Roman" w:eastAsia="宋体" w:hAnsi="Times New Roman" w:hint="eastAsia"/>
          <w:shd w:val="clear" w:color="auto" w:fill="FFFFFF"/>
        </w:rPr>
        <w:t>持续监管办法》第二十一条的规定。</w:t>
      </w:r>
    </w:p>
    <w:p w14:paraId="3373B63A" w14:textId="0968471B"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2"/>
        <w:jc w:val="both"/>
        <w:rPr>
          <w:rFonts w:ascii="Times New Roman" w:eastAsia="宋体" w:hAnsi="Times New Roman"/>
          <w:b/>
          <w:bCs/>
          <w:shd w:val="clear" w:color="auto" w:fill="FFFFFF"/>
        </w:rPr>
      </w:pPr>
      <w:r>
        <w:rPr>
          <w:rFonts w:ascii="Times New Roman" w:eastAsia="宋体" w:hAnsi="Times New Roman" w:hint="eastAsia"/>
          <w:b/>
          <w:bCs/>
          <w:shd w:val="clear" w:color="auto" w:fill="FFFFFF"/>
        </w:rPr>
        <w:t>四、本次交易不适用</w:t>
      </w:r>
      <w:r w:rsidR="003F6191" w:rsidRPr="003F6191">
        <w:rPr>
          <w:rFonts w:ascii="Times New Roman" w:eastAsia="宋体" w:hAnsi="Times New Roman" w:hint="eastAsia"/>
          <w:b/>
          <w:bCs/>
          <w:shd w:val="clear" w:color="auto" w:fill="FFFFFF"/>
        </w:rPr>
        <w:t>《深交所重组审核规则》</w:t>
      </w:r>
      <w:r>
        <w:rPr>
          <w:rFonts w:ascii="Times New Roman" w:eastAsia="宋体" w:hAnsi="Times New Roman" w:hint="eastAsia"/>
          <w:b/>
          <w:bCs/>
          <w:shd w:val="clear" w:color="auto" w:fill="FFFFFF"/>
        </w:rPr>
        <w:t>第十条或第十一条规定</w:t>
      </w:r>
    </w:p>
    <w:p w14:paraId="79228CBC" w14:textId="007C886A"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经核查，独立财务顾问认为：本次交易不构成重组上市，不适用</w:t>
      </w:r>
      <w:r w:rsidR="003F6191">
        <w:rPr>
          <w:rFonts w:ascii="Times New Roman" w:eastAsia="宋体" w:hAnsi="Times New Roman" w:hint="eastAsia"/>
          <w:shd w:val="clear" w:color="auto" w:fill="FFFFFF"/>
        </w:rPr>
        <w:t>《深交所重组审核规则》</w:t>
      </w:r>
      <w:r>
        <w:rPr>
          <w:rFonts w:ascii="Times New Roman" w:eastAsia="宋体" w:hAnsi="Times New Roman" w:hint="eastAsia"/>
          <w:shd w:val="clear" w:color="auto" w:fill="FFFFFF"/>
        </w:rPr>
        <w:t>第十条、第十一条规定。</w:t>
      </w:r>
    </w:p>
    <w:p w14:paraId="3D7DF4F2" w14:textId="77777777" w:rsidR="00A91E28" w:rsidRDefault="00EA7C37" w:rsidP="00FC5F2E">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特此说明。</w:t>
      </w:r>
    </w:p>
    <w:p w14:paraId="48534F42" w14:textId="5A2E00A1" w:rsidR="005B2699" w:rsidRDefault="00EA7C37">
      <w:pPr>
        <w:widowControl/>
        <w:jc w:val="left"/>
        <w:rPr>
          <w:rFonts w:ascii="宋体" w:eastAsia="宋体" w:hAnsi="宋体" w:cs="Times New Roman" w:hint="eastAsia"/>
          <w:sz w:val="24"/>
        </w:rPr>
      </w:pPr>
      <w:r>
        <w:rPr>
          <w:rFonts w:ascii="Times New Roman" w:eastAsia="宋体" w:hAnsi="Times New Roman" w:cs="Times New Roman"/>
          <w:sz w:val="24"/>
        </w:rPr>
        <w:t>（以下无正文）</w:t>
      </w:r>
      <w:r w:rsidR="005B2699">
        <w:rPr>
          <w:rFonts w:ascii="宋体" w:eastAsia="宋体" w:hAnsi="宋体" w:cs="Times New Roman" w:hint="eastAsia"/>
          <w:sz w:val="24"/>
        </w:rPr>
        <w:br w:type="page"/>
      </w:r>
    </w:p>
    <w:p w14:paraId="41CFEA9B" w14:textId="3B19AE16" w:rsidR="00A91E28" w:rsidRDefault="00EA7C37" w:rsidP="00FC5F2E">
      <w:pPr>
        <w:spacing w:beforeLines="50" w:before="156" w:afterLines="50" w:after="156" w:line="360" w:lineRule="auto"/>
        <w:jc w:val="left"/>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w:t>
      </w:r>
      <w:r>
        <w:rPr>
          <w:rFonts w:ascii="Times New Roman" w:eastAsia="宋体" w:hAnsi="Times New Roman" w:cs="Times New Roman" w:hint="eastAsia"/>
          <w:color w:val="000000"/>
          <w:sz w:val="24"/>
        </w:rPr>
        <w:t>国泰海通证券股份有限公司关于广东天亿马信息产业股份有限公司本次交易符合创业板上市公司相关规定的核查意见</w:t>
      </w:r>
      <w:r>
        <w:rPr>
          <w:rFonts w:ascii="宋体" w:eastAsia="宋体" w:hAnsi="宋体" w:cs="Times New Roman" w:hint="eastAsia"/>
          <w:color w:val="000000"/>
          <w:sz w:val="24"/>
        </w:rPr>
        <w:t>》之签字盖章页）</w:t>
      </w:r>
    </w:p>
    <w:p w14:paraId="60681147" w14:textId="77777777" w:rsidR="00A91E28" w:rsidRDefault="00A91E28">
      <w:pPr>
        <w:rPr>
          <w:rFonts w:ascii="宋体" w:eastAsia="宋体" w:hAnsi="宋体" w:cs="Times New Roman" w:hint="eastAsia"/>
          <w:sz w:val="28"/>
          <w:szCs w:val="28"/>
        </w:rPr>
      </w:pPr>
    </w:p>
    <w:p w14:paraId="136BA9E3" w14:textId="77777777" w:rsidR="00A91E28" w:rsidRDefault="00A91E28">
      <w:pPr>
        <w:rPr>
          <w:rFonts w:ascii="宋体" w:eastAsia="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A91E28" w14:paraId="6E16D35A" w14:textId="77777777">
        <w:tc>
          <w:tcPr>
            <w:tcW w:w="2689" w:type="dxa"/>
            <w:vAlign w:val="center"/>
          </w:tcPr>
          <w:p w14:paraId="24611BD2" w14:textId="77777777" w:rsidR="00A91E28" w:rsidRDefault="00EA7C37">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3C74FD2A" w14:textId="08361564"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6F20FEBC"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5FD96144"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317547FE"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7B57B064"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r>
      <w:tr w:rsidR="00A91E28" w14:paraId="465870D4" w14:textId="77777777">
        <w:tc>
          <w:tcPr>
            <w:tcW w:w="2689" w:type="dxa"/>
            <w:vAlign w:val="center"/>
          </w:tcPr>
          <w:p w14:paraId="7CB71A9A"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17849057" w14:textId="77777777" w:rsidR="00A91E28" w:rsidRDefault="00EA7C37">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53A21FF6"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0DB10FB7" w14:textId="77777777" w:rsidR="00A91E28" w:rsidRDefault="00EA7C37">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5CB48FCF" w14:textId="77777777" w:rsidR="00A91E28" w:rsidRDefault="00A91E2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15FDD81C" w14:textId="77777777" w:rsidR="00A91E28" w:rsidRDefault="00EA7C37">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张成</w:t>
            </w:r>
            <w:proofErr w:type="gramStart"/>
            <w:r>
              <w:rPr>
                <w:rFonts w:ascii="宋体" w:eastAsia="宋体" w:hAnsi="宋体" w:cs="宋体" w:hint="eastAsia"/>
                <w:kern w:val="0"/>
                <w:sz w:val="24"/>
              </w:rPr>
              <w:t>浩</w:t>
            </w:r>
            <w:proofErr w:type="gramEnd"/>
          </w:p>
        </w:tc>
      </w:tr>
    </w:tbl>
    <w:p w14:paraId="49ED59DE" w14:textId="77777777" w:rsidR="00A91E28" w:rsidRDefault="00A91E28">
      <w:pPr>
        <w:rPr>
          <w:rFonts w:ascii="宋体" w:eastAsia="宋体" w:hAnsi="宋体" w:cs="Times New Roman" w:hint="eastAsia"/>
          <w:sz w:val="28"/>
          <w:szCs w:val="28"/>
        </w:rPr>
      </w:pPr>
    </w:p>
    <w:p w14:paraId="319D8639" w14:textId="77777777" w:rsidR="00A91E28" w:rsidRDefault="00A91E2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0332F3C1" w14:textId="77777777" w:rsidR="00A91E28" w:rsidRDefault="00A91E2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54BDEBAF" w14:textId="77777777" w:rsidR="00A91E28" w:rsidRDefault="00A91E2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150777BD" w14:textId="77777777" w:rsidR="00A91E28" w:rsidRDefault="00A91E2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5A894C00" w14:textId="77777777" w:rsidR="00A91E28" w:rsidRDefault="00A91E28">
      <w:pPr>
        <w:autoSpaceDE w:val="0"/>
        <w:autoSpaceDN w:val="0"/>
        <w:adjustRightInd w:val="0"/>
        <w:spacing w:beforeLines="100" w:before="312" w:after="50" w:line="440" w:lineRule="exact"/>
        <w:ind w:leftChars="257" w:left="540" w:firstLineChars="1350" w:firstLine="3240"/>
        <w:jc w:val="right"/>
        <w:rPr>
          <w:rFonts w:ascii="宋体" w:eastAsia="宋体" w:hAnsi="宋体" w:cs="Times New Roman" w:hint="eastAsia"/>
          <w:color w:val="000000"/>
          <w:kern w:val="0"/>
          <w:sz w:val="24"/>
        </w:rPr>
      </w:pPr>
    </w:p>
    <w:p w14:paraId="60357AA2" w14:textId="77777777" w:rsidR="00A91E28" w:rsidRDefault="00EA7C37">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rPr>
      </w:pPr>
      <w:proofErr w:type="gramStart"/>
      <w:r>
        <w:rPr>
          <w:rFonts w:ascii="宋体" w:eastAsia="宋体" w:hAnsi="宋体" w:cs="Times New Roman" w:hint="eastAsia"/>
          <w:color w:val="000000"/>
          <w:sz w:val="24"/>
        </w:rPr>
        <w:t>国泰海通</w:t>
      </w:r>
      <w:proofErr w:type="gramEnd"/>
      <w:r>
        <w:rPr>
          <w:rFonts w:ascii="宋体" w:eastAsia="宋体" w:hAnsi="宋体" w:cs="Times New Roman" w:hint="eastAsia"/>
          <w:color w:val="000000"/>
          <w:sz w:val="24"/>
        </w:rPr>
        <w:t>证券股份有限公司</w:t>
      </w:r>
    </w:p>
    <w:p w14:paraId="7EAE827F" w14:textId="2AE414F1" w:rsidR="00A91E28" w:rsidRPr="00C50A4F" w:rsidRDefault="00C50A4F">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C50A4F">
        <w:rPr>
          <w:rFonts w:ascii="Times New Roman" w:eastAsia="宋体" w:hAnsi="Times New Roman" w:cs="Times New Roman"/>
          <w:color w:val="000000"/>
          <w:kern w:val="0"/>
          <w:sz w:val="24"/>
        </w:rPr>
        <w:t>2025</w:t>
      </w:r>
      <w:r w:rsidR="00EA7C37" w:rsidRPr="00C50A4F">
        <w:rPr>
          <w:rFonts w:ascii="Times New Roman" w:eastAsia="宋体" w:hAnsi="Times New Roman" w:cs="Times New Roman"/>
          <w:color w:val="000000"/>
          <w:kern w:val="0"/>
          <w:sz w:val="24"/>
        </w:rPr>
        <w:t>年</w:t>
      </w:r>
      <w:r w:rsidR="00EA7C37" w:rsidRPr="00C50A4F">
        <w:rPr>
          <w:rFonts w:ascii="Times New Roman" w:eastAsia="宋体" w:hAnsi="Times New Roman" w:cs="Times New Roman"/>
          <w:color w:val="000000"/>
          <w:kern w:val="0"/>
          <w:sz w:val="24"/>
        </w:rPr>
        <w:t xml:space="preserve"> </w:t>
      </w:r>
      <w:r w:rsidRPr="00C50A4F">
        <w:rPr>
          <w:rFonts w:ascii="Times New Roman" w:eastAsia="宋体" w:hAnsi="Times New Roman" w:cs="Times New Roman"/>
          <w:color w:val="000000"/>
          <w:kern w:val="0"/>
          <w:sz w:val="24"/>
        </w:rPr>
        <w:t>11</w:t>
      </w:r>
      <w:r w:rsidR="00EA7C37" w:rsidRPr="00C50A4F">
        <w:rPr>
          <w:rFonts w:ascii="Times New Roman" w:eastAsia="宋体" w:hAnsi="Times New Roman" w:cs="Times New Roman"/>
          <w:color w:val="000000"/>
          <w:kern w:val="0"/>
          <w:sz w:val="24"/>
        </w:rPr>
        <w:t xml:space="preserve"> </w:t>
      </w:r>
      <w:r w:rsidR="00EA7C37" w:rsidRPr="00C50A4F">
        <w:rPr>
          <w:rFonts w:ascii="Times New Roman" w:eastAsia="宋体" w:hAnsi="Times New Roman" w:cs="Times New Roman"/>
          <w:color w:val="000000"/>
          <w:kern w:val="0"/>
          <w:sz w:val="24"/>
        </w:rPr>
        <w:t>月</w:t>
      </w:r>
      <w:r w:rsidR="00EA7C37" w:rsidRPr="00C50A4F">
        <w:rPr>
          <w:rFonts w:ascii="Times New Roman" w:eastAsia="宋体" w:hAnsi="Times New Roman" w:cs="Times New Roman"/>
          <w:color w:val="000000"/>
          <w:kern w:val="0"/>
          <w:sz w:val="24"/>
        </w:rPr>
        <w:t xml:space="preserve"> </w:t>
      </w:r>
      <w:r w:rsidRPr="00C50A4F">
        <w:rPr>
          <w:rFonts w:ascii="Times New Roman" w:eastAsia="宋体" w:hAnsi="Times New Roman" w:cs="Times New Roman"/>
          <w:color w:val="000000"/>
          <w:kern w:val="0"/>
          <w:sz w:val="24"/>
        </w:rPr>
        <w:t>18</w:t>
      </w:r>
      <w:r w:rsidR="00EA7C37" w:rsidRPr="00C50A4F">
        <w:rPr>
          <w:rFonts w:ascii="Times New Roman" w:eastAsia="宋体" w:hAnsi="Times New Roman" w:cs="Times New Roman"/>
          <w:color w:val="000000"/>
          <w:kern w:val="0"/>
          <w:sz w:val="24"/>
        </w:rPr>
        <w:t xml:space="preserve"> </w:t>
      </w:r>
      <w:r w:rsidR="00EA7C37" w:rsidRPr="00C50A4F">
        <w:rPr>
          <w:rFonts w:ascii="Times New Roman" w:eastAsia="宋体" w:hAnsi="Times New Roman" w:cs="Times New Roman"/>
          <w:color w:val="000000"/>
          <w:kern w:val="0"/>
          <w:sz w:val="24"/>
        </w:rPr>
        <w:t>日</w:t>
      </w:r>
    </w:p>
    <w:p w14:paraId="07D146B0" w14:textId="77777777" w:rsidR="00A91E28" w:rsidRDefault="00A91E28">
      <w:pPr>
        <w:autoSpaceDE w:val="0"/>
        <w:autoSpaceDN w:val="0"/>
        <w:spacing w:before="120" w:after="120" w:line="360" w:lineRule="auto"/>
        <w:jc w:val="left"/>
        <w:rPr>
          <w:rFonts w:ascii="宋体" w:eastAsia="宋体" w:hAnsi="宋体" w:hint="eastAsia"/>
          <w:sz w:val="24"/>
        </w:rPr>
      </w:pPr>
    </w:p>
    <w:p w14:paraId="06C5F079" w14:textId="77777777" w:rsidR="00A91E28" w:rsidRDefault="00A91E28">
      <w:pPr>
        <w:spacing w:beforeLines="50" w:before="156" w:afterLines="50" w:after="156" w:line="360" w:lineRule="auto"/>
        <w:rPr>
          <w:rFonts w:ascii="Times New Roman" w:eastAsia="宋体" w:hAnsi="Times New Roman" w:cs="Times New Roman"/>
          <w:sz w:val="24"/>
          <w:szCs w:val="22"/>
        </w:rPr>
      </w:pPr>
    </w:p>
    <w:sectPr w:rsidR="00A91E2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33522" w14:textId="77777777" w:rsidR="00AA495E" w:rsidRDefault="00AA495E">
      <w:r>
        <w:separator/>
      </w:r>
    </w:p>
  </w:endnote>
  <w:endnote w:type="continuationSeparator" w:id="0">
    <w:p w14:paraId="65D32EFA" w14:textId="77777777" w:rsidR="00AA495E" w:rsidRDefault="00AA4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784791"/>
    </w:sdtPr>
    <w:sdtEndPr>
      <w:rPr>
        <w:rFonts w:ascii="Times New Roman" w:hAnsi="Times New Roman" w:cs="Times New Roman"/>
      </w:rPr>
    </w:sdtEndPr>
    <w:sdtContent>
      <w:p w14:paraId="132CDFD9" w14:textId="77777777" w:rsidR="00A91E28" w:rsidRDefault="00EA7C37">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025051" w:rsidRPr="00025051">
          <w:rPr>
            <w:rFonts w:ascii="Times New Roman" w:hAnsi="Times New Roman" w:cs="Times New Roman"/>
            <w:noProof/>
            <w:lang w:val="zh-CN"/>
          </w:rPr>
          <w:t>3</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11AA7" w14:textId="77777777" w:rsidR="00AA495E" w:rsidRDefault="00AA495E">
      <w:r>
        <w:separator/>
      </w:r>
    </w:p>
  </w:footnote>
  <w:footnote w:type="continuationSeparator" w:id="0">
    <w:p w14:paraId="499D2468" w14:textId="77777777" w:rsidR="00AA495E" w:rsidRDefault="00AA4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F74CEA"/>
    <w:rsid w:val="CB2E9D91"/>
    <w:rsid w:val="DDEFB8B9"/>
    <w:rsid w:val="DDFF2C56"/>
    <w:rsid w:val="E3662AC8"/>
    <w:rsid w:val="E3FBFB6D"/>
    <w:rsid w:val="EDED7ABC"/>
    <w:rsid w:val="EFFC6ADF"/>
    <w:rsid w:val="F2FFE3D8"/>
    <w:rsid w:val="F7FFFDC1"/>
    <w:rsid w:val="FB7FD669"/>
    <w:rsid w:val="FBDF678B"/>
    <w:rsid w:val="FBFF5DE3"/>
    <w:rsid w:val="FBFF63E7"/>
    <w:rsid w:val="FD7F72EF"/>
    <w:rsid w:val="FEFC613D"/>
    <w:rsid w:val="FEFF13AC"/>
    <w:rsid w:val="FEFF41D8"/>
    <w:rsid w:val="FF53B76B"/>
    <w:rsid w:val="FFBD665F"/>
    <w:rsid w:val="FFBFFEA8"/>
    <w:rsid w:val="FFEDF58B"/>
    <w:rsid w:val="FFF7CF70"/>
    <w:rsid w:val="000028CE"/>
    <w:rsid w:val="00005A1B"/>
    <w:rsid w:val="00005D13"/>
    <w:rsid w:val="00015529"/>
    <w:rsid w:val="000155B6"/>
    <w:rsid w:val="00021631"/>
    <w:rsid w:val="00024581"/>
    <w:rsid w:val="00025051"/>
    <w:rsid w:val="00030764"/>
    <w:rsid w:val="0003755B"/>
    <w:rsid w:val="00042D80"/>
    <w:rsid w:val="000451D5"/>
    <w:rsid w:val="00055285"/>
    <w:rsid w:val="0005643A"/>
    <w:rsid w:val="00056D2B"/>
    <w:rsid w:val="000675C0"/>
    <w:rsid w:val="00072C4B"/>
    <w:rsid w:val="0007615D"/>
    <w:rsid w:val="0007627F"/>
    <w:rsid w:val="0008098C"/>
    <w:rsid w:val="00082E04"/>
    <w:rsid w:val="000B3FE8"/>
    <w:rsid w:val="000D0D4E"/>
    <w:rsid w:val="000D512A"/>
    <w:rsid w:val="000D74EC"/>
    <w:rsid w:val="001030F4"/>
    <w:rsid w:val="00111CCF"/>
    <w:rsid w:val="00111D9D"/>
    <w:rsid w:val="0011243E"/>
    <w:rsid w:val="00130B16"/>
    <w:rsid w:val="00130F59"/>
    <w:rsid w:val="00132A40"/>
    <w:rsid w:val="00136E4B"/>
    <w:rsid w:val="00147C79"/>
    <w:rsid w:val="0015088E"/>
    <w:rsid w:val="00161A55"/>
    <w:rsid w:val="00164698"/>
    <w:rsid w:val="001776B8"/>
    <w:rsid w:val="001834FA"/>
    <w:rsid w:val="001952F4"/>
    <w:rsid w:val="001A4D7C"/>
    <w:rsid w:val="001A621A"/>
    <w:rsid w:val="001B0015"/>
    <w:rsid w:val="001B0AAB"/>
    <w:rsid w:val="001C22BE"/>
    <w:rsid w:val="001C511C"/>
    <w:rsid w:val="001D4137"/>
    <w:rsid w:val="001E36AA"/>
    <w:rsid w:val="00204D15"/>
    <w:rsid w:val="00206BAE"/>
    <w:rsid w:val="00215618"/>
    <w:rsid w:val="00215A8F"/>
    <w:rsid w:val="002303CE"/>
    <w:rsid w:val="00246A79"/>
    <w:rsid w:val="002507CA"/>
    <w:rsid w:val="00254E8C"/>
    <w:rsid w:val="002609B8"/>
    <w:rsid w:val="0026364C"/>
    <w:rsid w:val="00264920"/>
    <w:rsid w:val="00295670"/>
    <w:rsid w:val="002A6F7C"/>
    <w:rsid w:val="002B136C"/>
    <w:rsid w:val="002B194F"/>
    <w:rsid w:val="002B552E"/>
    <w:rsid w:val="002C2317"/>
    <w:rsid w:val="002C2E60"/>
    <w:rsid w:val="002C7859"/>
    <w:rsid w:val="002D3362"/>
    <w:rsid w:val="002D53D7"/>
    <w:rsid w:val="002D7095"/>
    <w:rsid w:val="002E3D54"/>
    <w:rsid w:val="002E4285"/>
    <w:rsid w:val="002E4C23"/>
    <w:rsid w:val="002E4FEA"/>
    <w:rsid w:val="002E7664"/>
    <w:rsid w:val="00301101"/>
    <w:rsid w:val="00301151"/>
    <w:rsid w:val="00302695"/>
    <w:rsid w:val="00307453"/>
    <w:rsid w:val="003108DA"/>
    <w:rsid w:val="00316A8C"/>
    <w:rsid w:val="00323693"/>
    <w:rsid w:val="00330260"/>
    <w:rsid w:val="003407DD"/>
    <w:rsid w:val="003410B3"/>
    <w:rsid w:val="00343916"/>
    <w:rsid w:val="00347EED"/>
    <w:rsid w:val="00350DF0"/>
    <w:rsid w:val="00352D73"/>
    <w:rsid w:val="0036348D"/>
    <w:rsid w:val="003648E1"/>
    <w:rsid w:val="00365A44"/>
    <w:rsid w:val="003720EA"/>
    <w:rsid w:val="00375AE9"/>
    <w:rsid w:val="00395A25"/>
    <w:rsid w:val="003B2FE2"/>
    <w:rsid w:val="003B72EC"/>
    <w:rsid w:val="003C44C2"/>
    <w:rsid w:val="003D194B"/>
    <w:rsid w:val="003D6392"/>
    <w:rsid w:val="003E65A1"/>
    <w:rsid w:val="003E7448"/>
    <w:rsid w:val="003F6191"/>
    <w:rsid w:val="00400EFD"/>
    <w:rsid w:val="004027FB"/>
    <w:rsid w:val="00402C55"/>
    <w:rsid w:val="00420725"/>
    <w:rsid w:val="00420AEA"/>
    <w:rsid w:val="004305DC"/>
    <w:rsid w:val="0043658F"/>
    <w:rsid w:val="00441CE2"/>
    <w:rsid w:val="00452B3D"/>
    <w:rsid w:val="0045698F"/>
    <w:rsid w:val="00456A77"/>
    <w:rsid w:val="00461A0D"/>
    <w:rsid w:val="0047694E"/>
    <w:rsid w:val="0047762D"/>
    <w:rsid w:val="004923C7"/>
    <w:rsid w:val="0049601E"/>
    <w:rsid w:val="004A2CDC"/>
    <w:rsid w:val="004A6EF7"/>
    <w:rsid w:val="004B3C0D"/>
    <w:rsid w:val="004D2843"/>
    <w:rsid w:val="004D3DF1"/>
    <w:rsid w:val="004E35F2"/>
    <w:rsid w:val="004E6616"/>
    <w:rsid w:val="004F0E71"/>
    <w:rsid w:val="004F3D85"/>
    <w:rsid w:val="004F5B10"/>
    <w:rsid w:val="005019EB"/>
    <w:rsid w:val="00510573"/>
    <w:rsid w:val="005163DB"/>
    <w:rsid w:val="005216FD"/>
    <w:rsid w:val="00533BC0"/>
    <w:rsid w:val="00552075"/>
    <w:rsid w:val="005530E9"/>
    <w:rsid w:val="00555410"/>
    <w:rsid w:val="00561495"/>
    <w:rsid w:val="00562A44"/>
    <w:rsid w:val="00597021"/>
    <w:rsid w:val="005A1F51"/>
    <w:rsid w:val="005A5DED"/>
    <w:rsid w:val="005A68A5"/>
    <w:rsid w:val="005B1DBB"/>
    <w:rsid w:val="005B2699"/>
    <w:rsid w:val="005B6C90"/>
    <w:rsid w:val="005D097F"/>
    <w:rsid w:val="005D710E"/>
    <w:rsid w:val="005E1F2B"/>
    <w:rsid w:val="00602144"/>
    <w:rsid w:val="00607889"/>
    <w:rsid w:val="006261CE"/>
    <w:rsid w:val="00630C77"/>
    <w:rsid w:val="00640BDA"/>
    <w:rsid w:val="00645EEB"/>
    <w:rsid w:val="00646427"/>
    <w:rsid w:val="006660A3"/>
    <w:rsid w:val="006676B8"/>
    <w:rsid w:val="0067406D"/>
    <w:rsid w:val="00680CFE"/>
    <w:rsid w:val="00684DA7"/>
    <w:rsid w:val="0069175C"/>
    <w:rsid w:val="00696F32"/>
    <w:rsid w:val="006A7A80"/>
    <w:rsid w:val="006C650B"/>
    <w:rsid w:val="006D4465"/>
    <w:rsid w:val="006D59E4"/>
    <w:rsid w:val="006E18B6"/>
    <w:rsid w:val="006E2E31"/>
    <w:rsid w:val="00700E12"/>
    <w:rsid w:val="00702663"/>
    <w:rsid w:val="00703E0E"/>
    <w:rsid w:val="00716A59"/>
    <w:rsid w:val="007235A0"/>
    <w:rsid w:val="00731E13"/>
    <w:rsid w:val="00743EBC"/>
    <w:rsid w:val="00780168"/>
    <w:rsid w:val="007821FA"/>
    <w:rsid w:val="0079141E"/>
    <w:rsid w:val="00794514"/>
    <w:rsid w:val="007A036D"/>
    <w:rsid w:val="007A29E0"/>
    <w:rsid w:val="007A3479"/>
    <w:rsid w:val="007B0943"/>
    <w:rsid w:val="007C51BA"/>
    <w:rsid w:val="007C7894"/>
    <w:rsid w:val="007D40FE"/>
    <w:rsid w:val="007D5E85"/>
    <w:rsid w:val="007E6847"/>
    <w:rsid w:val="007F3268"/>
    <w:rsid w:val="00813898"/>
    <w:rsid w:val="008169AB"/>
    <w:rsid w:val="00816CB3"/>
    <w:rsid w:val="008234BB"/>
    <w:rsid w:val="00832ABF"/>
    <w:rsid w:val="00833BA7"/>
    <w:rsid w:val="008346CD"/>
    <w:rsid w:val="00844FB9"/>
    <w:rsid w:val="00846768"/>
    <w:rsid w:val="00851BB6"/>
    <w:rsid w:val="008615E6"/>
    <w:rsid w:val="00861E38"/>
    <w:rsid w:val="0086441A"/>
    <w:rsid w:val="00871B2C"/>
    <w:rsid w:val="0087441C"/>
    <w:rsid w:val="008815BE"/>
    <w:rsid w:val="0088765A"/>
    <w:rsid w:val="008908D4"/>
    <w:rsid w:val="00891F14"/>
    <w:rsid w:val="008A7D0C"/>
    <w:rsid w:val="008B2078"/>
    <w:rsid w:val="008D1B2F"/>
    <w:rsid w:val="008D201B"/>
    <w:rsid w:val="008D2061"/>
    <w:rsid w:val="008E0793"/>
    <w:rsid w:val="008E23C5"/>
    <w:rsid w:val="008E4C5D"/>
    <w:rsid w:val="008F5F34"/>
    <w:rsid w:val="00900AE9"/>
    <w:rsid w:val="00921B35"/>
    <w:rsid w:val="009240DA"/>
    <w:rsid w:val="00933257"/>
    <w:rsid w:val="00934AF8"/>
    <w:rsid w:val="00937BDC"/>
    <w:rsid w:val="009617B3"/>
    <w:rsid w:val="00972515"/>
    <w:rsid w:val="009762A1"/>
    <w:rsid w:val="009769F0"/>
    <w:rsid w:val="00976DDE"/>
    <w:rsid w:val="009838C6"/>
    <w:rsid w:val="00992F12"/>
    <w:rsid w:val="009A0A22"/>
    <w:rsid w:val="009A7F75"/>
    <w:rsid w:val="009C1A3B"/>
    <w:rsid w:val="009D67AA"/>
    <w:rsid w:val="00A00657"/>
    <w:rsid w:val="00A01182"/>
    <w:rsid w:val="00A17A67"/>
    <w:rsid w:val="00A25936"/>
    <w:rsid w:val="00A27335"/>
    <w:rsid w:val="00A4336D"/>
    <w:rsid w:val="00A43D8D"/>
    <w:rsid w:val="00A6003A"/>
    <w:rsid w:val="00A75A77"/>
    <w:rsid w:val="00A75B6B"/>
    <w:rsid w:val="00A76133"/>
    <w:rsid w:val="00A773E2"/>
    <w:rsid w:val="00A8517F"/>
    <w:rsid w:val="00A91E28"/>
    <w:rsid w:val="00A96B3B"/>
    <w:rsid w:val="00AA495E"/>
    <w:rsid w:val="00AA6B0A"/>
    <w:rsid w:val="00AB3C01"/>
    <w:rsid w:val="00AB643F"/>
    <w:rsid w:val="00AC3A87"/>
    <w:rsid w:val="00AD4538"/>
    <w:rsid w:val="00AD4BBB"/>
    <w:rsid w:val="00AD4E73"/>
    <w:rsid w:val="00B01174"/>
    <w:rsid w:val="00B24F1C"/>
    <w:rsid w:val="00B25D11"/>
    <w:rsid w:val="00B271C2"/>
    <w:rsid w:val="00B32911"/>
    <w:rsid w:val="00B4223F"/>
    <w:rsid w:val="00B536D6"/>
    <w:rsid w:val="00B57A11"/>
    <w:rsid w:val="00B60469"/>
    <w:rsid w:val="00B60C07"/>
    <w:rsid w:val="00B65606"/>
    <w:rsid w:val="00B71C4E"/>
    <w:rsid w:val="00B73611"/>
    <w:rsid w:val="00B82E9A"/>
    <w:rsid w:val="00B912A0"/>
    <w:rsid w:val="00BA290C"/>
    <w:rsid w:val="00BA58D6"/>
    <w:rsid w:val="00BB0E33"/>
    <w:rsid w:val="00BB7CB8"/>
    <w:rsid w:val="00BC1A8F"/>
    <w:rsid w:val="00BC6665"/>
    <w:rsid w:val="00BF27D8"/>
    <w:rsid w:val="00BF46B0"/>
    <w:rsid w:val="00C117F0"/>
    <w:rsid w:val="00C13C09"/>
    <w:rsid w:val="00C15C07"/>
    <w:rsid w:val="00C17314"/>
    <w:rsid w:val="00C32540"/>
    <w:rsid w:val="00C32F37"/>
    <w:rsid w:val="00C400D1"/>
    <w:rsid w:val="00C4648C"/>
    <w:rsid w:val="00C47A77"/>
    <w:rsid w:val="00C50A4F"/>
    <w:rsid w:val="00C62454"/>
    <w:rsid w:val="00C73F6A"/>
    <w:rsid w:val="00C8469A"/>
    <w:rsid w:val="00C85D98"/>
    <w:rsid w:val="00C93A13"/>
    <w:rsid w:val="00C9651D"/>
    <w:rsid w:val="00C975AD"/>
    <w:rsid w:val="00CA5E9F"/>
    <w:rsid w:val="00CB1216"/>
    <w:rsid w:val="00CB280F"/>
    <w:rsid w:val="00CC3149"/>
    <w:rsid w:val="00CD1DAB"/>
    <w:rsid w:val="00CD5556"/>
    <w:rsid w:val="00CF2D25"/>
    <w:rsid w:val="00D0332F"/>
    <w:rsid w:val="00D128C2"/>
    <w:rsid w:val="00D17F4D"/>
    <w:rsid w:val="00D21779"/>
    <w:rsid w:val="00D27A71"/>
    <w:rsid w:val="00D34EB8"/>
    <w:rsid w:val="00D361D1"/>
    <w:rsid w:val="00D42FB7"/>
    <w:rsid w:val="00D52EED"/>
    <w:rsid w:val="00D82D84"/>
    <w:rsid w:val="00DA6934"/>
    <w:rsid w:val="00DA778F"/>
    <w:rsid w:val="00DD7759"/>
    <w:rsid w:val="00DF2EB9"/>
    <w:rsid w:val="00E020F6"/>
    <w:rsid w:val="00E03F1F"/>
    <w:rsid w:val="00E126C3"/>
    <w:rsid w:val="00E15253"/>
    <w:rsid w:val="00E17A1C"/>
    <w:rsid w:val="00E21270"/>
    <w:rsid w:val="00E329DD"/>
    <w:rsid w:val="00E33F08"/>
    <w:rsid w:val="00E55201"/>
    <w:rsid w:val="00E64970"/>
    <w:rsid w:val="00E65C1F"/>
    <w:rsid w:val="00E73DBF"/>
    <w:rsid w:val="00E800BF"/>
    <w:rsid w:val="00E83ABD"/>
    <w:rsid w:val="00EA14D5"/>
    <w:rsid w:val="00EA7C37"/>
    <w:rsid w:val="00EB18A1"/>
    <w:rsid w:val="00EB415A"/>
    <w:rsid w:val="00ED6C9B"/>
    <w:rsid w:val="00ED75E9"/>
    <w:rsid w:val="00EE0432"/>
    <w:rsid w:val="00EE1F12"/>
    <w:rsid w:val="00EF2E1F"/>
    <w:rsid w:val="00EF33FD"/>
    <w:rsid w:val="00EF7A37"/>
    <w:rsid w:val="00F01A54"/>
    <w:rsid w:val="00F1294D"/>
    <w:rsid w:val="00F4423D"/>
    <w:rsid w:val="00F5782E"/>
    <w:rsid w:val="00F6577E"/>
    <w:rsid w:val="00F82219"/>
    <w:rsid w:val="00F85EF9"/>
    <w:rsid w:val="00F8636F"/>
    <w:rsid w:val="00FA2545"/>
    <w:rsid w:val="00FA4FF7"/>
    <w:rsid w:val="00FB2C62"/>
    <w:rsid w:val="00FC0477"/>
    <w:rsid w:val="00FC5F2E"/>
    <w:rsid w:val="00FD2DEA"/>
    <w:rsid w:val="00FD74C1"/>
    <w:rsid w:val="00FF0F3E"/>
    <w:rsid w:val="00FF5256"/>
    <w:rsid w:val="14681FEA"/>
    <w:rsid w:val="15107A3E"/>
    <w:rsid w:val="15864359"/>
    <w:rsid w:val="18AC1C15"/>
    <w:rsid w:val="1E596016"/>
    <w:rsid w:val="1EFF31E6"/>
    <w:rsid w:val="1FC724DB"/>
    <w:rsid w:val="1FE598D6"/>
    <w:rsid w:val="1FFBAF8C"/>
    <w:rsid w:val="27D65AE8"/>
    <w:rsid w:val="2C5F0F16"/>
    <w:rsid w:val="2FD4484E"/>
    <w:rsid w:val="31FDE975"/>
    <w:rsid w:val="36C73C90"/>
    <w:rsid w:val="37FFABE0"/>
    <w:rsid w:val="38AF14A5"/>
    <w:rsid w:val="391CED57"/>
    <w:rsid w:val="3A5FBA83"/>
    <w:rsid w:val="3B5D44DB"/>
    <w:rsid w:val="3BDE7109"/>
    <w:rsid w:val="3D6F1B0A"/>
    <w:rsid w:val="3EAB6E43"/>
    <w:rsid w:val="3EFF565D"/>
    <w:rsid w:val="3F7D5E35"/>
    <w:rsid w:val="3FD77D63"/>
    <w:rsid w:val="3FFC02E1"/>
    <w:rsid w:val="3FFF5B9F"/>
    <w:rsid w:val="451E1B7F"/>
    <w:rsid w:val="467FD0F4"/>
    <w:rsid w:val="46FDA65D"/>
    <w:rsid w:val="48C91E02"/>
    <w:rsid w:val="4A25750C"/>
    <w:rsid w:val="4EAA6AFE"/>
    <w:rsid w:val="4FBFD62C"/>
    <w:rsid w:val="51693198"/>
    <w:rsid w:val="54C23DB3"/>
    <w:rsid w:val="5AF90732"/>
    <w:rsid w:val="5CED1B79"/>
    <w:rsid w:val="5EF73C55"/>
    <w:rsid w:val="5FAFF7CB"/>
    <w:rsid w:val="5FF71C1F"/>
    <w:rsid w:val="5FFE4073"/>
    <w:rsid w:val="6BB1F5B1"/>
    <w:rsid w:val="6FFD69A5"/>
    <w:rsid w:val="733A1535"/>
    <w:rsid w:val="73E9C783"/>
    <w:rsid w:val="75FBCB23"/>
    <w:rsid w:val="75FEB1E9"/>
    <w:rsid w:val="77397139"/>
    <w:rsid w:val="773B0748"/>
    <w:rsid w:val="79164340"/>
    <w:rsid w:val="796F7CF7"/>
    <w:rsid w:val="7B46A725"/>
    <w:rsid w:val="7BEB5DE7"/>
    <w:rsid w:val="7BF4B242"/>
    <w:rsid w:val="7BFB6916"/>
    <w:rsid w:val="7D3FF485"/>
    <w:rsid w:val="7DAC31CF"/>
    <w:rsid w:val="7DF59953"/>
    <w:rsid w:val="7E6F55F9"/>
    <w:rsid w:val="7E7E6334"/>
    <w:rsid w:val="7EB5B785"/>
    <w:rsid w:val="7EFA7EC3"/>
    <w:rsid w:val="7F0C3A78"/>
    <w:rsid w:val="7F146E94"/>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3E947"/>
  <w15:docId w15:val="{5DC2796B-99DE-4F52-835A-C8395701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2">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2"/>
    <w:uiPriority w:val="99"/>
    <w:semiHidden/>
    <w:qFormat/>
    <w:rPr>
      <w:kern w:val="2"/>
      <w:sz w:val="18"/>
      <w:szCs w:val="18"/>
    </w:rPr>
  </w:style>
  <w:style w:type="character" w:customStyle="1" w:styleId="11">
    <w:name w:val="脚注文本 字符1"/>
    <w:basedOn w:val="a0"/>
    <w:link w:val="ae"/>
    <w:semiHidden/>
    <w:qFormat/>
    <w:rPr>
      <w:rFonts w:asciiTheme="minorHAnsi" w:eastAsiaTheme="minorEastAsia" w:hAnsiTheme="minorHAnsi" w:cstheme="minorBidi"/>
      <w:kern w:val="2"/>
      <w:sz w:val="18"/>
      <w:szCs w:val="18"/>
    </w:rPr>
  </w:style>
  <w:style w:type="character" w:customStyle="1" w:styleId="10">
    <w:name w:val="标题 1 字符"/>
    <w:basedOn w:val="a0"/>
    <w:link w:val="1"/>
    <w:qFormat/>
    <w:rPr>
      <w:rFonts w:ascii="宋体" w:hAnsi="宋体"/>
      <w:b/>
      <w:bCs/>
      <w:kern w:val="44"/>
      <w:sz w:val="48"/>
      <w:szCs w:val="48"/>
    </w:rPr>
  </w:style>
  <w:style w:type="paragraph" w:customStyle="1" w:styleId="13">
    <w:name w:val="修订1"/>
    <w:hidden/>
    <w:uiPriority w:val="99"/>
    <w:unhideWhenUsed/>
    <w:qFormat/>
    <w:rPr>
      <w:rFonts w:asciiTheme="minorHAnsi" w:eastAsiaTheme="minorEastAsia" w:hAnsiTheme="minorHAnsi" w:cstheme="minorBidi"/>
      <w:kern w:val="2"/>
      <w:sz w:val="21"/>
      <w:szCs w:val="24"/>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customStyle="1" w:styleId="30">
    <w:name w:val="修订3"/>
    <w:hidden/>
    <w:uiPriority w:val="99"/>
    <w:unhideWhenUsed/>
    <w:qFormat/>
    <w:rPr>
      <w:rFonts w:asciiTheme="minorHAnsi" w:eastAsiaTheme="minorEastAsia" w:hAnsiTheme="minorHAnsi" w:cstheme="minorBidi"/>
      <w:kern w:val="2"/>
      <w:sz w:val="21"/>
      <w:szCs w:val="24"/>
    </w:rPr>
  </w:style>
  <w:style w:type="table" w:customStyle="1" w:styleId="14">
    <w:name w:val="网格型1"/>
    <w:basedOn w:val="a1"/>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130F5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BA6C1-0E26-4D8F-9596-1EECD8C31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7</Pages>
  <Words>675</Words>
  <Characters>3849</Characters>
  <Application>Microsoft Office Word</Application>
  <DocSecurity>0</DocSecurity>
  <Lines>32</Lines>
  <Paragraphs>9</Paragraphs>
  <ScaleCrop>false</ScaleCrop>
  <Company>国泰君安证券股份有限公司</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Yang LI</cp:lastModifiedBy>
  <cp:revision>188</cp:revision>
  <dcterms:created xsi:type="dcterms:W3CDTF">2020-04-07T03:00:00Z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C0B3D15686B34858A276255E54978B85_12</vt:lpwstr>
  </property>
</Properties>
</file>