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8BD082" w14:textId="77777777" w:rsidR="004F66F0" w:rsidRDefault="005964B0">
      <w:pPr>
        <w:spacing w:line="360" w:lineRule="auto"/>
        <w:jc w:val="center"/>
        <w:rPr>
          <w:rFonts w:ascii="黑体" w:eastAsia="黑体" w:hAnsi="黑体" w:cs="Times New Roman" w:hint="eastAsia"/>
          <w:b/>
          <w:bCs/>
          <w:sz w:val="28"/>
          <w:szCs w:val="28"/>
        </w:rPr>
      </w:pPr>
      <w:bookmarkStart w:id="0" w:name="_Hlk211422784"/>
      <w:r>
        <w:rPr>
          <w:rFonts w:ascii="黑体" w:eastAsia="黑体" w:hAnsi="黑体" w:cs="Times New Roman" w:hint="eastAsia"/>
          <w:b/>
          <w:bCs/>
          <w:sz w:val="28"/>
          <w:szCs w:val="28"/>
        </w:rPr>
        <w:t>国泰海通证券股份有限公司</w:t>
      </w:r>
      <w:bookmarkEnd w:id="0"/>
      <w:r>
        <w:rPr>
          <w:rFonts w:ascii="黑体" w:eastAsia="黑体" w:hAnsi="黑体" w:cs="Times New Roman"/>
          <w:b/>
          <w:bCs/>
          <w:sz w:val="28"/>
          <w:szCs w:val="28"/>
        </w:rPr>
        <w:br/>
      </w:r>
      <w:r>
        <w:rPr>
          <w:rFonts w:ascii="黑体" w:eastAsia="黑体" w:hAnsi="黑体" w:cs="Times New Roman" w:hint="eastAsia"/>
          <w:b/>
          <w:bCs/>
          <w:sz w:val="28"/>
          <w:szCs w:val="28"/>
        </w:rPr>
        <w:t>关于广东天亿马信息产业股份有限公司本次交易信息公布前</w:t>
      </w:r>
    </w:p>
    <w:p w14:paraId="7CCAF83E" w14:textId="77777777" w:rsidR="004F66F0" w:rsidRDefault="005964B0">
      <w:pPr>
        <w:spacing w:line="360" w:lineRule="auto"/>
        <w:jc w:val="center"/>
        <w:rPr>
          <w:rFonts w:ascii="黑体" w:eastAsia="黑体" w:hAnsi="黑体" w:cs="Times New Roman" w:hint="eastAsia"/>
          <w:b/>
          <w:bCs/>
          <w:sz w:val="28"/>
          <w:szCs w:val="28"/>
        </w:rPr>
      </w:pPr>
      <w:r>
        <w:rPr>
          <w:rFonts w:ascii="黑体" w:eastAsia="黑体" w:hAnsi="黑体" w:cs="Times New Roman" w:hint="eastAsia"/>
          <w:b/>
          <w:bCs/>
          <w:sz w:val="28"/>
          <w:szCs w:val="28"/>
        </w:rPr>
        <w:t>公司股价波动情况的核查意见</w:t>
      </w:r>
    </w:p>
    <w:p w14:paraId="11A26DBE" w14:textId="71C2696E" w:rsidR="004F66F0" w:rsidRDefault="005964B0" w:rsidP="00F52C1E">
      <w:pPr>
        <w:pStyle w:val="af"/>
        <w:widowControl/>
        <w:shd w:val="clear" w:color="auto" w:fill="FFFFFF"/>
        <w:spacing w:beforeLines="50" w:before="156" w:beforeAutospacing="0" w:afterLines="50" w:after="156" w:afterAutospacing="0" w:line="360" w:lineRule="auto"/>
        <w:ind w:firstLineChars="200" w:firstLine="480"/>
        <w:jc w:val="both"/>
        <w:rPr>
          <w:rFonts w:ascii="Times New Roman" w:eastAsia="宋体" w:hAnsi="Times New Roman"/>
          <w:shd w:val="clear" w:color="auto" w:fill="FFFFFF"/>
        </w:rPr>
      </w:pPr>
      <w:bookmarkStart w:id="1" w:name="_Hlk211091648"/>
      <w:r>
        <w:rPr>
          <w:rFonts w:ascii="Times New Roman" w:eastAsia="宋体" w:hAnsi="Times New Roman" w:hint="eastAsia"/>
          <w:shd w:val="clear" w:color="auto" w:fill="FFFFFF"/>
        </w:rPr>
        <w:t>广东天亿马信息产业股份有限公司</w:t>
      </w:r>
      <w:bookmarkEnd w:id="1"/>
      <w:r>
        <w:rPr>
          <w:rFonts w:ascii="Times New Roman" w:eastAsia="宋体" w:hAnsi="Times New Roman" w:hint="eastAsia"/>
          <w:shd w:val="clear" w:color="auto" w:fill="FFFFFF"/>
        </w:rPr>
        <w:t>（以下简称“</w:t>
      </w:r>
      <w:r w:rsidR="0005478F">
        <w:rPr>
          <w:rFonts w:ascii="Times New Roman" w:eastAsia="宋体" w:hAnsi="Times New Roman" w:hint="eastAsia"/>
          <w:shd w:val="clear" w:color="auto" w:fill="FFFFFF"/>
        </w:rPr>
        <w:t>上市</w:t>
      </w:r>
      <w:r>
        <w:rPr>
          <w:rFonts w:ascii="Times New Roman" w:eastAsia="宋体" w:hAnsi="Times New Roman" w:hint="eastAsia"/>
          <w:shd w:val="clear" w:color="auto" w:fill="FFFFFF"/>
        </w:rPr>
        <w:t>公司”</w:t>
      </w:r>
      <w:r w:rsidR="0005478F">
        <w:rPr>
          <w:rFonts w:ascii="Times New Roman" w:eastAsia="宋体" w:hAnsi="Times New Roman" w:hint="eastAsia"/>
          <w:shd w:val="clear" w:color="auto" w:fill="FFFFFF"/>
        </w:rPr>
        <w:t>或“公司”</w:t>
      </w:r>
      <w:r>
        <w:rPr>
          <w:rFonts w:ascii="Times New Roman" w:eastAsia="宋体" w:hAnsi="Times New Roman" w:hint="eastAsia"/>
          <w:shd w:val="clear" w:color="auto" w:fill="FFFFFF"/>
        </w:rPr>
        <w:t>）拟通过发行股份及支付现金方式购买广东星云开物科技股份有限公司</w:t>
      </w:r>
      <w:r>
        <w:rPr>
          <w:rFonts w:ascii="Times New Roman" w:eastAsia="宋体" w:hAnsi="Times New Roman" w:hint="eastAsia"/>
          <w:shd w:val="clear" w:color="auto" w:fill="FFFFFF"/>
        </w:rPr>
        <w:t>98.5632%</w:t>
      </w:r>
      <w:r>
        <w:rPr>
          <w:rFonts w:ascii="Times New Roman" w:eastAsia="宋体" w:hAnsi="Times New Roman" w:hint="eastAsia"/>
          <w:shd w:val="clear" w:color="auto" w:fill="FFFFFF"/>
        </w:rPr>
        <w:t>股权并募集配套资金（以下简称“本次交易”）。</w:t>
      </w:r>
      <w:r w:rsidR="0005478F">
        <w:rPr>
          <w:rFonts w:ascii="Times New Roman" w:eastAsia="宋体" w:hAnsi="Times New Roman" w:hint="eastAsia"/>
          <w:shd w:val="clear" w:color="auto" w:fill="FFFFFF"/>
        </w:rPr>
        <w:t>上市</w:t>
      </w:r>
      <w:r>
        <w:rPr>
          <w:rFonts w:ascii="Times New Roman" w:eastAsia="宋体" w:hAnsi="Times New Roman" w:hint="eastAsia"/>
          <w:shd w:val="clear" w:color="auto" w:fill="FFFFFF"/>
        </w:rPr>
        <w:t>公司作为本次交易的收购方，国泰海通证券股份有限公司（以下简称“独立财务顾问”）就本次交易信息发布前</w:t>
      </w:r>
      <w:r w:rsidR="0005478F">
        <w:rPr>
          <w:rFonts w:ascii="Times New Roman" w:eastAsia="宋体" w:hAnsi="Times New Roman" w:hint="eastAsia"/>
          <w:shd w:val="clear" w:color="auto" w:fill="FFFFFF"/>
        </w:rPr>
        <w:t>上市</w:t>
      </w:r>
      <w:r>
        <w:rPr>
          <w:rFonts w:ascii="Times New Roman" w:eastAsia="宋体" w:hAnsi="Times New Roman" w:hint="eastAsia"/>
          <w:shd w:val="clear" w:color="auto" w:fill="FFFFFF"/>
        </w:rPr>
        <w:t>公司股票价格波动情况进行核查</w:t>
      </w:r>
      <w:r w:rsidR="00F52C1E">
        <w:rPr>
          <w:rFonts w:ascii="Times New Roman" w:eastAsia="宋体" w:hAnsi="Times New Roman" w:hint="eastAsia"/>
          <w:shd w:val="clear" w:color="auto" w:fill="FFFFFF"/>
        </w:rPr>
        <w:t>，核查情况如下：</w:t>
      </w:r>
    </w:p>
    <w:p w14:paraId="1F58D862" w14:textId="77777777" w:rsidR="004F66F0" w:rsidRDefault="005964B0" w:rsidP="00F52C1E">
      <w:pPr>
        <w:spacing w:beforeLines="50" w:before="156" w:afterLines="50" w:after="156" w:line="360" w:lineRule="auto"/>
        <w:ind w:firstLineChars="200" w:firstLine="482"/>
        <w:rPr>
          <w:rFonts w:ascii="Times New Roman" w:eastAsia="宋体" w:hAnsi="Times New Roman"/>
          <w:shd w:val="clear" w:color="auto" w:fill="FFFFFF"/>
        </w:rPr>
      </w:pPr>
      <w:r>
        <w:rPr>
          <w:rFonts w:ascii="Times New Roman" w:eastAsia="宋体" w:hAnsi="Times New Roman" w:cs="Times New Roman" w:hint="eastAsia"/>
          <w:b/>
          <w:bCs/>
          <w:sz w:val="24"/>
        </w:rPr>
        <w:t>一</w:t>
      </w:r>
      <w:r>
        <w:rPr>
          <w:rFonts w:ascii="Times New Roman" w:eastAsia="宋体" w:hAnsi="Times New Roman" w:cs="Times New Roman" w:hint="eastAsia"/>
          <w:b/>
          <w:bCs/>
          <w:sz w:val="24"/>
          <w:lang w:val="zh-CN"/>
        </w:rPr>
        <w:t>、上市公司股票价格波动情况</w:t>
      </w:r>
    </w:p>
    <w:p w14:paraId="128F736A" w14:textId="77777777" w:rsidR="004F66F0" w:rsidRDefault="005964B0" w:rsidP="00F52C1E">
      <w:pPr>
        <w:spacing w:beforeLines="50" w:before="156" w:afterLines="50" w:after="156" w:line="360" w:lineRule="auto"/>
        <w:ind w:firstLineChars="200" w:firstLine="480"/>
        <w:rPr>
          <w:rFonts w:ascii="Times New Roman" w:eastAsia="宋体" w:hAnsi="Times New Roman" w:cs="Times New Roman"/>
          <w:sz w:val="24"/>
          <w:lang w:val="zh-CN"/>
        </w:rPr>
      </w:pPr>
      <w:r>
        <w:rPr>
          <w:rFonts w:ascii="Times New Roman" w:eastAsia="宋体" w:hAnsi="Times New Roman" w:cs="Times New Roman" w:hint="eastAsia"/>
          <w:sz w:val="24"/>
          <w:lang w:val="zh-CN"/>
        </w:rPr>
        <w:t>为了保证公平信息披露、维护投资者利益，避免对公司股价造成重大影响，根据《深圳证券交易所上市公司自律监管指引第</w:t>
      </w:r>
      <w:r>
        <w:rPr>
          <w:rFonts w:ascii="Times New Roman" w:eastAsia="宋体" w:hAnsi="Times New Roman" w:cs="Times New Roman" w:hint="eastAsia"/>
          <w:sz w:val="24"/>
          <w:lang w:val="zh-CN"/>
        </w:rPr>
        <w:t>6</w:t>
      </w:r>
      <w:r>
        <w:rPr>
          <w:rFonts w:ascii="Times New Roman" w:eastAsia="宋体" w:hAnsi="Times New Roman" w:cs="Times New Roman" w:hint="eastAsia"/>
          <w:sz w:val="24"/>
          <w:lang w:val="zh-CN"/>
        </w:rPr>
        <w:t>号——停复牌》等相关规定，经公司申请，公司股票（证券简称：天亿马，证券代码：</w:t>
      </w:r>
      <w:r>
        <w:rPr>
          <w:rFonts w:ascii="Times New Roman" w:eastAsia="宋体" w:hAnsi="Times New Roman" w:cs="Times New Roman" w:hint="eastAsia"/>
          <w:sz w:val="24"/>
          <w:lang w:val="zh-CN"/>
        </w:rPr>
        <w:t>301178</w:t>
      </w:r>
      <w:r>
        <w:rPr>
          <w:rFonts w:ascii="Times New Roman" w:eastAsia="宋体" w:hAnsi="Times New Roman" w:cs="Times New Roman" w:hint="eastAsia"/>
          <w:sz w:val="24"/>
          <w:lang w:val="zh-CN"/>
        </w:rPr>
        <w:t>）自</w:t>
      </w:r>
      <w:r>
        <w:rPr>
          <w:rFonts w:ascii="Times New Roman" w:eastAsia="宋体" w:hAnsi="Times New Roman" w:cs="Times New Roman" w:hint="eastAsia"/>
          <w:sz w:val="24"/>
          <w:lang w:val="zh-CN"/>
        </w:rPr>
        <w:t>2025</w:t>
      </w:r>
      <w:r>
        <w:rPr>
          <w:rFonts w:ascii="Times New Roman" w:eastAsia="宋体" w:hAnsi="Times New Roman" w:cs="Times New Roman" w:hint="eastAsia"/>
          <w:sz w:val="24"/>
          <w:lang w:val="zh-CN"/>
        </w:rPr>
        <w:t>年</w:t>
      </w:r>
      <w:r>
        <w:rPr>
          <w:rFonts w:ascii="Times New Roman" w:eastAsia="宋体" w:hAnsi="Times New Roman" w:cs="Times New Roman" w:hint="eastAsia"/>
          <w:sz w:val="24"/>
          <w:lang w:val="zh-CN"/>
        </w:rPr>
        <w:t>6</w:t>
      </w:r>
      <w:r>
        <w:rPr>
          <w:rFonts w:ascii="Times New Roman" w:eastAsia="宋体" w:hAnsi="Times New Roman" w:cs="Times New Roman" w:hint="eastAsia"/>
          <w:sz w:val="24"/>
          <w:lang w:val="zh-CN"/>
        </w:rPr>
        <w:t>月</w:t>
      </w:r>
      <w:r>
        <w:rPr>
          <w:rFonts w:ascii="Times New Roman" w:eastAsia="宋体" w:hAnsi="Times New Roman" w:cs="Times New Roman" w:hint="eastAsia"/>
          <w:sz w:val="24"/>
          <w:lang w:val="zh-CN"/>
        </w:rPr>
        <w:t>10</w:t>
      </w:r>
      <w:r>
        <w:rPr>
          <w:rFonts w:ascii="Times New Roman" w:eastAsia="宋体" w:hAnsi="Times New Roman" w:cs="Times New Roman" w:hint="eastAsia"/>
          <w:sz w:val="24"/>
          <w:lang w:val="zh-CN"/>
        </w:rPr>
        <w:t>日（星期二）开市起开始停牌。具体内容详见公司于</w:t>
      </w:r>
      <w:r>
        <w:rPr>
          <w:rFonts w:ascii="Times New Roman" w:eastAsia="宋体" w:hAnsi="Times New Roman" w:cs="Times New Roman" w:hint="eastAsia"/>
          <w:sz w:val="24"/>
          <w:lang w:val="zh-CN"/>
        </w:rPr>
        <w:t>2025</w:t>
      </w:r>
      <w:r>
        <w:rPr>
          <w:rFonts w:ascii="Times New Roman" w:eastAsia="宋体" w:hAnsi="Times New Roman" w:cs="Times New Roman" w:hint="eastAsia"/>
          <w:sz w:val="24"/>
          <w:lang w:val="zh-CN"/>
        </w:rPr>
        <w:t>年</w:t>
      </w:r>
      <w:r>
        <w:rPr>
          <w:rFonts w:ascii="Times New Roman" w:eastAsia="宋体" w:hAnsi="Times New Roman" w:cs="Times New Roman" w:hint="eastAsia"/>
          <w:sz w:val="24"/>
          <w:lang w:val="zh-CN"/>
        </w:rPr>
        <w:t>6</w:t>
      </w:r>
      <w:r>
        <w:rPr>
          <w:rFonts w:ascii="Times New Roman" w:eastAsia="宋体" w:hAnsi="Times New Roman" w:cs="Times New Roman" w:hint="eastAsia"/>
          <w:sz w:val="24"/>
          <w:lang w:val="zh-CN"/>
        </w:rPr>
        <w:t>月</w:t>
      </w:r>
      <w:r>
        <w:rPr>
          <w:rFonts w:ascii="Times New Roman" w:eastAsia="宋体" w:hAnsi="Times New Roman" w:cs="Times New Roman" w:hint="eastAsia"/>
          <w:sz w:val="24"/>
          <w:lang w:val="zh-CN"/>
        </w:rPr>
        <w:t>10</w:t>
      </w:r>
      <w:r>
        <w:rPr>
          <w:rFonts w:ascii="Times New Roman" w:eastAsia="宋体" w:hAnsi="Times New Roman" w:cs="Times New Roman" w:hint="eastAsia"/>
          <w:sz w:val="24"/>
          <w:lang w:val="zh-CN"/>
        </w:rPr>
        <w:t>日披露的《广东天亿马信息产业股份有限公司关于筹划发行股份及支付现金方式购买资产并募集配套资金事项的停牌公告》（公告编号：</w:t>
      </w:r>
      <w:r>
        <w:rPr>
          <w:rFonts w:ascii="Times New Roman" w:eastAsia="宋体" w:hAnsi="Times New Roman" w:cs="Times New Roman" w:hint="eastAsia"/>
          <w:sz w:val="24"/>
          <w:lang w:val="zh-CN"/>
        </w:rPr>
        <w:t>2025-046</w:t>
      </w:r>
      <w:r>
        <w:rPr>
          <w:rFonts w:ascii="Times New Roman" w:eastAsia="宋体" w:hAnsi="Times New Roman" w:cs="Times New Roman" w:hint="eastAsia"/>
          <w:sz w:val="24"/>
          <w:lang w:val="zh-CN"/>
        </w:rPr>
        <w:t>）。</w:t>
      </w:r>
    </w:p>
    <w:p w14:paraId="3D99DDB3" w14:textId="77777777" w:rsidR="004F66F0" w:rsidRDefault="005964B0" w:rsidP="00F52C1E">
      <w:pPr>
        <w:spacing w:beforeLines="50" w:before="156" w:afterLines="50" w:after="156" w:line="360" w:lineRule="auto"/>
        <w:ind w:firstLineChars="200" w:firstLine="480"/>
        <w:rPr>
          <w:rFonts w:ascii="Times New Roman" w:eastAsia="宋体" w:hAnsi="Times New Roman" w:cs="Times New Roman"/>
          <w:sz w:val="24"/>
          <w:lang w:val="zh-CN"/>
        </w:rPr>
      </w:pPr>
      <w:r>
        <w:rPr>
          <w:rFonts w:ascii="Times New Roman" w:eastAsia="宋体" w:hAnsi="Times New Roman" w:cs="Times New Roman" w:hint="eastAsia"/>
          <w:sz w:val="24"/>
          <w:lang w:val="zh-CN"/>
        </w:rPr>
        <w:t>公司现就本次交易事项申请连续停牌前</w:t>
      </w:r>
      <w:r>
        <w:rPr>
          <w:rFonts w:ascii="Times New Roman" w:eastAsia="宋体" w:hAnsi="Times New Roman" w:cs="Times New Roman" w:hint="eastAsia"/>
          <w:sz w:val="24"/>
          <w:lang w:val="zh-CN"/>
        </w:rPr>
        <w:t>20</w:t>
      </w:r>
      <w:r>
        <w:rPr>
          <w:rFonts w:ascii="Times New Roman" w:eastAsia="宋体" w:hAnsi="Times New Roman" w:cs="Times New Roman" w:hint="eastAsia"/>
          <w:sz w:val="24"/>
          <w:lang w:val="zh-CN"/>
        </w:rPr>
        <w:t>个交易日的股票价格波动情况，该期间创业板指数以及同行业板块波动情况进行比较，情况如下：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470"/>
        <w:gridCol w:w="2630"/>
        <w:gridCol w:w="2372"/>
        <w:gridCol w:w="1056"/>
      </w:tblGrid>
      <w:tr w:rsidR="004F66F0" w14:paraId="6F844150" w14:textId="77777777">
        <w:trPr>
          <w:cantSplit/>
          <w:trHeight w:val="397"/>
          <w:tblHeader/>
          <w:jc w:val="center"/>
        </w:trPr>
        <w:tc>
          <w:tcPr>
            <w:tcW w:w="1448" w:type="pct"/>
            <w:vAlign w:val="center"/>
          </w:tcPr>
          <w:p w14:paraId="17FCED2A" w14:textId="77777777" w:rsidR="004F66F0" w:rsidRDefault="005964B0">
            <w:pPr>
              <w:keepNext/>
              <w:jc w:val="center"/>
              <w:rPr>
                <w:rFonts w:ascii="Times New Roman" w:hAnsi="Times New Roman" w:cs="Times New Roman"/>
                <w:b/>
              </w:rPr>
            </w:pPr>
            <w:r>
              <w:rPr>
                <w:rFonts w:ascii="Times New Roman" w:hAnsi="Times New Roman" w:cs="Times New Roman"/>
                <w:b/>
              </w:rPr>
              <w:t>项目</w:t>
            </w:r>
          </w:p>
        </w:tc>
        <w:tc>
          <w:tcPr>
            <w:tcW w:w="1542" w:type="pct"/>
            <w:vAlign w:val="center"/>
          </w:tcPr>
          <w:p w14:paraId="5D23291E" w14:textId="77777777" w:rsidR="004F66F0" w:rsidRDefault="005964B0">
            <w:pPr>
              <w:keepNext/>
              <w:jc w:val="center"/>
              <w:rPr>
                <w:rFonts w:ascii="Times New Roman" w:hAnsi="Times New Roman" w:cs="Times New Roman"/>
                <w:b/>
              </w:rPr>
            </w:pPr>
            <w:r>
              <w:rPr>
                <w:rFonts w:ascii="Times New Roman" w:hAnsi="Times New Roman" w:cs="Times New Roman"/>
                <w:b/>
              </w:rPr>
              <w:t>停牌前第</w:t>
            </w:r>
            <w:r>
              <w:rPr>
                <w:rFonts w:ascii="Times New Roman" w:hAnsi="Times New Roman" w:cs="Times New Roman"/>
                <w:b/>
              </w:rPr>
              <w:t>21</w:t>
            </w:r>
            <w:r>
              <w:rPr>
                <w:rFonts w:ascii="Times New Roman" w:hAnsi="Times New Roman" w:cs="Times New Roman"/>
                <w:b/>
              </w:rPr>
              <w:t>个交易日（</w:t>
            </w:r>
            <w:r>
              <w:rPr>
                <w:rFonts w:ascii="Times New Roman" w:hAnsi="Times New Roman" w:cs="Times New Roman"/>
                <w:b/>
              </w:rPr>
              <w:t>2025</w:t>
            </w:r>
            <w:r>
              <w:rPr>
                <w:rFonts w:ascii="Times New Roman" w:hAnsi="Times New Roman" w:cs="Times New Roman"/>
                <w:b/>
              </w:rPr>
              <w:t>年</w:t>
            </w:r>
            <w:r>
              <w:rPr>
                <w:rFonts w:ascii="Times New Roman" w:hAnsi="Times New Roman" w:cs="Times New Roman"/>
                <w:b/>
              </w:rPr>
              <w:t>5</w:t>
            </w:r>
            <w:r>
              <w:rPr>
                <w:rFonts w:ascii="Times New Roman" w:hAnsi="Times New Roman" w:cs="Times New Roman"/>
                <w:b/>
              </w:rPr>
              <w:t>月</w:t>
            </w:r>
            <w:r>
              <w:rPr>
                <w:rFonts w:ascii="Times New Roman" w:hAnsi="Times New Roman" w:cs="Times New Roman"/>
                <w:b/>
              </w:rPr>
              <w:t>9</w:t>
            </w:r>
            <w:r>
              <w:rPr>
                <w:rFonts w:ascii="Times New Roman" w:hAnsi="Times New Roman" w:cs="Times New Roman"/>
                <w:b/>
              </w:rPr>
              <w:t>日）</w:t>
            </w:r>
          </w:p>
        </w:tc>
        <w:tc>
          <w:tcPr>
            <w:tcW w:w="1391" w:type="pct"/>
            <w:vAlign w:val="center"/>
          </w:tcPr>
          <w:p w14:paraId="28ED3AF8" w14:textId="77777777" w:rsidR="004F66F0" w:rsidRDefault="005964B0">
            <w:pPr>
              <w:keepNext/>
              <w:jc w:val="center"/>
              <w:rPr>
                <w:rFonts w:ascii="Times New Roman" w:hAnsi="Times New Roman" w:cs="Times New Roman"/>
                <w:b/>
              </w:rPr>
            </w:pPr>
            <w:r>
              <w:rPr>
                <w:rFonts w:ascii="Times New Roman" w:hAnsi="Times New Roman" w:cs="Times New Roman"/>
                <w:b/>
              </w:rPr>
              <w:t>停牌前第</w:t>
            </w:r>
            <w:r>
              <w:rPr>
                <w:rFonts w:ascii="Times New Roman" w:hAnsi="Times New Roman" w:cs="Times New Roman"/>
                <w:b/>
              </w:rPr>
              <w:t>1</w:t>
            </w:r>
            <w:r>
              <w:rPr>
                <w:rFonts w:ascii="Times New Roman" w:hAnsi="Times New Roman" w:cs="Times New Roman"/>
                <w:b/>
              </w:rPr>
              <w:t>个交易日（</w:t>
            </w:r>
            <w:r>
              <w:rPr>
                <w:rFonts w:ascii="Times New Roman" w:hAnsi="Times New Roman" w:cs="Times New Roman"/>
                <w:b/>
              </w:rPr>
              <w:t>2025</w:t>
            </w:r>
            <w:r>
              <w:rPr>
                <w:rFonts w:ascii="Times New Roman" w:hAnsi="Times New Roman" w:cs="Times New Roman"/>
                <w:b/>
              </w:rPr>
              <w:t>年</w:t>
            </w:r>
            <w:r>
              <w:rPr>
                <w:rFonts w:ascii="Times New Roman" w:hAnsi="Times New Roman" w:cs="Times New Roman"/>
                <w:b/>
              </w:rPr>
              <w:t>6</w:t>
            </w:r>
            <w:r>
              <w:rPr>
                <w:rFonts w:ascii="Times New Roman" w:hAnsi="Times New Roman" w:cs="Times New Roman"/>
                <w:b/>
              </w:rPr>
              <w:t>月</w:t>
            </w:r>
            <w:r>
              <w:rPr>
                <w:rFonts w:ascii="Times New Roman" w:hAnsi="Times New Roman" w:cs="Times New Roman"/>
                <w:b/>
              </w:rPr>
              <w:t>9</w:t>
            </w:r>
            <w:r>
              <w:rPr>
                <w:rFonts w:ascii="Times New Roman" w:hAnsi="Times New Roman" w:cs="Times New Roman"/>
                <w:b/>
              </w:rPr>
              <w:t>日）</w:t>
            </w:r>
          </w:p>
        </w:tc>
        <w:tc>
          <w:tcPr>
            <w:tcW w:w="619" w:type="pct"/>
            <w:vAlign w:val="center"/>
          </w:tcPr>
          <w:p w14:paraId="2FFBF21E" w14:textId="77777777" w:rsidR="004F66F0" w:rsidRDefault="005964B0">
            <w:pPr>
              <w:keepNext/>
              <w:jc w:val="center"/>
              <w:rPr>
                <w:rFonts w:ascii="Times New Roman" w:hAnsi="Times New Roman" w:cs="Times New Roman"/>
                <w:b/>
              </w:rPr>
            </w:pPr>
            <w:r>
              <w:rPr>
                <w:rFonts w:ascii="Times New Roman" w:hAnsi="Times New Roman" w:cs="Times New Roman"/>
                <w:b/>
              </w:rPr>
              <w:t>涨跌幅</w:t>
            </w:r>
          </w:p>
        </w:tc>
      </w:tr>
      <w:tr w:rsidR="004F66F0" w14:paraId="38FBE309" w14:textId="77777777">
        <w:trPr>
          <w:cantSplit/>
          <w:trHeight w:val="397"/>
          <w:jc w:val="center"/>
        </w:trPr>
        <w:tc>
          <w:tcPr>
            <w:tcW w:w="1448" w:type="pct"/>
            <w:vAlign w:val="center"/>
          </w:tcPr>
          <w:p w14:paraId="3FCA80CA" w14:textId="77777777" w:rsidR="004F66F0" w:rsidRDefault="005964B0">
            <w:pPr>
              <w:rPr>
                <w:rFonts w:ascii="Times New Roman" w:hAnsi="Times New Roman" w:cs="Times New Roman"/>
                <w:szCs w:val="21"/>
              </w:rPr>
            </w:pPr>
            <w:r>
              <w:rPr>
                <w:rFonts w:ascii="Times New Roman" w:hAnsi="Times New Roman" w:cs="Times New Roman"/>
                <w:szCs w:val="21"/>
              </w:rPr>
              <w:t>公司股票收盘价（元</w:t>
            </w:r>
            <w:r>
              <w:rPr>
                <w:rFonts w:ascii="Times New Roman" w:hAnsi="Times New Roman" w:cs="Times New Roman"/>
                <w:szCs w:val="21"/>
              </w:rPr>
              <w:t>/</w:t>
            </w:r>
            <w:r>
              <w:rPr>
                <w:rFonts w:ascii="Times New Roman" w:hAnsi="Times New Roman" w:cs="Times New Roman"/>
                <w:szCs w:val="21"/>
              </w:rPr>
              <w:t>股）</w:t>
            </w:r>
          </w:p>
        </w:tc>
        <w:tc>
          <w:tcPr>
            <w:tcW w:w="1542" w:type="pct"/>
            <w:vAlign w:val="center"/>
          </w:tcPr>
          <w:p w14:paraId="56BBA06B" w14:textId="77777777" w:rsidR="004F66F0" w:rsidRDefault="005964B0">
            <w:pPr>
              <w:jc w:val="right"/>
              <w:rPr>
                <w:rFonts w:ascii="Times New Roman" w:hAnsi="Times New Roman" w:cs="Times New Roman"/>
                <w:color w:val="000000"/>
                <w:kern w:val="0"/>
                <w:szCs w:val="21"/>
              </w:rPr>
            </w:pPr>
            <w:r>
              <w:rPr>
                <w:rFonts w:ascii="Times New Roman" w:hAnsi="Times New Roman" w:cs="Times New Roman"/>
                <w:color w:val="000000"/>
                <w:szCs w:val="21"/>
              </w:rPr>
              <w:t>35.92</w:t>
            </w:r>
          </w:p>
        </w:tc>
        <w:tc>
          <w:tcPr>
            <w:tcW w:w="1391" w:type="pct"/>
            <w:vAlign w:val="center"/>
          </w:tcPr>
          <w:p w14:paraId="77061D4E" w14:textId="77777777" w:rsidR="004F66F0" w:rsidRDefault="005964B0">
            <w:pPr>
              <w:jc w:val="right"/>
              <w:rPr>
                <w:rFonts w:ascii="Times New Roman" w:hAnsi="Times New Roman" w:cs="Times New Roman"/>
              </w:rPr>
            </w:pPr>
            <w:r>
              <w:rPr>
                <w:rFonts w:ascii="Times New Roman" w:hAnsi="Times New Roman" w:cs="Times New Roman"/>
                <w:color w:val="000000"/>
                <w:szCs w:val="21"/>
              </w:rPr>
              <w:t>44.51</w:t>
            </w:r>
          </w:p>
        </w:tc>
        <w:tc>
          <w:tcPr>
            <w:tcW w:w="619" w:type="pct"/>
            <w:vAlign w:val="center"/>
          </w:tcPr>
          <w:p w14:paraId="409F43E1" w14:textId="77777777" w:rsidR="004F66F0" w:rsidRDefault="005964B0">
            <w:pPr>
              <w:jc w:val="right"/>
              <w:rPr>
                <w:rFonts w:ascii="Times New Roman" w:hAnsi="Times New Roman" w:cs="Times New Roman"/>
              </w:rPr>
            </w:pPr>
            <w:r>
              <w:rPr>
                <w:rFonts w:ascii="Times New Roman" w:hAnsi="Times New Roman" w:cs="Times New Roman"/>
                <w:color w:val="000000"/>
                <w:szCs w:val="21"/>
              </w:rPr>
              <w:t>23.91%</w:t>
            </w:r>
          </w:p>
        </w:tc>
      </w:tr>
      <w:tr w:rsidR="004F66F0" w14:paraId="58679F04" w14:textId="77777777">
        <w:trPr>
          <w:cantSplit/>
          <w:trHeight w:val="397"/>
          <w:jc w:val="center"/>
        </w:trPr>
        <w:tc>
          <w:tcPr>
            <w:tcW w:w="1448" w:type="pct"/>
            <w:vAlign w:val="center"/>
          </w:tcPr>
          <w:p w14:paraId="32419102" w14:textId="77777777" w:rsidR="004F66F0" w:rsidRDefault="005964B0">
            <w:pPr>
              <w:rPr>
                <w:rFonts w:ascii="Times New Roman" w:hAnsi="Times New Roman" w:cs="Times New Roman"/>
                <w:szCs w:val="21"/>
              </w:rPr>
            </w:pPr>
            <w:r>
              <w:rPr>
                <w:rFonts w:ascii="Times New Roman" w:hAnsi="Times New Roman" w:cs="Times New Roman"/>
                <w:szCs w:val="21"/>
              </w:rPr>
              <w:t>创业板综合指数（</w:t>
            </w:r>
            <w:r>
              <w:rPr>
                <w:rFonts w:ascii="Times New Roman" w:hAnsi="Times New Roman" w:cs="Times New Roman"/>
                <w:szCs w:val="21"/>
              </w:rPr>
              <w:t>399102.SZ</w:t>
            </w:r>
            <w:r>
              <w:rPr>
                <w:rFonts w:ascii="Times New Roman" w:hAnsi="Times New Roman" w:cs="Times New Roman"/>
                <w:szCs w:val="21"/>
              </w:rPr>
              <w:t>）</w:t>
            </w:r>
          </w:p>
        </w:tc>
        <w:tc>
          <w:tcPr>
            <w:tcW w:w="1542" w:type="pct"/>
            <w:vAlign w:val="center"/>
          </w:tcPr>
          <w:p w14:paraId="1864D12C" w14:textId="77777777" w:rsidR="004F66F0" w:rsidRDefault="005964B0">
            <w:pPr>
              <w:jc w:val="right"/>
              <w:rPr>
                <w:rFonts w:ascii="Times New Roman" w:hAnsi="Times New Roman" w:cs="Times New Roman"/>
                <w:color w:val="000000"/>
                <w:kern w:val="0"/>
                <w:szCs w:val="21"/>
              </w:rPr>
            </w:pPr>
            <w:r>
              <w:rPr>
                <w:rFonts w:ascii="Times New Roman" w:hAnsi="Times New Roman" w:cs="Times New Roman"/>
                <w:color w:val="000000"/>
                <w:szCs w:val="21"/>
              </w:rPr>
              <w:t>2,790.34</w:t>
            </w:r>
          </w:p>
        </w:tc>
        <w:tc>
          <w:tcPr>
            <w:tcW w:w="1391" w:type="pct"/>
            <w:vAlign w:val="center"/>
          </w:tcPr>
          <w:p w14:paraId="6EB9377C" w14:textId="77777777" w:rsidR="004F66F0" w:rsidRDefault="005964B0">
            <w:pPr>
              <w:jc w:val="right"/>
              <w:rPr>
                <w:rFonts w:ascii="Times New Roman" w:hAnsi="Times New Roman" w:cs="Times New Roman"/>
                <w:szCs w:val="21"/>
              </w:rPr>
            </w:pPr>
            <w:r>
              <w:rPr>
                <w:rFonts w:ascii="Times New Roman" w:hAnsi="Times New Roman" w:cs="Times New Roman"/>
                <w:color w:val="000000"/>
                <w:szCs w:val="21"/>
              </w:rPr>
              <w:t>2,907.29</w:t>
            </w:r>
          </w:p>
        </w:tc>
        <w:tc>
          <w:tcPr>
            <w:tcW w:w="619" w:type="pct"/>
            <w:vAlign w:val="center"/>
          </w:tcPr>
          <w:p w14:paraId="52927A38" w14:textId="77777777" w:rsidR="004F66F0" w:rsidRDefault="005964B0">
            <w:pPr>
              <w:jc w:val="right"/>
              <w:rPr>
                <w:rFonts w:ascii="Times New Roman" w:hAnsi="Times New Roman" w:cs="Times New Roman"/>
                <w:szCs w:val="21"/>
              </w:rPr>
            </w:pPr>
            <w:r>
              <w:rPr>
                <w:rFonts w:ascii="Times New Roman" w:hAnsi="Times New Roman" w:cs="Times New Roman"/>
                <w:szCs w:val="21"/>
              </w:rPr>
              <w:t>4.19%</w:t>
            </w:r>
          </w:p>
        </w:tc>
      </w:tr>
      <w:tr w:rsidR="004F66F0" w14:paraId="312E73BC" w14:textId="77777777">
        <w:trPr>
          <w:cantSplit/>
          <w:trHeight w:val="397"/>
          <w:jc w:val="center"/>
        </w:trPr>
        <w:tc>
          <w:tcPr>
            <w:tcW w:w="1448" w:type="pct"/>
            <w:vAlign w:val="center"/>
          </w:tcPr>
          <w:p w14:paraId="1A4C5324" w14:textId="77777777" w:rsidR="004F66F0" w:rsidRDefault="005964B0">
            <w:pPr>
              <w:rPr>
                <w:rFonts w:ascii="Times New Roman" w:hAnsi="Times New Roman" w:cs="Times New Roman"/>
                <w:szCs w:val="21"/>
              </w:rPr>
            </w:pPr>
            <w:r>
              <w:rPr>
                <w:rFonts w:ascii="Times New Roman" w:hAnsi="Times New Roman" w:cs="Times New Roman"/>
                <w:szCs w:val="21"/>
              </w:rPr>
              <w:t>长江证券系统集成指数（</w:t>
            </w:r>
            <w:r>
              <w:rPr>
                <w:rFonts w:ascii="Times New Roman" w:hAnsi="Times New Roman" w:cs="Times New Roman"/>
                <w:szCs w:val="21"/>
              </w:rPr>
              <w:t>003281.CJ</w:t>
            </w:r>
            <w:r>
              <w:rPr>
                <w:rFonts w:ascii="Times New Roman" w:hAnsi="Times New Roman" w:cs="Times New Roman"/>
                <w:szCs w:val="21"/>
              </w:rPr>
              <w:t>）</w:t>
            </w:r>
          </w:p>
        </w:tc>
        <w:tc>
          <w:tcPr>
            <w:tcW w:w="1542" w:type="pct"/>
            <w:vAlign w:val="center"/>
          </w:tcPr>
          <w:p w14:paraId="7D1E5B20" w14:textId="77777777" w:rsidR="004F66F0" w:rsidRDefault="005964B0">
            <w:pPr>
              <w:jc w:val="right"/>
              <w:rPr>
                <w:rFonts w:ascii="Times New Roman" w:hAnsi="Times New Roman" w:cs="Times New Roman"/>
                <w:color w:val="000000"/>
                <w:kern w:val="0"/>
                <w:szCs w:val="21"/>
              </w:rPr>
            </w:pPr>
            <w:r>
              <w:rPr>
                <w:rFonts w:ascii="Times New Roman" w:hAnsi="Times New Roman" w:cs="Times New Roman"/>
                <w:color w:val="000000"/>
                <w:szCs w:val="21"/>
              </w:rPr>
              <w:t>1,409.46</w:t>
            </w:r>
          </w:p>
        </w:tc>
        <w:tc>
          <w:tcPr>
            <w:tcW w:w="1391" w:type="pct"/>
            <w:vAlign w:val="center"/>
          </w:tcPr>
          <w:p w14:paraId="109ACCAB" w14:textId="77777777" w:rsidR="004F66F0" w:rsidRDefault="005964B0">
            <w:pPr>
              <w:jc w:val="right"/>
              <w:rPr>
                <w:rFonts w:ascii="Times New Roman" w:hAnsi="Times New Roman" w:cs="Times New Roman"/>
                <w:szCs w:val="21"/>
              </w:rPr>
            </w:pPr>
            <w:r>
              <w:rPr>
                <w:rFonts w:ascii="Times New Roman" w:hAnsi="Times New Roman" w:cs="Times New Roman"/>
                <w:szCs w:val="21"/>
              </w:rPr>
              <w:t>1,533.34</w:t>
            </w:r>
          </w:p>
        </w:tc>
        <w:tc>
          <w:tcPr>
            <w:tcW w:w="619" w:type="pct"/>
            <w:vAlign w:val="center"/>
          </w:tcPr>
          <w:p w14:paraId="1DAA8148" w14:textId="77777777" w:rsidR="004F66F0" w:rsidRDefault="005964B0">
            <w:pPr>
              <w:jc w:val="right"/>
              <w:rPr>
                <w:rFonts w:ascii="Times New Roman" w:hAnsi="Times New Roman" w:cs="Times New Roman"/>
                <w:szCs w:val="21"/>
              </w:rPr>
            </w:pPr>
            <w:r>
              <w:rPr>
                <w:rFonts w:ascii="Times New Roman" w:hAnsi="Times New Roman" w:cs="Times New Roman"/>
                <w:szCs w:val="21"/>
              </w:rPr>
              <w:t>8.79%</w:t>
            </w:r>
          </w:p>
        </w:tc>
      </w:tr>
      <w:tr w:rsidR="004F66F0" w14:paraId="1F4684B1" w14:textId="77777777">
        <w:trPr>
          <w:cantSplit/>
          <w:trHeight w:val="397"/>
          <w:jc w:val="center"/>
        </w:trPr>
        <w:tc>
          <w:tcPr>
            <w:tcW w:w="4381" w:type="pct"/>
            <w:gridSpan w:val="3"/>
            <w:vAlign w:val="center"/>
          </w:tcPr>
          <w:p w14:paraId="5E1ABF33" w14:textId="77777777" w:rsidR="004F66F0" w:rsidRDefault="005964B0">
            <w:pPr>
              <w:rPr>
                <w:rFonts w:ascii="Times New Roman" w:hAnsi="Times New Roman" w:cs="Times New Roman"/>
                <w:szCs w:val="21"/>
              </w:rPr>
            </w:pPr>
            <w:r>
              <w:rPr>
                <w:rFonts w:ascii="Times New Roman" w:hAnsi="Times New Roman" w:cs="Times New Roman"/>
                <w:szCs w:val="21"/>
              </w:rPr>
              <w:t>剔除大盘因素影响后的涨跌幅</w:t>
            </w:r>
          </w:p>
        </w:tc>
        <w:tc>
          <w:tcPr>
            <w:tcW w:w="619" w:type="pct"/>
            <w:vAlign w:val="center"/>
          </w:tcPr>
          <w:p w14:paraId="4325E171" w14:textId="77777777" w:rsidR="004F66F0" w:rsidRDefault="005964B0">
            <w:pPr>
              <w:jc w:val="right"/>
              <w:rPr>
                <w:rFonts w:ascii="Times New Roman" w:hAnsi="Times New Roman" w:cs="Times New Roman"/>
                <w:szCs w:val="21"/>
              </w:rPr>
            </w:pPr>
            <w:r>
              <w:rPr>
                <w:rFonts w:ascii="Times New Roman" w:hAnsi="Times New Roman" w:cs="Times New Roman"/>
                <w:szCs w:val="21"/>
              </w:rPr>
              <w:t>19.72%</w:t>
            </w:r>
          </w:p>
        </w:tc>
      </w:tr>
      <w:tr w:rsidR="004F66F0" w14:paraId="614EF5E2" w14:textId="77777777">
        <w:trPr>
          <w:cantSplit/>
          <w:trHeight w:val="397"/>
          <w:jc w:val="center"/>
        </w:trPr>
        <w:tc>
          <w:tcPr>
            <w:tcW w:w="4381" w:type="pct"/>
            <w:gridSpan w:val="3"/>
            <w:vAlign w:val="center"/>
          </w:tcPr>
          <w:p w14:paraId="6F5D4F91" w14:textId="77777777" w:rsidR="004F66F0" w:rsidRDefault="005964B0">
            <w:pPr>
              <w:rPr>
                <w:rFonts w:ascii="Times New Roman" w:hAnsi="Times New Roman" w:cs="Times New Roman"/>
                <w:szCs w:val="21"/>
              </w:rPr>
            </w:pPr>
            <w:r>
              <w:rPr>
                <w:rFonts w:ascii="Times New Roman" w:hAnsi="Times New Roman" w:cs="Times New Roman"/>
                <w:szCs w:val="21"/>
              </w:rPr>
              <w:t>剔除同行业板块影响后的涨跌幅</w:t>
            </w:r>
          </w:p>
        </w:tc>
        <w:tc>
          <w:tcPr>
            <w:tcW w:w="619" w:type="pct"/>
            <w:vAlign w:val="center"/>
          </w:tcPr>
          <w:p w14:paraId="69C262A3" w14:textId="77777777" w:rsidR="004F66F0" w:rsidRDefault="005964B0">
            <w:pPr>
              <w:jc w:val="right"/>
              <w:rPr>
                <w:rFonts w:ascii="Times New Roman" w:hAnsi="Times New Roman" w:cs="Times New Roman"/>
                <w:szCs w:val="21"/>
              </w:rPr>
            </w:pPr>
            <w:r>
              <w:rPr>
                <w:rFonts w:ascii="Times New Roman" w:hAnsi="Times New Roman" w:cs="Times New Roman"/>
                <w:szCs w:val="21"/>
              </w:rPr>
              <w:t>15.13%</w:t>
            </w:r>
          </w:p>
        </w:tc>
      </w:tr>
    </w:tbl>
    <w:p w14:paraId="055B95E9" w14:textId="324C622A" w:rsidR="004F66F0" w:rsidRDefault="005964B0" w:rsidP="00F52C1E">
      <w:pPr>
        <w:spacing w:beforeLines="50" w:before="156" w:afterLines="50"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综上，剔除大盘因素和同行业板块因素影响，公司股价在</w:t>
      </w:r>
      <w:r w:rsidR="00F52C1E">
        <w:rPr>
          <w:rFonts w:ascii="Times New Roman" w:eastAsia="宋体" w:hAnsi="Times New Roman" w:cs="Times New Roman" w:hint="eastAsia"/>
          <w:sz w:val="24"/>
        </w:rPr>
        <w:t>停牌</w:t>
      </w:r>
      <w:r>
        <w:rPr>
          <w:rFonts w:ascii="Times New Roman" w:eastAsia="宋体" w:hAnsi="Times New Roman" w:cs="Times New Roman" w:hint="eastAsia"/>
          <w:sz w:val="24"/>
        </w:rPr>
        <w:t>前</w:t>
      </w:r>
      <w:r>
        <w:rPr>
          <w:rFonts w:ascii="Times New Roman" w:eastAsia="宋体" w:hAnsi="Times New Roman" w:cs="Times New Roman" w:hint="eastAsia"/>
          <w:sz w:val="24"/>
        </w:rPr>
        <w:t>20</w:t>
      </w:r>
      <w:r>
        <w:rPr>
          <w:rFonts w:ascii="Times New Roman" w:eastAsia="宋体" w:hAnsi="Times New Roman" w:cs="Times New Roman" w:hint="eastAsia"/>
          <w:sz w:val="24"/>
        </w:rPr>
        <w:t>个交易日内累计涨跌幅未超过</w:t>
      </w:r>
      <w:r>
        <w:rPr>
          <w:rFonts w:ascii="Times New Roman" w:eastAsia="宋体" w:hAnsi="Times New Roman" w:cs="Times New Roman" w:hint="eastAsia"/>
          <w:sz w:val="24"/>
        </w:rPr>
        <w:t>20%</w:t>
      </w:r>
      <w:r>
        <w:rPr>
          <w:rFonts w:ascii="Times New Roman" w:eastAsia="宋体" w:hAnsi="Times New Roman" w:cs="Times New Roman" w:hint="eastAsia"/>
          <w:sz w:val="24"/>
        </w:rPr>
        <w:t>，</w:t>
      </w:r>
      <w:r w:rsidR="00EB4F76">
        <w:rPr>
          <w:rFonts w:ascii="Times New Roman" w:eastAsia="宋体" w:hAnsi="Times New Roman" w:cs="Times New Roman" w:hint="eastAsia"/>
          <w:sz w:val="24"/>
        </w:rPr>
        <w:t>无</w:t>
      </w:r>
      <w:r>
        <w:rPr>
          <w:rFonts w:ascii="Times New Roman" w:eastAsia="宋体" w:hAnsi="Times New Roman" w:cs="Times New Roman" w:hint="eastAsia"/>
          <w:sz w:val="24"/>
        </w:rPr>
        <w:t>异常波动情况。</w:t>
      </w:r>
    </w:p>
    <w:p w14:paraId="5BFD9A70" w14:textId="2BFD8B62" w:rsidR="00F34D96" w:rsidRDefault="00F34D96" w:rsidP="00F52C1E">
      <w:pPr>
        <w:spacing w:beforeLines="50" w:before="156" w:afterLines="50" w:after="156" w:line="360" w:lineRule="auto"/>
        <w:ind w:firstLineChars="200" w:firstLine="480"/>
        <w:rPr>
          <w:rFonts w:ascii="Times New Roman" w:eastAsia="宋体" w:hAnsi="Times New Roman" w:cs="Times New Roman"/>
          <w:sz w:val="24"/>
          <w:lang w:val="zh-CN"/>
        </w:rPr>
      </w:pPr>
      <w:r w:rsidRPr="00F34D96">
        <w:rPr>
          <w:rFonts w:ascii="Times New Roman" w:eastAsia="宋体" w:hAnsi="Times New Roman" w:cs="Times New Roman" w:hint="eastAsia"/>
          <w:sz w:val="24"/>
          <w:lang w:val="zh-CN"/>
        </w:rPr>
        <w:lastRenderedPageBreak/>
        <w:t>在筹划本次交易事项过程中，公司已根据相关法律、法规采取了必要且充分的保密措施，限定了相关敏感信息的知悉范围，对相关内幕信息知情人履行了保密和严禁内幕交易的告知义务，严格履行了本次交易信息在依法披露前的保密义务。同时，公司按照深圳证券交易所的要求完成了交易进程备忘录、内幕信息知情人有关材料的填报和提交，并进行了必要的风险提示。公司将在重组报告书披露后将内幕信息知情人名单提交证券登记结算机构查询相关单位及自然人二级市场交易情况</w:t>
      </w:r>
      <w:r w:rsidR="00B01376">
        <w:rPr>
          <w:rFonts w:ascii="Times New Roman" w:eastAsia="宋体" w:hAnsi="Times New Roman" w:cs="Times New Roman" w:hint="eastAsia"/>
          <w:sz w:val="24"/>
          <w:lang w:val="zh-CN"/>
        </w:rPr>
        <w:t>。</w:t>
      </w:r>
    </w:p>
    <w:p w14:paraId="08BACF3E" w14:textId="77777777" w:rsidR="004F66F0" w:rsidRDefault="005964B0" w:rsidP="00F52C1E">
      <w:pPr>
        <w:spacing w:beforeLines="50" w:before="156" w:afterLines="50" w:after="156" w:line="360" w:lineRule="auto"/>
        <w:ind w:firstLineChars="200" w:firstLine="482"/>
        <w:rPr>
          <w:rFonts w:ascii="Times New Roman" w:eastAsia="宋体" w:hAnsi="Times New Roman" w:cs="Times New Roman"/>
          <w:b/>
          <w:bCs/>
          <w:sz w:val="24"/>
          <w:lang w:val="zh-CN"/>
        </w:rPr>
      </w:pPr>
      <w:r>
        <w:rPr>
          <w:rFonts w:ascii="Times New Roman" w:eastAsia="宋体" w:hAnsi="Times New Roman" w:cs="Times New Roman" w:hint="eastAsia"/>
          <w:b/>
          <w:bCs/>
          <w:sz w:val="24"/>
          <w:lang w:val="zh-CN"/>
        </w:rPr>
        <w:t>二、独立财务顾问核查意见</w:t>
      </w:r>
    </w:p>
    <w:p w14:paraId="01AD3A5F" w14:textId="375EA2C6" w:rsidR="004F66F0" w:rsidRDefault="005964B0" w:rsidP="00F52C1E">
      <w:pPr>
        <w:spacing w:beforeLines="50" w:before="156" w:afterLines="50" w:after="156" w:line="360" w:lineRule="auto"/>
        <w:ind w:firstLineChars="200" w:firstLine="480"/>
        <w:rPr>
          <w:rFonts w:ascii="Times New Roman" w:eastAsia="宋体" w:hAnsi="Times New Roman" w:cs="Times New Roman"/>
          <w:sz w:val="24"/>
          <w:lang w:val="zh-CN"/>
        </w:rPr>
      </w:pPr>
      <w:r>
        <w:rPr>
          <w:rFonts w:ascii="Times New Roman" w:eastAsia="宋体" w:hAnsi="Times New Roman" w:cs="Times New Roman" w:hint="eastAsia"/>
          <w:sz w:val="24"/>
          <w:lang w:val="zh-CN"/>
        </w:rPr>
        <w:t>经核查，独立财务顾问认为：剔除大盘因素和同行业板块因素影响，上市公司股价在</w:t>
      </w:r>
      <w:r w:rsidR="00F52C1E" w:rsidRPr="00F52C1E">
        <w:rPr>
          <w:rFonts w:ascii="Times New Roman" w:eastAsia="宋体" w:hAnsi="Times New Roman" w:cs="Times New Roman" w:hint="eastAsia"/>
          <w:sz w:val="24"/>
          <w:lang w:val="zh-CN"/>
        </w:rPr>
        <w:t>本次交易信息公布</w:t>
      </w:r>
      <w:r>
        <w:rPr>
          <w:rFonts w:ascii="Times New Roman" w:eastAsia="宋体" w:hAnsi="Times New Roman" w:cs="Times New Roman" w:hint="eastAsia"/>
          <w:sz w:val="24"/>
          <w:lang w:val="zh-CN"/>
        </w:rPr>
        <w:t>前</w:t>
      </w:r>
      <w:r>
        <w:rPr>
          <w:rFonts w:ascii="Times New Roman" w:eastAsia="宋体" w:hAnsi="Times New Roman" w:cs="Times New Roman" w:hint="eastAsia"/>
          <w:sz w:val="24"/>
          <w:lang w:val="zh-CN"/>
        </w:rPr>
        <w:t>20</w:t>
      </w:r>
      <w:r>
        <w:rPr>
          <w:rFonts w:ascii="Times New Roman" w:eastAsia="宋体" w:hAnsi="Times New Roman" w:cs="Times New Roman" w:hint="eastAsia"/>
          <w:sz w:val="24"/>
          <w:lang w:val="zh-CN"/>
        </w:rPr>
        <w:t>个交易日内累计涨跌幅未超过</w:t>
      </w:r>
      <w:r>
        <w:rPr>
          <w:rFonts w:ascii="Times New Roman" w:eastAsia="宋体" w:hAnsi="Times New Roman" w:cs="Times New Roman" w:hint="eastAsia"/>
          <w:sz w:val="24"/>
          <w:lang w:val="zh-CN"/>
        </w:rPr>
        <w:t>20%</w:t>
      </w:r>
      <w:r>
        <w:rPr>
          <w:rFonts w:ascii="Times New Roman" w:eastAsia="宋体" w:hAnsi="Times New Roman" w:cs="Times New Roman" w:hint="eastAsia"/>
          <w:sz w:val="24"/>
          <w:lang w:val="zh-CN"/>
        </w:rPr>
        <w:t>，</w:t>
      </w:r>
      <w:r w:rsidR="00EB4F76">
        <w:rPr>
          <w:rFonts w:ascii="Times New Roman" w:eastAsia="宋体" w:hAnsi="Times New Roman" w:cs="Times New Roman" w:hint="eastAsia"/>
          <w:sz w:val="24"/>
          <w:shd w:val="clear" w:color="auto" w:fill="FFFFFF"/>
        </w:rPr>
        <w:t>无</w:t>
      </w:r>
      <w:r>
        <w:rPr>
          <w:rFonts w:ascii="Times New Roman" w:eastAsia="宋体" w:hAnsi="Times New Roman" w:cs="Times New Roman" w:hint="eastAsia"/>
          <w:sz w:val="24"/>
          <w:shd w:val="clear" w:color="auto" w:fill="FFFFFF"/>
        </w:rPr>
        <w:t>异常波动情况</w:t>
      </w:r>
      <w:r>
        <w:rPr>
          <w:rFonts w:ascii="Times New Roman" w:eastAsia="宋体" w:hAnsi="Times New Roman" w:cs="Times New Roman" w:hint="eastAsia"/>
          <w:sz w:val="24"/>
          <w:lang w:val="zh-CN"/>
        </w:rPr>
        <w:t>。</w:t>
      </w:r>
    </w:p>
    <w:p w14:paraId="6DA4EE81" w14:textId="77777777" w:rsidR="004F66F0" w:rsidRDefault="005964B0" w:rsidP="00F52C1E">
      <w:pPr>
        <w:spacing w:beforeLines="50" w:before="156" w:afterLines="50" w:after="156" w:line="360" w:lineRule="auto"/>
        <w:ind w:firstLineChars="200" w:firstLine="480"/>
        <w:rPr>
          <w:rFonts w:ascii="Times New Roman" w:eastAsia="宋体" w:hAnsi="Times New Roman" w:cs="Times New Roman"/>
          <w:sz w:val="24"/>
          <w:szCs w:val="22"/>
        </w:rPr>
      </w:pPr>
      <w:r>
        <w:rPr>
          <w:rFonts w:ascii="Times New Roman" w:eastAsia="宋体" w:hAnsi="Times New Roman" w:cs="Times New Roman" w:hint="eastAsia"/>
          <w:sz w:val="24"/>
          <w:szCs w:val="22"/>
        </w:rPr>
        <w:t>（以下无正文）</w:t>
      </w:r>
    </w:p>
    <w:p w14:paraId="6B5EBA35" w14:textId="77777777" w:rsidR="004F66F0" w:rsidRDefault="005964B0">
      <w:pPr>
        <w:widowControl/>
        <w:jc w:val="left"/>
        <w:rPr>
          <w:rFonts w:ascii="Times New Roman" w:eastAsia="宋体" w:hAnsi="Times New Roman" w:cs="Times New Roman"/>
          <w:sz w:val="24"/>
          <w:szCs w:val="22"/>
        </w:rPr>
      </w:pPr>
      <w:r>
        <w:rPr>
          <w:rFonts w:ascii="Times New Roman" w:eastAsia="宋体" w:hAnsi="Times New Roman" w:cs="Times New Roman"/>
          <w:sz w:val="24"/>
          <w:szCs w:val="22"/>
        </w:rPr>
        <w:br w:type="page"/>
      </w:r>
    </w:p>
    <w:p w14:paraId="4051DB37" w14:textId="25D999AE" w:rsidR="004F66F0" w:rsidRDefault="005964B0" w:rsidP="00F52C1E">
      <w:pPr>
        <w:spacing w:beforeLines="50" w:before="156" w:afterLines="50" w:after="156" w:line="360" w:lineRule="auto"/>
        <w:jc w:val="left"/>
        <w:rPr>
          <w:rFonts w:ascii="宋体" w:eastAsia="宋体" w:hAnsi="宋体" w:cs="Times New Roman" w:hint="eastAsia"/>
          <w:color w:val="000000"/>
          <w:sz w:val="24"/>
        </w:rPr>
      </w:pPr>
      <w:r>
        <w:rPr>
          <w:rFonts w:ascii="宋体" w:eastAsia="宋体" w:hAnsi="宋体" w:cs="Times New Roman" w:hint="eastAsia"/>
          <w:sz w:val="24"/>
        </w:rPr>
        <w:lastRenderedPageBreak/>
        <w:t>（本页</w:t>
      </w:r>
      <w:r>
        <w:rPr>
          <w:rFonts w:ascii="宋体" w:eastAsia="宋体" w:hAnsi="宋体" w:cs="Times New Roman" w:hint="eastAsia"/>
          <w:color w:val="000000"/>
          <w:sz w:val="24"/>
        </w:rPr>
        <w:t>无正文，为《</w:t>
      </w:r>
      <w:bookmarkStart w:id="2" w:name="OLE_LINK1"/>
      <w:r>
        <w:rPr>
          <w:rFonts w:ascii="Times New Roman" w:eastAsia="宋体" w:hAnsi="Times New Roman" w:cs="Times New Roman" w:hint="eastAsia"/>
          <w:color w:val="000000"/>
          <w:sz w:val="24"/>
        </w:rPr>
        <w:t>国泰海通证券股份有限公司关于广东天亿马信息产业股份有限公司本次交易信息公布前公司股价波动情况的核查意见</w:t>
      </w:r>
      <w:bookmarkEnd w:id="2"/>
      <w:r>
        <w:rPr>
          <w:rFonts w:ascii="宋体" w:eastAsia="宋体" w:hAnsi="宋体" w:cs="Times New Roman" w:hint="eastAsia"/>
          <w:color w:val="000000"/>
          <w:sz w:val="24"/>
        </w:rPr>
        <w:t>》之签字盖章页）</w:t>
      </w:r>
    </w:p>
    <w:p w14:paraId="1F53B1D6" w14:textId="77777777" w:rsidR="004F66F0" w:rsidRDefault="004F66F0">
      <w:pPr>
        <w:rPr>
          <w:rFonts w:ascii="宋体" w:eastAsia="宋体" w:hAnsi="宋体" w:cs="Times New Roman" w:hint="eastAsia"/>
          <w:sz w:val="28"/>
          <w:szCs w:val="28"/>
        </w:rPr>
      </w:pPr>
    </w:p>
    <w:p w14:paraId="68DA24F3" w14:textId="77777777" w:rsidR="004F66F0" w:rsidRDefault="004F66F0">
      <w:pPr>
        <w:rPr>
          <w:rFonts w:ascii="宋体" w:eastAsia="宋体" w:hAnsi="宋体" w:cs="Times New Roman" w:hint="eastAsia"/>
          <w:sz w:val="28"/>
          <w:szCs w:val="28"/>
        </w:rPr>
      </w:pPr>
    </w:p>
    <w:tbl>
      <w:tblPr>
        <w:tblStyle w:val="110"/>
        <w:tblW w:w="8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417"/>
        <w:gridCol w:w="709"/>
        <w:gridCol w:w="1417"/>
        <w:gridCol w:w="709"/>
        <w:gridCol w:w="1417"/>
      </w:tblGrid>
      <w:tr w:rsidR="004F66F0" w14:paraId="20C1D2C7" w14:textId="77777777">
        <w:tc>
          <w:tcPr>
            <w:tcW w:w="2689" w:type="dxa"/>
            <w:vAlign w:val="center"/>
          </w:tcPr>
          <w:p w14:paraId="13C85FB0" w14:textId="77777777" w:rsidR="004F66F0" w:rsidRDefault="005964B0">
            <w:pPr>
              <w:widowControl/>
              <w:spacing w:beforeLines="50" w:before="156" w:afterLines="50" w:after="156" w:line="360" w:lineRule="auto"/>
              <w:jc w:val="center"/>
              <w:rPr>
                <w:rFonts w:ascii="宋体" w:eastAsia="宋体" w:hAnsi="宋体" w:cs="宋体" w:hint="eastAsia"/>
                <w:kern w:val="0"/>
                <w:sz w:val="24"/>
              </w:rPr>
            </w:pPr>
            <w:r>
              <w:rPr>
                <w:rFonts w:ascii="宋体" w:eastAsia="宋体" w:hAnsi="宋体" w:cs="宋体" w:hint="eastAsia"/>
                <w:kern w:val="0"/>
                <w:sz w:val="24"/>
              </w:rPr>
              <w:t>独立财务顾问主办人：</w:t>
            </w:r>
          </w:p>
        </w:tc>
        <w:tc>
          <w:tcPr>
            <w:tcW w:w="1417" w:type="dxa"/>
            <w:tcBorders>
              <w:top w:val="nil"/>
              <w:left w:val="nil"/>
              <w:bottom w:val="single" w:sz="4" w:space="0" w:color="auto"/>
              <w:right w:val="nil"/>
            </w:tcBorders>
            <w:vAlign w:val="center"/>
          </w:tcPr>
          <w:p w14:paraId="090B9B83" w14:textId="77777777" w:rsidR="004F66F0" w:rsidRDefault="004F66F0">
            <w:pPr>
              <w:widowControl/>
              <w:spacing w:beforeLines="50" w:before="156" w:afterLines="50" w:after="156" w:line="360" w:lineRule="auto"/>
              <w:jc w:val="center"/>
              <w:rPr>
                <w:rFonts w:ascii="宋体" w:eastAsia="宋体" w:hAnsi="宋体" w:cs="宋体" w:hint="eastAsia"/>
                <w:kern w:val="0"/>
                <w:sz w:val="24"/>
              </w:rPr>
            </w:pPr>
          </w:p>
        </w:tc>
        <w:tc>
          <w:tcPr>
            <w:tcW w:w="709" w:type="dxa"/>
            <w:vAlign w:val="center"/>
          </w:tcPr>
          <w:p w14:paraId="1D59A963" w14:textId="77777777" w:rsidR="004F66F0" w:rsidRDefault="004F66F0">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nil"/>
              <w:left w:val="nil"/>
              <w:bottom w:val="single" w:sz="4" w:space="0" w:color="auto"/>
              <w:right w:val="nil"/>
            </w:tcBorders>
            <w:vAlign w:val="center"/>
          </w:tcPr>
          <w:p w14:paraId="13C408AB" w14:textId="77777777" w:rsidR="004F66F0" w:rsidRDefault="004F66F0">
            <w:pPr>
              <w:widowControl/>
              <w:spacing w:beforeLines="50" w:before="156" w:afterLines="50" w:after="156" w:line="360" w:lineRule="auto"/>
              <w:jc w:val="center"/>
              <w:rPr>
                <w:rFonts w:ascii="宋体" w:eastAsia="宋体" w:hAnsi="宋体" w:cs="宋体" w:hint="eastAsia"/>
                <w:kern w:val="0"/>
                <w:sz w:val="24"/>
              </w:rPr>
            </w:pPr>
          </w:p>
        </w:tc>
        <w:tc>
          <w:tcPr>
            <w:tcW w:w="709" w:type="dxa"/>
            <w:vAlign w:val="center"/>
          </w:tcPr>
          <w:p w14:paraId="628D4975" w14:textId="77777777" w:rsidR="004F66F0" w:rsidRDefault="004F66F0">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nil"/>
              <w:left w:val="nil"/>
              <w:bottom w:val="single" w:sz="4" w:space="0" w:color="auto"/>
              <w:right w:val="nil"/>
            </w:tcBorders>
            <w:vAlign w:val="center"/>
          </w:tcPr>
          <w:p w14:paraId="6147F654" w14:textId="77777777" w:rsidR="004F66F0" w:rsidRDefault="004F66F0">
            <w:pPr>
              <w:widowControl/>
              <w:spacing w:beforeLines="50" w:before="156" w:afterLines="50" w:after="156" w:line="360" w:lineRule="auto"/>
              <w:jc w:val="center"/>
              <w:rPr>
                <w:rFonts w:ascii="宋体" w:eastAsia="宋体" w:hAnsi="宋体" w:cs="宋体" w:hint="eastAsia"/>
                <w:kern w:val="0"/>
                <w:sz w:val="24"/>
              </w:rPr>
            </w:pPr>
          </w:p>
        </w:tc>
      </w:tr>
      <w:tr w:rsidR="004F66F0" w14:paraId="422DDE1E" w14:textId="77777777">
        <w:tc>
          <w:tcPr>
            <w:tcW w:w="2689" w:type="dxa"/>
            <w:vAlign w:val="center"/>
          </w:tcPr>
          <w:p w14:paraId="46BFE31A" w14:textId="77777777" w:rsidR="004F66F0" w:rsidRDefault="004F66F0">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single" w:sz="4" w:space="0" w:color="auto"/>
              <w:left w:val="nil"/>
              <w:bottom w:val="nil"/>
              <w:right w:val="nil"/>
            </w:tcBorders>
            <w:vAlign w:val="center"/>
          </w:tcPr>
          <w:p w14:paraId="4A7828DF" w14:textId="77777777" w:rsidR="004F66F0" w:rsidRDefault="005964B0">
            <w:pPr>
              <w:widowControl/>
              <w:spacing w:beforeLines="50" w:before="156" w:afterLines="50" w:after="156" w:line="360" w:lineRule="auto"/>
              <w:jc w:val="center"/>
              <w:rPr>
                <w:rFonts w:ascii="宋体" w:eastAsia="宋体" w:hAnsi="宋体" w:cs="宋体" w:hint="eastAsia"/>
                <w:kern w:val="0"/>
                <w:sz w:val="24"/>
              </w:rPr>
            </w:pPr>
            <w:r>
              <w:rPr>
                <w:rFonts w:ascii="宋体" w:eastAsia="宋体" w:hAnsi="宋体" w:cs="宋体"/>
                <w:kern w:val="0"/>
                <w:sz w:val="24"/>
              </w:rPr>
              <w:t>邢雨晨</w:t>
            </w:r>
          </w:p>
        </w:tc>
        <w:tc>
          <w:tcPr>
            <w:tcW w:w="709" w:type="dxa"/>
            <w:vAlign w:val="center"/>
          </w:tcPr>
          <w:p w14:paraId="7EC4D756" w14:textId="77777777" w:rsidR="004F66F0" w:rsidRDefault="004F66F0">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single" w:sz="4" w:space="0" w:color="auto"/>
              <w:left w:val="nil"/>
              <w:bottom w:val="nil"/>
              <w:right w:val="nil"/>
            </w:tcBorders>
            <w:vAlign w:val="center"/>
          </w:tcPr>
          <w:p w14:paraId="608606C3" w14:textId="77777777" w:rsidR="004F66F0" w:rsidRDefault="005964B0">
            <w:pPr>
              <w:widowControl/>
              <w:spacing w:beforeLines="50" w:before="156" w:afterLines="50" w:after="156" w:line="360" w:lineRule="auto"/>
              <w:jc w:val="center"/>
              <w:rPr>
                <w:rFonts w:ascii="宋体" w:eastAsia="宋体" w:hAnsi="宋体" w:cs="宋体" w:hint="eastAsia"/>
                <w:kern w:val="0"/>
                <w:sz w:val="24"/>
              </w:rPr>
            </w:pPr>
            <w:r>
              <w:rPr>
                <w:rFonts w:ascii="宋体" w:eastAsia="宋体" w:hAnsi="宋体" w:cs="宋体" w:hint="eastAsia"/>
                <w:kern w:val="0"/>
                <w:sz w:val="24"/>
              </w:rPr>
              <w:t>徐振宇</w:t>
            </w:r>
          </w:p>
        </w:tc>
        <w:tc>
          <w:tcPr>
            <w:tcW w:w="709" w:type="dxa"/>
            <w:vAlign w:val="center"/>
          </w:tcPr>
          <w:p w14:paraId="10BE3EE2" w14:textId="77777777" w:rsidR="004F66F0" w:rsidRDefault="004F66F0">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single" w:sz="4" w:space="0" w:color="auto"/>
              <w:left w:val="nil"/>
              <w:bottom w:val="nil"/>
              <w:right w:val="nil"/>
            </w:tcBorders>
            <w:vAlign w:val="center"/>
          </w:tcPr>
          <w:p w14:paraId="6D7F27FC" w14:textId="77777777" w:rsidR="004F66F0" w:rsidRDefault="005964B0">
            <w:pPr>
              <w:widowControl/>
              <w:spacing w:beforeLines="50" w:before="156" w:afterLines="50" w:after="156" w:line="360" w:lineRule="auto"/>
              <w:jc w:val="center"/>
              <w:rPr>
                <w:rFonts w:ascii="宋体" w:eastAsia="宋体" w:hAnsi="宋体" w:cs="宋体" w:hint="eastAsia"/>
                <w:kern w:val="0"/>
                <w:sz w:val="24"/>
              </w:rPr>
            </w:pPr>
            <w:r>
              <w:rPr>
                <w:rFonts w:ascii="宋体" w:eastAsia="宋体" w:hAnsi="宋体" w:cs="宋体" w:hint="eastAsia"/>
                <w:kern w:val="0"/>
                <w:sz w:val="24"/>
              </w:rPr>
              <w:t>张成浩</w:t>
            </w:r>
          </w:p>
        </w:tc>
      </w:tr>
    </w:tbl>
    <w:p w14:paraId="74AEEA34" w14:textId="77777777" w:rsidR="004F66F0" w:rsidRDefault="004F66F0">
      <w:pPr>
        <w:rPr>
          <w:rFonts w:ascii="宋体" w:eastAsia="宋体" w:hAnsi="宋体" w:cs="Times New Roman" w:hint="eastAsia"/>
          <w:sz w:val="28"/>
          <w:szCs w:val="28"/>
        </w:rPr>
      </w:pPr>
    </w:p>
    <w:p w14:paraId="755BCDC4" w14:textId="77777777" w:rsidR="004F66F0" w:rsidRDefault="004F66F0">
      <w:pPr>
        <w:autoSpaceDE w:val="0"/>
        <w:autoSpaceDN w:val="0"/>
        <w:adjustRightInd w:val="0"/>
        <w:spacing w:beforeLines="50" w:before="156" w:after="50" w:line="440" w:lineRule="exact"/>
        <w:ind w:leftChars="257" w:left="540" w:firstLineChars="1600" w:firstLine="3840"/>
        <w:jc w:val="right"/>
        <w:rPr>
          <w:rFonts w:ascii="宋体" w:eastAsia="宋体" w:hAnsi="宋体" w:cs="Times New Roman" w:hint="eastAsia"/>
          <w:kern w:val="0"/>
          <w:sz w:val="24"/>
        </w:rPr>
      </w:pPr>
    </w:p>
    <w:p w14:paraId="5DF1C23A" w14:textId="77777777" w:rsidR="004F66F0" w:rsidRDefault="004F66F0">
      <w:pPr>
        <w:autoSpaceDE w:val="0"/>
        <w:autoSpaceDN w:val="0"/>
        <w:adjustRightInd w:val="0"/>
        <w:spacing w:beforeLines="50" w:before="156" w:after="50" w:line="440" w:lineRule="exact"/>
        <w:ind w:leftChars="257" w:left="540" w:firstLineChars="1600" w:firstLine="3840"/>
        <w:jc w:val="right"/>
        <w:rPr>
          <w:rFonts w:ascii="宋体" w:eastAsia="宋体" w:hAnsi="宋体" w:cs="Times New Roman" w:hint="eastAsia"/>
          <w:kern w:val="0"/>
          <w:sz w:val="24"/>
        </w:rPr>
      </w:pPr>
    </w:p>
    <w:p w14:paraId="1EB505D0" w14:textId="77777777" w:rsidR="004F66F0" w:rsidRDefault="004F66F0">
      <w:pPr>
        <w:autoSpaceDE w:val="0"/>
        <w:autoSpaceDN w:val="0"/>
        <w:adjustRightInd w:val="0"/>
        <w:spacing w:beforeLines="50" w:before="156" w:after="50" w:line="440" w:lineRule="exact"/>
        <w:ind w:leftChars="257" w:left="540" w:firstLineChars="1600" w:firstLine="3840"/>
        <w:jc w:val="right"/>
        <w:rPr>
          <w:rFonts w:ascii="宋体" w:eastAsia="宋体" w:hAnsi="宋体" w:cs="Times New Roman" w:hint="eastAsia"/>
          <w:color w:val="000000"/>
          <w:kern w:val="0"/>
          <w:sz w:val="24"/>
        </w:rPr>
      </w:pPr>
    </w:p>
    <w:p w14:paraId="21ACAEC4" w14:textId="77777777" w:rsidR="004F66F0" w:rsidRDefault="004F66F0">
      <w:pPr>
        <w:autoSpaceDE w:val="0"/>
        <w:autoSpaceDN w:val="0"/>
        <w:adjustRightInd w:val="0"/>
        <w:spacing w:beforeLines="50" w:before="156" w:after="50" w:line="440" w:lineRule="exact"/>
        <w:ind w:leftChars="257" w:left="540" w:firstLineChars="1600" w:firstLine="3840"/>
        <w:jc w:val="right"/>
        <w:rPr>
          <w:rFonts w:ascii="宋体" w:eastAsia="宋体" w:hAnsi="宋体" w:cs="Times New Roman" w:hint="eastAsia"/>
          <w:color w:val="000000"/>
          <w:kern w:val="0"/>
          <w:sz w:val="24"/>
        </w:rPr>
      </w:pPr>
    </w:p>
    <w:p w14:paraId="78B96380" w14:textId="77777777" w:rsidR="004F66F0" w:rsidRDefault="004F66F0">
      <w:pPr>
        <w:autoSpaceDE w:val="0"/>
        <w:autoSpaceDN w:val="0"/>
        <w:adjustRightInd w:val="0"/>
        <w:spacing w:beforeLines="100" w:before="312" w:after="50" w:line="440" w:lineRule="exact"/>
        <w:ind w:leftChars="257" w:left="540" w:firstLineChars="1350" w:firstLine="3240"/>
        <w:jc w:val="right"/>
        <w:rPr>
          <w:rFonts w:ascii="宋体" w:eastAsia="宋体" w:hAnsi="宋体" w:cs="Times New Roman" w:hint="eastAsia"/>
          <w:color w:val="000000"/>
          <w:kern w:val="0"/>
          <w:sz w:val="24"/>
        </w:rPr>
      </w:pPr>
    </w:p>
    <w:p w14:paraId="7B2B1E95" w14:textId="77777777" w:rsidR="004F66F0" w:rsidRDefault="005964B0">
      <w:pPr>
        <w:autoSpaceDE w:val="0"/>
        <w:autoSpaceDN w:val="0"/>
        <w:adjustRightInd w:val="0"/>
        <w:spacing w:beforeLines="100" w:before="312" w:after="50" w:line="440" w:lineRule="exact"/>
        <w:ind w:leftChars="257" w:left="540" w:firstLineChars="1600" w:firstLine="3840"/>
        <w:jc w:val="right"/>
        <w:rPr>
          <w:rFonts w:ascii="宋体" w:eastAsia="宋体" w:hAnsi="宋体" w:cs="Times New Roman" w:hint="eastAsia"/>
          <w:color w:val="000000"/>
          <w:sz w:val="24"/>
        </w:rPr>
      </w:pPr>
      <w:r>
        <w:rPr>
          <w:rFonts w:ascii="宋体" w:eastAsia="宋体" w:hAnsi="宋体" w:cs="Times New Roman" w:hint="eastAsia"/>
          <w:color w:val="000000"/>
          <w:sz w:val="24"/>
        </w:rPr>
        <w:t>国泰海通证券股份有限公司</w:t>
      </w:r>
    </w:p>
    <w:p w14:paraId="27E97E9B" w14:textId="77777777" w:rsidR="00630D67" w:rsidRPr="00C50A4F" w:rsidRDefault="00630D67" w:rsidP="00630D67">
      <w:pPr>
        <w:autoSpaceDE w:val="0"/>
        <w:autoSpaceDN w:val="0"/>
        <w:adjustRightInd w:val="0"/>
        <w:spacing w:beforeLines="100" w:before="312" w:after="50" w:line="440" w:lineRule="exact"/>
        <w:ind w:leftChars="257" w:left="540" w:firstLineChars="1600" w:firstLine="3840"/>
        <w:jc w:val="right"/>
        <w:rPr>
          <w:rFonts w:ascii="Times New Roman" w:eastAsia="宋体" w:hAnsi="Times New Roman" w:cs="Times New Roman"/>
          <w:bCs/>
          <w:kern w:val="0"/>
          <w:sz w:val="24"/>
        </w:rPr>
      </w:pPr>
      <w:r w:rsidRPr="00C50A4F">
        <w:rPr>
          <w:rFonts w:ascii="Times New Roman" w:eastAsia="宋体" w:hAnsi="Times New Roman" w:cs="Times New Roman"/>
          <w:color w:val="000000"/>
          <w:kern w:val="0"/>
          <w:sz w:val="24"/>
        </w:rPr>
        <w:t>2025</w:t>
      </w:r>
      <w:r w:rsidRPr="00C50A4F">
        <w:rPr>
          <w:rFonts w:ascii="Times New Roman" w:eastAsia="宋体" w:hAnsi="Times New Roman" w:cs="Times New Roman"/>
          <w:color w:val="000000"/>
          <w:kern w:val="0"/>
          <w:sz w:val="24"/>
        </w:rPr>
        <w:t>年</w:t>
      </w:r>
      <w:r w:rsidRPr="00C50A4F">
        <w:rPr>
          <w:rFonts w:ascii="Times New Roman" w:eastAsia="宋体" w:hAnsi="Times New Roman" w:cs="Times New Roman"/>
          <w:color w:val="000000"/>
          <w:kern w:val="0"/>
          <w:sz w:val="24"/>
        </w:rPr>
        <w:t xml:space="preserve"> 11 </w:t>
      </w:r>
      <w:r w:rsidRPr="00C50A4F">
        <w:rPr>
          <w:rFonts w:ascii="Times New Roman" w:eastAsia="宋体" w:hAnsi="Times New Roman" w:cs="Times New Roman"/>
          <w:color w:val="000000"/>
          <w:kern w:val="0"/>
          <w:sz w:val="24"/>
        </w:rPr>
        <w:t>月</w:t>
      </w:r>
      <w:r w:rsidRPr="00C50A4F">
        <w:rPr>
          <w:rFonts w:ascii="Times New Roman" w:eastAsia="宋体" w:hAnsi="Times New Roman" w:cs="Times New Roman"/>
          <w:color w:val="000000"/>
          <w:kern w:val="0"/>
          <w:sz w:val="24"/>
        </w:rPr>
        <w:t xml:space="preserve"> 18 </w:t>
      </w:r>
      <w:r w:rsidRPr="00C50A4F">
        <w:rPr>
          <w:rFonts w:ascii="Times New Roman" w:eastAsia="宋体" w:hAnsi="Times New Roman" w:cs="Times New Roman"/>
          <w:color w:val="000000"/>
          <w:kern w:val="0"/>
          <w:sz w:val="24"/>
        </w:rPr>
        <w:t>日</w:t>
      </w:r>
    </w:p>
    <w:p w14:paraId="1EB5BFAB" w14:textId="77777777" w:rsidR="004F66F0" w:rsidRDefault="004F66F0">
      <w:pPr>
        <w:autoSpaceDE w:val="0"/>
        <w:autoSpaceDN w:val="0"/>
        <w:spacing w:before="120" w:after="120" w:line="360" w:lineRule="auto"/>
        <w:jc w:val="left"/>
        <w:rPr>
          <w:rFonts w:ascii="宋体" w:eastAsia="宋体" w:hAnsi="宋体" w:hint="eastAsia"/>
          <w:sz w:val="24"/>
        </w:rPr>
      </w:pPr>
    </w:p>
    <w:p w14:paraId="0E2687C8" w14:textId="77777777" w:rsidR="004F66F0" w:rsidRDefault="004F66F0">
      <w:pPr>
        <w:spacing w:line="360" w:lineRule="auto"/>
        <w:rPr>
          <w:rFonts w:ascii="Times New Roman" w:eastAsia="宋体" w:hAnsi="Times New Roman"/>
        </w:rPr>
      </w:pPr>
    </w:p>
    <w:sectPr w:rsidR="004F66F0">
      <w:footerReference w:type="default" r:id="rId6"/>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EAD047" w14:textId="77777777" w:rsidR="00E87676" w:rsidRDefault="00E87676">
      <w:r>
        <w:separator/>
      </w:r>
    </w:p>
  </w:endnote>
  <w:endnote w:type="continuationSeparator" w:id="0">
    <w:p w14:paraId="26CC5322" w14:textId="77777777" w:rsidR="00E87676" w:rsidRDefault="00E876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18154486"/>
    </w:sdtPr>
    <w:sdtEndPr>
      <w:rPr>
        <w:rFonts w:ascii="Times New Roman" w:hAnsi="Times New Roman" w:cs="Times New Roman"/>
      </w:rPr>
    </w:sdtEndPr>
    <w:sdtContent>
      <w:p w14:paraId="7BBAE844" w14:textId="77777777" w:rsidR="004F66F0" w:rsidRDefault="005964B0">
        <w:pPr>
          <w:pStyle w:val="a9"/>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954D8D" w:rsidRPr="00954D8D">
          <w:rPr>
            <w:rFonts w:ascii="Times New Roman" w:hAnsi="Times New Roman" w:cs="Times New Roman"/>
            <w:noProof/>
            <w:lang w:val="zh-CN"/>
          </w:rPr>
          <w:t>2</w:t>
        </w:r>
        <w:r>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71390B" w14:textId="77777777" w:rsidR="00E87676" w:rsidRDefault="00E87676">
      <w:r>
        <w:separator/>
      </w:r>
    </w:p>
  </w:footnote>
  <w:footnote w:type="continuationSeparator" w:id="0">
    <w:p w14:paraId="729E60DF" w14:textId="77777777" w:rsidR="00E87676" w:rsidRDefault="00E876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2FD4484E"/>
    <w:rsid w:val="8DFF3911"/>
    <w:rsid w:val="9A2DA4EC"/>
    <w:rsid w:val="9EED6CD7"/>
    <w:rsid w:val="A57B183E"/>
    <w:rsid w:val="ADFDE751"/>
    <w:rsid w:val="AFEEA460"/>
    <w:rsid w:val="B3DFBA76"/>
    <w:rsid w:val="BBFD3E99"/>
    <w:rsid w:val="BF7E98A1"/>
    <w:rsid w:val="BFBDA5B0"/>
    <w:rsid w:val="BFF74CEA"/>
    <w:rsid w:val="CB2E9D91"/>
    <w:rsid w:val="DDEFB8B9"/>
    <w:rsid w:val="DDFF2C56"/>
    <w:rsid w:val="E3662AC8"/>
    <w:rsid w:val="E3FBFB6D"/>
    <w:rsid w:val="EDED7ABC"/>
    <w:rsid w:val="EFFC6ADF"/>
    <w:rsid w:val="F2FFE3D8"/>
    <w:rsid w:val="F7FFFDC1"/>
    <w:rsid w:val="FB7FD669"/>
    <w:rsid w:val="FBB37732"/>
    <w:rsid w:val="FBDF678B"/>
    <w:rsid w:val="FBFF5DE3"/>
    <w:rsid w:val="FBFF63E7"/>
    <w:rsid w:val="FD7F72EF"/>
    <w:rsid w:val="FEFC613D"/>
    <w:rsid w:val="FEFF13AC"/>
    <w:rsid w:val="FEFF41D8"/>
    <w:rsid w:val="FF53B76B"/>
    <w:rsid w:val="FFBD665F"/>
    <w:rsid w:val="FFBFFEA8"/>
    <w:rsid w:val="FFEDF58B"/>
    <w:rsid w:val="FFF7CF70"/>
    <w:rsid w:val="000028CE"/>
    <w:rsid w:val="00005D13"/>
    <w:rsid w:val="00015529"/>
    <w:rsid w:val="00021631"/>
    <w:rsid w:val="00030764"/>
    <w:rsid w:val="0003755B"/>
    <w:rsid w:val="000378DF"/>
    <w:rsid w:val="00042D80"/>
    <w:rsid w:val="00047A5A"/>
    <w:rsid w:val="0005478F"/>
    <w:rsid w:val="00055285"/>
    <w:rsid w:val="00056D2B"/>
    <w:rsid w:val="000675C0"/>
    <w:rsid w:val="00072492"/>
    <w:rsid w:val="0007615D"/>
    <w:rsid w:val="00082E04"/>
    <w:rsid w:val="000A331A"/>
    <w:rsid w:val="000B4344"/>
    <w:rsid w:val="000D74EC"/>
    <w:rsid w:val="000E1B60"/>
    <w:rsid w:val="000E4E86"/>
    <w:rsid w:val="000F5087"/>
    <w:rsid w:val="000F757A"/>
    <w:rsid w:val="001030F4"/>
    <w:rsid w:val="0011243E"/>
    <w:rsid w:val="00116F34"/>
    <w:rsid w:val="00130B16"/>
    <w:rsid w:val="00136E4B"/>
    <w:rsid w:val="00140AE7"/>
    <w:rsid w:val="001528E9"/>
    <w:rsid w:val="00154E6C"/>
    <w:rsid w:val="00166E2E"/>
    <w:rsid w:val="001776B8"/>
    <w:rsid w:val="001952F4"/>
    <w:rsid w:val="001A3BF8"/>
    <w:rsid w:val="001A3D52"/>
    <w:rsid w:val="001A4D7C"/>
    <w:rsid w:val="001A621A"/>
    <w:rsid w:val="001B0015"/>
    <w:rsid w:val="001B0472"/>
    <w:rsid w:val="001B64B7"/>
    <w:rsid w:val="001D41D1"/>
    <w:rsid w:val="001E36AA"/>
    <w:rsid w:val="001F53B3"/>
    <w:rsid w:val="00206BAE"/>
    <w:rsid w:val="00215A8F"/>
    <w:rsid w:val="00216BAE"/>
    <w:rsid w:val="002251A7"/>
    <w:rsid w:val="002507CA"/>
    <w:rsid w:val="002567A0"/>
    <w:rsid w:val="00266C10"/>
    <w:rsid w:val="00285B8A"/>
    <w:rsid w:val="00297C86"/>
    <w:rsid w:val="002A2E5B"/>
    <w:rsid w:val="002B136C"/>
    <w:rsid w:val="002C2317"/>
    <w:rsid w:val="002D7095"/>
    <w:rsid w:val="002E3D54"/>
    <w:rsid w:val="002E4285"/>
    <w:rsid w:val="002E7664"/>
    <w:rsid w:val="002F1976"/>
    <w:rsid w:val="002F5114"/>
    <w:rsid w:val="00301151"/>
    <w:rsid w:val="00302695"/>
    <w:rsid w:val="003061F7"/>
    <w:rsid w:val="003108DA"/>
    <w:rsid w:val="00330260"/>
    <w:rsid w:val="003407DD"/>
    <w:rsid w:val="00345F47"/>
    <w:rsid w:val="00347EED"/>
    <w:rsid w:val="00350DF0"/>
    <w:rsid w:val="003648E1"/>
    <w:rsid w:val="003720EA"/>
    <w:rsid w:val="0038212A"/>
    <w:rsid w:val="00395A25"/>
    <w:rsid w:val="00396E8C"/>
    <w:rsid w:val="003B2FE2"/>
    <w:rsid w:val="003B72EC"/>
    <w:rsid w:val="003C44C2"/>
    <w:rsid w:val="003D194B"/>
    <w:rsid w:val="003D3985"/>
    <w:rsid w:val="003D6392"/>
    <w:rsid w:val="003E1D60"/>
    <w:rsid w:val="003E65A1"/>
    <w:rsid w:val="00402A4C"/>
    <w:rsid w:val="0040666E"/>
    <w:rsid w:val="00424034"/>
    <w:rsid w:val="004305DC"/>
    <w:rsid w:val="004347EA"/>
    <w:rsid w:val="0043658F"/>
    <w:rsid w:val="0044114E"/>
    <w:rsid w:val="00452B3D"/>
    <w:rsid w:val="00474BA4"/>
    <w:rsid w:val="0047694E"/>
    <w:rsid w:val="0047762D"/>
    <w:rsid w:val="004923C7"/>
    <w:rsid w:val="00496F30"/>
    <w:rsid w:val="004B3C0D"/>
    <w:rsid w:val="004C3EC3"/>
    <w:rsid w:val="004D3DF1"/>
    <w:rsid w:val="004F0E71"/>
    <w:rsid w:val="004F3D85"/>
    <w:rsid w:val="004F5B10"/>
    <w:rsid w:val="004F66F0"/>
    <w:rsid w:val="0050355F"/>
    <w:rsid w:val="00517701"/>
    <w:rsid w:val="005216FD"/>
    <w:rsid w:val="00533BC0"/>
    <w:rsid w:val="00552075"/>
    <w:rsid w:val="005530E9"/>
    <w:rsid w:val="00555410"/>
    <w:rsid w:val="00562A44"/>
    <w:rsid w:val="00577FCE"/>
    <w:rsid w:val="00580B96"/>
    <w:rsid w:val="005964B0"/>
    <w:rsid w:val="00597021"/>
    <w:rsid w:val="005A16F0"/>
    <w:rsid w:val="005A1F51"/>
    <w:rsid w:val="005A68A5"/>
    <w:rsid w:val="005B1DBB"/>
    <w:rsid w:val="005D097F"/>
    <w:rsid w:val="005D710E"/>
    <w:rsid w:val="005D7BD5"/>
    <w:rsid w:val="005E1F2B"/>
    <w:rsid w:val="005E7F92"/>
    <w:rsid w:val="00607889"/>
    <w:rsid w:val="00630D67"/>
    <w:rsid w:val="00640BDA"/>
    <w:rsid w:val="00646427"/>
    <w:rsid w:val="006660A3"/>
    <w:rsid w:val="006676B8"/>
    <w:rsid w:val="0067406D"/>
    <w:rsid w:val="00680CFE"/>
    <w:rsid w:val="00684DA7"/>
    <w:rsid w:val="0069175C"/>
    <w:rsid w:val="0069468A"/>
    <w:rsid w:val="006C1201"/>
    <w:rsid w:val="006D4465"/>
    <w:rsid w:val="006D59E4"/>
    <w:rsid w:val="006D66A5"/>
    <w:rsid w:val="00702663"/>
    <w:rsid w:val="00711482"/>
    <w:rsid w:val="00731E13"/>
    <w:rsid w:val="00743EBC"/>
    <w:rsid w:val="007821FA"/>
    <w:rsid w:val="007A036D"/>
    <w:rsid w:val="007A3479"/>
    <w:rsid w:val="007C5983"/>
    <w:rsid w:val="007D40FE"/>
    <w:rsid w:val="007E0F61"/>
    <w:rsid w:val="007F3268"/>
    <w:rsid w:val="00816CB3"/>
    <w:rsid w:val="008234BB"/>
    <w:rsid w:val="00824E07"/>
    <w:rsid w:val="00833BA7"/>
    <w:rsid w:val="00846768"/>
    <w:rsid w:val="008604B2"/>
    <w:rsid w:val="00871B2C"/>
    <w:rsid w:val="0087441C"/>
    <w:rsid w:val="00891F14"/>
    <w:rsid w:val="008B2078"/>
    <w:rsid w:val="008C5598"/>
    <w:rsid w:val="008D2061"/>
    <w:rsid w:val="008F5F34"/>
    <w:rsid w:val="00900AE9"/>
    <w:rsid w:val="00921B35"/>
    <w:rsid w:val="00921D26"/>
    <w:rsid w:val="00923943"/>
    <w:rsid w:val="00937BDC"/>
    <w:rsid w:val="00954D8D"/>
    <w:rsid w:val="00961A21"/>
    <w:rsid w:val="00972515"/>
    <w:rsid w:val="009762A1"/>
    <w:rsid w:val="00976DDE"/>
    <w:rsid w:val="00980927"/>
    <w:rsid w:val="00986A09"/>
    <w:rsid w:val="00987D1A"/>
    <w:rsid w:val="0099495E"/>
    <w:rsid w:val="009A7F75"/>
    <w:rsid w:val="009B147C"/>
    <w:rsid w:val="009B308E"/>
    <w:rsid w:val="009B4856"/>
    <w:rsid w:val="009B4FD6"/>
    <w:rsid w:val="009C1A3B"/>
    <w:rsid w:val="009D0852"/>
    <w:rsid w:val="00A00657"/>
    <w:rsid w:val="00A01182"/>
    <w:rsid w:val="00A27335"/>
    <w:rsid w:val="00A4336D"/>
    <w:rsid w:val="00A74B06"/>
    <w:rsid w:val="00AA7CE4"/>
    <w:rsid w:val="00AB643F"/>
    <w:rsid w:val="00AC0AC5"/>
    <w:rsid w:val="00AC3A87"/>
    <w:rsid w:val="00AD4538"/>
    <w:rsid w:val="00AF6D33"/>
    <w:rsid w:val="00B01376"/>
    <w:rsid w:val="00B24F1C"/>
    <w:rsid w:val="00B271C2"/>
    <w:rsid w:val="00B32911"/>
    <w:rsid w:val="00B536D6"/>
    <w:rsid w:val="00B57A11"/>
    <w:rsid w:val="00B60C07"/>
    <w:rsid w:val="00B71C4E"/>
    <w:rsid w:val="00B82E9A"/>
    <w:rsid w:val="00B85566"/>
    <w:rsid w:val="00BA290C"/>
    <w:rsid w:val="00BC6665"/>
    <w:rsid w:val="00BC6CC2"/>
    <w:rsid w:val="00BE156D"/>
    <w:rsid w:val="00BE7B7C"/>
    <w:rsid w:val="00BF27D8"/>
    <w:rsid w:val="00BF46B0"/>
    <w:rsid w:val="00C00D96"/>
    <w:rsid w:val="00C05C13"/>
    <w:rsid w:val="00C15C07"/>
    <w:rsid w:val="00C2066C"/>
    <w:rsid w:val="00C32F37"/>
    <w:rsid w:val="00C33FEE"/>
    <w:rsid w:val="00C400D1"/>
    <w:rsid w:val="00C66AC6"/>
    <w:rsid w:val="00C73F6A"/>
    <w:rsid w:val="00C762D9"/>
    <w:rsid w:val="00C8469A"/>
    <w:rsid w:val="00C85D98"/>
    <w:rsid w:val="00C93A13"/>
    <w:rsid w:val="00C9651D"/>
    <w:rsid w:val="00CA5E9F"/>
    <w:rsid w:val="00CB1216"/>
    <w:rsid w:val="00CB280F"/>
    <w:rsid w:val="00CC3149"/>
    <w:rsid w:val="00CD1DAB"/>
    <w:rsid w:val="00CD314A"/>
    <w:rsid w:val="00CD483F"/>
    <w:rsid w:val="00CD5556"/>
    <w:rsid w:val="00CF0911"/>
    <w:rsid w:val="00CF2D25"/>
    <w:rsid w:val="00D0332F"/>
    <w:rsid w:val="00D10768"/>
    <w:rsid w:val="00D128C2"/>
    <w:rsid w:val="00D21779"/>
    <w:rsid w:val="00D54783"/>
    <w:rsid w:val="00D8045F"/>
    <w:rsid w:val="00D82D84"/>
    <w:rsid w:val="00D90CE3"/>
    <w:rsid w:val="00D97951"/>
    <w:rsid w:val="00DA6082"/>
    <w:rsid w:val="00DA778F"/>
    <w:rsid w:val="00DB0CF3"/>
    <w:rsid w:val="00DB2DE7"/>
    <w:rsid w:val="00DC0287"/>
    <w:rsid w:val="00DF2EB9"/>
    <w:rsid w:val="00E03F1F"/>
    <w:rsid w:val="00E21270"/>
    <w:rsid w:val="00E329DD"/>
    <w:rsid w:val="00E3592D"/>
    <w:rsid w:val="00E502CC"/>
    <w:rsid w:val="00E55201"/>
    <w:rsid w:val="00E64970"/>
    <w:rsid w:val="00E67316"/>
    <w:rsid w:val="00E67A59"/>
    <w:rsid w:val="00E73DBF"/>
    <w:rsid w:val="00E87676"/>
    <w:rsid w:val="00E87D42"/>
    <w:rsid w:val="00E9179B"/>
    <w:rsid w:val="00EB415A"/>
    <w:rsid w:val="00EB4F76"/>
    <w:rsid w:val="00ED75E9"/>
    <w:rsid w:val="00EE0432"/>
    <w:rsid w:val="00EF2A5F"/>
    <w:rsid w:val="00EF7A37"/>
    <w:rsid w:val="00F00BC5"/>
    <w:rsid w:val="00F01A54"/>
    <w:rsid w:val="00F1294D"/>
    <w:rsid w:val="00F34D96"/>
    <w:rsid w:val="00F40525"/>
    <w:rsid w:val="00F44015"/>
    <w:rsid w:val="00F52C1E"/>
    <w:rsid w:val="00F65517"/>
    <w:rsid w:val="00F82219"/>
    <w:rsid w:val="00F82C56"/>
    <w:rsid w:val="00F8439A"/>
    <w:rsid w:val="00F85EF9"/>
    <w:rsid w:val="00F917EB"/>
    <w:rsid w:val="00FA4FF7"/>
    <w:rsid w:val="00FA7411"/>
    <w:rsid w:val="00FB37A0"/>
    <w:rsid w:val="00FD2DEA"/>
    <w:rsid w:val="00FD68E4"/>
    <w:rsid w:val="00FF0F3E"/>
    <w:rsid w:val="00FF5256"/>
    <w:rsid w:val="01B91719"/>
    <w:rsid w:val="14681FEA"/>
    <w:rsid w:val="1A7B3BAB"/>
    <w:rsid w:val="1CEE157E"/>
    <w:rsid w:val="1D656D68"/>
    <w:rsid w:val="1EFF31E6"/>
    <w:rsid w:val="1FE598D6"/>
    <w:rsid w:val="1FFBAF8C"/>
    <w:rsid w:val="2F675387"/>
    <w:rsid w:val="2FD4484E"/>
    <w:rsid w:val="31FDE975"/>
    <w:rsid w:val="377DCD56"/>
    <w:rsid w:val="37FFABE0"/>
    <w:rsid w:val="38AF14A5"/>
    <w:rsid w:val="391CED57"/>
    <w:rsid w:val="3A5FBA83"/>
    <w:rsid w:val="3BDE7109"/>
    <w:rsid w:val="3D6F1B0A"/>
    <w:rsid w:val="3EAB6E43"/>
    <w:rsid w:val="3EFF565D"/>
    <w:rsid w:val="3F7D5E35"/>
    <w:rsid w:val="3FD77D63"/>
    <w:rsid w:val="3FFC02E1"/>
    <w:rsid w:val="3FFF5B9F"/>
    <w:rsid w:val="467FD0F4"/>
    <w:rsid w:val="46FDA65D"/>
    <w:rsid w:val="4A927DDB"/>
    <w:rsid w:val="4FBFD62C"/>
    <w:rsid w:val="511539FA"/>
    <w:rsid w:val="5EF73C55"/>
    <w:rsid w:val="5FAFF7CB"/>
    <w:rsid w:val="5FF71C1F"/>
    <w:rsid w:val="5FFE4073"/>
    <w:rsid w:val="61261CDB"/>
    <w:rsid w:val="6BB1F5B1"/>
    <w:rsid w:val="6C411B2C"/>
    <w:rsid w:val="6EEB13D5"/>
    <w:rsid w:val="6FFD69A5"/>
    <w:rsid w:val="733A1535"/>
    <w:rsid w:val="73E9C783"/>
    <w:rsid w:val="75FBCB23"/>
    <w:rsid w:val="75FEB1E9"/>
    <w:rsid w:val="77397139"/>
    <w:rsid w:val="796F7CF7"/>
    <w:rsid w:val="7B367989"/>
    <w:rsid w:val="7B46A725"/>
    <w:rsid w:val="7BEB5DE7"/>
    <w:rsid w:val="7BF4B242"/>
    <w:rsid w:val="7BFB6916"/>
    <w:rsid w:val="7D3FF485"/>
    <w:rsid w:val="7D852154"/>
    <w:rsid w:val="7DAC31CF"/>
    <w:rsid w:val="7DF59953"/>
    <w:rsid w:val="7E6F55F9"/>
    <w:rsid w:val="7E7E6334"/>
    <w:rsid w:val="7EB5B785"/>
    <w:rsid w:val="7EE503F9"/>
    <w:rsid w:val="7EFA7EC3"/>
    <w:rsid w:val="7F301B45"/>
    <w:rsid w:val="7FCBBFE3"/>
    <w:rsid w:val="7FE51661"/>
    <w:rsid w:val="7FE76B63"/>
    <w:rsid w:val="7FEF6F13"/>
    <w:rsid w:val="7FEFE68D"/>
    <w:rsid w:val="7FFEAF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35C5394"/>
  <w15:docId w15:val="{DD84AD58-4CF1-4665-93E7-E3DBD0608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qFormat/>
    <w:rPr>
      <w:rFonts w:ascii="宋体" w:eastAsia="宋体"/>
      <w:sz w:val="18"/>
      <w:szCs w:val="18"/>
    </w:rPr>
  </w:style>
  <w:style w:type="paragraph" w:styleId="a5">
    <w:name w:val="annotation text"/>
    <w:basedOn w:val="a"/>
    <w:link w:val="a6"/>
    <w:qFormat/>
    <w:pPr>
      <w:jc w:val="left"/>
    </w:pPr>
  </w:style>
  <w:style w:type="paragraph" w:styleId="a7">
    <w:name w:val="Balloon Text"/>
    <w:basedOn w:val="a"/>
    <w:link w:val="a8"/>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ad">
    <w:name w:val="Subtitle"/>
    <w:basedOn w:val="a"/>
    <w:next w:val="a"/>
    <w:qFormat/>
    <w:pPr>
      <w:spacing w:before="240" w:after="60" w:line="312" w:lineRule="auto"/>
      <w:jc w:val="center"/>
      <w:outlineLvl w:val="1"/>
    </w:pPr>
    <w:rPr>
      <w:rFonts w:asciiTheme="majorHAnsi" w:eastAsia="宋体" w:hAnsiTheme="majorHAnsi" w:cstheme="majorBidi"/>
      <w:b/>
      <w:bCs/>
      <w:kern w:val="28"/>
      <w:sz w:val="32"/>
      <w:szCs w:val="32"/>
    </w:rPr>
  </w:style>
  <w:style w:type="paragraph" w:styleId="ae">
    <w:name w:val="footnote text"/>
    <w:basedOn w:val="a"/>
    <w:link w:val="1"/>
    <w:semiHidden/>
    <w:unhideWhenUsed/>
    <w:qFormat/>
    <w:pPr>
      <w:snapToGrid w:val="0"/>
      <w:jc w:val="left"/>
    </w:pPr>
    <w:rPr>
      <w:sz w:val="18"/>
      <w:szCs w:val="18"/>
    </w:rPr>
  </w:style>
  <w:style w:type="paragraph" w:styleId="af">
    <w:name w:val="Normal (Web)"/>
    <w:basedOn w:val="a"/>
    <w:qFormat/>
    <w:pPr>
      <w:spacing w:beforeAutospacing="1" w:afterAutospacing="1"/>
      <w:jc w:val="left"/>
    </w:pPr>
    <w:rPr>
      <w:rFonts w:cs="Times New Roman"/>
      <w:kern w:val="0"/>
      <w:sz w:val="24"/>
    </w:rPr>
  </w:style>
  <w:style w:type="paragraph" w:styleId="af0">
    <w:name w:val="annotation subject"/>
    <w:basedOn w:val="a5"/>
    <w:next w:val="a5"/>
    <w:link w:val="af1"/>
    <w:qFormat/>
    <w:rPr>
      <w:b/>
      <w:bCs/>
    </w:rPr>
  </w:style>
  <w:style w:type="table" w:styleId="af2">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annotation reference"/>
    <w:basedOn w:val="a0"/>
    <w:qFormat/>
    <w:rPr>
      <w:sz w:val="21"/>
      <w:szCs w:val="21"/>
    </w:rPr>
  </w:style>
  <w:style w:type="character" w:styleId="af4">
    <w:name w:val="footnote reference"/>
    <w:basedOn w:val="a0"/>
    <w:uiPriority w:val="99"/>
    <w:semiHidden/>
    <w:unhideWhenUsed/>
    <w:qFormat/>
    <w:rPr>
      <w:vertAlign w:val="superscript"/>
    </w:rPr>
  </w:style>
  <w:style w:type="character" w:customStyle="1" w:styleId="ac">
    <w:name w:val="页眉 字符"/>
    <w:basedOn w:val="a0"/>
    <w:link w:val="ab"/>
    <w:qFormat/>
    <w:rPr>
      <w:rFonts w:asciiTheme="minorHAnsi" w:eastAsiaTheme="minorEastAsia" w:hAnsiTheme="minorHAnsi" w:cstheme="minorBidi"/>
      <w:kern w:val="2"/>
      <w:sz w:val="18"/>
      <w:szCs w:val="18"/>
    </w:rPr>
  </w:style>
  <w:style w:type="character" w:customStyle="1" w:styleId="aa">
    <w:name w:val="页脚 字符"/>
    <w:basedOn w:val="a0"/>
    <w:link w:val="a9"/>
    <w:uiPriority w:val="99"/>
    <w:qFormat/>
    <w:rPr>
      <w:rFonts w:asciiTheme="minorHAnsi" w:eastAsiaTheme="minorEastAsia" w:hAnsiTheme="minorHAnsi" w:cstheme="minorBidi"/>
      <w:kern w:val="2"/>
      <w:sz w:val="18"/>
      <w:szCs w:val="18"/>
    </w:rPr>
  </w:style>
  <w:style w:type="character" w:customStyle="1" w:styleId="a8">
    <w:name w:val="批注框文本 字符"/>
    <w:basedOn w:val="a0"/>
    <w:link w:val="a7"/>
    <w:qFormat/>
    <w:rPr>
      <w:rFonts w:asciiTheme="minorHAnsi" w:eastAsiaTheme="minorEastAsia" w:hAnsiTheme="minorHAnsi" w:cstheme="minorBidi"/>
      <w:kern w:val="2"/>
      <w:sz w:val="18"/>
      <w:szCs w:val="18"/>
    </w:rPr>
  </w:style>
  <w:style w:type="character" w:customStyle="1" w:styleId="a6">
    <w:name w:val="批注文字 字符"/>
    <w:basedOn w:val="a0"/>
    <w:link w:val="a5"/>
    <w:qFormat/>
    <w:rPr>
      <w:rFonts w:asciiTheme="minorHAnsi" w:eastAsiaTheme="minorEastAsia" w:hAnsiTheme="minorHAnsi" w:cstheme="minorBidi"/>
      <w:kern w:val="2"/>
      <w:sz w:val="21"/>
      <w:szCs w:val="24"/>
    </w:rPr>
  </w:style>
  <w:style w:type="character" w:customStyle="1" w:styleId="af1">
    <w:name w:val="批注主题 字符"/>
    <w:basedOn w:val="a6"/>
    <w:link w:val="af0"/>
    <w:qFormat/>
    <w:rPr>
      <w:rFonts w:asciiTheme="minorHAnsi" w:eastAsiaTheme="minorEastAsia" w:hAnsiTheme="minorHAnsi" w:cstheme="minorBidi"/>
      <w:b/>
      <w:bCs/>
      <w:kern w:val="2"/>
      <w:sz w:val="21"/>
      <w:szCs w:val="24"/>
    </w:rPr>
  </w:style>
  <w:style w:type="character" w:customStyle="1" w:styleId="a4">
    <w:name w:val="文档结构图 字符"/>
    <w:basedOn w:val="a0"/>
    <w:link w:val="a3"/>
    <w:qFormat/>
    <w:rPr>
      <w:rFonts w:ascii="宋体" w:hAnsiTheme="minorHAnsi" w:cstheme="minorBidi"/>
      <w:kern w:val="2"/>
      <w:sz w:val="18"/>
      <w:szCs w:val="18"/>
    </w:rPr>
  </w:style>
  <w:style w:type="paragraph" w:customStyle="1" w:styleId="10">
    <w:name w:val="脚注文本1"/>
    <w:basedOn w:val="a"/>
    <w:next w:val="ae"/>
    <w:link w:val="af5"/>
    <w:uiPriority w:val="99"/>
    <w:semiHidden/>
    <w:unhideWhenUsed/>
    <w:qFormat/>
    <w:pPr>
      <w:snapToGrid w:val="0"/>
      <w:jc w:val="left"/>
    </w:pPr>
    <w:rPr>
      <w:rFonts w:ascii="Times New Roman" w:eastAsia="宋体" w:hAnsi="Times New Roman" w:cs="Times New Roman"/>
      <w:sz w:val="18"/>
      <w:szCs w:val="18"/>
    </w:rPr>
  </w:style>
  <w:style w:type="character" w:customStyle="1" w:styleId="af5">
    <w:name w:val="脚注文本 字符"/>
    <w:basedOn w:val="a0"/>
    <w:link w:val="10"/>
    <w:uiPriority w:val="99"/>
    <w:semiHidden/>
    <w:qFormat/>
    <w:rPr>
      <w:kern w:val="2"/>
      <w:sz w:val="18"/>
      <w:szCs w:val="18"/>
    </w:rPr>
  </w:style>
  <w:style w:type="character" w:customStyle="1" w:styleId="1">
    <w:name w:val="脚注文本 字符1"/>
    <w:basedOn w:val="a0"/>
    <w:link w:val="ae"/>
    <w:semiHidden/>
    <w:qFormat/>
    <w:rPr>
      <w:rFonts w:asciiTheme="minorHAnsi" w:eastAsiaTheme="minorEastAsia" w:hAnsiTheme="minorHAnsi" w:cstheme="minorBidi"/>
      <w:kern w:val="2"/>
      <w:sz w:val="18"/>
      <w:szCs w:val="18"/>
    </w:rPr>
  </w:style>
  <w:style w:type="table" w:customStyle="1" w:styleId="af6">
    <w:name w:val="世鹏表格"/>
    <w:basedOn w:val="a1"/>
    <w:uiPriority w:val="99"/>
    <w:qFormat/>
    <w:pPr>
      <w:jc w:val="center"/>
    </w:pPr>
    <w:rPr>
      <w:sz w:val="18"/>
      <w:szCs w:val="24"/>
      <w:lang w:eastAsia="en-US" w:bidi="en-US"/>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
    <w:name w:val="网格型3"/>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
    <w:basedOn w:val="a1"/>
    <w:uiPriority w:val="3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修订1"/>
    <w:hidden/>
    <w:uiPriority w:val="99"/>
    <w:semiHidden/>
    <w:qFormat/>
    <w:rPr>
      <w:rFonts w:asciiTheme="minorHAnsi" w:eastAsiaTheme="minorEastAsia" w:hAnsiTheme="minorHAnsi" w:cstheme="minorBidi"/>
      <w:kern w:val="2"/>
      <w:sz w:val="21"/>
      <w:szCs w:val="24"/>
    </w:rPr>
  </w:style>
  <w:style w:type="table" w:customStyle="1" w:styleId="110">
    <w:name w:val="网格型11"/>
    <w:basedOn w:val="a1"/>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unhideWhenUsed/>
    <w:rsid w:val="00F34D96"/>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Pages>
  <Words>185</Words>
  <Characters>1057</Characters>
  <Application>Microsoft Office Word</Application>
  <DocSecurity>0</DocSecurity>
  <Lines>8</Lines>
  <Paragraphs>2</Paragraphs>
  <ScaleCrop>false</ScaleCrop>
  <Company>国泰君安证券股份有限公司</Company>
  <LinksUpToDate>false</LinksUpToDate>
  <CharactersWithSpaces>1240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lhy</dc:creator>
  <cp:lastModifiedBy>Yang LI</cp:lastModifiedBy>
  <cp:revision>42</cp:revision>
  <dcterms:created xsi:type="dcterms:W3CDTF">2022-06-02T07:09:00Z</dcterms:created>
  <dcterms:modified xsi:type="dcterms:W3CDTF">2025-11-18T06:59:00Z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eyJoZGlkIjoiNDBkMzZhYjg1MTA5NWQxZDBlZTkzNTdlNjQ1NThlNjAiLCJ1c2VySWQiOiIxOTk5NDQxOTYifQ==</vt:lpwstr>
  </property>
  <property fmtid="{D5CDD505-2E9C-101B-9397-08002B2CF9AE}" pid="4" name="ICV">
    <vt:lpwstr>B287C6E642764F30B0AE5C8A3AAD7C9F_12</vt:lpwstr>
  </property>
</Properties>
</file>