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2A28AF" w14:textId="77777777" w:rsidR="00E90AC0" w:rsidRDefault="000D722A">
      <w:pPr>
        <w:spacing w:line="360" w:lineRule="auto"/>
        <w:jc w:val="center"/>
        <w:rPr>
          <w:rFonts w:ascii="黑体" w:eastAsia="黑体" w:hAnsi="黑体" w:cs="Times New Roman" w:hint="eastAsia"/>
          <w:b/>
          <w:bCs/>
          <w:kern w:val="2"/>
          <w:sz w:val="28"/>
          <w:szCs w:val="28"/>
          <w:lang w:eastAsia="zh-CN"/>
        </w:rPr>
      </w:pPr>
      <w:bookmarkStart w:id="0" w:name="_Hlk128007361"/>
      <w:proofErr w:type="gramStart"/>
      <w:r>
        <w:rPr>
          <w:rFonts w:ascii="黑体" w:eastAsia="黑体" w:hAnsi="黑体" w:cs="Times New Roman"/>
          <w:b/>
          <w:bCs/>
          <w:kern w:val="2"/>
          <w:sz w:val="28"/>
          <w:szCs w:val="28"/>
          <w:lang w:eastAsia="zh-CN"/>
        </w:rPr>
        <w:t>国泰海通</w:t>
      </w:r>
      <w:proofErr w:type="gramEnd"/>
      <w:r>
        <w:rPr>
          <w:rFonts w:ascii="黑体" w:eastAsia="黑体" w:hAnsi="黑体" w:cs="Times New Roman"/>
          <w:b/>
          <w:bCs/>
          <w:kern w:val="2"/>
          <w:sz w:val="28"/>
          <w:szCs w:val="28"/>
          <w:lang w:eastAsia="zh-CN"/>
        </w:rPr>
        <w:t>证券股份有限公司</w:t>
      </w:r>
    </w:p>
    <w:p w14:paraId="0997D24A" w14:textId="77777777" w:rsidR="00E90AC0" w:rsidRDefault="000D722A">
      <w:pPr>
        <w:spacing w:line="360" w:lineRule="auto"/>
        <w:jc w:val="center"/>
        <w:rPr>
          <w:rFonts w:ascii="黑体" w:eastAsia="黑体" w:hAnsi="黑体" w:cs="Times New Roman" w:hint="eastAsia"/>
          <w:b/>
          <w:bCs/>
          <w:kern w:val="2"/>
          <w:sz w:val="28"/>
          <w:szCs w:val="28"/>
          <w:lang w:eastAsia="zh-CN"/>
        </w:rPr>
      </w:pPr>
      <w:r>
        <w:rPr>
          <w:rFonts w:ascii="黑体" w:eastAsia="黑体" w:hAnsi="黑体" w:cs="Times New Roman"/>
          <w:b/>
          <w:bCs/>
          <w:kern w:val="2"/>
          <w:sz w:val="28"/>
          <w:szCs w:val="28"/>
          <w:lang w:eastAsia="zh-CN"/>
        </w:rPr>
        <w:t>关于</w:t>
      </w:r>
      <w:bookmarkEnd w:id="0"/>
      <w:r>
        <w:rPr>
          <w:rFonts w:ascii="黑体" w:eastAsia="黑体" w:hAnsi="黑体" w:cs="Times New Roman" w:hint="eastAsia"/>
          <w:b/>
          <w:bCs/>
          <w:kern w:val="2"/>
          <w:sz w:val="28"/>
          <w:szCs w:val="28"/>
          <w:lang w:eastAsia="zh-CN"/>
        </w:rPr>
        <w:t>广东天亿马信息产业股份有限公司本次交易</w:t>
      </w:r>
    </w:p>
    <w:p w14:paraId="5D5741FB" w14:textId="77777777" w:rsidR="00E90AC0" w:rsidRDefault="000D722A">
      <w:pPr>
        <w:spacing w:line="360" w:lineRule="auto"/>
        <w:jc w:val="center"/>
        <w:rPr>
          <w:rFonts w:ascii="黑体" w:eastAsia="黑体" w:hAnsi="黑体" w:cs="Times New Roman" w:hint="eastAsia"/>
          <w:b/>
          <w:bCs/>
          <w:kern w:val="2"/>
          <w:sz w:val="28"/>
          <w:szCs w:val="28"/>
          <w:lang w:eastAsia="zh-CN"/>
        </w:rPr>
      </w:pPr>
      <w:r>
        <w:rPr>
          <w:rFonts w:ascii="黑体" w:eastAsia="黑体" w:hAnsi="黑体" w:cs="Times New Roman" w:hint="eastAsia"/>
          <w:b/>
          <w:bCs/>
          <w:kern w:val="2"/>
          <w:sz w:val="28"/>
          <w:szCs w:val="28"/>
          <w:lang w:eastAsia="zh-CN"/>
        </w:rPr>
        <w:t>产业政策和交易类型的核查意见</w:t>
      </w:r>
    </w:p>
    <w:p w14:paraId="778B2C72" w14:textId="77777777" w:rsidR="00E90AC0" w:rsidRDefault="00E90AC0">
      <w:pPr>
        <w:pStyle w:val="a6"/>
        <w:spacing w:before="2"/>
        <w:rPr>
          <w:rFonts w:ascii="Times New Roman" w:eastAsiaTheme="majorEastAsia" w:hAnsi="Times New Roman" w:cs="Times New Roman"/>
          <w:color w:val="FF0000"/>
          <w:sz w:val="34"/>
          <w:lang w:eastAsia="zh-CN"/>
        </w:rPr>
      </w:pPr>
    </w:p>
    <w:p w14:paraId="5BF48BF1" w14:textId="5D9891EB" w:rsidR="00E90AC0" w:rsidRDefault="002E5540" w:rsidP="0069159D">
      <w:pPr>
        <w:pStyle w:val="ae"/>
        <w:widowControl/>
        <w:shd w:val="clear" w:color="auto" w:fill="FFFFFF"/>
        <w:spacing w:beforeLines="50" w:before="120" w:beforeAutospacing="0" w:afterLines="50" w:after="120" w:afterAutospacing="0" w:line="360" w:lineRule="auto"/>
        <w:ind w:firstLineChars="200" w:firstLine="480"/>
        <w:jc w:val="both"/>
        <w:rPr>
          <w:rFonts w:ascii="Times New Roman" w:eastAsia="宋体" w:hAnsi="Times New Roman"/>
          <w:shd w:val="clear" w:color="auto" w:fill="FFFFFF"/>
        </w:rPr>
      </w:pPr>
      <w:r w:rsidRPr="002E5540">
        <w:rPr>
          <w:rFonts w:ascii="Times New Roman" w:eastAsia="宋体" w:hAnsi="Times New Roman" w:hint="eastAsia"/>
          <w:shd w:val="clear" w:color="auto" w:fill="FFFFFF"/>
        </w:rPr>
        <w:t>广东天亿马信息产业股份有限公司（以下简称“上市公司”或“公司”）拟通过发行股份及支付现金的方式购买广东星云开物科技股份有限公司（以下简称“标的公司”）</w:t>
      </w:r>
      <w:r w:rsidRPr="002E5540">
        <w:rPr>
          <w:rFonts w:ascii="Times New Roman" w:eastAsia="宋体" w:hAnsi="Times New Roman" w:hint="eastAsia"/>
          <w:shd w:val="clear" w:color="auto" w:fill="FFFFFF"/>
        </w:rPr>
        <w:t>98.5632%</w:t>
      </w:r>
      <w:r w:rsidR="000576F4">
        <w:rPr>
          <w:rFonts w:ascii="Times New Roman" w:eastAsia="宋体" w:hAnsi="Times New Roman" w:hint="eastAsia"/>
          <w:shd w:val="clear" w:color="auto" w:fill="FFFFFF"/>
        </w:rPr>
        <w:t>股权</w:t>
      </w:r>
      <w:r w:rsidRPr="002E5540">
        <w:rPr>
          <w:rFonts w:ascii="Times New Roman" w:eastAsia="宋体" w:hAnsi="Times New Roman" w:hint="eastAsia"/>
          <w:shd w:val="clear" w:color="auto" w:fill="FFFFFF"/>
        </w:rPr>
        <w:t>并募集配套资金（以下简称“本次交易”）。</w:t>
      </w:r>
      <w:proofErr w:type="gramStart"/>
      <w:r w:rsidRPr="002E5540">
        <w:rPr>
          <w:rFonts w:ascii="Times New Roman" w:eastAsia="宋体" w:hAnsi="Times New Roman" w:hint="eastAsia"/>
          <w:shd w:val="clear" w:color="auto" w:fill="FFFFFF"/>
        </w:rPr>
        <w:t>国泰海通</w:t>
      </w:r>
      <w:proofErr w:type="gramEnd"/>
      <w:r w:rsidRPr="002E5540">
        <w:rPr>
          <w:rFonts w:ascii="Times New Roman" w:eastAsia="宋体" w:hAnsi="Times New Roman" w:hint="eastAsia"/>
          <w:shd w:val="clear" w:color="auto" w:fill="FFFFFF"/>
        </w:rPr>
        <w:t>证券股份有限公司（以下简称“独立财务顾问”）作为广东天亿马信息产业股份有限公司的独立财务顾问，根据中国证券监督管理委员会（以下简称“中国证监会”）颁发的《监管规则适用指引</w:t>
      </w:r>
      <w:r w:rsidR="0075403E" w:rsidRPr="0075403E">
        <w:rPr>
          <w:rFonts w:ascii="Times New Roman" w:eastAsia="宋体" w:hAnsi="Times New Roman" w:hint="eastAsia"/>
          <w:shd w:val="clear" w:color="auto" w:fill="FFFFFF"/>
        </w:rPr>
        <w:t>——</w:t>
      </w:r>
      <w:r w:rsidRPr="002E5540">
        <w:rPr>
          <w:rFonts w:ascii="Times New Roman" w:eastAsia="宋体" w:hAnsi="Times New Roman" w:hint="eastAsia"/>
          <w:shd w:val="clear" w:color="auto" w:fill="FFFFFF"/>
        </w:rPr>
        <w:t>上市类第</w:t>
      </w:r>
      <w:r w:rsidRPr="002E5540">
        <w:rPr>
          <w:rFonts w:ascii="Times New Roman" w:eastAsia="宋体" w:hAnsi="Times New Roman" w:hint="eastAsia"/>
          <w:shd w:val="clear" w:color="auto" w:fill="FFFFFF"/>
        </w:rPr>
        <w:t>1</w:t>
      </w:r>
      <w:r w:rsidRPr="002E5540">
        <w:rPr>
          <w:rFonts w:ascii="Times New Roman" w:eastAsia="宋体" w:hAnsi="Times New Roman" w:hint="eastAsia"/>
          <w:shd w:val="clear" w:color="auto" w:fill="FFFFFF"/>
        </w:rPr>
        <w:t>号》等规范性文件的要求，对本次交易涉及的如下事项发表核查意见</w:t>
      </w:r>
      <w:r w:rsidR="000D722A">
        <w:rPr>
          <w:rFonts w:ascii="Times New Roman" w:eastAsia="宋体" w:hAnsi="Times New Roman"/>
          <w:shd w:val="clear" w:color="auto" w:fill="FFFFFF"/>
        </w:rPr>
        <w:t>：</w:t>
      </w:r>
    </w:p>
    <w:p w14:paraId="001F1A10" w14:textId="77777777" w:rsidR="00E90AC0" w:rsidRDefault="000D722A" w:rsidP="0069159D">
      <w:pPr>
        <w:pStyle w:val="1"/>
        <w:spacing w:beforeLines="50" w:before="120" w:afterLines="50" w:after="120" w:line="360" w:lineRule="auto"/>
        <w:ind w:left="0" w:firstLineChars="200" w:firstLine="482"/>
        <w:rPr>
          <w:rFonts w:ascii="Times New Roman" w:eastAsiaTheme="majorEastAsia" w:hAnsi="Times New Roman" w:cs="Times New Roman"/>
          <w:lang w:eastAsia="zh-CN"/>
        </w:rPr>
      </w:pPr>
      <w:r>
        <w:rPr>
          <w:rFonts w:ascii="Times New Roman" w:eastAsiaTheme="majorEastAsia" w:hAnsi="Times New Roman" w:cs="Times New Roman"/>
          <w:lang w:eastAsia="zh-CN"/>
        </w:rPr>
        <w:t>一、</w:t>
      </w:r>
      <w:bookmarkStart w:id="1" w:name="一、标的公司基本情况及业绩情况"/>
      <w:bookmarkEnd w:id="1"/>
      <w:r>
        <w:rPr>
          <w:rFonts w:ascii="Times New Roman" w:eastAsiaTheme="majorEastAsia" w:hAnsi="Times New Roman" w:cs="Times New Roman" w:hint="eastAsia"/>
          <w:lang w:eastAsia="zh-CN"/>
        </w:rPr>
        <w:t>本次重大资产重组涉及的行业或企业是否属于《国务院关于促进企业兼并重组的意见》和工信部等十二部委《关于加快推进重点行业企业兼并重组的指导意见》确定的“汽车、钢铁、水泥、船舶、电解铝、稀土、电子信息、医药、农业产业化龙头企业”、以及是否属于中国证监会《监管规则适用指引——上市类第</w:t>
      </w:r>
      <w:r>
        <w:rPr>
          <w:rFonts w:ascii="Times New Roman" w:eastAsiaTheme="majorEastAsia" w:hAnsi="Times New Roman" w:cs="Times New Roman" w:hint="eastAsia"/>
          <w:lang w:eastAsia="zh-CN"/>
        </w:rPr>
        <w:t>1</w:t>
      </w:r>
      <w:r>
        <w:rPr>
          <w:rFonts w:ascii="Times New Roman" w:eastAsiaTheme="majorEastAsia" w:hAnsi="Times New Roman" w:cs="Times New Roman" w:hint="eastAsia"/>
          <w:lang w:eastAsia="zh-CN"/>
        </w:rPr>
        <w:t>号》确定的“汽车、钢铁、水泥、船舶、电解铝、稀土、电子信息、医药、农业产业化龙头企业、高档数控机床和机器人、航空航天装备、海洋工程装备及高技术船舶、先进轨道交通装备、电力装备、新一代信息技术、新材料、环保、新能源、生物产业；党中央、国务院要求的其他亟需加快整合、转型升级的产业”</w:t>
      </w:r>
    </w:p>
    <w:p w14:paraId="5FA519DD" w14:textId="77777777" w:rsidR="00E90AC0" w:rsidRDefault="000D722A" w:rsidP="0069159D">
      <w:pPr>
        <w:pStyle w:val="005"/>
        <w:spacing w:before="120" w:afterLines="50" w:after="120"/>
        <w:ind w:firstLine="480"/>
        <w:rPr>
          <w:rFonts w:ascii="Times New Roman" w:hAnsi="Times New Roman" w:cs="Times New Roman"/>
          <w:lang w:eastAsia="zh-CN"/>
        </w:rPr>
      </w:pPr>
      <w:bookmarkStart w:id="2" w:name="（一）标的公司基本情况"/>
      <w:bookmarkStart w:id="3" w:name="（三）标的公司报告期各期利润表主要财务数据情况"/>
      <w:bookmarkStart w:id="4" w:name="_Hlk191635557"/>
      <w:bookmarkEnd w:id="2"/>
      <w:bookmarkEnd w:id="3"/>
      <w:r>
        <w:rPr>
          <w:rFonts w:ascii="Times New Roman" w:hAnsi="Times New Roman" w:cs="Times New Roman" w:hint="eastAsia"/>
          <w:lang w:eastAsia="zh-CN"/>
        </w:rPr>
        <w:t>上市公司深耕信息技术领域二十多年，一直致力于融合物联网、大数据、云计算、人工智能等新一代信息技术，形成了产品研发、信息技术解决方案和信息系统运维服务三大核心业务板块，并主动布局智能算力、数据要素等新兴业务赛道，持续拓展</w:t>
      </w:r>
      <w:proofErr w:type="gramStart"/>
      <w:r>
        <w:rPr>
          <w:rFonts w:ascii="Times New Roman" w:hAnsi="Times New Roman" w:cs="Times New Roman" w:hint="eastAsia"/>
          <w:lang w:eastAsia="zh-CN"/>
        </w:rPr>
        <w:t>算力网络</w:t>
      </w:r>
      <w:proofErr w:type="gramEnd"/>
      <w:r>
        <w:rPr>
          <w:rFonts w:ascii="Times New Roman" w:hAnsi="Times New Roman" w:cs="Times New Roman" w:hint="eastAsia"/>
          <w:lang w:eastAsia="zh-CN"/>
        </w:rPr>
        <w:t>集群服务，加速数据要素商业化进程</w:t>
      </w:r>
      <w:r>
        <w:rPr>
          <w:rFonts w:ascii="Times New Roman" w:hAnsi="Times New Roman" w:cs="Times New Roman"/>
          <w:lang w:eastAsia="zh-CN"/>
        </w:rPr>
        <w:t>。</w:t>
      </w:r>
      <w:r>
        <w:rPr>
          <w:rFonts w:ascii="Times New Roman" w:hAnsi="Times New Roman" w:cs="Times New Roman" w:hint="eastAsia"/>
          <w:lang w:eastAsia="zh-CN"/>
        </w:rPr>
        <w:t>标的公司是一家智能自助设备数字化服务提供商，专注于提供“</w:t>
      </w:r>
      <w:r>
        <w:rPr>
          <w:rFonts w:ascii="Times New Roman" w:hAnsi="Times New Roman" w:cs="Times New Roman" w:hint="eastAsia"/>
          <w:lang w:eastAsia="zh-CN"/>
        </w:rPr>
        <w:t>IoT</w:t>
      </w:r>
      <w:r>
        <w:rPr>
          <w:rFonts w:ascii="Times New Roman" w:hAnsi="Times New Roman" w:cs="Times New Roman" w:hint="eastAsia"/>
          <w:lang w:eastAsia="zh-CN"/>
        </w:rPr>
        <w:t>智能硬件</w:t>
      </w:r>
      <w:r>
        <w:rPr>
          <w:rFonts w:ascii="Times New Roman" w:hAnsi="Times New Roman" w:cs="Times New Roman" w:hint="eastAsia"/>
          <w:lang w:eastAsia="zh-CN"/>
        </w:rPr>
        <w:t>+SaaS</w:t>
      </w:r>
      <w:r>
        <w:rPr>
          <w:rFonts w:ascii="Times New Roman" w:hAnsi="Times New Roman" w:cs="Times New Roman" w:hint="eastAsia"/>
          <w:lang w:eastAsia="zh-CN"/>
        </w:rPr>
        <w:t>云平台”一体化解决方案，致力于实现自助设备产业的数字化升级。自</w:t>
      </w:r>
      <w:r>
        <w:rPr>
          <w:rFonts w:ascii="Times New Roman" w:hAnsi="Times New Roman" w:cs="Times New Roman" w:hint="eastAsia"/>
          <w:lang w:eastAsia="zh-CN"/>
        </w:rPr>
        <w:t>2015</w:t>
      </w:r>
      <w:r>
        <w:rPr>
          <w:rFonts w:ascii="Times New Roman" w:hAnsi="Times New Roman" w:cs="Times New Roman" w:hint="eastAsia"/>
          <w:lang w:eastAsia="zh-CN"/>
        </w:rPr>
        <w:t>年成立以来，标的公司秉承“打造千万级智能设备平台”的</w:t>
      </w:r>
      <w:proofErr w:type="gramStart"/>
      <w:r>
        <w:rPr>
          <w:rFonts w:ascii="Times New Roman" w:hAnsi="Times New Roman" w:cs="Times New Roman" w:hint="eastAsia"/>
          <w:lang w:eastAsia="zh-CN"/>
        </w:rPr>
        <w:t>长期愿景和</w:t>
      </w:r>
      <w:proofErr w:type="gramEnd"/>
      <w:r>
        <w:rPr>
          <w:rFonts w:ascii="Times New Roman" w:hAnsi="Times New Roman" w:cs="Times New Roman" w:hint="eastAsia"/>
          <w:lang w:eastAsia="zh-CN"/>
        </w:rPr>
        <w:t>“让设备更智能，让生活更美好”的企业使命，已成为国内自助设备物联网硬软件的头部服务商。</w:t>
      </w:r>
    </w:p>
    <w:p w14:paraId="6728CE6B" w14:textId="5DC1A75C" w:rsidR="00E90AC0" w:rsidRDefault="000D722A" w:rsidP="0069159D">
      <w:pPr>
        <w:pStyle w:val="005"/>
        <w:spacing w:before="120" w:afterLines="50" w:after="120"/>
        <w:ind w:firstLine="480"/>
        <w:rPr>
          <w:rFonts w:ascii="Times New Roman" w:hAnsi="Times New Roman" w:cs="Times New Roman"/>
          <w:lang w:eastAsia="zh-CN"/>
        </w:rPr>
      </w:pPr>
      <w:r>
        <w:rPr>
          <w:rFonts w:ascii="Times New Roman" w:hAnsi="Times New Roman" w:cs="Times New Roman" w:hint="eastAsia"/>
          <w:lang w:eastAsia="zh-CN"/>
        </w:rPr>
        <w:lastRenderedPageBreak/>
        <w:t>根据《国民经济行业分类》（</w:t>
      </w:r>
      <w:r>
        <w:rPr>
          <w:rFonts w:ascii="Times New Roman" w:hAnsi="Times New Roman" w:cs="Times New Roman" w:hint="eastAsia"/>
          <w:lang w:eastAsia="zh-CN"/>
        </w:rPr>
        <w:t>GB/T4754-2017</w:t>
      </w:r>
      <w:r>
        <w:rPr>
          <w:rFonts w:ascii="Times New Roman" w:hAnsi="Times New Roman" w:cs="Times New Roman" w:hint="eastAsia"/>
          <w:lang w:eastAsia="zh-CN"/>
        </w:rPr>
        <w:t>），上市公司属于“软件和信息技术服务业”（</w:t>
      </w:r>
      <w:r>
        <w:rPr>
          <w:rFonts w:ascii="Times New Roman" w:hAnsi="Times New Roman" w:cs="Times New Roman" w:hint="eastAsia"/>
          <w:lang w:eastAsia="zh-CN"/>
        </w:rPr>
        <w:t>I65</w:t>
      </w:r>
      <w:r>
        <w:rPr>
          <w:rFonts w:ascii="Times New Roman" w:hAnsi="Times New Roman" w:cs="Times New Roman" w:hint="eastAsia"/>
          <w:lang w:eastAsia="zh-CN"/>
        </w:rPr>
        <w:t>），标的公司属于“信息传输、软件和信息技术服务业”（</w:t>
      </w:r>
      <w:r>
        <w:rPr>
          <w:rFonts w:ascii="Times New Roman" w:hAnsi="Times New Roman" w:cs="Times New Roman" w:hint="eastAsia"/>
          <w:lang w:eastAsia="zh-CN"/>
        </w:rPr>
        <w:t>I65</w:t>
      </w:r>
      <w:r>
        <w:rPr>
          <w:rFonts w:ascii="Times New Roman" w:hAnsi="Times New Roman" w:cs="Times New Roman" w:hint="eastAsia"/>
          <w:lang w:eastAsia="zh-CN"/>
        </w:rPr>
        <w:t>）之“信息系统集成和</w:t>
      </w:r>
      <w:proofErr w:type="gramStart"/>
      <w:r>
        <w:rPr>
          <w:rFonts w:ascii="Times New Roman" w:hAnsi="Times New Roman" w:cs="Times New Roman" w:hint="eastAsia"/>
          <w:lang w:eastAsia="zh-CN"/>
        </w:rPr>
        <w:t>物联网</w:t>
      </w:r>
      <w:proofErr w:type="gramEnd"/>
      <w:r>
        <w:rPr>
          <w:rFonts w:ascii="Times New Roman" w:hAnsi="Times New Roman" w:cs="Times New Roman" w:hint="eastAsia"/>
          <w:lang w:eastAsia="zh-CN"/>
        </w:rPr>
        <w:t>技术服务”（</w:t>
      </w:r>
      <w:r>
        <w:rPr>
          <w:rFonts w:ascii="Times New Roman" w:hAnsi="Times New Roman" w:cs="Times New Roman" w:hint="eastAsia"/>
          <w:lang w:eastAsia="zh-CN"/>
        </w:rPr>
        <w:t>I653</w:t>
      </w:r>
      <w:r>
        <w:rPr>
          <w:rFonts w:ascii="Times New Roman" w:hAnsi="Times New Roman" w:cs="Times New Roman" w:hint="eastAsia"/>
          <w:lang w:eastAsia="zh-CN"/>
        </w:rPr>
        <w:t>）。</w:t>
      </w:r>
    </w:p>
    <w:p w14:paraId="26F4106C" w14:textId="77777777" w:rsidR="00E90AC0" w:rsidRDefault="000D722A" w:rsidP="0069159D">
      <w:pPr>
        <w:pStyle w:val="005"/>
        <w:spacing w:before="120" w:afterLines="50" w:after="120"/>
        <w:ind w:firstLine="480"/>
        <w:rPr>
          <w:rFonts w:ascii="Times New Roman" w:hAnsi="Times New Roman" w:cs="Times New Roman"/>
          <w:lang w:eastAsia="zh-CN"/>
        </w:rPr>
      </w:pPr>
      <w:r>
        <w:rPr>
          <w:rFonts w:ascii="Times New Roman" w:hAnsi="Times New Roman" w:cs="Times New Roman" w:hint="eastAsia"/>
          <w:lang w:eastAsia="zh-CN"/>
        </w:rPr>
        <w:t>经核查，独立财务顾问认为：本次资产重组涉及的行业与企业属于《国务院关于促进企业兼并重组的意见》和工信部等十二部委《关于加快推进重点行业企业兼并重组的指导意见》中的“电子信息”行业；亦属于中国证监会《监管规则适用指引——上市类第</w:t>
      </w:r>
      <w:r>
        <w:rPr>
          <w:rFonts w:ascii="Times New Roman" w:hAnsi="Times New Roman" w:cs="Times New Roman" w:hint="eastAsia"/>
          <w:lang w:eastAsia="zh-CN"/>
        </w:rPr>
        <w:t>1</w:t>
      </w:r>
      <w:r>
        <w:rPr>
          <w:rFonts w:ascii="Times New Roman" w:hAnsi="Times New Roman" w:cs="Times New Roman" w:hint="eastAsia"/>
          <w:lang w:eastAsia="zh-CN"/>
        </w:rPr>
        <w:t>号》中的“新一代信息技术”行业。</w:t>
      </w:r>
    </w:p>
    <w:p w14:paraId="1BF68E6A" w14:textId="77777777" w:rsidR="00E90AC0" w:rsidRDefault="000D722A" w:rsidP="0069159D">
      <w:pPr>
        <w:pStyle w:val="1"/>
        <w:spacing w:beforeLines="50" w:before="120" w:afterLines="50" w:after="120" w:line="360" w:lineRule="auto"/>
        <w:ind w:left="0" w:firstLineChars="200" w:firstLine="482"/>
        <w:rPr>
          <w:rFonts w:ascii="Times New Roman" w:eastAsiaTheme="majorEastAsia" w:hAnsi="Times New Roman" w:cs="Times New Roman"/>
          <w:lang w:eastAsia="zh-CN"/>
        </w:rPr>
      </w:pPr>
      <w:bookmarkStart w:id="5" w:name="（六）负债核查"/>
      <w:bookmarkStart w:id="6" w:name="2.应付账款核查"/>
      <w:bookmarkStart w:id="7" w:name="1._货币资金核查"/>
      <w:bookmarkStart w:id="8" w:name="3.应付职工薪酬核查"/>
      <w:bookmarkStart w:id="9" w:name="3._固定资产、在建工程核查"/>
      <w:bookmarkStart w:id="10" w:name="5.其他应付款核查"/>
      <w:bookmarkStart w:id="11" w:name="2._应收账款核查"/>
      <w:bookmarkStart w:id="12" w:name="（五）资产核查"/>
      <w:bookmarkStart w:id="13" w:name="四、业绩真实性核查结论"/>
      <w:bookmarkStart w:id="14" w:name="1.短期借款、一年内到期的非流动负债、长期借款核查"/>
      <w:bookmarkStart w:id="15" w:name="（四）报告期内非经常性损益核查情况"/>
      <w:bookmarkEnd w:id="4"/>
      <w:bookmarkEnd w:id="5"/>
      <w:bookmarkEnd w:id="6"/>
      <w:bookmarkEnd w:id="7"/>
      <w:bookmarkEnd w:id="8"/>
      <w:bookmarkEnd w:id="9"/>
      <w:bookmarkEnd w:id="10"/>
      <w:bookmarkEnd w:id="11"/>
      <w:bookmarkEnd w:id="12"/>
      <w:bookmarkEnd w:id="13"/>
      <w:bookmarkEnd w:id="14"/>
      <w:bookmarkEnd w:id="15"/>
      <w:r>
        <w:rPr>
          <w:rFonts w:ascii="Times New Roman" w:eastAsiaTheme="majorEastAsia" w:hAnsi="Times New Roman" w:cs="Times New Roman" w:hint="eastAsia"/>
          <w:lang w:eastAsia="zh-CN"/>
        </w:rPr>
        <w:t>二</w:t>
      </w:r>
      <w:r>
        <w:rPr>
          <w:rFonts w:ascii="Times New Roman" w:eastAsiaTheme="majorEastAsia" w:hAnsi="Times New Roman" w:cs="Times New Roman"/>
          <w:lang w:eastAsia="zh-CN"/>
        </w:rPr>
        <w:t>、</w:t>
      </w:r>
      <w:r>
        <w:rPr>
          <w:rFonts w:ascii="Times New Roman" w:eastAsiaTheme="majorEastAsia" w:hAnsi="Times New Roman" w:cs="Times New Roman" w:hint="eastAsia"/>
          <w:lang w:eastAsia="zh-CN"/>
        </w:rPr>
        <w:t>本次重大资产重组所涉及的交易类型是否属于同行业或上下游并购，是否构成借壳上市</w:t>
      </w:r>
    </w:p>
    <w:p w14:paraId="33C1D951" w14:textId="77777777" w:rsidR="00E90AC0" w:rsidRDefault="000D722A" w:rsidP="0069159D">
      <w:pPr>
        <w:pStyle w:val="005"/>
        <w:spacing w:before="120" w:afterLines="50" w:after="120"/>
        <w:ind w:firstLine="480"/>
        <w:rPr>
          <w:rFonts w:ascii="Times New Roman" w:eastAsiaTheme="majorEastAsia" w:hAnsi="Times New Roman" w:cs="Times New Roman"/>
          <w:lang w:eastAsia="zh-CN"/>
        </w:rPr>
      </w:pPr>
      <w:r>
        <w:rPr>
          <w:rFonts w:ascii="Times New Roman" w:eastAsiaTheme="majorEastAsia" w:hAnsi="Times New Roman" w:cs="Times New Roman" w:hint="eastAsia"/>
          <w:lang w:eastAsia="zh-CN"/>
        </w:rPr>
        <w:t>1</w:t>
      </w:r>
      <w:r>
        <w:rPr>
          <w:rFonts w:ascii="Times New Roman" w:eastAsiaTheme="majorEastAsia" w:hAnsi="Times New Roman" w:cs="Times New Roman" w:hint="eastAsia"/>
          <w:lang w:eastAsia="zh-CN"/>
        </w:rPr>
        <w:t>、本次重大资产重组所涉及的交易类型属于同行业或上下游并购，不构成借壳上市</w:t>
      </w:r>
    </w:p>
    <w:p w14:paraId="270C57C8" w14:textId="77777777" w:rsidR="00E90AC0" w:rsidRDefault="000D722A" w:rsidP="0069159D">
      <w:pPr>
        <w:pStyle w:val="005"/>
        <w:spacing w:before="120" w:afterLines="50" w:after="120"/>
        <w:ind w:firstLine="480"/>
        <w:rPr>
          <w:rFonts w:ascii="Times New Roman" w:eastAsiaTheme="majorEastAsia" w:hAnsi="Times New Roman" w:cs="Times New Roman"/>
          <w:lang w:eastAsia="zh-CN"/>
        </w:rPr>
      </w:pPr>
      <w:bookmarkStart w:id="16" w:name="_Hlk212812519"/>
      <w:r>
        <w:rPr>
          <w:rFonts w:ascii="Times New Roman" w:eastAsiaTheme="majorEastAsia" w:hAnsi="Times New Roman" w:cs="Times New Roman" w:hint="eastAsia"/>
          <w:lang w:eastAsia="zh-CN"/>
        </w:rPr>
        <w:t>上市公司、标的公司所处行业均属于“软件和信息技术服务业”（分类代码</w:t>
      </w:r>
      <w:r>
        <w:rPr>
          <w:rFonts w:ascii="Times New Roman" w:eastAsiaTheme="majorEastAsia" w:hAnsi="Times New Roman" w:cs="Times New Roman" w:hint="eastAsia"/>
          <w:lang w:eastAsia="zh-CN"/>
        </w:rPr>
        <w:t>I65</w:t>
      </w:r>
      <w:r>
        <w:rPr>
          <w:rFonts w:ascii="Times New Roman" w:eastAsiaTheme="majorEastAsia" w:hAnsi="Times New Roman" w:cs="Times New Roman" w:hint="eastAsia"/>
          <w:lang w:eastAsia="zh-CN"/>
        </w:rPr>
        <w:t>），上市公司与标的公司处于同行业</w:t>
      </w:r>
      <w:bookmarkEnd w:id="16"/>
      <w:r>
        <w:rPr>
          <w:rFonts w:ascii="Times New Roman" w:eastAsiaTheme="majorEastAsia" w:hAnsi="Times New Roman" w:cs="Times New Roman" w:hint="eastAsia"/>
          <w:lang w:eastAsia="zh-CN"/>
        </w:rPr>
        <w:t>。</w:t>
      </w:r>
    </w:p>
    <w:p w14:paraId="5CC23C04" w14:textId="77777777" w:rsidR="00E90AC0" w:rsidRDefault="000D722A" w:rsidP="0069159D">
      <w:pPr>
        <w:pStyle w:val="005"/>
        <w:spacing w:before="120" w:afterLines="50" w:after="120"/>
        <w:ind w:firstLine="480"/>
        <w:rPr>
          <w:rFonts w:ascii="Times New Roman" w:eastAsiaTheme="majorEastAsia" w:hAnsi="Times New Roman" w:cs="Times New Roman"/>
          <w:lang w:eastAsia="zh-CN"/>
        </w:rPr>
      </w:pPr>
      <w:bookmarkStart w:id="17" w:name="_Hlk209618795"/>
      <w:r>
        <w:rPr>
          <w:rFonts w:ascii="Times New Roman" w:eastAsiaTheme="majorEastAsia" w:hAnsi="Times New Roman" w:cs="Times New Roman"/>
          <w:lang w:eastAsia="zh-CN"/>
        </w:rPr>
        <w:t>经核查，独立财务顾问认为</w:t>
      </w:r>
      <w:r>
        <w:rPr>
          <w:rFonts w:ascii="Times New Roman" w:eastAsiaTheme="majorEastAsia" w:hAnsi="Times New Roman" w:cs="Times New Roman" w:hint="eastAsia"/>
          <w:lang w:eastAsia="zh-CN"/>
        </w:rPr>
        <w:t>：</w:t>
      </w:r>
      <w:bookmarkEnd w:id="17"/>
      <w:r>
        <w:rPr>
          <w:rFonts w:ascii="Times New Roman" w:eastAsiaTheme="majorEastAsia" w:hAnsi="Times New Roman" w:cs="Times New Roman" w:hint="eastAsia"/>
          <w:lang w:eastAsia="zh-CN"/>
        </w:rPr>
        <w:t>本次交易属于同行业并购</w:t>
      </w:r>
      <w:r>
        <w:rPr>
          <w:rFonts w:ascii="Times New Roman" w:eastAsiaTheme="majorEastAsia" w:hAnsi="Times New Roman" w:cs="Times New Roman"/>
          <w:lang w:eastAsia="zh-CN"/>
        </w:rPr>
        <w:t>。</w:t>
      </w:r>
    </w:p>
    <w:p w14:paraId="6DCC450F" w14:textId="77777777" w:rsidR="00E90AC0" w:rsidRDefault="000D722A" w:rsidP="0069159D">
      <w:pPr>
        <w:adjustRightInd w:val="0"/>
        <w:snapToGrid w:val="0"/>
        <w:spacing w:beforeLines="50" w:before="120" w:afterLines="50" w:after="120" w:line="360" w:lineRule="auto"/>
        <w:ind w:firstLineChars="200" w:firstLine="480"/>
        <w:jc w:val="both"/>
        <w:rPr>
          <w:rFonts w:ascii="Times New Roman" w:eastAsiaTheme="majorEastAsia" w:hAnsi="Times New Roman" w:cs="Times New Roman"/>
          <w:kern w:val="2"/>
          <w:sz w:val="24"/>
          <w:szCs w:val="20"/>
          <w:lang w:eastAsia="zh-CN"/>
        </w:rPr>
      </w:pPr>
      <w:r>
        <w:rPr>
          <w:rFonts w:ascii="Times New Roman" w:eastAsiaTheme="majorEastAsia" w:hAnsi="Times New Roman" w:cs="Times New Roman" w:hint="eastAsia"/>
          <w:kern w:val="2"/>
          <w:sz w:val="24"/>
          <w:szCs w:val="20"/>
          <w:lang w:eastAsia="zh-CN"/>
        </w:rPr>
        <w:t>2</w:t>
      </w:r>
      <w:r>
        <w:rPr>
          <w:rFonts w:ascii="Times New Roman" w:eastAsiaTheme="majorEastAsia" w:hAnsi="Times New Roman" w:cs="Times New Roman"/>
          <w:kern w:val="2"/>
          <w:sz w:val="24"/>
          <w:szCs w:val="20"/>
          <w:lang w:eastAsia="zh-CN"/>
        </w:rPr>
        <w:t>、</w:t>
      </w:r>
      <w:r>
        <w:rPr>
          <w:rFonts w:ascii="Times New Roman" w:eastAsiaTheme="majorEastAsia" w:hAnsi="Times New Roman" w:cs="Times New Roman" w:hint="eastAsia"/>
          <w:kern w:val="2"/>
          <w:sz w:val="24"/>
          <w:szCs w:val="20"/>
          <w:lang w:eastAsia="zh-CN"/>
        </w:rPr>
        <w:t>本次交易不构成《上市公司重大资产重组管理办法》第十三条规定的重组上市</w:t>
      </w:r>
    </w:p>
    <w:p w14:paraId="1ABC76F7" w14:textId="77777777" w:rsidR="00E90AC0" w:rsidRDefault="000D722A" w:rsidP="0069159D">
      <w:pPr>
        <w:adjustRightInd w:val="0"/>
        <w:snapToGrid w:val="0"/>
        <w:spacing w:beforeLines="50" w:before="120" w:afterLines="50" w:after="120" w:line="360" w:lineRule="auto"/>
        <w:ind w:firstLineChars="200" w:firstLine="480"/>
        <w:jc w:val="both"/>
        <w:rPr>
          <w:rFonts w:ascii="Times New Roman" w:eastAsiaTheme="majorEastAsia" w:hAnsi="Times New Roman" w:cs="Times New Roman"/>
          <w:kern w:val="2"/>
          <w:sz w:val="24"/>
          <w:szCs w:val="20"/>
          <w:lang w:eastAsia="zh-CN"/>
        </w:rPr>
      </w:pPr>
      <w:r>
        <w:rPr>
          <w:rFonts w:ascii="Times New Roman" w:eastAsiaTheme="majorEastAsia" w:hAnsi="Times New Roman" w:cs="Times New Roman" w:hint="eastAsia"/>
          <w:kern w:val="2"/>
          <w:sz w:val="24"/>
          <w:szCs w:val="20"/>
          <w:lang w:eastAsia="zh-CN"/>
        </w:rPr>
        <w:t>本次交易前后，上市公司的实际控制人均为马学沛先生及林明玲女士，本次交易不会导致公司控制权变更；且本次交易前</w:t>
      </w:r>
      <w:r>
        <w:rPr>
          <w:rFonts w:ascii="Times New Roman" w:eastAsiaTheme="majorEastAsia" w:hAnsi="Times New Roman" w:cs="Times New Roman" w:hint="eastAsia"/>
          <w:kern w:val="2"/>
          <w:sz w:val="24"/>
          <w:szCs w:val="20"/>
          <w:lang w:eastAsia="zh-CN"/>
        </w:rPr>
        <w:t>36</w:t>
      </w:r>
      <w:r>
        <w:rPr>
          <w:rFonts w:ascii="Times New Roman" w:eastAsiaTheme="majorEastAsia" w:hAnsi="Times New Roman" w:cs="Times New Roman" w:hint="eastAsia"/>
          <w:kern w:val="2"/>
          <w:sz w:val="24"/>
          <w:szCs w:val="20"/>
          <w:lang w:eastAsia="zh-CN"/>
        </w:rPr>
        <w:t>个月内，上市公司的实际控制权未发生变化。</w:t>
      </w:r>
    </w:p>
    <w:p w14:paraId="2F5BBADD" w14:textId="77777777" w:rsidR="00E90AC0" w:rsidRDefault="000D722A" w:rsidP="0069159D">
      <w:pPr>
        <w:adjustRightInd w:val="0"/>
        <w:snapToGrid w:val="0"/>
        <w:spacing w:beforeLines="50" w:before="120" w:afterLines="50" w:after="120" w:line="360" w:lineRule="auto"/>
        <w:ind w:firstLineChars="200" w:firstLine="480"/>
        <w:jc w:val="both"/>
        <w:rPr>
          <w:rFonts w:ascii="Times New Roman" w:eastAsiaTheme="majorEastAsia" w:hAnsi="Times New Roman" w:cs="Times New Roman"/>
          <w:kern w:val="2"/>
          <w:sz w:val="24"/>
          <w:szCs w:val="20"/>
          <w:lang w:eastAsia="zh-CN"/>
        </w:rPr>
      </w:pPr>
      <w:r>
        <w:rPr>
          <w:rFonts w:ascii="Times New Roman" w:eastAsiaTheme="majorEastAsia" w:hAnsi="Times New Roman" w:cs="Times New Roman" w:hint="eastAsia"/>
          <w:kern w:val="2"/>
          <w:sz w:val="24"/>
          <w:szCs w:val="20"/>
          <w:lang w:eastAsia="zh-CN"/>
        </w:rPr>
        <w:t>经核查，独立财务顾问认为：本次交易不构成《上市公司重大资产重组管理办法》第十三条规定的重组上市</w:t>
      </w:r>
      <w:r>
        <w:rPr>
          <w:rFonts w:ascii="Times New Roman" w:eastAsiaTheme="majorEastAsia" w:hAnsi="Times New Roman" w:cs="Times New Roman"/>
          <w:kern w:val="2"/>
          <w:sz w:val="24"/>
          <w:szCs w:val="20"/>
          <w:lang w:eastAsia="zh-CN"/>
        </w:rPr>
        <w:t>。</w:t>
      </w:r>
    </w:p>
    <w:p w14:paraId="1C773E83" w14:textId="77777777" w:rsidR="00E90AC0" w:rsidRDefault="000D722A" w:rsidP="0069159D">
      <w:pPr>
        <w:pStyle w:val="1"/>
        <w:spacing w:beforeLines="50" w:before="120" w:afterLines="50" w:after="120" w:line="360" w:lineRule="auto"/>
        <w:ind w:left="0" w:firstLineChars="200" w:firstLine="482"/>
        <w:rPr>
          <w:rFonts w:ascii="Times New Roman" w:eastAsiaTheme="majorEastAsia" w:hAnsi="Times New Roman" w:cs="Times New Roman"/>
          <w:lang w:eastAsia="zh-CN"/>
        </w:rPr>
      </w:pPr>
      <w:r>
        <w:rPr>
          <w:rFonts w:ascii="Times New Roman" w:eastAsiaTheme="majorEastAsia" w:hAnsi="Times New Roman" w:cs="Times New Roman" w:hint="eastAsia"/>
          <w:lang w:eastAsia="zh-CN"/>
        </w:rPr>
        <w:t>三</w:t>
      </w:r>
      <w:r>
        <w:rPr>
          <w:rFonts w:ascii="Times New Roman" w:eastAsiaTheme="majorEastAsia" w:hAnsi="Times New Roman" w:cs="Times New Roman"/>
          <w:lang w:eastAsia="zh-CN"/>
        </w:rPr>
        <w:t>、</w:t>
      </w:r>
      <w:r>
        <w:rPr>
          <w:rFonts w:ascii="Times New Roman" w:eastAsiaTheme="majorEastAsia" w:hAnsi="Times New Roman" w:cs="Times New Roman" w:hint="eastAsia"/>
          <w:lang w:eastAsia="zh-CN"/>
        </w:rPr>
        <w:t>本次重大资产重组是否涉及发行股份</w:t>
      </w:r>
    </w:p>
    <w:p w14:paraId="246D662B" w14:textId="495AE59A" w:rsidR="00E90AC0" w:rsidRDefault="000D722A" w:rsidP="0069159D">
      <w:pPr>
        <w:adjustRightInd w:val="0"/>
        <w:snapToGrid w:val="0"/>
        <w:spacing w:beforeLines="50" w:before="120" w:afterLines="50" w:after="120" w:line="360" w:lineRule="auto"/>
        <w:ind w:firstLineChars="200" w:firstLine="480"/>
        <w:jc w:val="both"/>
        <w:rPr>
          <w:rFonts w:ascii="Times New Roman" w:eastAsiaTheme="majorEastAsia" w:hAnsi="Times New Roman" w:cs="Times New Roman"/>
          <w:kern w:val="2"/>
          <w:sz w:val="24"/>
          <w:szCs w:val="20"/>
          <w:lang w:eastAsia="zh-CN"/>
        </w:rPr>
      </w:pPr>
      <w:r>
        <w:rPr>
          <w:rFonts w:ascii="Times New Roman" w:eastAsiaTheme="majorEastAsia" w:hAnsi="Times New Roman" w:cs="Times New Roman" w:hint="eastAsia"/>
          <w:kern w:val="2"/>
          <w:sz w:val="24"/>
          <w:szCs w:val="20"/>
          <w:lang w:eastAsia="zh-CN"/>
        </w:rPr>
        <w:t>本次交易上市公司拟通过发行股份及支付现金的方式向</w:t>
      </w:r>
      <w:r w:rsidR="0069159D" w:rsidRPr="0069159D">
        <w:rPr>
          <w:rFonts w:ascii="Times New Roman" w:eastAsiaTheme="majorEastAsia" w:hAnsi="Times New Roman" w:cs="Times New Roman" w:hint="eastAsia"/>
          <w:kern w:val="2"/>
          <w:sz w:val="24"/>
          <w:szCs w:val="20"/>
          <w:lang w:eastAsia="zh-CN"/>
        </w:rPr>
        <w:t>陈耿豪、南通成为常青股权投资合伙企业（有限合伙）、珠海广发信德科文创业投资基金（有限合伙）、苏州市德同合心创业投资合伙企业（有限合伙）、</w:t>
      </w:r>
      <w:r w:rsidR="00807CF6">
        <w:rPr>
          <w:rFonts w:ascii="Times New Roman" w:eastAsiaTheme="majorEastAsia" w:hAnsi="Times New Roman" w:cs="Times New Roman" w:hint="eastAsia"/>
          <w:kern w:val="2"/>
          <w:sz w:val="24"/>
          <w:szCs w:val="20"/>
          <w:lang w:eastAsia="zh-CN"/>
        </w:rPr>
        <w:t>泰安</w:t>
      </w:r>
      <w:r w:rsidR="0069159D" w:rsidRPr="0069159D">
        <w:rPr>
          <w:rFonts w:ascii="Times New Roman" w:eastAsiaTheme="majorEastAsia" w:hAnsi="Times New Roman" w:cs="Times New Roman" w:hint="eastAsia"/>
          <w:kern w:val="2"/>
          <w:sz w:val="24"/>
          <w:szCs w:val="20"/>
          <w:lang w:eastAsia="zh-CN"/>
        </w:rPr>
        <w:t>乐陶陶投资</w:t>
      </w:r>
      <w:r w:rsidR="00807CF6">
        <w:rPr>
          <w:rFonts w:ascii="Times New Roman" w:eastAsiaTheme="majorEastAsia" w:hAnsi="Times New Roman" w:cs="Times New Roman" w:hint="eastAsia"/>
          <w:kern w:val="2"/>
          <w:sz w:val="24"/>
          <w:szCs w:val="20"/>
          <w:lang w:eastAsia="zh-CN"/>
        </w:rPr>
        <w:t>服务</w:t>
      </w:r>
      <w:r w:rsidR="0069159D" w:rsidRPr="0069159D">
        <w:rPr>
          <w:rFonts w:ascii="Times New Roman" w:eastAsiaTheme="majorEastAsia" w:hAnsi="Times New Roman" w:cs="Times New Roman" w:hint="eastAsia"/>
          <w:kern w:val="2"/>
          <w:sz w:val="24"/>
          <w:szCs w:val="20"/>
          <w:lang w:eastAsia="zh-CN"/>
        </w:rPr>
        <w:t>合伙企业（有限合伙）、林芝利新信息技术有限公司、杨凯然、张杰波、璀璨远见（深圳）企业管理合伙企业（有限合伙）、泰安乐熙熙投资服务合伙企</w:t>
      </w:r>
      <w:r w:rsidR="0069159D" w:rsidRPr="0069159D">
        <w:rPr>
          <w:rFonts w:ascii="Times New Roman" w:eastAsiaTheme="majorEastAsia" w:hAnsi="Times New Roman" w:cs="Times New Roman" w:hint="eastAsia"/>
          <w:kern w:val="2"/>
          <w:sz w:val="24"/>
          <w:szCs w:val="20"/>
          <w:lang w:eastAsia="zh-CN"/>
        </w:rPr>
        <w:lastRenderedPageBreak/>
        <w:t>业（有限合伙）、泰安乐腾腾投资服务合伙企业（有限合伙）、深圳市前海千</w:t>
      </w:r>
      <w:proofErr w:type="gramStart"/>
      <w:r w:rsidR="0069159D" w:rsidRPr="0069159D">
        <w:rPr>
          <w:rFonts w:ascii="Times New Roman" w:eastAsiaTheme="majorEastAsia" w:hAnsi="Times New Roman" w:cs="Times New Roman" w:hint="eastAsia"/>
          <w:kern w:val="2"/>
          <w:sz w:val="24"/>
          <w:szCs w:val="20"/>
          <w:lang w:eastAsia="zh-CN"/>
        </w:rPr>
        <w:t>意智合三期</w:t>
      </w:r>
      <w:proofErr w:type="gramEnd"/>
      <w:r w:rsidR="0069159D" w:rsidRPr="0069159D">
        <w:rPr>
          <w:rFonts w:ascii="Times New Roman" w:eastAsiaTheme="majorEastAsia" w:hAnsi="Times New Roman" w:cs="Times New Roman" w:hint="eastAsia"/>
          <w:kern w:val="2"/>
          <w:sz w:val="24"/>
          <w:szCs w:val="20"/>
          <w:lang w:eastAsia="zh-CN"/>
        </w:rPr>
        <w:t>投资合伙企业（有限合伙）、胡俊、王佳、泰安乐哈哈投资服务合伙企业（有限合伙）、广州广发信德二期创业投资合伙企业（有限合伙）、</w:t>
      </w:r>
      <w:proofErr w:type="gramStart"/>
      <w:r w:rsidR="0069159D" w:rsidRPr="0069159D">
        <w:rPr>
          <w:rFonts w:ascii="Times New Roman" w:eastAsiaTheme="majorEastAsia" w:hAnsi="Times New Roman" w:cs="Times New Roman" w:hint="eastAsia"/>
          <w:kern w:val="2"/>
          <w:sz w:val="24"/>
          <w:szCs w:val="20"/>
          <w:lang w:eastAsia="zh-CN"/>
        </w:rPr>
        <w:t>璀璨德</w:t>
      </w:r>
      <w:proofErr w:type="gramEnd"/>
      <w:r w:rsidR="0069159D" w:rsidRPr="0069159D">
        <w:rPr>
          <w:rFonts w:ascii="Times New Roman" w:eastAsiaTheme="majorEastAsia" w:hAnsi="Times New Roman" w:cs="Times New Roman" w:hint="eastAsia"/>
          <w:kern w:val="2"/>
          <w:sz w:val="24"/>
          <w:szCs w:val="20"/>
          <w:lang w:eastAsia="zh-CN"/>
        </w:rPr>
        <w:t>商（深圳）创业投资中心（有限合伙）、广州信</w:t>
      </w:r>
      <w:proofErr w:type="gramStart"/>
      <w:r w:rsidR="0069159D" w:rsidRPr="0069159D">
        <w:rPr>
          <w:rFonts w:ascii="Times New Roman" w:eastAsiaTheme="majorEastAsia" w:hAnsi="Times New Roman" w:cs="Times New Roman" w:hint="eastAsia"/>
          <w:kern w:val="2"/>
          <w:sz w:val="24"/>
          <w:szCs w:val="20"/>
          <w:lang w:eastAsia="zh-CN"/>
        </w:rPr>
        <w:t>德创业营</w:t>
      </w:r>
      <w:proofErr w:type="gramEnd"/>
      <w:r w:rsidR="0069159D" w:rsidRPr="0069159D">
        <w:rPr>
          <w:rFonts w:ascii="Times New Roman" w:eastAsiaTheme="majorEastAsia" w:hAnsi="Times New Roman" w:cs="Times New Roman" w:hint="eastAsia"/>
          <w:kern w:val="2"/>
          <w:sz w:val="24"/>
          <w:szCs w:val="20"/>
          <w:lang w:eastAsia="zh-CN"/>
        </w:rPr>
        <w:t>股权投资合伙企业（有限合伙）、泰安</w:t>
      </w:r>
      <w:proofErr w:type="gramStart"/>
      <w:r w:rsidR="0069159D" w:rsidRPr="0069159D">
        <w:rPr>
          <w:rFonts w:ascii="Times New Roman" w:eastAsiaTheme="majorEastAsia" w:hAnsi="Times New Roman" w:cs="Times New Roman" w:hint="eastAsia"/>
          <w:kern w:val="2"/>
          <w:sz w:val="24"/>
          <w:szCs w:val="20"/>
          <w:lang w:eastAsia="zh-CN"/>
        </w:rPr>
        <w:t>乐摇投资</w:t>
      </w:r>
      <w:proofErr w:type="gramEnd"/>
      <w:r w:rsidR="0069159D" w:rsidRPr="0069159D">
        <w:rPr>
          <w:rFonts w:ascii="Times New Roman" w:eastAsiaTheme="majorEastAsia" w:hAnsi="Times New Roman" w:cs="Times New Roman" w:hint="eastAsia"/>
          <w:kern w:val="2"/>
          <w:sz w:val="24"/>
          <w:szCs w:val="20"/>
          <w:lang w:eastAsia="zh-CN"/>
        </w:rPr>
        <w:t>服务合伙企业（有限合伙）、珠海康</w:t>
      </w:r>
      <w:proofErr w:type="gramStart"/>
      <w:r w:rsidR="0069159D" w:rsidRPr="0069159D">
        <w:rPr>
          <w:rFonts w:ascii="Times New Roman" w:eastAsiaTheme="majorEastAsia" w:hAnsi="Times New Roman" w:cs="Times New Roman" w:hint="eastAsia"/>
          <w:kern w:val="2"/>
          <w:sz w:val="24"/>
          <w:szCs w:val="20"/>
          <w:lang w:eastAsia="zh-CN"/>
        </w:rPr>
        <w:t>远投资</w:t>
      </w:r>
      <w:proofErr w:type="gramEnd"/>
      <w:r w:rsidR="0069159D" w:rsidRPr="0069159D">
        <w:rPr>
          <w:rFonts w:ascii="Times New Roman" w:eastAsiaTheme="majorEastAsia" w:hAnsi="Times New Roman" w:cs="Times New Roman" w:hint="eastAsia"/>
          <w:kern w:val="2"/>
          <w:sz w:val="24"/>
          <w:szCs w:val="20"/>
          <w:lang w:eastAsia="zh-CN"/>
        </w:rPr>
        <w:t>企业（有限合伙）、上海德盾企业管理合伙企业（有限合伙）</w:t>
      </w:r>
      <w:r>
        <w:rPr>
          <w:rFonts w:ascii="Times New Roman" w:eastAsiaTheme="majorEastAsia" w:hAnsi="Times New Roman" w:cs="Times New Roman" w:hint="eastAsia"/>
          <w:kern w:val="2"/>
          <w:sz w:val="24"/>
          <w:szCs w:val="20"/>
          <w:lang w:eastAsia="zh-CN"/>
        </w:rPr>
        <w:t>共</w:t>
      </w:r>
      <w:r>
        <w:rPr>
          <w:rFonts w:ascii="Times New Roman" w:eastAsiaTheme="majorEastAsia" w:hAnsi="Times New Roman" w:cs="Times New Roman" w:hint="eastAsia"/>
          <w:kern w:val="2"/>
          <w:sz w:val="24"/>
          <w:szCs w:val="20"/>
          <w:lang w:eastAsia="zh-CN"/>
        </w:rPr>
        <w:t>21</w:t>
      </w:r>
      <w:r>
        <w:rPr>
          <w:rFonts w:ascii="Times New Roman" w:eastAsiaTheme="majorEastAsia" w:hAnsi="Times New Roman" w:cs="Times New Roman" w:hint="eastAsia"/>
          <w:kern w:val="2"/>
          <w:sz w:val="24"/>
          <w:szCs w:val="20"/>
          <w:lang w:eastAsia="zh-CN"/>
        </w:rPr>
        <w:t>名交易对方购买其合计持有的</w:t>
      </w:r>
      <w:r w:rsidR="00E4581C">
        <w:rPr>
          <w:rFonts w:ascii="Times New Roman" w:eastAsiaTheme="majorEastAsia" w:hAnsi="Times New Roman" w:cs="Times New Roman" w:hint="eastAsia"/>
          <w:kern w:val="2"/>
          <w:sz w:val="24"/>
          <w:szCs w:val="20"/>
          <w:lang w:eastAsia="zh-CN"/>
        </w:rPr>
        <w:t>标的公司</w:t>
      </w:r>
      <w:r>
        <w:rPr>
          <w:rFonts w:ascii="Times New Roman" w:eastAsiaTheme="majorEastAsia" w:hAnsi="Times New Roman" w:cs="Times New Roman" w:hint="eastAsia"/>
          <w:kern w:val="2"/>
          <w:sz w:val="24"/>
          <w:szCs w:val="20"/>
          <w:lang w:eastAsia="zh-CN"/>
        </w:rPr>
        <w:t>98.5632%</w:t>
      </w:r>
      <w:r>
        <w:rPr>
          <w:rFonts w:ascii="Times New Roman" w:eastAsiaTheme="majorEastAsia" w:hAnsi="Times New Roman" w:cs="Times New Roman" w:hint="eastAsia"/>
          <w:kern w:val="2"/>
          <w:sz w:val="24"/>
          <w:szCs w:val="20"/>
          <w:lang w:eastAsia="zh-CN"/>
        </w:rPr>
        <w:t>的股权。</w:t>
      </w:r>
    </w:p>
    <w:p w14:paraId="13F5368C" w14:textId="77777777" w:rsidR="00E90AC0" w:rsidRDefault="000D722A" w:rsidP="0069159D">
      <w:pPr>
        <w:adjustRightInd w:val="0"/>
        <w:snapToGrid w:val="0"/>
        <w:spacing w:beforeLines="50" w:before="120" w:afterLines="50" w:after="120" w:line="360" w:lineRule="auto"/>
        <w:ind w:firstLineChars="200" w:firstLine="480"/>
        <w:jc w:val="both"/>
        <w:rPr>
          <w:rFonts w:ascii="Times New Roman" w:eastAsiaTheme="majorEastAsia" w:hAnsi="Times New Roman" w:cs="Times New Roman"/>
          <w:kern w:val="2"/>
          <w:sz w:val="24"/>
          <w:szCs w:val="20"/>
          <w:lang w:eastAsia="zh-CN"/>
        </w:rPr>
      </w:pPr>
      <w:r>
        <w:rPr>
          <w:rFonts w:ascii="Times New Roman" w:eastAsiaTheme="majorEastAsia" w:hAnsi="Times New Roman" w:cs="Times New Roman" w:hint="eastAsia"/>
          <w:kern w:val="2"/>
          <w:sz w:val="24"/>
          <w:szCs w:val="20"/>
          <w:lang w:eastAsia="zh-CN"/>
        </w:rPr>
        <w:t>经核查，独立财务顾问认为：本次交易涉及发行股份</w:t>
      </w:r>
      <w:r>
        <w:rPr>
          <w:rFonts w:ascii="Times New Roman" w:eastAsiaTheme="majorEastAsia" w:hAnsi="Times New Roman" w:cs="Times New Roman"/>
          <w:kern w:val="2"/>
          <w:sz w:val="24"/>
          <w:szCs w:val="20"/>
          <w:lang w:eastAsia="zh-CN"/>
        </w:rPr>
        <w:t>。</w:t>
      </w:r>
    </w:p>
    <w:p w14:paraId="697DD5D5" w14:textId="77777777" w:rsidR="00E90AC0" w:rsidRDefault="000D722A" w:rsidP="0069159D">
      <w:pPr>
        <w:pStyle w:val="1"/>
        <w:spacing w:beforeLines="50" w:before="120" w:afterLines="50" w:after="120" w:line="360" w:lineRule="auto"/>
        <w:ind w:left="0" w:firstLineChars="200" w:firstLine="482"/>
        <w:rPr>
          <w:rFonts w:ascii="Times New Roman" w:eastAsiaTheme="majorEastAsia" w:hAnsi="Times New Roman" w:cs="Times New Roman"/>
          <w:lang w:eastAsia="zh-CN"/>
        </w:rPr>
      </w:pPr>
      <w:r>
        <w:rPr>
          <w:rFonts w:ascii="Times New Roman" w:eastAsiaTheme="majorEastAsia" w:hAnsi="Times New Roman" w:cs="Times New Roman" w:hint="eastAsia"/>
          <w:lang w:eastAsia="zh-CN"/>
        </w:rPr>
        <w:t>四</w:t>
      </w:r>
      <w:r>
        <w:rPr>
          <w:rFonts w:ascii="Times New Roman" w:eastAsiaTheme="majorEastAsia" w:hAnsi="Times New Roman" w:cs="Times New Roman"/>
          <w:lang w:eastAsia="zh-CN"/>
        </w:rPr>
        <w:t>、</w:t>
      </w:r>
      <w:r>
        <w:rPr>
          <w:rFonts w:ascii="Times New Roman" w:eastAsiaTheme="majorEastAsia" w:hAnsi="Times New Roman" w:cs="Times New Roman" w:hint="eastAsia"/>
          <w:lang w:eastAsia="zh-CN"/>
        </w:rPr>
        <w:t>上市公司是否被中国证监会立案稽查且尚未结案</w:t>
      </w:r>
    </w:p>
    <w:p w14:paraId="075E3EE8" w14:textId="3F2710EC" w:rsidR="00E90AC0" w:rsidRDefault="000D722A" w:rsidP="0069159D">
      <w:pPr>
        <w:adjustRightInd w:val="0"/>
        <w:snapToGrid w:val="0"/>
        <w:spacing w:beforeLines="50" w:before="120" w:afterLines="50" w:after="120" w:line="360" w:lineRule="auto"/>
        <w:ind w:firstLineChars="200" w:firstLine="480"/>
        <w:jc w:val="both"/>
        <w:rPr>
          <w:rFonts w:ascii="Times New Roman" w:eastAsiaTheme="majorEastAsia" w:hAnsi="Times New Roman" w:cs="Times New Roman"/>
          <w:kern w:val="2"/>
          <w:sz w:val="24"/>
          <w:szCs w:val="20"/>
          <w:lang w:eastAsia="zh-CN"/>
        </w:rPr>
      </w:pPr>
      <w:r>
        <w:rPr>
          <w:rFonts w:ascii="Times New Roman" w:eastAsiaTheme="majorEastAsia" w:hAnsi="Times New Roman" w:cs="Times New Roman" w:hint="eastAsia"/>
          <w:kern w:val="2"/>
          <w:sz w:val="24"/>
          <w:szCs w:val="20"/>
          <w:lang w:eastAsia="zh-CN"/>
        </w:rPr>
        <w:t>经核查，独立财务顾问认为：上市公司</w:t>
      </w:r>
      <w:r w:rsidR="00807CF6">
        <w:rPr>
          <w:rFonts w:ascii="Times New Roman" w:eastAsiaTheme="majorEastAsia" w:hAnsi="Times New Roman" w:cs="Times New Roman" w:hint="eastAsia"/>
          <w:kern w:val="2"/>
          <w:sz w:val="24"/>
          <w:szCs w:val="20"/>
          <w:lang w:eastAsia="zh-CN"/>
        </w:rPr>
        <w:t>不存在</w:t>
      </w:r>
      <w:r>
        <w:rPr>
          <w:rFonts w:ascii="Times New Roman" w:eastAsiaTheme="majorEastAsia" w:hAnsi="Times New Roman" w:cs="Times New Roman" w:hint="eastAsia"/>
          <w:kern w:val="2"/>
          <w:sz w:val="24"/>
          <w:szCs w:val="20"/>
          <w:lang w:eastAsia="zh-CN"/>
        </w:rPr>
        <w:t>被中国证监会立案稽查且尚未结案的情形。</w:t>
      </w:r>
    </w:p>
    <w:p w14:paraId="286319F3" w14:textId="77777777" w:rsidR="00E90AC0" w:rsidRDefault="000D722A" w:rsidP="0069159D">
      <w:pPr>
        <w:pStyle w:val="1"/>
        <w:spacing w:beforeLines="50" w:before="120" w:afterLines="50" w:after="120" w:line="360" w:lineRule="auto"/>
        <w:ind w:left="0" w:firstLineChars="200" w:firstLine="482"/>
        <w:rPr>
          <w:rFonts w:ascii="Times New Roman" w:eastAsiaTheme="majorEastAsia" w:hAnsi="Times New Roman" w:cs="Times New Roman"/>
          <w:lang w:eastAsia="zh-CN"/>
        </w:rPr>
      </w:pPr>
      <w:r>
        <w:rPr>
          <w:rFonts w:ascii="Times New Roman" w:eastAsiaTheme="majorEastAsia" w:hAnsi="Times New Roman" w:cs="Times New Roman" w:hint="eastAsia"/>
          <w:lang w:eastAsia="zh-CN"/>
        </w:rPr>
        <w:t>五</w:t>
      </w:r>
      <w:r>
        <w:rPr>
          <w:rFonts w:ascii="Times New Roman" w:eastAsiaTheme="majorEastAsia" w:hAnsi="Times New Roman" w:cs="Times New Roman"/>
          <w:lang w:eastAsia="zh-CN"/>
        </w:rPr>
        <w:t>、</w:t>
      </w:r>
      <w:r>
        <w:rPr>
          <w:rFonts w:ascii="Times New Roman" w:eastAsiaTheme="majorEastAsia" w:hAnsi="Times New Roman" w:cs="Times New Roman" w:hint="eastAsia"/>
          <w:lang w:eastAsia="zh-CN"/>
        </w:rPr>
        <w:t>独立财务顾问意见</w:t>
      </w:r>
    </w:p>
    <w:p w14:paraId="4704FC27" w14:textId="77777777" w:rsidR="00E90AC0" w:rsidRDefault="000D722A" w:rsidP="0069159D">
      <w:pPr>
        <w:adjustRightInd w:val="0"/>
        <w:snapToGrid w:val="0"/>
        <w:spacing w:beforeLines="50" w:before="120" w:afterLines="50" w:after="120" w:line="360" w:lineRule="auto"/>
        <w:ind w:firstLineChars="200" w:firstLine="480"/>
        <w:jc w:val="both"/>
        <w:rPr>
          <w:rFonts w:ascii="Times New Roman" w:eastAsiaTheme="majorEastAsia" w:hAnsi="Times New Roman" w:cs="Times New Roman"/>
          <w:kern w:val="2"/>
          <w:sz w:val="24"/>
          <w:szCs w:val="20"/>
          <w:lang w:eastAsia="zh-CN"/>
        </w:rPr>
      </w:pPr>
      <w:r>
        <w:rPr>
          <w:rFonts w:ascii="Times New Roman" w:eastAsiaTheme="majorEastAsia" w:hAnsi="Times New Roman" w:cs="Times New Roman" w:hint="eastAsia"/>
          <w:kern w:val="2"/>
          <w:sz w:val="24"/>
          <w:szCs w:val="20"/>
          <w:lang w:eastAsia="zh-CN"/>
        </w:rPr>
        <w:t>经核查《广东天亿马信息产业股份有限公司发行股份及支付现金购买资产并募集配套资金暨关联交易报告书（草案）》及相关文件，独立财务顾问认为：</w:t>
      </w:r>
    </w:p>
    <w:p w14:paraId="5498BF3F" w14:textId="77777777" w:rsidR="00E90AC0" w:rsidRDefault="000D722A" w:rsidP="0069159D">
      <w:pPr>
        <w:adjustRightInd w:val="0"/>
        <w:snapToGrid w:val="0"/>
        <w:spacing w:beforeLines="50" w:before="120" w:afterLines="50" w:after="120" w:line="360" w:lineRule="auto"/>
        <w:ind w:firstLineChars="200" w:firstLine="480"/>
        <w:jc w:val="both"/>
        <w:rPr>
          <w:rFonts w:ascii="Times New Roman" w:eastAsiaTheme="majorEastAsia" w:hAnsi="Times New Roman" w:cs="Times New Roman"/>
          <w:kern w:val="2"/>
          <w:sz w:val="24"/>
          <w:szCs w:val="20"/>
          <w:lang w:eastAsia="zh-CN"/>
        </w:rPr>
      </w:pPr>
      <w:r>
        <w:rPr>
          <w:rFonts w:ascii="Times New Roman" w:eastAsiaTheme="majorEastAsia" w:hAnsi="Times New Roman" w:cs="Times New Roman" w:hint="eastAsia"/>
          <w:kern w:val="2"/>
          <w:sz w:val="24"/>
          <w:szCs w:val="20"/>
          <w:lang w:eastAsia="zh-CN"/>
        </w:rPr>
        <w:t>1</w:t>
      </w:r>
      <w:r>
        <w:rPr>
          <w:rFonts w:ascii="Times New Roman" w:eastAsiaTheme="majorEastAsia" w:hAnsi="Times New Roman" w:cs="Times New Roman" w:hint="eastAsia"/>
          <w:kern w:val="2"/>
          <w:sz w:val="24"/>
          <w:szCs w:val="20"/>
          <w:lang w:eastAsia="zh-CN"/>
        </w:rPr>
        <w:t>、本次资产重组涉及的行业与企业属于《国务院关于促进企业兼并重组的意见》和工信部等十二部委《关于加快推进重点行业企业兼并重组的指导意见》中的“电子信息”行业；亦属于中国证监会《监管规则适用指引——上市类第</w:t>
      </w:r>
      <w:r>
        <w:rPr>
          <w:rFonts w:ascii="Times New Roman" w:eastAsiaTheme="majorEastAsia" w:hAnsi="Times New Roman" w:cs="Times New Roman" w:hint="eastAsia"/>
          <w:kern w:val="2"/>
          <w:sz w:val="24"/>
          <w:szCs w:val="20"/>
          <w:lang w:eastAsia="zh-CN"/>
        </w:rPr>
        <w:t>1</w:t>
      </w:r>
      <w:r>
        <w:rPr>
          <w:rFonts w:ascii="Times New Roman" w:eastAsiaTheme="majorEastAsia" w:hAnsi="Times New Roman" w:cs="Times New Roman" w:hint="eastAsia"/>
          <w:kern w:val="2"/>
          <w:sz w:val="24"/>
          <w:szCs w:val="20"/>
          <w:lang w:eastAsia="zh-CN"/>
        </w:rPr>
        <w:t>号》中的“新一代信息技术”行业；</w:t>
      </w:r>
    </w:p>
    <w:p w14:paraId="02EDBB24" w14:textId="77777777" w:rsidR="00E90AC0" w:rsidRDefault="000D722A" w:rsidP="0069159D">
      <w:pPr>
        <w:adjustRightInd w:val="0"/>
        <w:snapToGrid w:val="0"/>
        <w:spacing w:beforeLines="50" w:before="120" w:afterLines="50" w:after="120" w:line="360" w:lineRule="auto"/>
        <w:ind w:firstLineChars="200" w:firstLine="480"/>
        <w:jc w:val="both"/>
        <w:rPr>
          <w:rFonts w:ascii="Times New Roman" w:eastAsiaTheme="majorEastAsia" w:hAnsi="Times New Roman" w:cs="Times New Roman"/>
          <w:kern w:val="2"/>
          <w:sz w:val="24"/>
          <w:szCs w:val="20"/>
          <w:lang w:eastAsia="zh-CN"/>
        </w:rPr>
      </w:pPr>
      <w:r>
        <w:rPr>
          <w:rFonts w:ascii="Times New Roman" w:eastAsiaTheme="majorEastAsia" w:hAnsi="Times New Roman" w:cs="Times New Roman" w:hint="eastAsia"/>
          <w:kern w:val="2"/>
          <w:sz w:val="24"/>
          <w:szCs w:val="20"/>
          <w:lang w:eastAsia="zh-CN"/>
        </w:rPr>
        <w:t>2</w:t>
      </w:r>
      <w:r>
        <w:rPr>
          <w:rFonts w:ascii="Times New Roman" w:eastAsiaTheme="majorEastAsia" w:hAnsi="Times New Roman" w:cs="Times New Roman" w:hint="eastAsia"/>
          <w:kern w:val="2"/>
          <w:sz w:val="24"/>
          <w:szCs w:val="20"/>
          <w:lang w:eastAsia="zh-CN"/>
        </w:rPr>
        <w:t>、本次交易属于同行业并购；</w:t>
      </w:r>
    </w:p>
    <w:p w14:paraId="75311317" w14:textId="77777777" w:rsidR="00E90AC0" w:rsidRDefault="000D722A" w:rsidP="0069159D">
      <w:pPr>
        <w:adjustRightInd w:val="0"/>
        <w:snapToGrid w:val="0"/>
        <w:spacing w:beforeLines="50" w:before="120" w:afterLines="50" w:after="120" w:line="360" w:lineRule="auto"/>
        <w:ind w:firstLineChars="200" w:firstLine="480"/>
        <w:jc w:val="both"/>
        <w:rPr>
          <w:rFonts w:ascii="Times New Roman" w:eastAsiaTheme="majorEastAsia" w:hAnsi="Times New Roman" w:cs="Times New Roman"/>
          <w:kern w:val="2"/>
          <w:sz w:val="24"/>
          <w:szCs w:val="20"/>
          <w:lang w:eastAsia="zh-CN"/>
        </w:rPr>
      </w:pPr>
      <w:r>
        <w:rPr>
          <w:rFonts w:ascii="Times New Roman" w:eastAsiaTheme="majorEastAsia" w:hAnsi="Times New Roman" w:cs="Times New Roman" w:hint="eastAsia"/>
          <w:kern w:val="2"/>
          <w:sz w:val="24"/>
          <w:szCs w:val="20"/>
          <w:lang w:eastAsia="zh-CN"/>
        </w:rPr>
        <w:t>3</w:t>
      </w:r>
      <w:r>
        <w:rPr>
          <w:rFonts w:ascii="Times New Roman" w:eastAsiaTheme="majorEastAsia" w:hAnsi="Times New Roman" w:cs="Times New Roman" w:hint="eastAsia"/>
          <w:kern w:val="2"/>
          <w:sz w:val="24"/>
          <w:szCs w:val="20"/>
          <w:lang w:eastAsia="zh-CN"/>
        </w:rPr>
        <w:t>、本次交易不构成重组上市；</w:t>
      </w:r>
    </w:p>
    <w:p w14:paraId="76B65057" w14:textId="5DFEDEED" w:rsidR="00E90AC0" w:rsidRDefault="008A2216" w:rsidP="0069159D">
      <w:pPr>
        <w:adjustRightInd w:val="0"/>
        <w:snapToGrid w:val="0"/>
        <w:spacing w:beforeLines="50" w:before="120" w:afterLines="50" w:after="120" w:line="360" w:lineRule="auto"/>
        <w:ind w:firstLineChars="200" w:firstLine="480"/>
        <w:jc w:val="both"/>
        <w:rPr>
          <w:rFonts w:ascii="Times New Roman" w:eastAsiaTheme="majorEastAsia" w:hAnsi="Times New Roman" w:cs="Times New Roman"/>
          <w:kern w:val="2"/>
          <w:sz w:val="24"/>
          <w:szCs w:val="20"/>
          <w:lang w:eastAsia="zh-CN"/>
        </w:rPr>
      </w:pPr>
      <w:r>
        <w:rPr>
          <w:rFonts w:ascii="Times New Roman" w:eastAsiaTheme="majorEastAsia" w:hAnsi="Times New Roman" w:cs="Times New Roman" w:hint="eastAsia"/>
          <w:kern w:val="2"/>
          <w:sz w:val="24"/>
          <w:szCs w:val="20"/>
          <w:lang w:eastAsia="zh-CN"/>
        </w:rPr>
        <w:t>4</w:t>
      </w:r>
      <w:r w:rsidR="000D722A">
        <w:rPr>
          <w:rFonts w:ascii="Times New Roman" w:eastAsiaTheme="majorEastAsia" w:hAnsi="Times New Roman" w:cs="Times New Roman" w:hint="eastAsia"/>
          <w:kern w:val="2"/>
          <w:sz w:val="24"/>
          <w:szCs w:val="20"/>
          <w:lang w:eastAsia="zh-CN"/>
        </w:rPr>
        <w:t>、本次交易涉及发行股份；</w:t>
      </w:r>
    </w:p>
    <w:p w14:paraId="223A5DBA" w14:textId="42D21D04" w:rsidR="00E90AC0" w:rsidRDefault="008A2216" w:rsidP="0069159D">
      <w:pPr>
        <w:adjustRightInd w:val="0"/>
        <w:snapToGrid w:val="0"/>
        <w:spacing w:beforeLines="50" w:before="120" w:afterLines="50" w:after="120" w:line="360" w:lineRule="auto"/>
        <w:ind w:firstLineChars="200" w:firstLine="480"/>
        <w:jc w:val="both"/>
        <w:rPr>
          <w:rFonts w:ascii="Times New Roman" w:eastAsiaTheme="majorEastAsia" w:hAnsi="Times New Roman" w:cs="Times New Roman"/>
          <w:kern w:val="2"/>
          <w:sz w:val="24"/>
          <w:szCs w:val="20"/>
          <w:lang w:eastAsia="zh-CN"/>
        </w:rPr>
      </w:pPr>
      <w:r>
        <w:rPr>
          <w:rFonts w:ascii="Times New Roman" w:eastAsiaTheme="majorEastAsia" w:hAnsi="Times New Roman" w:cs="Times New Roman" w:hint="eastAsia"/>
          <w:kern w:val="2"/>
          <w:sz w:val="24"/>
          <w:szCs w:val="20"/>
          <w:lang w:eastAsia="zh-CN"/>
        </w:rPr>
        <w:t>5</w:t>
      </w:r>
      <w:r w:rsidR="000D722A">
        <w:rPr>
          <w:rFonts w:ascii="Times New Roman" w:eastAsiaTheme="majorEastAsia" w:hAnsi="Times New Roman" w:cs="Times New Roman" w:hint="eastAsia"/>
          <w:kern w:val="2"/>
          <w:sz w:val="24"/>
          <w:szCs w:val="20"/>
          <w:lang w:eastAsia="zh-CN"/>
        </w:rPr>
        <w:t>、上市公司不存在被中国证监会立案稽查尚未结案的情形。</w:t>
      </w:r>
    </w:p>
    <w:p w14:paraId="2285588C" w14:textId="77777777" w:rsidR="00E90AC0" w:rsidRDefault="000D722A" w:rsidP="0069159D">
      <w:pPr>
        <w:adjustRightInd w:val="0"/>
        <w:snapToGrid w:val="0"/>
        <w:spacing w:beforeLines="50" w:before="120" w:afterLines="50" w:after="120" w:line="360" w:lineRule="auto"/>
        <w:ind w:firstLineChars="200" w:firstLine="480"/>
        <w:jc w:val="both"/>
        <w:rPr>
          <w:rFonts w:ascii="Times New Roman" w:eastAsiaTheme="majorEastAsia" w:hAnsi="Times New Roman" w:cs="Times New Roman"/>
          <w:kern w:val="2"/>
          <w:sz w:val="24"/>
          <w:szCs w:val="20"/>
          <w:lang w:eastAsia="zh-CN"/>
        </w:rPr>
        <w:sectPr w:rsidR="00E90AC0">
          <w:footerReference w:type="default" r:id="rId7"/>
          <w:pgSz w:w="11910" w:h="16840"/>
          <w:pgMar w:top="1440" w:right="1800" w:bottom="1440" w:left="1800" w:header="0" w:footer="987" w:gutter="0"/>
          <w:cols w:space="720"/>
          <w:docGrid w:linePitch="299"/>
        </w:sectPr>
      </w:pPr>
      <w:r>
        <w:rPr>
          <w:rFonts w:ascii="Times New Roman" w:eastAsiaTheme="majorEastAsia" w:hAnsi="Times New Roman" w:cs="Times New Roman" w:hint="eastAsia"/>
          <w:kern w:val="2"/>
          <w:sz w:val="24"/>
          <w:szCs w:val="20"/>
          <w:lang w:eastAsia="zh-CN"/>
        </w:rPr>
        <w:t>（以下无正文）</w:t>
      </w:r>
    </w:p>
    <w:p w14:paraId="5F27A06A" w14:textId="37C97643" w:rsidR="00E90AC0" w:rsidRDefault="000D722A" w:rsidP="0069159D">
      <w:pPr>
        <w:spacing w:beforeLines="50" w:before="156" w:afterLines="50" w:after="156" w:line="360" w:lineRule="auto"/>
        <w:rPr>
          <w:rFonts w:cs="Times New Roman" w:hint="eastAsia"/>
          <w:color w:val="000000"/>
          <w:kern w:val="2"/>
          <w:sz w:val="24"/>
          <w:szCs w:val="24"/>
          <w:lang w:eastAsia="zh-CN"/>
        </w:rPr>
      </w:pPr>
      <w:r>
        <w:rPr>
          <w:rFonts w:cs="Times New Roman" w:hint="eastAsia"/>
          <w:kern w:val="2"/>
          <w:sz w:val="24"/>
          <w:szCs w:val="24"/>
          <w:lang w:eastAsia="zh-CN"/>
        </w:rPr>
        <w:lastRenderedPageBreak/>
        <w:t>（本页</w:t>
      </w:r>
      <w:r>
        <w:rPr>
          <w:rFonts w:cs="Times New Roman" w:hint="eastAsia"/>
          <w:color w:val="000000"/>
          <w:kern w:val="2"/>
          <w:sz w:val="24"/>
          <w:szCs w:val="24"/>
          <w:lang w:eastAsia="zh-CN"/>
        </w:rPr>
        <w:t>无正文，为《国泰海通证券股份有限公司关于广东天亿马信息产业股份有限公司本次交易产业政策和交易类型的核查意见》之签字盖章页）</w:t>
      </w:r>
    </w:p>
    <w:p w14:paraId="0E41EE1C" w14:textId="77777777" w:rsidR="00E90AC0" w:rsidRDefault="00E90AC0">
      <w:pPr>
        <w:jc w:val="both"/>
        <w:rPr>
          <w:rFonts w:cs="Times New Roman" w:hint="eastAsia"/>
          <w:kern w:val="2"/>
          <w:sz w:val="28"/>
          <w:szCs w:val="28"/>
          <w:lang w:eastAsia="zh-CN"/>
        </w:rPr>
      </w:pPr>
    </w:p>
    <w:p w14:paraId="12586C5C" w14:textId="77777777" w:rsidR="00E90AC0" w:rsidRDefault="00E90AC0">
      <w:pPr>
        <w:jc w:val="both"/>
        <w:rPr>
          <w:rFonts w:cs="Times New Roman" w:hint="eastAsia"/>
          <w:kern w:val="2"/>
          <w:sz w:val="28"/>
          <w:szCs w:val="28"/>
          <w:lang w:eastAsia="zh-CN"/>
        </w:rPr>
      </w:pPr>
    </w:p>
    <w:tbl>
      <w:tblPr>
        <w:tblStyle w:val="111"/>
        <w:tblW w:w="83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9"/>
        <w:gridCol w:w="1417"/>
        <w:gridCol w:w="709"/>
        <w:gridCol w:w="1417"/>
        <w:gridCol w:w="709"/>
        <w:gridCol w:w="1417"/>
      </w:tblGrid>
      <w:tr w:rsidR="00E90AC0" w14:paraId="47AC61A8" w14:textId="77777777">
        <w:tc>
          <w:tcPr>
            <w:tcW w:w="2689" w:type="dxa"/>
            <w:vAlign w:val="center"/>
          </w:tcPr>
          <w:p w14:paraId="6541C423" w14:textId="029BDB5B" w:rsidR="00E90AC0" w:rsidRPr="000F59C7" w:rsidRDefault="000D722A">
            <w:pPr>
              <w:widowControl/>
              <w:spacing w:beforeLines="50" w:before="156" w:afterLines="50" w:after="156" w:line="360" w:lineRule="auto"/>
              <w:jc w:val="center"/>
              <w:rPr>
                <w:rFonts w:asciiTheme="majorEastAsia" w:eastAsiaTheme="majorEastAsia" w:hAnsiTheme="majorEastAsia" w:hint="eastAsia"/>
                <w:sz w:val="24"/>
                <w:szCs w:val="24"/>
                <w:lang w:eastAsia="zh-CN"/>
              </w:rPr>
            </w:pPr>
            <w:r w:rsidRPr="000F59C7">
              <w:rPr>
                <w:rFonts w:asciiTheme="majorEastAsia" w:eastAsiaTheme="majorEastAsia" w:hAnsiTheme="majorEastAsia" w:hint="eastAsia"/>
                <w:sz w:val="24"/>
                <w:szCs w:val="24"/>
                <w:lang w:eastAsia="zh-CN"/>
              </w:rPr>
              <w:t>独立财务顾问主办人：</w:t>
            </w:r>
          </w:p>
        </w:tc>
        <w:tc>
          <w:tcPr>
            <w:tcW w:w="1417" w:type="dxa"/>
            <w:tcBorders>
              <w:top w:val="nil"/>
              <w:left w:val="nil"/>
              <w:bottom w:val="single" w:sz="4" w:space="0" w:color="auto"/>
              <w:right w:val="nil"/>
            </w:tcBorders>
            <w:vAlign w:val="center"/>
          </w:tcPr>
          <w:p w14:paraId="270E4DD4" w14:textId="77777777" w:rsidR="00E90AC0" w:rsidRPr="000F59C7" w:rsidRDefault="00E90AC0">
            <w:pPr>
              <w:widowControl/>
              <w:spacing w:beforeLines="50" w:before="156" w:afterLines="50" w:after="156" w:line="360" w:lineRule="auto"/>
              <w:jc w:val="center"/>
              <w:rPr>
                <w:rFonts w:asciiTheme="majorEastAsia" w:eastAsiaTheme="majorEastAsia" w:hAnsiTheme="majorEastAsia" w:hint="eastAsia"/>
                <w:sz w:val="24"/>
                <w:szCs w:val="24"/>
                <w:lang w:eastAsia="zh-CN"/>
              </w:rPr>
            </w:pPr>
          </w:p>
        </w:tc>
        <w:tc>
          <w:tcPr>
            <w:tcW w:w="709" w:type="dxa"/>
            <w:vAlign w:val="center"/>
          </w:tcPr>
          <w:p w14:paraId="6ACC930F" w14:textId="77777777" w:rsidR="00E90AC0" w:rsidRPr="000F59C7" w:rsidRDefault="00E90AC0">
            <w:pPr>
              <w:widowControl/>
              <w:spacing w:beforeLines="50" w:before="156" w:afterLines="50" w:after="156" w:line="360" w:lineRule="auto"/>
              <w:jc w:val="center"/>
              <w:rPr>
                <w:rFonts w:asciiTheme="majorEastAsia" w:eastAsiaTheme="majorEastAsia" w:hAnsiTheme="majorEastAsia" w:hint="eastAsia"/>
                <w:sz w:val="24"/>
                <w:szCs w:val="24"/>
                <w:lang w:eastAsia="zh-CN"/>
              </w:rPr>
            </w:pPr>
          </w:p>
        </w:tc>
        <w:tc>
          <w:tcPr>
            <w:tcW w:w="1417" w:type="dxa"/>
            <w:tcBorders>
              <w:top w:val="nil"/>
              <w:left w:val="nil"/>
              <w:bottom w:val="single" w:sz="4" w:space="0" w:color="auto"/>
              <w:right w:val="nil"/>
            </w:tcBorders>
            <w:vAlign w:val="center"/>
          </w:tcPr>
          <w:p w14:paraId="45328682" w14:textId="77777777" w:rsidR="00E90AC0" w:rsidRPr="000F59C7" w:rsidRDefault="00E90AC0">
            <w:pPr>
              <w:widowControl/>
              <w:spacing w:beforeLines="50" w:before="156" w:afterLines="50" w:after="156" w:line="360" w:lineRule="auto"/>
              <w:jc w:val="center"/>
              <w:rPr>
                <w:rFonts w:asciiTheme="majorEastAsia" w:eastAsiaTheme="majorEastAsia" w:hAnsiTheme="majorEastAsia" w:hint="eastAsia"/>
                <w:sz w:val="24"/>
                <w:szCs w:val="24"/>
                <w:lang w:eastAsia="zh-CN"/>
              </w:rPr>
            </w:pPr>
          </w:p>
        </w:tc>
        <w:tc>
          <w:tcPr>
            <w:tcW w:w="709" w:type="dxa"/>
            <w:vAlign w:val="center"/>
          </w:tcPr>
          <w:p w14:paraId="3E5EFDF9" w14:textId="77777777" w:rsidR="00E90AC0" w:rsidRPr="000F59C7" w:rsidRDefault="00E90AC0">
            <w:pPr>
              <w:widowControl/>
              <w:spacing w:beforeLines="50" w:before="156" w:afterLines="50" w:after="156" w:line="360" w:lineRule="auto"/>
              <w:jc w:val="center"/>
              <w:rPr>
                <w:rFonts w:asciiTheme="majorEastAsia" w:eastAsiaTheme="majorEastAsia" w:hAnsiTheme="majorEastAsia" w:hint="eastAsia"/>
                <w:sz w:val="24"/>
                <w:szCs w:val="24"/>
                <w:lang w:eastAsia="zh-CN"/>
              </w:rPr>
            </w:pPr>
          </w:p>
        </w:tc>
        <w:tc>
          <w:tcPr>
            <w:tcW w:w="1417" w:type="dxa"/>
            <w:tcBorders>
              <w:top w:val="nil"/>
              <w:left w:val="nil"/>
              <w:bottom w:val="single" w:sz="4" w:space="0" w:color="auto"/>
              <w:right w:val="nil"/>
            </w:tcBorders>
            <w:vAlign w:val="center"/>
          </w:tcPr>
          <w:p w14:paraId="5D41FDA4" w14:textId="77777777" w:rsidR="00E90AC0" w:rsidRPr="000F59C7" w:rsidRDefault="00E90AC0">
            <w:pPr>
              <w:widowControl/>
              <w:spacing w:beforeLines="50" w:before="156" w:afterLines="50" w:after="156" w:line="360" w:lineRule="auto"/>
              <w:jc w:val="center"/>
              <w:rPr>
                <w:rFonts w:asciiTheme="majorEastAsia" w:eastAsiaTheme="majorEastAsia" w:hAnsiTheme="majorEastAsia" w:hint="eastAsia"/>
                <w:sz w:val="24"/>
                <w:szCs w:val="24"/>
                <w:lang w:eastAsia="zh-CN"/>
              </w:rPr>
            </w:pPr>
          </w:p>
        </w:tc>
      </w:tr>
      <w:tr w:rsidR="00E90AC0" w14:paraId="3D6D9BA6" w14:textId="77777777">
        <w:tc>
          <w:tcPr>
            <w:tcW w:w="2689" w:type="dxa"/>
            <w:vAlign w:val="center"/>
          </w:tcPr>
          <w:p w14:paraId="3B2B4525" w14:textId="2630DCC5" w:rsidR="00E90AC0" w:rsidRPr="000F59C7" w:rsidRDefault="00E90AC0">
            <w:pPr>
              <w:widowControl/>
              <w:spacing w:beforeLines="50" w:before="156" w:afterLines="50" w:after="156" w:line="360" w:lineRule="auto"/>
              <w:jc w:val="center"/>
              <w:rPr>
                <w:rFonts w:asciiTheme="majorEastAsia" w:eastAsiaTheme="majorEastAsia" w:hAnsiTheme="majorEastAsia" w:hint="eastAsia"/>
                <w:sz w:val="24"/>
                <w:szCs w:val="24"/>
                <w:lang w:eastAsia="zh-CN"/>
              </w:rPr>
            </w:pPr>
          </w:p>
        </w:tc>
        <w:tc>
          <w:tcPr>
            <w:tcW w:w="1417" w:type="dxa"/>
            <w:tcBorders>
              <w:top w:val="single" w:sz="4" w:space="0" w:color="auto"/>
              <w:left w:val="nil"/>
              <w:bottom w:val="nil"/>
              <w:right w:val="nil"/>
            </w:tcBorders>
            <w:vAlign w:val="center"/>
          </w:tcPr>
          <w:p w14:paraId="0608717D" w14:textId="77777777" w:rsidR="00E90AC0" w:rsidRPr="000F59C7" w:rsidRDefault="000D722A">
            <w:pPr>
              <w:widowControl/>
              <w:spacing w:beforeLines="50" w:before="156" w:afterLines="50" w:after="156" w:line="360" w:lineRule="auto"/>
              <w:jc w:val="center"/>
              <w:rPr>
                <w:rFonts w:asciiTheme="majorEastAsia" w:eastAsiaTheme="majorEastAsia" w:hAnsiTheme="majorEastAsia" w:hint="eastAsia"/>
                <w:sz w:val="24"/>
                <w:szCs w:val="24"/>
                <w:lang w:eastAsia="zh-CN"/>
              </w:rPr>
            </w:pPr>
            <w:r w:rsidRPr="000F59C7">
              <w:rPr>
                <w:rFonts w:asciiTheme="majorEastAsia" w:eastAsiaTheme="majorEastAsia" w:hAnsiTheme="majorEastAsia" w:hint="eastAsia"/>
                <w:sz w:val="24"/>
                <w:szCs w:val="24"/>
                <w:lang w:eastAsia="zh-CN"/>
              </w:rPr>
              <w:t>邢雨晨</w:t>
            </w:r>
          </w:p>
        </w:tc>
        <w:tc>
          <w:tcPr>
            <w:tcW w:w="709" w:type="dxa"/>
            <w:vAlign w:val="center"/>
          </w:tcPr>
          <w:p w14:paraId="0CF6821C" w14:textId="77777777" w:rsidR="00E90AC0" w:rsidRPr="000F59C7" w:rsidRDefault="00E90AC0">
            <w:pPr>
              <w:widowControl/>
              <w:spacing w:beforeLines="50" w:before="156" w:afterLines="50" w:after="156" w:line="360" w:lineRule="auto"/>
              <w:jc w:val="center"/>
              <w:rPr>
                <w:rFonts w:asciiTheme="majorEastAsia" w:eastAsiaTheme="majorEastAsia" w:hAnsiTheme="majorEastAsia" w:hint="eastAsia"/>
                <w:sz w:val="24"/>
                <w:szCs w:val="24"/>
                <w:lang w:eastAsia="zh-CN"/>
              </w:rPr>
            </w:pPr>
          </w:p>
        </w:tc>
        <w:tc>
          <w:tcPr>
            <w:tcW w:w="1417" w:type="dxa"/>
            <w:tcBorders>
              <w:top w:val="single" w:sz="4" w:space="0" w:color="auto"/>
              <w:left w:val="nil"/>
              <w:bottom w:val="nil"/>
              <w:right w:val="nil"/>
            </w:tcBorders>
            <w:vAlign w:val="center"/>
          </w:tcPr>
          <w:p w14:paraId="67EA1A67" w14:textId="77777777" w:rsidR="00E90AC0" w:rsidRPr="000F59C7" w:rsidRDefault="000D722A">
            <w:pPr>
              <w:widowControl/>
              <w:spacing w:beforeLines="50" w:before="156" w:afterLines="50" w:after="156" w:line="360" w:lineRule="auto"/>
              <w:jc w:val="center"/>
              <w:rPr>
                <w:rFonts w:asciiTheme="majorEastAsia" w:eastAsiaTheme="majorEastAsia" w:hAnsiTheme="majorEastAsia" w:hint="eastAsia"/>
                <w:sz w:val="24"/>
                <w:szCs w:val="24"/>
                <w:lang w:eastAsia="zh-CN"/>
              </w:rPr>
            </w:pPr>
            <w:r w:rsidRPr="000F59C7">
              <w:rPr>
                <w:rFonts w:asciiTheme="majorEastAsia" w:eastAsiaTheme="majorEastAsia" w:hAnsiTheme="majorEastAsia" w:hint="eastAsia"/>
                <w:sz w:val="24"/>
                <w:szCs w:val="24"/>
                <w:lang w:eastAsia="zh-CN"/>
              </w:rPr>
              <w:t>徐振宇</w:t>
            </w:r>
          </w:p>
        </w:tc>
        <w:tc>
          <w:tcPr>
            <w:tcW w:w="709" w:type="dxa"/>
            <w:vAlign w:val="center"/>
          </w:tcPr>
          <w:p w14:paraId="1B03BE08" w14:textId="77777777" w:rsidR="00E90AC0" w:rsidRPr="000F59C7" w:rsidRDefault="00E90AC0">
            <w:pPr>
              <w:widowControl/>
              <w:spacing w:beforeLines="50" w:before="156" w:afterLines="50" w:after="156" w:line="360" w:lineRule="auto"/>
              <w:jc w:val="center"/>
              <w:rPr>
                <w:rFonts w:asciiTheme="majorEastAsia" w:eastAsiaTheme="majorEastAsia" w:hAnsiTheme="majorEastAsia" w:hint="eastAsia"/>
                <w:sz w:val="24"/>
                <w:szCs w:val="24"/>
                <w:lang w:eastAsia="zh-CN"/>
              </w:rPr>
            </w:pPr>
          </w:p>
        </w:tc>
        <w:tc>
          <w:tcPr>
            <w:tcW w:w="1417" w:type="dxa"/>
            <w:tcBorders>
              <w:top w:val="single" w:sz="4" w:space="0" w:color="auto"/>
              <w:left w:val="nil"/>
              <w:bottom w:val="nil"/>
              <w:right w:val="nil"/>
            </w:tcBorders>
            <w:vAlign w:val="center"/>
          </w:tcPr>
          <w:p w14:paraId="799DFFDC" w14:textId="77777777" w:rsidR="00E90AC0" w:rsidRPr="000F59C7" w:rsidRDefault="000D722A">
            <w:pPr>
              <w:widowControl/>
              <w:spacing w:beforeLines="50" w:before="156" w:afterLines="50" w:after="156" w:line="360" w:lineRule="auto"/>
              <w:jc w:val="center"/>
              <w:rPr>
                <w:rFonts w:asciiTheme="majorEastAsia" w:eastAsiaTheme="majorEastAsia" w:hAnsiTheme="majorEastAsia" w:hint="eastAsia"/>
                <w:sz w:val="24"/>
                <w:szCs w:val="24"/>
                <w:lang w:eastAsia="zh-CN"/>
              </w:rPr>
            </w:pPr>
            <w:r w:rsidRPr="000F59C7">
              <w:rPr>
                <w:rFonts w:asciiTheme="majorEastAsia" w:eastAsiaTheme="majorEastAsia" w:hAnsiTheme="majorEastAsia" w:hint="eastAsia"/>
                <w:sz w:val="24"/>
                <w:szCs w:val="24"/>
                <w:lang w:eastAsia="zh-CN"/>
              </w:rPr>
              <w:t>张成</w:t>
            </w:r>
            <w:proofErr w:type="gramStart"/>
            <w:r w:rsidRPr="000F59C7">
              <w:rPr>
                <w:rFonts w:asciiTheme="majorEastAsia" w:eastAsiaTheme="majorEastAsia" w:hAnsiTheme="majorEastAsia" w:hint="eastAsia"/>
                <w:sz w:val="24"/>
                <w:szCs w:val="24"/>
                <w:lang w:eastAsia="zh-CN"/>
              </w:rPr>
              <w:t>浩</w:t>
            </w:r>
            <w:proofErr w:type="gramEnd"/>
          </w:p>
        </w:tc>
      </w:tr>
    </w:tbl>
    <w:p w14:paraId="30F90B8B" w14:textId="77777777" w:rsidR="00E90AC0" w:rsidRDefault="00E90AC0">
      <w:pPr>
        <w:jc w:val="both"/>
        <w:rPr>
          <w:rFonts w:cs="Times New Roman" w:hint="eastAsia"/>
          <w:kern w:val="2"/>
          <w:sz w:val="28"/>
          <w:szCs w:val="28"/>
          <w:lang w:eastAsia="zh-CN"/>
        </w:rPr>
      </w:pPr>
    </w:p>
    <w:p w14:paraId="5D3C9DF9" w14:textId="77777777" w:rsidR="00E90AC0" w:rsidRDefault="00E90AC0">
      <w:pPr>
        <w:autoSpaceDE w:val="0"/>
        <w:autoSpaceDN w:val="0"/>
        <w:adjustRightInd w:val="0"/>
        <w:spacing w:beforeLines="50" w:before="156" w:after="50" w:line="440" w:lineRule="exact"/>
        <w:ind w:leftChars="257" w:left="565" w:firstLineChars="1600" w:firstLine="3840"/>
        <w:jc w:val="right"/>
        <w:rPr>
          <w:rFonts w:cs="Times New Roman" w:hint="eastAsia"/>
          <w:sz w:val="24"/>
          <w:szCs w:val="24"/>
          <w:lang w:eastAsia="zh-CN"/>
        </w:rPr>
      </w:pPr>
    </w:p>
    <w:p w14:paraId="7985486C" w14:textId="77777777" w:rsidR="00E90AC0" w:rsidRDefault="00E90AC0">
      <w:pPr>
        <w:autoSpaceDE w:val="0"/>
        <w:autoSpaceDN w:val="0"/>
        <w:adjustRightInd w:val="0"/>
        <w:spacing w:beforeLines="50" w:before="156" w:after="50" w:line="440" w:lineRule="exact"/>
        <w:ind w:leftChars="257" w:left="565" w:firstLineChars="1600" w:firstLine="3840"/>
        <w:jc w:val="right"/>
        <w:rPr>
          <w:rFonts w:cs="Times New Roman" w:hint="eastAsia"/>
          <w:sz w:val="24"/>
          <w:szCs w:val="24"/>
          <w:lang w:eastAsia="zh-CN"/>
        </w:rPr>
      </w:pPr>
    </w:p>
    <w:p w14:paraId="093857D1" w14:textId="77777777" w:rsidR="00E90AC0" w:rsidRDefault="00E90AC0">
      <w:pPr>
        <w:autoSpaceDE w:val="0"/>
        <w:autoSpaceDN w:val="0"/>
        <w:adjustRightInd w:val="0"/>
        <w:spacing w:beforeLines="50" w:before="156" w:after="50" w:line="440" w:lineRule="exact"/>
        <w:ind w:leftChars="257" w:left="565" w:firstLineChars="1600" w:firstLine="3840"/>
        <w:jc w:val="right"/>
        <w:rPr>
          <w:rFonts w:cs="Times New Roman" w:hint="eastAsia"/>
          <w:color w:val="000000"/>
          <w:sz w:val="24"/>
          <w:szCs w:val="24"/>
          <w:lang w:eastAsia="zh-CN"/>
        </w:rPr>
      </w:pPr>
    </w:p>
    <w:p w14:paraId="518D94B6" w14:textId="77777777" w:rsidR="00E90AC0" w:rsidRDefault="00E90AC0">
      <w:pPr>
        <w:autoSpaceDE w:val="0"/>
        <w:autoSpaceDN w:val="0"/>
        <w:adjustRightInd w:val="0"/>
        <w:spacing w:beforeLines="50" w:before="156" w:after="50" w:line="440" w:lineRule="exact"/>
        <w:ind w:leftChars="257" w:left="565" w:firstLineChars="1600" w:firstLine="3840"/>
        <w:jc w:val="right"/>
        <w:rPr>
          <w:rFonts w:cs="Times New Roman" w:hint="eastAsia"/>
          <w:color w:val="000000"/>
          <w:sz w:val="24"/>
          <w:szCs w:val="24"/>
          <w:lang w:eastAsia="zh-CN"/>
        </w:rPr>
      </w:pPr>
    </w:p>
    <w:p w14:paraId="3F8EF544" w14:textId="77777777" w:rsidR="00E90AC0" w:rsidRDefault="00E90AC0">
      <w:pPr>
        <w:autoSpaceDE w:val="0"/>
        <w:autoSpaceDN w:val="0"/>
        <w:adjustRightInd w:val="0"/>
        <w:spacing w:beforeLines="100" w:before="312" w:after="50" w:line="440" w:lineRule="exact"/>
        <w:ind w:leftChars="257" w:left="565" w:firstLineChars="1350" w:firstLine="3240"/>
        <w:jc w:val="right"/>
        <w:rPr>
          <w:rFonts w:cs="Times New Roman" w:hint="eastAsia"/>
          <w:color w:val="000000"/>
          <w:sz w:val="24"/>
          <w:szCs w:val="24"/>
          <w:lang w:eastAsia="zh-CN"/>
        </w:rPr>
      </w:pPr>
    </w:p>
    <w:p w14:paraId="6A6401CD" w14:textId="77777777" w:rsidR="00E90AC0" w:rsidRDefault="000D722A">
      <w:pPr>
        <w:autoSpaceDE w:val="0"/>
        <w:autoSpaceDN w:val="0"/>
        <w:adjustRightInd w:val="0"/>
        <w:spacing w:beforeLines="100" w:before="312" w:after="50" w:line="440" w:lineRule="exact"/>
        <w:ind w:leftChars="257" w:left="565" w:firstLineChars="1600" w:firstLine="3840"/>
        <w:jc w:val="right"/>
        <w:rPr>
          <w:rFonts w:cs="Times New Roman" w:hint="eastAsia"/>
          <w:color w:val="000000"/>
          <w:kern w:val="2"/>
          <w:sz w:val="24"/>
          <w:szCs w:val="24"/>
          <w:lang w:eastAsia="zh-CN"/>
        </w:rPr>
      </w:pPr>
      <w:proofErr w:type="gramStart"/>
      <w:r>
        <w:rPr>
          <w:rFonts w:cs="Times New Roman" w:hint="eastAsia"/>
          <w:color w:val="000000"/>
          <w:kern w:val="2"/>
          <w:sz w:val="24"/>
          <w:szCs w:val="24"/>
          <w:lang w:eastAsia="zh-CN"/>
        </w:rPr>
        <w:t>国泰海通</w:t>
      </w:r>
      <w:proofErr w:type="gramEnd"/>
      <w:r>
        <w:rPr>
          <w:rFonts w:cs="Times New Roman" w:hint="eastAsia"/>
          <w:color w:val="000000"/>
          <w:kern w:val="2"/>
          <w:sz w:val="24"/>
          <w:szCs w:val="24"/>
          <w:lang w:eastAsia="zh-CN"/>
        </w:rPr>
        <w:t>证券股份有限公司</w:t>
      </w:r>
    </w:p>
    <w:p w14:paraId="46CAABDA" w14:textId="7CEB9A12" w:rsidR="00AD4E34" w:rsidRPr="00C50A4F" w:rsidRDefault="00AD4E34" w:rsidP="00AD4E34">
      <w:pPr>
        <w:autoSpaceDE w:val="0"/>
        <w:autoSpaceDN w:val="0"/>
        <w:adjustRightInd w:val="0"/>
        <w:spacing w:beforeLines="100" w:before="312" w:after="50" w:line="440" w:lineRule="exact"/>
        <w:ind w:leftChars="257" w:left="565" w:firstLineChars="1600" w:firstLine="3840"/>
        <w:jc w:val="right"/>
        <w:rPr>
          <w:rFonts w:ascii="Times New Roman" w:hAnsi="Times New Roman" w:cs="Times New Roman"/>
          <w:bCs/>
          <w:sz w:val="24"/>
        </w:rPr>
      </w:pPr>
      <w:r w:rsidRPr="00C50A4F">
        <w:rPr>
          <w:rFonts w:ascii="Times New Roman" w:hAnsi="Times New Roman" w:cs="Times New Roman"/>
          <w:color w:val="000000"/>
          <w:sz w:val="24"/>
        </w:rPr>
        <w:t>2025</w:t>
      </w:r>
      <w:r>
        <w:rPr>
          <w:rFonts w:ascii="Times New Roman" w:hAnsi="Times New Roman" w:cs="Times New Roman" w:hint="eastAsia"/>
          <w:color w:val="000000"/>
          <w:sz w:val="24"/>
          <w:lang w:eastAsia="zh-CN"/>
        </w:rPr>
        <w:t xml:space="preserve"> </w:t>
      </w:r>
      <w:r w:rsidRPr="00C50A4F">
        <w:rPr>
          <w:rFonts w:ascii="Times New Roman" w:hAnsi="Times New Roman" w:cs="Times New Roman"/>
          <w:color w:val="000000"/>
          <w:sz w:val="24"/>
        </w:rPr>
        <w:t>年</w:t>
      </w:r>
      <w:r w:rsidRPr="00C50A4F">
        <w:rPr>
          <w:rFonts w:ascii="Times New Roman" w:hAnsi="Times New Roman" w:cs="Times New Roman"/>
          <w:color w:val="000000"/>
          <w:sz w:val="24"/>
        </w:rPr>
        <w:t xml:space="preserve"> 11 </w:t>
      </w:r>
      <w:r w:rsidRPr="00C50A4F">
        <w:rPr>
          <w:rFonts w:ascii="Times New Roman" w:hAnsi="Times New Roman" w:cs="Times New Roman"/>
          <w:color w:val="000000"/>
          <w:sz w:val="24"/>
        </w:rPr>
        <w:t>月</w:t>
      </w:r>
      <w:r w:rsidRPr="00C50A4F">
        <w:rPr>
          <w:rFonts w:ascii="Times New Roman" w:hAnsi="Times New Roman" w:cs="Times New Roman"/>
          <w:color w:val="000000"/>
          <w:sz w:val="24"/>
        </w:rPr>
        <w:t xml:space="preserve"> 18 </w:t>
      </w:r>
      <w:r w:rsidRPr="00C50A4F">
        <w:rPr>
          <w:rFonts w:ascii="Times New Roman" w:hAnsi="Times New Roman" w:cs="Times New Roman"/>
          <w:color w:val="000000"/>
          <w:sz w:val="24"/>
        </w:rPr>
        <w:t>日</w:t>
      </w:r>
    </w:p>
    <w:p w14:paraId="0EDA763A" w14:textId="77777777" w:rsidR="00E90AC0" w:rsidRDefault="00E90AC0">
      <w:pPr>
        <w:autoSpaceDE w:val="0"/>
        <w:autoSpaceDN w:val="0"/>
        <w:spacing w:before="120" w:after="120" w:line="360" w:lineRule="auto"/>
        <w:rPr>
          <w:rFonts w:cs="Times New Roman" w:hint="eastAsia"/>
          <w:kern w:val="2"/>
          <w:sz w:val="24"/>
          <w:szCs w:val="24"/>
          <w:lang w:eastAsia="zh-CN"/>
        </w:rPr>
      </w:pPr>
    </w:p>
    <w:p w14:paraId="73B1B623" w14:textId="77777777" w:rsidR="00E90AC0" w:rsidRDefault="00E90AC0">
      <w:pPr>
        <w:spacing w:afterLines="80" w:after="249" w:line="360" w:lineRule="auto"/>
        <w:rPr>
          <w:rFonts w:ascii="Times New Roman" w:hAnsi="Times New Roman" w:cs="Times New Roman"/>
        </w:rPr>
      </w:pPr>
    </w:p>
    <w:sectPr w:rsidR="00E90AC0">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6DD302" w14:textId="77777777" w:rsidR="00D226F5" w:rsidRDefault="00D226F5">
      <w:pPr>
        <w:rPr>
          <w:rFonts w:hint="eastAsia"/>
        </w:rPr>
      </w:pPr>
      <w:r>
        <w:separator/>
      </w:r>
    </w:p>
  </w:endnote>
  <w:endnote w:type="continuationSeparator" w:id="0">
    <w:p w14:paraId="1FE3BDAE" w14:textId="77777777" w:rsidR="00D226F5" w:rsidRDefault="00D226F5">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72FDB5" w14:textId="77777777" w:rsidR="00E90AC0" w:rsidRDefault="00E90AC0">
    <w:pPr>
      <w:pStyle w:val="aa"/>
      <w:rPr>
        <w:rFonts w:ascii="Times New Roman" w:hAnsi="Times New Roman" w:cs="Times New Roman"/>
      </w:rPr>
    </w:pPr>
  </w:p>
  <w:sdt>
    <w:sdtPr>
      <w:id w:val="-789125685"/>
    </w:sdtPr>
    <w:sdtEndPr>
      <w:rPr>
        <w:rFonts w:ascii="Times New Roman" w:hAnsi="Times New Roman" w:cs="Times New Roman"/>
      </w:rPr>
    </w:sdtEndPr>
    <w:sdtContent>
      <w:p w14:paraId="257BB8EF" w14:textId="21B400E1" w:rsidR="00E90AC0" w:rsidRDefault="000D722A">
        <w:pPr>
          <w:pStyle w:val="aa"/>
          <w:jc w:val="center"/>
          <w:rPr>
            <w:rFonts w:ascii="Times New Roman" w:hAnsi="Times New Roman" w:cs="Times New Roman"/>
          </w:rPr>
        </w:pPr>
        <w:r>
          <w:rPr>
            <w:rFonts w:ascii="Times New Roman" w:eastAsiaTheme="minorEastAsia" w:hAnsi="Times New Roman" w:cs="Times New Roman"/>
          </w:rPr>
          <w:fldChar w:fldCharType="begin"/>
        </w:r>
        <w:r>
          <w:rPr>
            <w:rFonts w:ascii="Times New Roman" w:eastAsiaTheme="minorEastAsia" w:hAnsi="Times New Roman" w:cs="Times New Roman"/>
          </w:rPr>
          <w:instrText>PAGE   \* MERGEFORMAT</w:instrText>
        </w:r>
        <w:r>
          <w:rPr>
            <w:rFonts w:ascii="Times New Roman" w:eastAsiaTheme="minorEastAsia" w:hAnsi="Times New Roman" w:cs="Times New Roman"/>
          </w:rPr>
          <w:fldChar w:fldCharType="separate"/>
        </w:r>
        <w:r w:rsidR="00E4581C" w:rsidRPr="00E4581C">
          <w:rPr>
            <w:rFonts w:ascii="Times New Roman" w:eastAsiaTheme="minorEastAsia" w:hAnsi="Times New Roman" w:cs="Times New Roman"/>
            <w:noProof/>
            <w:lang w:val="zh-CN" w:eastAsia="zh-CN"/>
          </w:rPr>
          <w:t>3</w:t>
        </w:r>
        <w:r>
          <w:rPr>
            <w:rFonts w:ascii="Times New Roman" w:eastAsiaTheme="minorEastAsia" w:hAnsi="Times New Roman" w:cs="Times New Roman"/>
          </w:rPr>
          <w:fldChar w:fldCharType="end"/>
        </w:r>
      </w:p>
    </w:sdtContent>
  </w:sdt>
  <w:p w14:paraId="16727ACC" w14:textId="77777777" w:rsidR="00E90AC0" w:rsidRDefault="00E90AC0">
    <w:pPr>
      <w:pStyle w:val="a6"/>
      <w:spacing w:line="14" w:lineRule="auto"/>
      <w:rPr>
        <w:rFonts w:hint="eastAsia"/>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859EB2" w14:textId="77777777" w:rsidR="00E90AC0" w:rsidRDefault="00E90AC0">
    <w:pPr>
      <w:pStyle w:val="aa"/>
      <w:spacing w:before="120" w:after="120"/>
      <w:ind w:firstLine="360"/>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47762776"/>
    </w:sdtPr>
    <w:sdtContent>
      <w:p w14:paraId="730E811C" w14:textId="77777777" w:rsidR="00E90AC0" w:rsidRDefault="000D722A">
        <w:pPr>
          <w:pStyle w:val="aa"/>
          <w:spacing w:before="120" w:after="120"/>
          <w:ind w:firstLine="360"/>
          <w:jc w:val="center"/>
          <w:rPr>
            <w:rFonts w:hint="eastAsia"/>
          </w:rPr>
        </w:pPr>
        <w:r>
          <w:fldChar w:fldCharType="begin"/>
        </w:r>
        <w:r>
          <w:instrText>PAGE   \* MERGEFORMAT</w:instrText>
        </w:r>
        <w:r>
          <w:fldChar w:fldCharType="separate"/>
        </w:r>
        <w:r w:rsidR="00E4581C" w:rsidRPr="00E4581C">
          <w:rPr>
            <w:noProof/>
            <w:lang w:val="zh-CN"/>
          </w:rPr>
          <w:t>4</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398466" w14:textId="77777777" w:rsidR="00E90AC0" w:rsidRDefault="00E90AC0">
    <w:pPr>
      <w:pStyle w:val="aa"/>
      <w:spacing w:before="120" w:after="120"/>
      <w:ind w:firstLine="360"/>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B01826" w14:textId="77777777" w:rsidR="00D226F5" w:rsidRDefault="00D226F5">
      <w:pPr>
        <w:rPr>
          <w:rFonts w:hint="eastAsia"/>
        </w:rPr>
      </w:pPr>
      <w:r>
        <w:separator/>
      </w:r>
    </w:p>
  </w:footnote>
  <w:footnote w:type="continuationSeparator" w:id="0">
    <w:p w14:paraId="0C39BA36" w14:textId="77777777" w:rsidR="00D226F5" w:rsidRDefault="00D226F5">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F652F4" w14:textId="77777777" w:rsidR="00E90AC0" w:rsidRDefault="00E90AC0">
    <w:pPr>
      <w:pStyle w:val="ac"/>
      <w:spacing w:before="120" w:after="120"/>
      <w:ind w:firstLine="360"/>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00BEED" w14:textId="77777777" w:rsidR="00E90AC0" w:rsidRDefault="00E90AC0">
    <w:pPr>
      <w:spacing w:before="120" w:after="120"/>
      <w:ind w:firstLine="480"/>
      <w:rPr>
        <w:rFonts w:hint="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4A145A" w14:textId="77777777" w:rsidR="00E90AC0" w:rsidRDefault="00E90AC0">
    <w:pPr>
      <w:pStyle w:val="ac"/>
      <w:spacing w:before="120" w:after="120"/>
      <w:ind w:firstLine="360"/>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grammar="clean"/>
  <w:defaultTabStop w:val="720"/>
  <w:drawingGridHorizontalSpacing w:val="110"/>
  <w:noPunctuationKerning/>
  <w:characterSpacingControl w:val="doNotCompress"/>
  <w:hdrShapeDefaults>
    <o:shapedefaults v:ext="edit" spidmax="2050"/>
  </w:hdrShapeDefaults>
  <w:footnotePr>
    <w:footnote w:id="-1"/>
    <w:footnote w:id="0"/>
  </w:footnotePr>
  <w:endnotePr>
    <w:endnote w:id="-1"/>
    <w:endnote w:id="0"/>
  </w:endnotePr>
  <w:compat>
    <w:ulTrailSpace/>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56616"/>
    <w:rsid w:val="00010251"/>
    <w:rsid w:val="000105F5"/>
    <w:rsid w:val="00014FD0"/>
    <w:rsid w:val="000155A4"/>
    <w:rsid w:val="00015BCE"/>
    <w:rsid w:val="00035F69"/>
    <w:rsid w:val="00043CE9"/>
    <w:rsid w:val="000463AB"/>
    <w:rsid w:val="00051C4B"/>
    <w:rsid w:val="00053488"/>
    <w:rsid w:val="00053C76"/>
    <w:rsid w:val="00054298"/>
    <w:rsid w:val="0005696D"/>
    <w:rsid w:val="000576F4"/>
    <w:rsid w:val="00060C9B"/>
    <w:rsid w:val="0006290B"/>
    <w:rsid w:val="00082BB3"/>
    <w:rsid w:val="000853DC"/>
    <w:rsid w:val="00087821"/>
    <w:rsid w:val="00087F35"/>
    <w:rsid w:val="000918E3"/>
    <w:rsid w:val="000A0441"/>
    <w:rsid w:val="000A5BD3"/>
    <w:rsid w:val="000A7C52"/>
    <w:rsid w:val="000B4C5B"/>
    <w:rsid w:val="000B6CE6"/>
    <w:rsid w:val="000B6D5C"/>
    <w:rsid w:val="000C64D9"/>
    <w:rsid w:val="000D182F"/>
    <w:rsid w:val="000D1D44"/>
    <w:rsid w:val="000D5C40"/>
    <w:rsid w:val="000D722A"/>
    <w:rsid w:val="000E1C02"/>
    <w:rsid w:val="000F59C7"/>
    <w:rsid w:val="00102C25"/>
    <w:rsid w:val="001061EF"/>
    <w:rsid w:val="00127DE8"/>
    <w:rsid w:val="00131649"/>
    <w:rsid w:val="001467CD"/>
    <w:rsid w:val="00156A47"/>
    <w:rsid w:val="001630B2"/>
    <w:rsid w:val="00175EC9"/>
    <w:rsid w:val="001848EC"/>
    <w:rsid w:val="001850DC"/>
    <w:rsid w:val="0018541C"/>
    <w:rsid w:val="0019008B"/>
    <w:rsid w:val="00197001"/>
    <w:rsid w:val="001A239C"/>
    <w:rsid w:val="001A6744"/>
    <w:rsid w:val="001A7800"/>
    <w:rsid w:val="001B7B46"/>
    <w:rsid w:val="001C43F5"/>
    <w:rsid w:val="001C65B8"/>
    <w:rsid w:val="001D0110"/>
    <w:rsid w:val="001E3BC3"/>
    <w:rsid w:val="001E4E15"/>
    <w:rsid w:val="001E676B"/>
    <w:rsid w:val="001E6908"/>
    <w:rsid w:val="001F4ABE"/>
    <w:rsid w:val="001F66FA"/>
    <w:rsid w:val="0020634D"/>
    <w:rsid w:val="00206BAE"/>
    <w:rsid w:val="00211DFA"/>
    <w:rsid w:val="00220571"/>
    <w:rsid w:val="00225B90"/>
    <w:rsid w:val="00232E75"/>
    <w:rsid w:val="00264F6E"/>
    <w:rsid w:val="002677BC"/>
    <w:rsid w:val="00270E38"/>
    <w:rsid w:val="00272B62"/>
    <w:rsid w:val="00285328"/>
    <w:rsid w:val="002949BB"/>
    <w:rsid w:val="002A1169"/>
    <w:rsid w:val="002A3F0E"/>
    <w:rsid w:val="002A7D3B"/>
    <w:rsid w:val="002B1E2C"/>
    <w:rsid w:val="002B2F5D"/>
    <w:rsid w:val="002B6907"/>
    <w:rsid w:val="002B6E13"/>
    <w:rsid w:val="002C76E5"/>
    <w:rsid w:val="002D25D2"/>
    <w:rsid w:val="002D5BF4"/>
    <w:rsid w:val="002D5CAF"/>
    <w:rsid w:val="002D5DAB"/>
    <w:rsid w:val="002D5F3A"/>
    <w:rsid w:val="002E5540"/>
    <w:rsid w:val="002F6239"/>
    <w:rsid w:val="003061F7"/>
    <w:rsid w:val="003076D3"/>
    <w:rsid w:val="0032374B"/>
    <w:rsid w:val="00361BB6"/>
    <w:rsid w:val="00362348"/>
    <w:rsid w:val="00363B50"/>
    <w:rsid w:val="00364D35"/>
    <w:rsid w:val="0037035C"/>
    <w:rsid w:val="00374C52"/>
    <w:rsid w:val="003862AA"/>
    <w:rsid w:val="00394542"/>
    <w:rsid w:val="003957A2"/>
    <w:rsid w:val="003A193C"/>
    <w:rsid w:val="003A3086"/>
    <w:rsid w:val="003A601D"/>
    <w:rsid w:val="003B0A50"/>
    <w:rsid w:val="003C0AF3"/>
    <w:rsid w:val="003C660B"/>
    <w:rsid w:val="003C6F04"/>
    <w:rsid w:val="003D6889"/>
    <w:rsid w:val="003E0902"/>
    <w:rsid w:val="003E0A14"/>
    <w:rsid w:val="003F0093"/>
    <w:rsid w:val="00405750"/>
    <w:rsid w:val="0041167C"/>
    <w:rsid w:val="00424B21"/>
    <w:rsid w:val="00427801"/>
    <w:rsid w:val="00434C70"/>
    <w:rsid w:val="004441EA"/>
    <w:rsid w:val="004459B9"/>
    <w:rsid w:val="00446E21"/>
    <w:rsid w:val="00450303"/>
    <w:rsid w:val="0045060C"/>
    <w:rsid w:val="00453BAB"/>
    <w:rsid w:val="00460915"/>
    <w:rsid w:val="00477D64"/>
    <w:rsid w:val="00481541"/>
    <w:rsid w:val="00495DF7"/>
    <w:rsid w:val="004A0609"/>
    <w:rsid w:val="004A539E"/>
    <w:rsid w:val="004B3868"/>
    <w:rsid w:val="004B62EF"/>
    <w:rsid w:val="004B6B67"/>
    <w:rsid w:val="004C2854"/>
    <w:rsid w:val="004C40F5"/>
    <w:rsid w:val="004C551D"/>
    <w:rsid w:val="004E35F2"/>
    <w:rsid w:val="004F2A4D"/>
    <w:rsid w:val="00510209"/>
    <w:rsid w:val="005211F3"/>
    <w:rsid w:val="00525C4D"/>
    <w:rsid w:val="00527C93"/>
    <w:rsid w:val="005651EF"/>
    <w:rsid w:val="0057021E"/>
    <w:rsid w:val="0057210D"/>
    <w:rsid w:val="00576179"/>
    <w:rsid w:val="00580808"/>
    <w:rsid w:val="005958C2"/>
    <w:rsid w:val="005C3BBE"/>
    <w:rsid w:val="005C5A0D"/>
    <w:rsid w:val="005C7436"/>
    <w:rsid w:val="005D097F"/>
    <w:rsid w:val="005D5E16"/>
    <w:rsid w:val="005E3CF1"/>
    <w:rsid w:val="005E409D"/>
    <w:rsid w:val="005F4371"/>
    <w:rsid w:val="005F58F4"/>
    <w:rsid w:val="00602EA3"/>
    <w:rsid w:val="0060571C"/>
    <w:rsid w:val="006069F7"/>
    <w:rsid w:val="00613CA6"/>
    <w:rsid w:val="006173F2"/>
    <w:rsid w:val="00617E2B"/>
    <w:rsid w:val="00626156"/>
    <w:rsid w:val="006362BD"/>
    <w:rsid w:val="0065253C"/>
    <w:rsid w:val="006558CF"/>
    <w:rsid w:val="006578F8"/>
    <w:rsid w:val="00657AB3"/>
    <w:rsid w:val="006719BB"/>
    <w:rsid w:val="00680308"/>
    <w:rsid w:val="0069159D"/>
    <w:rsid w:val="00691A2B"/>
    <w:rsid w:val="00693D68"/>
    <w:rsid w:val="00694BF3"/>
    <w:rsid w:val="006A5965"/>
    <w:rsid w:val="006A62BD"/>
    <w:rsid w:val="006B3579"/>
    <w:rsid w:val="006B5DF6"/>
    <w:rsid w:val="006E4108"/>
    <w:rsid w:val="006E6542"/>
    <w:rsid w:val="00702663"/>
    <w:rsid w:val="00722D6A"/>
    <w:rsid w:val="00731A81"/>
    <w:rsid w:val="00736EAE"/>
    <w:rsid w:val="00742523"/>
    <w:rsid w:val="007439BF"/>
    <w:rsid w:val="0075403E"/>
    <w:rsid w:val="00760C33"/>
    <w:rsid w:val="0077662A"/>
    <w:rsid w:val="00786BE7"/>
    <w:rsid w:val="0079580D"/>
    <w:rsid w:val="007965FB"/>
    <w:rsid w:val="007B3AF7"/>
    <w:rsid w:val="007D1BE3"/>
    <w:rsid w:val="007E008F"/>
    <w:rsid w:val="007F564B"/>
    <w:rsid w:val="008018A1"/>
    <w:rsid w:val="00803174"/>
    <w:rsid w:val="00807CF6"/>
    <w:rsid w:val="00810B99"/>
    <w:rsid w:val="00825671"/>
    <w:rsid w:val="0082669E"/>
    <w:rsid w:val="0082794E"/>
    <w:rsid w:val="0083510B"/>
    <w:rsid w:val="0084180C"/>
    <w:rsid w:val="00851A7F"/>
    <w:rsid w:val="00856616"/>
    <w:rsid w:val="00860A4F"/>
    <w:rsid w:val="008911AA"/>
    <w:rsid w:val="0089447B"/>
    <w:rsid w:val="008A0769"/>
    <w:rsid w:val="008A2216"/>
    <w:rsid w:val="008A61FB"/>
    <w:rsid w:val="008B13A3"/>
    <w:rsid w:val="008B25C4"/>
    <w:rsid w:val="008B2CA0"/>
    <w:rsid w:val="008B406F"/>
    <w:rsid w:val="00900E1A"/>
    <w:rsid w:val="009127EC"/>
    <w:rsid w:val="00912BE1"/>
    <w:rsid w:val="00915E58"/>
    <w:rsid w:val="00917ECD"/>
    <w:rsid w:val="009207AE"/>
    <w:rsid w:val="009263E2"/>
    <w:rsid w:val="00927894"/>
    <w:rsid w:val="009306D0"/>
    <w:rsid w:val="00932D9A"/>
    <w:rsid w:val="009332D6"/>
    <w:rsid w:val="00940EFA"/>
    <w:rsid w:val="00944D9A"/>
    <w:rsid w:val="00951279"/>
    <w:rsid w:val="009515E8"/>
    <w:rsid w:val="00951DA6"/>
    <w:rsid w:val="009522C4"/>
    <w:rsid w:val="0095416A"/>
    <w:rsid w:val="00963145"/>
    <w:rsid w:val="00964370"/>
    <w:rsid w:val="009768A7"/>
    <w:rsid w:val="009842F5"/>
    <w:rsid w:val="00995E17"/>
    <w:rsid w:val="009A18EB"/>
    <w:rsid w:val="009A7E1C"/>
    <w:rsid w:val="009B21E1"/>
    <w:rsid w:val="009B23DA"/>
    <w:rsid w:val="009C332E"/>
    <w:rsid w:val="009C468B"/>
    <w:rsid w:val="009D32CB"/>
    <w:rsid w:val="009D76CD"/>
    <w:rsid w:val="009E3FD0"/>
    <w:rsid w:val="009E54C9"/>
    <w:rsid w:val="009F04C8"/>
    <w:rsid w:val="009F0AE6"/>
    <w:rsid w:val="009F132C"/>
    <w:rsid w:val="00A044A5"/>
    <w:rsid w:val="00A11E74"/>
    <w:rsid w:val="00A13FEF"/>
    <w:rsid w:val="00A17C88"/>
    <w:rsid w:val="00A32DDA"/>
    <w:rsid w:val="00A40DEF"/>
    <w:rsid w:val="00A57709"/>
    <w:rsid w:val="00A6121A"/>
    <w:rsid w:val="00A627E1"/>
    <w:rsid w:val="00A645F6"/>
    <w:rsid w:val="00A64CFA"/>
    <w:rsid w:val="00A7765C"/>
    <w:rsid w:val="00A82F5A"/>
    <w:rsid w:val="00A9447D"/>
    <w:rsid w:val="00AA2F54"/>
    <w:rsid w:val="00AB0BDB"/>
    <w:rsid w:val="00AB3BE6"/>
    <w:rsid w:val="00AB3C01"/>
    <w:rsid w:val="00AC394D"/>
    <w:rsid w:val="00AD18CC"/>
    <w:rsid w:val="00AD4E34"/>
    <w:rsid w:val="00AD79E6"/>
    <w:rsid w:val="00AF17C3"/>
    <w:rsid w:val="00AF3137"/>
    <w:rsid w:val="00B06360"/>
    <w:rsid w:val="00B45DD1"/>
    <w:rsid w:val="00B548B7"/>
    <w:rsid w:val="00B55395"/>
    <w:rsid w:val="00B92C34"/>
    <w:rsid w:val="00B97B81"/>
    <w:rsid w:val="00BC0901"/>
    <w:rsid w:val="00BC34A7"/>
    <w:rsid w:val="00BD31A9"/>
    <w:rsid w:val="00BF6C77"/>
    <w:rsid w:val="00BF7DEA"/>
    <w:rsid w:val="00C04772"/>
    <w:rsid w:val="00C052EB"/>
    <w:rsid w:val="00C10891"/>
    <w:rsid w:val="00C22F08"/>
    <w:rsid w:val="00C23FFE"/>
    <w:rsid w:val="00C2547D"/>
    <w:rsid w:val="00C306AA"/>
    <w:rsid w:val="00C37DE3"/>
    <w:rsid w:val="00C400D1"/>
    <w:rsid w:val="00C40614"/>
    <w:rsid w:val="00C40CA9"/>
    <w:rsid w:val="00C44703"/>
    <w:rsid w:val="00C462EB"/>
    <w:rsid w:val="00C62B55"/>
    <w:rsid w:val="00C6311F"/>
    <w:rsid w:val="00C634AC"/>
    <w:rsid w:val="00C636B0"/>
    <w:rsid w:val="00C73E25"/>
    <w:rsid w:val="00C815AF"/>
    <w:rsid w:val="00C81635"/>
    <w:rsid w:val="00C81CE5"/>
    <w:rsid w:val="00C825E6"/>
    <w:rsid w:val="00C8477E"/>
    <w:rsid w:val="00C854E8"/>
    <w:rsid w:val="00C8773F"/>
    <w:rsid w:val="00C90215"/>
    <w:rsid w:val="00CA34B8"/>
    <w:rsid w:val="00CA3F90"/>
    <w:rsid w:val="00CB0F61"/>
    <w:rsid w:val="00CB4B13"/>
    <w:rsid w:val="00CB7D17"/>
    <w:rsid w:val="00CC1266"/>
    <w:rsid w:val="00CD51FA"/>
    <w:rsid w:val="00CD74D9"/>
    <w:rsid w:val="00CE5665"/>
    <w:rsid w:val="00CE757B"/>
    <w:rsid w:val="00CF3CBF"/>
    <w:rsid w:val="00CF4C29"/>
    <w:rsid w:val="00CF74D0"/>
    <w:rsid w:val="00CF7F57"/>
    <w:rsid w:val="00D02A10"/>
    <w:rsid w:val="00D06A47"/>
    <w:rsid w:val="00D12425"/>
    <w:rsid w:val="00D13E58"/>
    <w:rsid w:val="00D20014"/>
    <w:rsid w:val="00D225DC"/>
    <w:rsid w:val="00D226F5"/>
    <w:rsid w:val="00D337DD"/>
    <w:rsid w:val="00D447C2"/>
    <w:rsid w:val="00D470E4"/>
    <w:rsid w:val="00D4738A"/>
    <w:rsid w:val="00D47F66"/>
    <w:rsid w:val="00D50343"/>
    <w:rsid w:val="00D51E4E"/>
    <w:rsid w:val="00D5309C"/>
    <w:rsid w:val="00D56AB4"/>
    <w:rsid w:val="00D638D1"/>
    <w:rsid w:val="00D75321"/>
    <w:rsid w:val="00D75915"/>
    <w:rsid w:val="00D771E2"/>
    <w:rsid w:val="00D90514"/>
    <w:rsid w:val="00DA4782"/>
    <w:rsid w:val="00DC13EA"/>
    <w:rsid w:val="00DE04AB"/>
    <w:rsid w:val="00DE2B2F"/>
    <w:rsid w:val="00DF1A1E"/>
    <w:rsid w:val="00DF472F"/>
    <w:rsid w:val="00DF6F3F"/>
    <w:rsid w:val="00DF7428"/>
    <w:rsid w:val="00E03D84"/>
    <w:rsid w:val="00E07D56"/>
    <w:rsid w:val="00E11C74"/>
    <w:rsid w:val="00E12D44"/>
    <w:rsid w:val="00E13390"/>
    <w:rsid w:val="00E334DF"/>
    <w:rsid w:val="00E400AC"/>
    <w:rsid w:val="00E444FE"/>
    <w:rsid w:val="00E4581C"/>
    <w:rsid w:val="00E46D2F"/>
    <w:rsid w:val="00E50A91"/>
    <w:rsid w:val="00E52A79"/>
    <w:rsid w:val="00E53318"/>
    <w:rsid w:val="00E73DBF"/>
    <w:rsid w:val="00E843BC"/>
    <w:rsid w:val="00E90AC0"/>
    <w:rsid w:val="00E9459B"/>
    <w:rsid w:val="00EA0561"/>
    <w:rsid w:val="00EA3846"/>
    <w:rsid w:val="00EA60A4"/>
    <w:rsid w:val="00EB2F6E"/>
    <w:rsid w:val="00EB6C2D"/>
    <w:rsid w:val="00EC4AC6"/>
    <w:rsid w:val="00ED1B92"/>
    <w:rsid w:val="00ED24BB"/>
    <w:rsid w:val="00EF23F4"/>
    <w:rsid w:val="00EF264C"/>
    <w:rsid w:val="00EF29A4"/>
    <w:rsid w:val="00EF763A"/>
    <w:rsid w:val="00F008CA"/>
    <w:rsid w:val="00F00ACF"/>
    <w:rsid w:val="00F14857"/>
    <w:rsid w:val="00F34ABF"/>
    <w:rsid w:val="00F47C25"/>
    <w:rsid w:val="00F52E84"/>
    <w:rsid w:val="00F54039"/>
    <w:rsid w:val="00F55EC4"/>
    <w:rsid w:val="00F56CF8"/>
    <w:rsid w:val="00F60595"/>
    <w:rsid w:val="00F65463"/>
    <w:rsid w:val="00F7273D"/>
    <w:rsid w:val="00F72EFE"/>
    <w:rsid w:val="00F767D7"/>
    <w:rsid w:val="00F82B38"/>
    <w:rsid w:val="00F86513"/>
    <w:rsid w:val="00FC2181"/>
    <w:rsid w:val="00FC2FAC"/>
    <w:rsid w:val="00FC3105"/>
    <w:rsid w:val="00FC3B4E"/>
    <w:rsid w:val="00FD0943"/>
    <w:rsid w:val="00FD54FB"/>
    <w:rsid w:val="00FD7EA0"/>
    <w:rsid w:val="00FE3D40"/>
    <w:rsid w:val="00FE6308"/>
    <w:rsid w:val="00FF0AFB"/>
    <w:rsid w:val="00FF2EEA"/>
    <w:rsid w:val="00FF6A01"/>
    <w:rsid w:val="03E01294"/>
    <w:rsid w:val="045A1585"/>
    <w:rsid w:val="05BD33E8"/>
    <w:rsid w:val="0708219C"/>
    <w:rsid w:val="070E2AFA"/>
    <w:rsid w:val="07B95C94"/>
    <w:rsid w:val="0E92727D"/>
    <w:rsid w:val="10303AE2"/>
    <w:rsid w:val="10AC58D4"/>
    <w:rsid w:val="182722E6"/>
    <w:rsid w:val="18A50573"/>
    <w:rsid w:val="1BA51EB3"/>
    <w:rsid w:val="1E6A4663"/>
    <w:rsid w:val="217E6B60"/>
    <w:rsid w:val="21C422DC"/>
    <w:rsid w:val="26B66ABB"/>
    <w:rsid w:val="278F0C96"/>
    <w:rsid w:val="28C55250"/>
    <w:rsid w:val="2B1C6179"/>
    <w:rsid w:val="32814A0C"/>
    <w:rsid w:val="3752091D"/>
    <w:rsid w:val="37B53639"/>
    <w:rsid w:val="398A28CD"/>
    <w:rsid w:val="39D33AED"/>
    <w:rsid w:val="3F02598E"/>
    <w:rsid w:val="445D37FD"/>
    <w:rsid w:val="46F34946"/>
    <w:rsid w:val="472D7B49"/>
    <w:rsid w:val="47922FF7"/>
    <w:rsid w:val="481F39E6"/>
    <w:rsid w:val="48633185"/>
    <w:rsid w:val="4AC2685D"/>
    <w:rsid w:val="559317CE"/>
    <w:rsid w:val="562B7C58"/>
    <w:rsid w:val="569C6DA8"/>
    <w:rsid w:val="56E85E23"/>
    <w:rsid w:val="589F66DB"/>
    <w:rsid w:val="58E8143E"/>
    <w:rsid w:val="5E394EDC"/>
    <w:rsid w:val="5F831102"/>
    <w:rsid w:val="60C942CB"/>
    <w:rsid w:val="612E684E"/>
    <w:rsid w:val="61587D6F"/>
    <w:rsid w:val="63760D7C"/>
    <w:rsid w:val="67BA52E0"/>
    <w:rsid w:val="690F6F65"/>
    <w:rsid w:val="69256413"/>
    <w:rsid w:val="694469E8"/>
    <w:rsid w:val="6C223454"/>
    <w:rsid w:val="706A13BE"/>
    <w:rsid w:val="71E03974"/>
    <w:rsid w:val="73A155A6"/>
    <w:rsid w:val="7C563B37"/>
    <w:rsid w:val="7EF7261C"/>
    <w:rsid w:val="7F0A22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4E78F3E"/>
  <w15:docId w15:val="{462AC65E-C4F9-4252-8D93-7B925C0E11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qFormat="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rPr>
      <w:rFonts w:ascii="宋体" w:hAnsi="宋体" w:cs="宋体"/>
      <w:sz w:val="22"/>
      <w:szCs w:val="22"/>
      <w:lang w:eastAsia="en-US"/>
    </w:rPr>
  </w:style>
  <w:style w:type="paragraph" w:styleId="1">
    <w:name w:val="heading 1"/>
    <w:basedOn w:val="a"/>
    <w:link w:val="10"/>
    <w:uiPriority w:val="9"/>
    <w:qFormat/>
    <w:pPr>
      <w:spacing w:before="1"/>
      <w:ind w:left="700"/>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uiPriority w:val="99"/>
    <w:semiHidden/>
    <w:unhideWhenUsed/>
    <w:qFormat/>
    <w:pPr>
      <w:ind w:firstLineChars="200" w:firstLine="420"/>
    </w:pPr>
  </w:style>
  <w:style w:type="paragraph" w:styleId="5">
    <w:name w:val="index 5"/>
    <w:basedOn w:val="a"/>
    <w:next w:val="a"/>
    <w:autoRedefine/>
    <w:uiPriority w:val="99"/>
    <w:semiHidden/>
    <w:unhideWhenUsed/>
    <w:qFormat/>
    <w:pPr>
      <w:ind w:leftChars="800" w:left="800"/>
    </w:pPr>
  </w:style>
  <w:style w:type="paragraph" w:styleId="a4">
    <w:name w:val="annotation text"/>
    <w:basedOn w:val="a"/>
    <w:link w:val="a5"/>
    <w:uiPriority w:val="99"/>
    <w:unhideWhenUsed/>
  </w:style>
  <w:style w:type="paragraph" w:styleId="a6">
    <w:name w:val="Body Text"/>
    <w:basedOn w:val="a"/>
    <w:link w:val="a7"/>
    <w:uiPriority w:val="1"/>
    <w:qFormat/>
    <w:rPr>
      <w:sz w:val="24"/>
      <w:szCs w:val="24"/>
    </w:rPr>
  </w:style>
  <w:style w:type="paragraph" w:styleId="a8">
    <w:name w:val="Balloon Text"/>
    <w:basedOn w:val="a"/>
    <w:link w:val="a9"/>
    <w:uiPriority w:val="99"/>
    <w:semiHidden/>
    <w:unhideWhenUsed/>
    <w:qFormat/>
    <w:rPr>
      <w:sz w:val="18"/>
      <w:szCs w:val="18"/>
    </w:rPr>
  </w:style>
  <w:style w:type="paragraph" w:styleId="aa">
    <w:name w:val="footer"/>
    <w:basedOn w:val="a"/>
    <w:link w:val="ab"/>
    <w:uiPriority w:val="99"/>
    <w:unhideWhenUsed/>
    <w:qFormat/>
    <w:pPr>
      <w:tabs>
        <w:tab w:val="center" w:pos="4153"/>
        <w:tab w:val="right" w:pos="8306"/>
      </w:tabs>
      <w:snapToGrid w:val="0"/>
    </w:pPr>
    <w:rPr>
      <w:sz w:val="18"/>
      <w:szCs w:val="18"/>
    </w:rPr>
  </w:style>
  <w:style w:type="paragraph" w:styleId="ac">
    <w:name w:val="header"/>
    <w:basedOn w:val="a"/>
    <w:link w:val="ad"/>
    <w:uiPriority w:val="99"/>
    <w:unhideWhenUsed/>
    <w:qFormat/>
    <w:pPr>
      <w:pBdr>
        <w:bottom w:val="single" w:sz="6" w:space="1" w:color="auto"/>
      </w:pBdr>
      <w:tabs>
        <w:tab w:val="center" w:pos="4153"/>
        <w:tab w:val="right" w:pos="8306"/>
      </w:tabs>
      <w:snapToGrid w:val="0"/>
      <w:jc w:val="center"/>
    </w:pPr>
    <w:rPr>
      <w:sz w:val="18"/>
      <w:szCs w:val="18"/>
    </w:rPr>
  </w:style>
  <w:style w:type="paragraph" w:styleId="ae">
    <w:name w:val="Normal (Web)"/>
    <w:basedOn w:val="a"/>
    <w:qFormat/>
    <w:pPr>
      <w:spacing w:beforeAutospacing="1" w:afterAutospacing="1"/>
    </w:pPr>
    <w:rPr>
      <w:rFonts w:asciiTheme="minorHAnsi" w:eastAsiaTheme="minorEastAsia" w:hAnsiTheme="minorHAnsi" w:cs="Times New Roman"/>
      <w:sz w:val="24"/>
      <w:szCs w:val="24"/>
      <w:lang w:eastAsia="zh-CN"/>
    </w:rPr>
  </w:style>
  <w:style w:type="paragraph" w:styleId="af">
    <w:name w:val="annotation subject"/>
    <w:basedOn w:val="a4"/>
    <w:next w:val="a4"/>
    <w:link w:val="af0"/>
    <w:uiPriority w:val="99"/>
    <w:semiHidden/>
    <w:unhideWhenUsed/>
    <w:qFormat/>
    <w:rPr>
      <w:b/>
      <w:bCs/>
    </w:rPr>
  </w:style>
  <w:style w:type="table" w:styleId="af1">
    <w:name w:val="Table Grid"/>
    <w:basedOn w:val="a1"/>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basedOn w:val="a0"/>
    <w:uiPriority w:val="99"/>
    <w:semiHidden/>
    <w:unhideWhenUsed/>
    <w:qFormat/>
    <w:rPr>
      <w:sz w:val="21"/>
      <w:szCs w:val="21"/>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f3">
    <w:name w:val="List Paragraph"/>
    <w:basedOn w:val="a"/>
    <w:link w:val="af4"/>
    <w:uiPriority w:val="34"/>
    <w:qFormat/>
  </w:style>
  <w:style w:type="paragraph" w:customStyle="1" w:styleId="TableParagraph">
    <w:name w:val="Table Paragraph"/>
    <w:basedOn w:val="a"/>
    <w:uiPriority w:val="1"/>
    <w:qFormat/>
    <w:pPr>
      <w:jc w:val="right"/>
    </w:pPr>
    <w:rPr>
      <w:rFonts w:ascii="Times New Roman" w:eastAsia="Times New Roman" w:hAnsi="Times New Roman" w:cs="Times New Roman"/>
    </w:rPr>
  </w:style>
  <w:style w:type="character" w:customStyle="1" w:styleId="005Char">
    <w:name w:val="005正文 Char"/>
    <w:link w:val="005"/>
    <w:qFormat/>
    <w:locked/>
    <w:rPr>
      <w:rFonts w:ascii="Arial Narrow" w:eastAsia="宋体" w:hAnsi="Arial Narrow"/>
      <w:kern w:val="2"/>
      <w:sz w:val="24"/>
    </w:rPr>
  </w:style>
  <w:style w:type="paragraph" w:customStyle="1" w:styleId="005">
    <w:name w:val="005正文"/>
    <w:basedOn w:val="a"/>
    <w:link w:val="005Char"/>
    <w:qFormat/>
    <w:pPr>
      <w:adjustRightInd w:val="0"/>
      <w:snapToGrid w:val="0"/>
      <w:spacing w:beforeLines="50" w:line="360" w:lineRule="auto"/>
      <w:ind w:firstLineChars="200" w:firstLine="200"/>
      <w:jc w:val="both"/>
    </w:pPr>
    <w:rPr>
      <w:rFonts w:ascii="Arial Narrow" w:hAnsi="Arial Narrow" w:cstheme="minorBidi"/>
      <w:kern w:val="2"/>
      <w:sz w:val="24"/>
    </w:rPr>
  </w:style>
  <w:style w:type="character" w:customStyle="1" w:styleId="004Char">
    <w:name w:val="004四级标题 Char"/>
    <w:link w:val="004"/>
    <w:qFormat/>
    <w:locked/>
    <w:rPr>
      <w:rFonts w:ascii="Arial Narrow" w:eastAsia="宋体" w:hAnsi="Arial Narrow"/>
      <w:b/>
      <w:bCs/>
      <w:kern w:val="2"/>
      <w:sz w:val="24"/>
      <w:szCs w:val="28"/>
      <w:lang w:val="zh-CN"/>
    </w:rPr>
  </w:style>
  <w:style w:type="paragraph" w:customStyle="1" w:styleId="004">
    <w:name w:val="004四级标题"/>
    <w:basedOn w:val="a"/>
    <w:link w:val="004Char"/>
    <w:qFormat/>
    <w:pPr>
      <w:keepNext/>
      <w:keepLines/>
      <w:adjustRightInd w:val="0"/>
      <w:snapToGrid w:val="0"/>
      <w:spacing w:beforeLines="50" w:line="360" w:lineRule="auto"/>
      <w:ind w:firstLineChars="200" w:firstLine="200"/>
      <w:jc w:val="both"/>
      <w:outlineLvl w:val="3"/>
    </w:pPr>
    <w:rPr>
      <w:rFonts w:ascii="Arial Narrow" w:hAnsi="Arial Narrow" w:cstheme="minorBidi"/>
      <w:b/>
      <w:bCs/>
      <w:kern w:val="2"/>
      <w:sz w:val="24"/>
      <w:szCs w:val="28"/>
      <w:lang w:val="zh-CN"/>
    </w:rPr>
  </w:style>
  <w:style w:type="character" w:customStyle="1" w:styleId="ad">
    <w:name w:val="页眉 字符"/>
    <w:basedOn w:val="a0"/>
    <w:link w:val="ac"/>
    <w:uiPriority w:val="99"/>
    <w:rPr>
      <w:rFonts w:ascii="宋体" w:eastAsia="宋体" w:hAnsi="宋体" w:cs="宋体"/>
      <w:sz w:val="18"/>
      <w:szCs w:val="18"/>
    </w:rPr>
  </w:style>
  <w:style w:type="character" w:customStyle="1" w:styleId="ab">
    <w:name w:val="页脚 字符"/>
    <w:basedOn w:val="a0"/>
    <w:link w:val="aa"/>
    <w:uiPriority w:val="99"/>
    <w:qFormat/>
    <w:rPr>
      <w:rFonts w:ascii="宋体" w:eastAsia="宋体" w:hAnsi="宋体" w:cs="宋体"/>
      <w:sz w:val="18"/>
      <w:szCs w:val="18"/>
    </w:rPr>
  </w:style>
  <w:style w:type="character" w:customStyle="1" w:styleId="a5">
    <w:name w:val="批注文字 字符"/>
    <w:basedOn w:val="a0"/>
    <w:link w:val="a4"/>
    <w:uiPriority w:val="99"/>
    <w:qFormat/>
    <w:rPr>
      <w:rFonts w:ascii="宋体" w:eastAsia="宋体" w:hAnsi="宋体" w:cs="宋体"/>
    </w:rPr>
  </w:style>
  <w:style w:type="character" w:customStyle="1" w:styleId="af0">
    <w:name w:val="批注主题 字符"/>
    <w:basedOn w:val="a5"/>
    <w:link w:val="af"/>
    <w:uiPriority w:val="99"/>
    <w:semiHidden/>
    <w:rPr>
      <w:rFonts w:ascii="宋体" w:eastAsia="宋体" w:hAnsi="宋体" w:cs="宋体"/>
      <w:b/>
      <w:bCs/>
    </w:rPr>
  </w:style>
  <w:style w:type="character" w:customStyle="1" w:styleId="af4">
    <w:name w:val="列表段落 字符"/>
    <w:link w:val="af3"/>
    <w:uiPriority w:val="34"/>
    <w:qFormat/>
    <w:locked/>
    <w:rPr>
      <w:rFonts w:ascii="宋体" w:eastAsia="宋体" w:hAnsi="宋体" w:cs="宋体"/>
    </w:rPr>
  </w:style>
  <w:style w:type="paragraph" w:customStyle="1" w:styleId="11">
    <w:name w:val="修订1"/>
    <w:hidden/>
    <w:uiPriority w:val="99"/>
    <w:semiHidden/>
    <w:qFormat/>
    <w:rPr>
      <w:rFonts w:ascii="宋体" w:hAnsi="宋体" w:cs="宋体"/>
      <w:sz w:val="22"/>
      <w:szCs w:val="22"/>
      <w:lang w:eastAsia="en-US"/>
    </w:rPr>
  </w:style>
  <w:style w:type="character" w:customStyle="1" w:styleId="a7">
    <w:name w:val="正文文本 字符"/>
    <w:basedOn w:val="a0"/>
    <w:link w:val="a6"/>
    <w:uiPriority w:val="1"/>
    <w:qFormat/>
    <w:rPr>
      <w:rFonts w:ascii="宋体" w:eastAsia="宋体" w:hAnsi="宋体" w:cs="宋体"/>
      <w:sz w:val="24"/>
      <w:szCs w:val="24"/>
    </w:rPr>
  </w:style>
  <w:style w:type="character" w:customStyle="1" w:styleId="a9">
    <w:name w:val="批注框文本 字符"/>
    <w:basedOn w:val="a0"/>
    <w:link w:val="a8"/>
    <w:uiPriority w:val="99"/>
    <w:semiHidden/>
    <w:qFormat/>
    <w:rPr>
      <w:rFonts w:ascii="宋体" w:eastAsia="宋体" w:hAnsi="宋体" w:cs="宋体"/>
      <w:sz w:val="18"/>
      <w:szCs w:val="18"/>
    </w:rPr>
  </w:style>
  <w:style w:type="table" w:customStyle="1" w:styleId="TableNormal1">
    <w:name w:val="Table Normal1"/>
    <w:uiPriority w:val="2"/>
    <w:semiHidden/>
    <w:unhideWhenUsed/>
    <w:qFormat/>
    <w:tblPr>
      <w:tblCellMar>
        <w:top w:w="0" w:type="dxa"/>
        <w:left w:w="0" w:type="dxa"/>
        <w:bottom w:w="0" w:type="dxa"/>
        <w:right w:w="0" w:type="dxa"/>
      </w:tblCellMar>
    </w:tblPr>
  </w:style>
  <w:style w:type="paragraph" w:customStyle="1" w:styleId="110">
    <w:name w:val="修订11"/>
    <w:hidden/>
    <w:uiPriority w:val="99"/>
    <w:semiHidden/>
    <w:qFormat/>
    <w:rPr>
      <w:rFonts w:ascii="宋体" w:hAnsi="宋体" w:cs="宋体"/>
      <w:sz w:val="22"/>
      <w:szCs w:val="22"/>
      <w:lang w:eastAsia="en-US"/>
    </w:rPr>
  </w:style>
  <w:style w:type="table" w:customStyle="1" w:styleId="TableNormal2">
    <w:name w:val="Table Normal2"/>
    <w:uiPriority w:val="2"/>
    <w:semiHidden/>
    <w:unhideWhenUsed/>
    <w:qFormat/>
    <w:tblPr>
      <w:tblCellMar>
        <w:top w:w="0" w:type="dxa"/>
        <w:left w:w="0" w:type="dxa"/>
        <w:bottom w:w="0" w:type="dxa"/>
        <w:right w:w="0" w:type="dxa"/>
      </w:tblCellMar>
    </w:tblPr>
  </w:style>
  <w:style w:type="character" w:customStyle="1" w:styleId="10">
    <w:name w:val="标题 1 字符"/>
    <w:basedOn w:val="a0"/>
    <w:link w:val="1"/>
    <w:uiPriority w:val="9"/>
    <w:qFormat/>
    <w:rPr>
      <w:rFonts w:ascii="宋体" w:hAnsi="宋体" w:cs="宋体"/>
      <w:b/>
      <w:bCs/>
      <w:sz w:val="24"/>
      <w:szCs w:val="24"/>
      <w:lang w:eastAsia="en-US"/>
    </w:rPr>
  </w:style>
  <w:style w:type="table" w:customStyle="1" w:styleId="111">
    <w:name w:val="网格型11"/>
    <w:basedOn w:val="a1"/>
    <w:uiPriority w:val="5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5">
    <w:name w:val="Revision"/>
    <w:hidden/>
    <w:uiPriority w:val="99"/>
    <w:unhideWhenUsed/>
    <w:rsid w:val="002E5540"/>
    <w:rPr>
      <w:rFonts w:ascii="宋体" w:hAnsi="宋体" w:cs="宋体"/>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56822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28D286-28E9-44B7-A385-712723ECC2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TotalTime>
  <Pages>4</Pages>
  <Words>346</Words>
  <Characters>1978</Characters>
  <Application>Microsoft Office Word</Application>
  <DocSecurity>0</DocSecurity>
  <Lines>16</Lines>
  <Paragraphs>4</Paragraphs>
  <ScaleCrop>false</ScaleCrop>
  <Company>Microsoft</Company>
  <LinksUpToDate>false</LinksUpToDate>
  <CharactersWithSpaces>2320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BigVegetables</dc:creator>
  <cp:lastModifiedBy>Yang LI</cp:lastModifiedBy>
  <cp:revision>60</cp:revision>
  <cp:lastPrinted>2023-02-23T07:05:00Z</cp:lastPrinted>
  <dcterms:created xsi:type="dcterms:W3CDTF">2023-03-10T09:19:00Z</dcterms:created>
  <dcterms:modified xsi:type="dcterms:W3CDTF">2025-11-18T07:00:00Z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2021-12-26T00:00:00Z</vt:filetime>
  </property>
  <property fmtid="{D5CDD505-2E9C-101B-9397-08002B2CF9AE}" pid="3" name="Creator">
    <vt:lpwstr>WPS 文字</vt:lpwstr>
  </property>
  <property fmtid="{D5CDD505-2E9C-101B-9397-08002B2CF9AE}" pid="4" name="LastSaved">
    <vt:filetime>2023-02-19T00:00:00Z</vt:filetime>
  </property>
  <property fmtid="{D5CDD505-2E9C-101B-9397-08002B2CF9AE}" pid="5" name="KSOTemplateDocerSaveRecord">
    <vt:lpwstr>eyJoZGlkIjoiNDBkMzZhYjg1MTA5NWQxZDBlZTkzNTdlNjQ1NThlNjAiLCJ1c2VySWQiOiIxOTk5NDQxOTYifQ==</vt:lpwstr>
  </property>
  <property fmtid="{D5CDD505-2E9C-101B-9397-08002B2CF9AE}" pid="6" name="KSOProductBuildVer">
    <vt:lpwstr>2052-12.1.0.23125</vt:lpwstr>
  </property>
  <property fmtid="{D5CDD505-2E9C-101B-9397-08002B2CF9AE}" pid="7" name="ICV">
    <vt:lpwstr>558C2FB0BFBC4153AB0BFC906B1D07C0_12</vt:lpwstr>
  </property>
</Properties>
</file>