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F3C9E8" w14:textId="77777777" w:rsidR="00BC6748" w:rsidRDefault="00665F9F">
      <w:pPr>
        <w:pStyle w:val="1"/>
        <w:widowControl/>
        <w:shd w:val="clear" w:color="auto" w:fill="FFFFFF"/>
        <w:spacing w:beforeLines="50" w:before="156" w:beforeAutospacing="0" w:afterAutospacing="0" w:line="360" w:lineRule="auto"/>
        <w:jc w:val="center"/>
        <w:rPr>
          <w:rFonts w:ascii="Times New Roman" w:eastAsia="黑体" w:hAnsi="Times New Roman" w:hint="default"/>
          <w:sz w:val="28"/>
          <w:szCs w:val="28"/>
          <w:shd w:val="clear" w:color="auto" w:fill="FFFFFF"/>
        </w:rPr>
      </w:pPr>
      <w:proofErr w:type="gramStart"/>
      <w:r>
        <w:rPr>
          <w:rFonts w:ascii="Times New Roman" w:eastAsia="黑体" w:hAnsi="Times New Roman"/>
          <w:sz w:val="28"/>
          <w:szCs w:val="28"/>
          <w:shd w:val="clear" w:color="auto" w:fill="FFFFFF"/>
        </w:rPr>
        <w:t>国泰海通</w:t>
      </w:r>
      <w:proofErr w:type="gramEnd"/>
      <w:r>
        <w:rPr>
          <w:rFonts w:ascii="Times New Roman" w:eastAsia="黑体" w:hAnsi="Times New Roman"/>
          <w:sz w:val="28"/>
          <w:szCs w:val="28"/>
          <w:shd w:val="clear" w:color="auto" w:fill="FFFFFF"/>
        </w:rPr>
        <w:t>证券股份有限公司</w:t>
      </w:r>
      <w:r>
        <w:rPr>
          <w:rFonts w:ascii="Times New Roman" w:eastAsia="黑体" w:hAnsi="Times New Roman" w:hint="default"/>
          <w:sz w:val="28"/>
          <w:szCs w:val="28"/>
          <w:shd w:val="clear" w:color="auto" w:fill="FFFFFF"/>
        </w:rPr>
        <w:br/>
      </w:r>
      <w:r>
        <w:rPr>
          <w:rFonts w:ascii="Times New Roman" w:eastAsia="黑体" w:hAnsi="Times New Roman"/>
          <w:sz w:val="28"/>
          <w:szCs w:val="28"/>
          <w:shd w:val="clear" w:color="auto" w:fill="FFFFFF"/>
        </w:rPr>
        <w:t>关于广东天亿马信息产业股份有限公司本次交易</w:t>
      </w:r>
    </w:p>
    <w:p w14:paraId="21957D22" w14:textId="77777777" w:rsidR="00BC6748" w:rsidRDefault="00665F9F">
      <w:pPr>
        <w:pStyle w:val="1"/>
        <w:widowControl/>
        <w:shd w:val="clear" w:color="auto" w:fill="FFFFFF"/>
        <w:spacing w:beforeAutospacing="0" w:afterLines="50" w:after="156" w:afterAutospacing="0" w:line="360" w:lineRule="auto"/>
        <w:jc w:val="center"/>
        <w:rPr>
          <w:rFonts w:ascii="Times New Roman" w:eastAsia="黑体" w:hAnsi="Times New Roman" w:hint="default"/>
          <w:sz w:val="28"/>
          <w:szCs w:val="28"/>
          <w:shd w:val="clear" w:color="auto" w:fill="FFFFFF"/>
        </w:rPr>
      </w:pPr>
      <w:r>
        <w:rPr>
          <w:rFonts w:ascii="Times New Roman" w:eastAsia="黑体" w:hAnsi="Times New Roman"/>
          <w:sz w:val="28"/>
          <w:szCs w:val="28"/>
          <w:shd w:val="clear" w:color="auto" w:fill="FFFFFF"/>
        </w:rPr>
        <w:t>前</w:t>
      </w:r>
      <w:r>
        <w:rPr>
          <w:rFonts w:ascii="Times New Roman" w:eastAsia="黑体" w:hAnsi="Times New Roman" w:hint="default"/>
          <w:sz w:val="28"/>
          <w:szCs w:val="28"/>
          <w:shd w:val="clear" w:color="auto" w:fill="FFFFFF"/>
        </w:rPr>
        <w:t>12</w:t>
      </w:r>
      <w:r>
        <w:rPr>
          <w:rFonts w:ascii="Times New Roman" w:eastAsia="黑体" w:hAnsi="Times New Roman"/>
          <w:sz w:val="28"/>
          <w:szCs w:val="28"/>
          <w:shd w:val="clear" w:color="auto" w:fill="FFFFFF"/>
        </w:rPr>
        <w:t>个月内购买、出售资产情况的核查意见</w:t>
      </w:r>
    </w:p>
    <w:p w14:paraId="7EEE4F80" w14:textId="5B11FEE8" w:rsidR="00BC6748" w:rsidRDefault="00665F9F" w:rsidP="00BD5B5E">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r>
        <w:rPr>
          <w:rFonts w:ascii="Times New Roman" w:eastAsia="宋体" w:hAnsi="Times New Roman" w:hint="eastAsia"/>
          <w:shd w:val="clear" w:color="auto" w:fill="FFFFFF"/>
        </w:rPr>
        <w:t>广东天亿马信息产业股份有限公司（以下简称“</w:t>
      </w:r>
      <w:r w:rsidR="006234FF">
        <w:rPr>
          <w:rFonts w:ascii="Times New Roman" w:eastAsia="宋体" w:hAnsi="Times New Roman" w:hint="eastAsia"/>
          <w:shd w:val="clear" w:color="auto" w:fill="FFFFFF"/>
        </w:rPr>
        <w:t>上市</w:t>
      </w:r>
      <w:r>
        <w:rPr>
          <w:rFonts w:ascii="Times New Roman" w:eastAsia="宋体" w:hAnsi="Times New Roman" w:hint="eastAsia"/>
          <w:shd w:val="clear" w:color="auto" w:fill="FFFFFF"/>
        </w:rPr>
        <w:t>公司”）拟通过发行股份及支付现金的方式购买广东星云开物科技股份有限公司</w:t>
      </w:r>
      <w:r>
        <w:rPr>
          <w:rFonts w:ascii="Times New Roman" w:eastAsia="宋体" w:hAnsi="Times New Roman" w:hint="eastAsia"/>
          <w:shd w:val="clear" w:color="auto" w:fill="FFFFFF"/>
        </w:rPr>
        <w:t>98.5632%</w:t>
      </w:r>
      <w:r w:rsidR="00BD5B5E">
        <w:rPr>
          <w:rFonts w:ascii="Times New Roman" w:eastAsia="宋体" w:hAnsi="Times New Roman" w:hint="eastAsia"/>
          <w:shd w:val="clear" w:color="auto" w:fill="FFFFFF"/>
        </w:rPr>
        <w:t>股权</w:t>
      </w:r>
      <w:r>
        <w:rPr>
          <w:rFonts w:ascii="Times New Roman" w:eastAsia="宋体" w:hAnsi="Times New Roman" w:hint="eastAsia"/>
          <w:shd w:val="clear" w:color="auto" w:fill="FFFFFF"/>
        </w:rPr>
        <w:t>（以下简称“标的资产”）并募集配套资金（以下简称“本次交易”）</w:t>
      </w:r>
      <w:r>
        <w:rPr>
          <w:rFonts w:ascii="Times New Roman" w:eastAsia="宋体" w:hAnsi="Times New Roman"/>
        </w:rPr>
        <w:t>。</w:t>
      </w:r>
    </w:p>
    <w:p w14:paraId="176CCCA6" w14:textId="5C6CFBCC" w:rsidR="00BC6748" w:rsidRDefault="00665F9F" w:rsidP="00BD5B5E">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proofErr w:type="gramStart"/>
      <w:r>
        <w:rPr>
          <w:rFonts w:ascii="Times New Roman" w:eastAsia="宋体" w:hAnsi="Times New Roman" w:hint="eastAsia"/>
          <w:shd w:val="clear" w:color="auto" w:fill="FFFFFF"/>
        </w:rPr>
        <w:t>国泰海通</w:t>
      </w:r>
      <w:proofErr w:type="gramEnd"/>
      <w:r>
        <w:rPr>
          <w:rFonts w:ascii="Times New Roman" w:eastAsia="宋体" w:hAnsi="Times New Roman" w:hint="eastAsia"/>
          <w:shd w:val="clear" w:color="auto" w:fill="FFFFFF"/>
        </w:rPr>
        <w:t>证券股份有限公司（以下简称“独立财务顾问”）作为上市公司本次重组的独立财务顾问，对上市公司本次重组前十二个月内购买、出售资产</w:t>
      </w:r>
      <w:r w:rsidR="00B93E24">
        <w:rPr>
          <w:rFonts w:ascii="Times New Roman" w:eastAsia="宋体" w:hAnsi="Times New Roman" w:hint="eastAsia"/>
          <w:shd w:val="clear" w:color="auto" w:fill="FFFFFF"/>
        </w:rPr>
        <w:t>的情况</w:t>
      </w:r>
      <w:r>
        <w:rPr>
          <w:rFonts w:ascii="Times New Roman" w:eastAsia="宋体" w:hAnsi="Times New Roman" w:hint="eastAsia"/>
          <w:shd w:val="clear" w:color="auto" w:fill="FFFFFF"/>
        </w:rPr>
        <w:t>进行了核查，核查意见如下：</w:t>
      </w:r>
    </w:p>
    <w:p w14:paraId="426CDE37" w14:textId="77777777" w:rsidR="00BC6748" w:rsidRDefault="00665F9F" w:rsidP="00BD5B5E">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r>
        <w:rPr>
          <w:rFonts w:ascii="Times New Roman" w:eastAsia="宋体" w:hAnsi="Times New Roman" w:hint="eastAsia"/>
          <w:shd w:val="clear" w:color="auto" w:fill="FFFFFF"/>
        </w:rPr>
        <w:t>根据《上市公司重大资产重组管理办法》第十四条的规定：“上市公司在十二个月内连续对同一或者相关资产进行购买、出售的，以其累计数分别计算相应数额。已按照本办法的规定编制并披露重大资产重组报告书的资产交易行为，无须纳入累计计算的范围。中国证监会对本办法第十三条第一款规定的重大资产重组的累计期限和范围另有规定的，从其规定。交易标的资产属于同一交易方所有或者控制，或者属于相同或者相近的业务范围，或者中国证监会认定的其他情形下，可以认定为同一或者相关资产。”</w:t>
      </w:r>
    </w:p>
    <w:p w14:paraId="3446368C" w14:textId="5A60F284" w:rsidR="00BC6748" w:rsidRDefault="00665F9F" w:rsidP="00BD5B5E">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r>
        <w:rPr>
          <w:rFonts w:ascii="Times New Roman" w:eastAsia="宋体" w:hAnsi="Times New Roman" w:hint="eastAsia"/>
          <w:shd w:val="clear" w:color="auto" w:fill="FFFFFF"/>
        </w:rPr>
        <w:t>经核查，独立财务顾问认为：截至本核查意见出具之日，</w:t>
      </w:r>
      <w:r w:rsidR="006234FF">
        <w:rPr>
          <w:rFonts w:ascii="Times New Roman" w:eastAsia="宋体" w:hAnsi="Times New Roman" w:hint="eastAsia"/>
          <w:shd w:val="clear" w:color="auto" w:fill="FFFFFF"/>
        </w:rPr>
        <w:t>上市</w:t>
      </w:r>
      <w:r>
        <w:rPr>
          <w:rFonts w:ascii="Times New Roman" w:eastAsia="宋体" w:hAnsi="Times New Roman" w:hint="eastAsia"/>
          <w:shd w:val="clear" w:color="auto" w:fill="FFFFFF"/>
        </w:rPr>
        <w:t>公司在本次交易前</w:t>
      </w:r>
      <w:r>
        <w:rPr>
          <w:rFonts w:ascii="Times New Roman" w:eastAsia="宋体" w:hAnsi="Times New Roman" w:hint="eastAsia"/>
          <w:shd w:val="clear" w:color="auto" w:fill="FFFFFF"/>
        </w:rPr>
        <w:t>12</w:t>
      </w:r>
      <w:r>
        <w:rPr>
          <w:rFonts w:ascii="Times New Roman" w:eastAsia="宋体" w:hAnsi="Times New Roman" w:hint="eastAsia"/>
          <w:shd w:val="clear" w:color="auto" w:fill="FFFFFF"/>
        </w:rPr>
        <w:t>个月内不存在《上市公司重大资产重组管理办法》规定的其他需纳入本次交易相关指标累计计算范围的购买、出售资产的情况。</w:t>
      </w:r>
    </w:p>
    <w:p w14:paraId="04A75721" w14:textId="77777777" w:rsidR="00BC6748" w:rsidRDefault="00665F9F" w:rsidP="00BD5B5E">
      <w:pPr>
        <w:pStyle w:val="af"/>
        <w:widowControl/>
        <w:shd w:val="clear" w:color="auto" w:fill="FFFFFF"/>
        <w:spacing w:beforeLines="50" w:before="156" w:beforeAutospacing="0" w:afterLines="50" w:after="156" w:afterAutospacing="0" w:line="360" w:lineRule="auto"/>
        <w:ind w:firstLineChars="200" w:firstLine="480"/>
        <w:jc w:val="both"/>
        <w:rPr>
          <w:rFonts w:ascii="Times New Roman" w:eastAsia="宋体" w:hAnsi="Times New Roman"/>
          <w:shd w:val="clear" w:color="auto" w:fill="FFFFFF"/>
        </w:rPr>
      </w:pPr>
      <w:r>
        <w:rPr>
          <w:rFonts w:ascii="Times New Roman" w:eastAsia="宋体" w:hAnsi="Times New Roman"/>
          <w:shd w:val="clear" w:color="auto" w:fill="FFFFFF"/>
        </w:rPr>
        <w:t>（以下无正文）</w:t>
      </w:r>
    </w:p>
    <w:p w14:paraId="22C63E4B" w14:textId="77777777" w:rsidR="00BC6748" w:rsidRDefault="00BC6748">
      <w:pPr>
        <w:pStyle w:val="af"/>
        <w:widowControl/>
        <w:shd w:val="clear" w:color="auto" w:fill="FFFFFF"/>
        <w:spacing w:beforeLines="50" w:before="156" w:beforeAutospacing="0" w:afterLines="50" w:after="156" w:afterAutospacing="0" w:line="360" w:lineRule="auto"/>
        <w:ind w:firstLineChars="200" w:firstLine="480"/>
        <w:rPr>
          <w:rFonts w:ascii="Times New Roman" w:eastAsia="宋体" w:hAnsi="Times New Roman"/>
          <w:shd w:val="clear" w:color="auto" w:fill="FFFFFF"/>
        </w:rPr>
        <w:sectPr w:rsidR="00BC6748">
          <w:footerReference w:type="default" r:id="rId7"/>
          <w:pgSz w:w="11906" w:h="16838"/>
          <w:pgMar w:top="1440" w:right="1800" w:bottom="1440" w:left="1800" w:header="851" w:footer="992" w:gutter="0"/>
          <w:cols w:space="425"/>
          <w:docGrid w:type="lines" w:linePitch="312"/>
        </w:sectPr>
      </w:pPr>
    </w:p>
    <w:p w14:paraId="63A558F7" w14:textId="1F744C78" w:rsidR="00BC6748" w:rsidRDefault="00665F9F" w:rsidP="00BD5B5E">
      <w:pPr>
        <w:spacing w:beforeLines="50" w:before="156" w:afterLines="50" w:after="156" w:line="360" w:lineRule="auto"/>
        <w:jc w:val="left"/>
        <w:rPr>
          <w:rFonts w:ascii="宋体" w:eastAsia="宋体" w:hAnsi="宋体" w:cs="Times New Roman" w:hint="eastAsia"/>
          <w:color w:val="000000"/>
          <w:sz w:val="24"/>
        </w:rPr>
      </w:pPr>
      <w:r>
        <w:rPr>
          <w:rFonts w:ascii="宋体" w:eastAsia="宋体" w:hAnsi="宋体" w:cs="Times New Roman" w:hint="eastAsia"/>
          <w:sz w:val="24"/>
        </w:rPr>
        <w:lastRenderedPageBreak/>
        <w:t>（本页</w:t>
      </w:r>
      <w:r>
        <w:rPr>
          <w:rFonts w:ascii="宋体" w:eastAsia="宋体" w:hAnsi="宋体" w:cs="Times New Roman" w:hint="eastAsia"/>
          <w:color w:val="000000"/>
          <w:sz w:val="24"/>
        </w:rPr>
        <w:t>无正文，为《</w:t>
      </w:r>
      <w:r>
        <w:rPr>
          <w:rFonts w:ascii="Times New Roman" w:eastAsia="宋体" w:hAnsi="Times New Roman" w:cs="Times New Roman" w:hint="eastAsia"/>
          <w:color w:val="000000"/>
          <w:sz w:val="24"/>
        </w:rPr>
        <w:t>国泰海通证券股份有限公司关于广东天亿马信息产业股份有限公司本次交易前</w:t>
      </w:r>
      <w:r>
        <w:rPr>
          <w:rFonts w:ascii="Times New Roman" w:eastAsia="宋体" w:hAnsi="Times New Roman" w:cs="Times New Roman" w:hint="eastAsia"/>
          <w:color w:val="000000"/>
          <w:sz w:val="24"/>
        </w:rPr>
        <w:t>12</w:t>
      </w:r>
      <w:r>
        <w:rPr>
          <w:rFonts w:ascii="Times New Roman" w:eastAsia="宋体" w:hAnsi="Times New Roman" w:cs="Times New Roman" w:hint="eastAsia"/>
          <w:color w:val="000000"/>
          <w:sz w:val="24"/>
        </w:rPr>
        <w:t>个月内购买、出售资产情况的核查意见</w:t>
      </w:r>
      <w:r>
        <w:rPr>
          <w:rFonts w:ascii="宋体" w:eastAsia="宋体" w:hAnsi="宋体" w:cs="Times New Roman" w:hint="eastAsia"/>
          <w:color w:val="000000"/>
          <w:sz w:val="24"/>
        </w:rPr>
        <w:t>》之签字盖章页）</w:t>
      </w:r>
    </w:p>
    <w:p w14:paraId="5952E980" w14:textId="04FF25BA" w:rsidR="00BC6748" w:rsidRDefault="00BC6748">
      <w:pPr>
        <w:rPr>
          <w:rFonts w:ascii="宋体" w:eastAsia="宋体" w:hAnsi="宋体" w:cs="Times New Roman" w:hint="eastAsia"/>
          <w:sz w:val="28"/>
          <w:szCs w:val="28"/>
        </w:rPr>
      </w:pPr>
    </w:p>
    <w:p w14:paraId="5CD4B14F" w14:textId="347D4301" w:rsidR="00BC6748" w:rsidRDefault="00BC6748">
      <w:pPr>
        <w:rPr>
          <w:rFonts w:ascii="宋体" w:eastAsia="宋体" w:hAnsi="宋体" w:cs="Times New Roman" w:hint="eastAsia"/>
          <w:sz w:val="28"/>
          <w:szCs w:val="28"/>
        </w:rPr>
      </w:pPr>
    </w:p>
    <w:tbl>
      <w:tblPr>
        <w:tblStyle w:val="110"/>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BC6748" w14:paraId="3D9F0B78" w14:textId="77777777">
        <w:tc>
          <w:tcPr>
            <w:tcW w:w="2689" w:type="dxa"/>
            <w:vAlign w:val="center"/>
          </w:tcPr>
          <w:p w14:paraId="66A30D6C" w14:textId="77777777" w:rsidR="00BC6748" w:rsidRDefault="00665F9F">
            <w:pPr>
              <w:widowControl/>
              <w:spacing w:beforeLines="50" w:before="156" w:afterLines="50" w:after="156" w:line="360" w:lineRule="auto"/>
              <w:rPr>
                <w:rFonts w:ascii="宋体" w:eastAsia="宋体" w:hAnsi="宋体" w:cs="宋体" w:hint="eastAsia"/>
                <w:kern w:val="0"/>
                <w:sz w:val="24"/>
              </w:rPr>
            </w:pPr>
            <w:r>
              <w:rPr>
                <w:rFonts w:ascii="宋体" w:eastAsia="宋体" w:hAnsi="宋体" w:cs="宋体" w:hint="eastAsia"/>
                <w:kern w:val="0"/>
                <w:sz w:val="24"/>
              </w:rPr>
              <w:t>独立财务顾问主办人：</w:t>
            </w:r>
          </w:p>
        </w:tc>
        <w:tc>
          <w:tcPr>
            <w:tcW w:w="1417" w:type="dxa"/>
            <w:tcBorders>
              <w:top w:val="nil"/>
              <w:left w:val="nil"/>
              <w:bottom w:val="single" w:sz="4" w:space="0" w:color="auto"/>
              <w:right w:val="nil"/>
            </w:tcBorders>
            <w:vAlign w:val="center"/>
          </w:tcPr>
          <w:p w14:paraId="1846CD64" w14:textId="77777777" w:rsidR="00BC6748" w:rsidRDefault="00BC6748">
            <w:pPr>
              <w:widowControl/>
              <w:spacing w:beforeLines="50" w:before="156" w:afterLines="50" w:after="156" w:line="360" w:lineRule="auto"/>
              <w:rPr>
                <w:rFonts w:ascii="宋体" w:eastAsia="宋体" w:hAnsi="宋体" w:cs="宋体" w:hint="eastAsia"/>
                <w:kern w:val="0"/>
                <w:sz w:val="24"/>
              </w:rPr>
            </w:pPr>
          </w:p>
        </w:tc>
        <w:tc>
          <w:tcPr>
            <w:tcW w:w="709" w:type="dxa"/>
            <w:vAlign w:val="center"/>
          </w:tcPr>
          <w:p w14:paraId="6F42310B" w14:textId="77777777" w:rsidR="00BC6748" w:rsidRDefault="00BC6748">
            <w:pPr>
              <w:widowControl/>
              <w:spacing w:beforeLines="50" w:before="156" w:afterLines="50" w:after="156" w:line="360" w:lineRule="auto"/>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59606A48" w14:textId="77777777" w:rsidR="00BC6748" w:rsidRDefault="00BC6748">
            <w:pPr>
              <w:widowControl/>
              <w:spacing w:beforeLines="50" w:before="156" w:afterLines="50" w:after="156" w:line="360" w:lineRule="auto"/>
              <w:rPr>
                <w:rFonts w:ascii="宋体" w:eastAsia="宋体" w:hAnsi="宋体" w:cs="宋体" w:hint="eastAsia"/>
                <w:kern w:val="0"/>
                <w:sz w:val="24"/>
              </w:rPr>
            </w:pPr>
          </w:p>
        </w:tc>
        <w:tc>
          <w:tcPr>
            <w:tcW w:w="709" w:type="dxa"/>
            <w:vAlign w:val="center"/>
          </w:tcPr>
          <w:p w14:paraId="62DA2C96" w14:textId="77777777" w:rsidR="00BC6748" w:rsidRDefault="00BC6748">
            <w:pPr>
              <w:widowControl/>
              <w:spacing w:beforeLines="50" w:before="156" w:afterLines="50" w:after="156" w:line="360" w:lineRule="auto"/>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66ED6DED" w14:textId="77777777" w:rsidR="00BC6748" w:rsidRDefault="00BC6748">
            <w:pPr>
              <w:widowControl/>
              <w:spacing w:beforeLines="50" w:before="156" w:afterLines="50" w:after="156" w:line="360" w:lineRule="auto"/>
              <w:rPr>
                <w:rFonts w:ascii="宋体" w:eastAsia="宋体" w:hAnsi="宋体" w:cs="宋体" w:hint="eastAsia"/>
                <w:kern w:val="0"/>
                <w:sz w:val="24"/>
              </w:rPr>
            </w:pPr>
          </w:p>
        </w:tc>
      </w:tr>
      <w:tr w:rsidR="00BC6748" w14:paraId="34F59419" w14:textId="77777777">
        <w:tc>
          <w:tcPr>
            <w:tcW w:w="2689" w:type="dxa"/>
            <w:vAlign w:val="center"/>
          </w:tcPr>
          <w:p w14:paraId="1987C36D" w14:textId="60637CB0" w:rsidR="00BC6748" w:rsidRDefault="00BC6748">
            <w:pPr>
              <w:widowControl/>
              <w:spacing w:beforeLines="50" w:before="156" w:afterLines="50" w:after="156" w:line="360" w:lineRule="auto"/>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0860F55B" w14:textId="77777777" w:rsidR="00BC6748" w:rsidRDefault="00665F9F">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kern w:val="0"/>
                <w:sz w:val="24"/>
              </w:rPr>
              <w:t>邢雨晨</w:t>
            </w:r>
          </w:p>
        </w:tc>
        <w:tc>
          <w:tcPr>
            <w:tcW w:w="709" w:type="dxa"/>
            <w:vAlign w:val="center"/>
          </w:tcPr>
          <w:p w14:paraId="0AB165D9" w14:textId="77777777" w:rsidR="00BC6748" w:rsidRDefault="00BC6748">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529CFBBD" w14:textId="77777777" w:rsidR="00BC6748" w:rsidRDefault="00665F9F">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徐振宇</w:t>
            </w:r>
          </w:p>
        </w:tc>
        <w:tc>
          <w:tcPr>
            <w:tcW w:w="709" w:type="dxa"/>
            <w:vAlign w:val="center"/>
          </w:tcPr>
          <w:p w14:paraId="6B726D8E" w14:textId="77777777" w:rsidR="00BC6748" w:rsidRDefault="00BC6748">
            <w:pPr>
              <w:widowControl/>
              <w:spacing w:beforeLines="50" w:before="156" w:afterLines="50" w:after="156" w:line="360" w:lineRule="auto"/>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1FE1D002" w14:textId="77777777" w:rsidR="00BC6748" w:rsidRDefault="00665F9F">
            <w:pPr>
              <w:widowControl/>
              <w:spacing w:beforeLines="50" w:before="156" w:afterLines="50" w:after="156" w:line="360" w:lineRule="auto"/>
              <w:jc w:val="center"/>
              <w:rPr>
                <w:rFonts w:ascii="宋体" w:eastAsia="宋体" w:hAnsi="宋体" w:cs="宋体" w:hint="eastAsia"/>
                <w:kern w:val="0"/>
                <w:sz w:val="24"/>
              </w:rPr>
            </w:pPr>
            <w:r>
              <w:rPr>
                <w:rFonts w:ascii="宋体" w:eastAsia="宋体" w:hAnsi="宋体" w:cs="宋体" w:hint="eastAsia"/>
                <w:kern w:val="0"/>
                <w:sz w:val="24"/>
              </w:rPr>
              <w:t>张成</w:t>
            </w:r>
            <w:proofErr w:type="gramStart"/>
            <w:r>
              <w:rPr>
                <w:rFonts w:ascii="宋体" w:eastAsia="宋体" w:hAnsi="宋体" w:cs="宋体" w:hint="eastAsia"/>
                <w:kern w:val="0"/>
                <w:sz w:val="24"/>
              </w:rPr>
              <w:t>浩</w:t>
            </w:r>
            <w:proofErr w:type="gramEnd"/>
          </w:p>
        </w:tc>
      </w:tr>
    </w:tbl>
    <w:p w14:paraId="4C3F65D6" w14:textId="77777777" w:rsidR="00BC6748" w:rsidRDefault="00BC6748">
      <w:pPr>
        <w:rPr>
          <w:rFonts w:ascii="宋体" w:eastAsia="宋体" w:hAnsi="宋体" w:cs="Times New Roman" w:hint="eastAsia"/>
          <w:sz w:val="28"/>
          <w:szCs w:val="28"/>
        </w:rPr>
      </w:pPr>
    </w:p>
    <w:p w14:paraId="3732AC04" w14:textId="77777777" w:rsidR="00BC6748" w:rsidRDefault="00BC6748">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kern w:val="0"/>
          <w:sz w:val="24"/>
        </w:rPr>
      </w:pPr>
    </w:p>
    <w:p w14:paraId="2DFDF729" w14:textId="77777777" w:rsidR="00BC6748" w:rsidRDefault="00BC6748">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kern w:val="0"/>
          <w:sz w:val="24"/>
        </w:rPr>
      </w:pPr>
    </w:p>
    <w:p w14:paraId="02FFB458" w14:textId="77777777" w:rsidR="00BC6748" w:rsidRDefault="00BC6748">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color w:val="000000"/>
          <w:kern w:val="0"/>
          <w:sz w:val="24"/>
        </w:rPr>
      </w:pPr>
    </w:p>
    <w:p w14:paraId="26B63C48" w14:textId="77777777" w:rsidR="00BC6748" w:rsidRDefault="00BC6748">
      <w:pPr>
        <w:autoSpaceDE w:val="0"/>
        <w:autoSpaceDN w:val="0"/>
        <w:adjustRightInd w:val="0"/>
        <w:spacing w:beforeLines="50" w:before="156" w:after="50" w:line="440" w:lineRule="exact"/>
        <w:ind w:leftChars="257" w:left="540" w:firstLineChars="1600" w:firstLine="3840"/>
        <w:jc w:val="right"/>
        <w:rPr>
          <w:rFonts w:ascii="宋体" w:eastAsia="宋体" w:hAnsi="宋体" w:cs="Times New Roman" w:hint="eastAsia"/>
          <w:color w:val="000000"/>
          <w:kern w:val="0"/>
          <w:sz w:val="24"/>
        </w:rPr>
      </w:pPr>
    </w:p>
    <w:p w14:paraId="3833655C" w14:textId="77777777" w:rsidR="00BC6748" w:rsidRDefault="00BC6748">
      <w:pPr>
        <w:autoSpaceDE w:val="0"/>
        <w:autoSpaceDN w:val="0"/>
        <w:adjustRightInd w:val="0"/>
        <w:spacing w:beforeLines="100" w:before="312" w:after="50" w:line="440" w:lineRule="exact"/>
        <w:ind w:leftChars="257" w:left="540" w:firstLineChars="1350" w:firstLine="3240"/>
        <w:jc w:val="right"/>
        <w:rPr>
          <w:rFonts w:ascii="宋体" w:eastAsia="宋体" w:hAnsi="宋体" w:cs="Times New Roman" w:hint="eastAsia"/>
          <w:color w:val="000000"/>
          <w:kern w:val="0"/>
          <w:sz w:val="24"/>
        </w:rPr>
      </w:pPr>
    </w:p>
    <w:p w14:paraId="26C444AD" w14:textId="77777777" w:rsidR="00BC6748" w:rsidRDefault="00665F9F">
      <w:pPr>
        <w:autoSpaceDE w:val="0"/>
        <w:autoSpaceDN w:val="0"/>
        <w:adjustRightInd w:val="0"/>
        <w:spacing w:beforeLines="100" w:before="312" w:after="50" w:line="440" w:lineRule="exact"/>
        <w:ind w:leftChars="257" w:left="540" w:firstLineChars="1600" w:firstLine="3840"/>
        <w:jc w:val="right"/>
        <w:rPr>
          <w:rFonts w:ascii="宋体" w:eastAsia="宋体" w:hAnsi="宋体" w:cs="Times New Roman" w:hint="eastAsia"/>
          <w:color w:val="000000"/>
          <w:sz w:val="24"/>
        </w:rPr>
      </w:pPr>
      <w:proofErr w:type="gramStart"/>
      <w:r>
        <w:rPr>
          <w:rFonts w:ascii="宋体" w:eastAsia="宋体" w:hAnsi="宋体" w:cs="Times New Roman" w:hint="eastAsia"/>
          <w:color w:val="000000"/>
          <w:sz w:val="24"/>
        </w:rPr>
        <w:t>国泰海通</w:t>
      </w:r>
      <w:proofErr w:type="gramEnd"/>
      <w:r>
        <w:rPr>
          <w:rFonts w:ascii="宋体" w:eastAsia="宋体" w:hAnsi="宋体" w:cs="Times New Roman" w:hint="eastAsia"/>
          <w:color w:val="000000"/>
          <w:sz w:val="24"/>
        </w:rPr>
        <w:t>证券股份有限公司</w:t>
      </w:r>
    </w:p>
    <w:p w14:paraId="528B7AE9" w14:textId="41DFCAD5" w:rsidR="00BC6748" w:rsidRPr="00391CE4" w:rsidRDefault="00391CE4">
      <w:pPr>
        <w:autoSpaceDE w:val="0"/>
        <w:autoSpaceDN w:val="0"/>
        <w:adjustRightInd w:val="0"/>
        <w:spacing w:beforeLines="100" w:before="312" w:after="50" w:line="440" w:lineRule="exact"/>
        <w:ind w:leftChars="257" w:left="540" w:firstLineChars="1600" w:firstLine="3840"/>
        <w:jc w:val="right"/>
        <w:rPr>
          <w:rFonts w:ascii="Times New Roman" w:eastAsia="宋体" w:hAnsi="Times New Roman" w:cs="Times New Roman"/>
          <w:bCs/>
          <w:kern w:val="0"/>
          <w:sz w:val="24"/>
        </w:rPr>
      </w:pPr>
      <w:r w:rsidRPr="00391CE4">
        <w:rPr>
          <w:rFonts w:ascii="Times New Roman" w:eastAsia="宋体" w:hAnsi="Times New Roman" w:cs="Times New Roman"/>
          <w:color w:val="000000"/>
          <w:kern w:val="0"/>
          <w:sz w:val="24"/>
        </w:rPr>
        <w:t>2025</w:t>
      </w:r>
      <w:r w:rsidR="00665F9F" w:rsidRPr="00391CE4">
        <w:rPr>
          <w:rFonts w:ascii="Times New Roman" w:eastAsia="宋体" w:hAnsi="Times New Roman" w:cs="Times New Roman"/>
          <w:color w:val="000000"/>
          <w:kern w:val="0"/>
          <w:sz w:val="24"/>
        </w:rPr>
        <w:t xml:space="preserve"> </w:t>
      </w:r>
      <w:r w:rsidR="00665F9F" w:rsidRPr="00391CE4">
        <w:rPr>
          <w:rFonts w:ascii="Times New Roman" w:eastAsia="宋体" w:hAnsi="Times New Roman" w:cs="Times New Roman"/>
          <w:color w:val="000000"/>
          <w:kern w:val="0"/>
          <w:sz w:val="24"/>
        </w:rPr>
        <w:t>年</w:t>
      </w:r>
      <w:r w:rsidR="00665F9F" w:rsidRPr="00391CE4">
        <w:rPr>
          <w:rFonts w:ascii="Times New Roman" w:eastAsia="宋体" w:hAnsi="Times New Roman" w:cs="Times New Roman"/>
          <w:color w:val="000000"/>
          <w:kern w:val="0"/>
          <w:sz w:val="24"/>
        </w:rPr>
        <w:t xml:space="preserve"> </w:t>
      </w:r>
      <w:r w:rsidRPr="00391CE4">
        <w:rPr>
          <w:rFonts w:ascii="Times New Roman" w:eastAsia="宋体" w:hAnsi="Times New Roman" w:cs="Times New Roman"/>
          <w:color w:val="000000"/>
          <w:kern w:val="0"/>
          <w:sz w:val="24"/>
        </w:rPr>
        <w:t>11</w:t>
      </w:r>
      <w:r w:rsidR="00665F9F" w:rsidRPr="00391CE4">
        <w:rPr>
          <w:rFonts w:ascii="Times New Roman" w:eastAsia="宋体" w:hAnsi="Times New Roman" w:cs="Times New Roman"/>
          <w:color w:val="000000"/>
          <w:kern w:val="0"/>
          <w:sz w:val="24"/>
        </w:rPr>
        <w:t xml:space="preserve"> </w:t>
      </w:r>
      <w:r w:rsidR="00665F9F" w:rsidRPr="00391CE4">
        <w:rPr>
          <w:rFonts w:ascii="Times New Roman" w:eastAsia="宋体" w:hAnsi="Times New Roman" w:cs="Times New Roman"/>
          <w:color w:val="000000"/>
          <w:kern w:val="0"/>
          <w:sz w:val="24"/>
        </w:rPr>
        <w:t>月</w:t>
      </w:r>
      <w:r w:rsidR="00665F9F" w:rsidRPr="00391CE4">
        <w:rPr>
          <w:rFonts w:ascii="Times New Roman" w:eastAsia="宋体" w:hAnsi="Times New Roman" w:cs="Times New Roman"/>
          <w:color w:val="000000"/>
          <w:kern w:val="0"/>
          <w:sz w:val="24"/>
        </w:rPr>
        <w:t xml:space="preserve"> </w:t>
      </w:r>
      <w:r w:rsidRPr="00391CE4">
        <w:rPr>
          <w:rFonts w:ascii="Times New Roman" w:eastAsia="宋体" w:hAnsi="Times New Roman" w:cs="Times New Roman"/>
          <w:color w:val="000000"/>
          <w:kern w:val="0"/>
          <w:sz w:val="24"/>
        </w:rPr>
        <w:t>18</w:t>
      </w:r>
      <w:r w:rsidR="00665F9F" w:rsidRPr="00391CE4">
        <w:rPr>
          <w:rFonts w:ascii="Times New Roman" w:eastAsia="宋体" w:hAnsi="Times New Roman" w:cs="Times New Roman"/>
          <w:color w:val="000000"/>
          <w:kern w:val="0"/>
          <w:sz w:val="24"/>
        </w:rPr>
        <w:t xml:space="preserve"> </w:t>
      </w:r>
      <w:r w:rsidR="00665F9F" w:rsidRPr="00391CE4">
        <w:rPr>
          <w:rFonts w:ascii="Times New Roman" w:eastAsia="宋体" w:hAnsi="Times New Roman" w:cs="Times New Roman"/>
          <w:color w:val="000000"/>
          <w:kern w:val="0"/>
          <w:sz w:val="24"/>
        </w:rPr>
        <w:t>日</w:t>
      </w:r>
    </w:p>
    <w:p w14:paraId="4BF72339" w14:textId="77777777" w:rsidR="00BC6748" w:rsidRDefault="00BC6748">
      <w:pPr>
        <w:autoSpaceDE w:val="0"/>
        <w:autoSpaceDN w:val="0"/>
        <w:spacing w:before="120" w:after="120" w:line="360" w:lineRule="auto"/>
        <w:jc w:val="left"/>
        <w:rPr>
          <w:rFonts w:ascii="宋体" w:eastAsia="宋体" w:hAnsi="宋体" w:hint="eastAsia"/>
          <w:sz w:val="24"/>
        </w:rPr>
      </w:pPr>
    </w:p>
    <w:p w14:paraId="2BD1899B" w14:textId="77777777" w:rsidR="00BC6748" w:rsidRDefault="00BC6748">
      <w:pPr>
        <w:spacing w:beforeLines="50" w:before="156" w:afterLines="50" w:after="156" w:line="360" w:lineRule="auto"/>
        <w:rPr>
          <w:rFonts w:ascii="Times New Roman" w:eastAsia="宋体" w:hAnsi="Times New Roman" w:cs="Times New Roman"/>
          <w:sz w:val="24"/>
          <w:szCs w:val="22"/>
        </w:rPr>
      </w:pPr>
    </w:p>
    <w:sectPr w:rsidR="00BC674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6A248" w14:textId="77777777" w:rsidR="00412325" w:rsidRDefault="00412325">
      <w:r>
        <w:separator/>
      </w:r>
    </w:p>
  </w:endnote>
  <w:endnote w:type="continuationSeparator" w:id="0">
    <w:p w14:paraId="5CF6E98C" w14:textId="77777777" w:rsidR="00412325" w:rsidRDefault="004123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5784791"/>
    </w:sdtPr>
    <w:sdtEndPr>
      <w:rPr>
        <w:rFonts w:ascii="Times New Roman" w:hAnsi="Times New Roman" w:cs="Times New Roman"/>
      </w:rPr>
    </w:sdtEndPr>
    <w:sdtContent>
      <w:p w14:paraId="3312D69E" w14:textId="77777777" w:rsidR="00BC6748" w:rsidRDefault="00665F9F">
        <w:pPr>
          <w:pStyle w:val="a9"/>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E44207" w:rsidRPr="00E44207">
          <w:rPr>
            <w:rFonts w:ascii="Times New Roman" w:hAnsi="Times New Roman" w:cs="Times New Roman"/>
            <w:noProof/>
            <w:lang w:val="zh-CN"/>
          </w:rPr>
          <w:t>1</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D82A6E" w14:textId="77777777" w:rsidR="00412325" w:rsidRDefault="00412325">
      <w:r>
        <w:separator/>
      </w:r>
    </w:p>
  </w:footnote>
  <w:footnote w:type="continuationSeparator" w:id="0">
    <w:p w14:paraId="627ED3FD" w14:textId="77777777" w:rsidR="00412325" w:rsidRDefault="004123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2FD4484E"/>
    <w:rsid w:val="8DFF3911"/>
    <w:rsid w:val="9A2DA4EC"/>
    <w:rsid w:val="9EED6CD7"/>
    <w:rsid w:val="A57B183E"/>
    <w:rsid w:val="ADFDE751"/>
    <w:rsid w:val="AFEEA460"/>
    <w:rsid w:val="B3DFBA76"/>
    <w:rsid w:val="BBFD3E99"/>
    <w:rsid w:val="BF7E98A1"/>
    <w:rsid w:val="BFF74CEA"/>
    <w:rsid w:val="CB2E9D91"/>
    <w:rsid w:val="DDEFB8B9"/>
    <w:rsid w:val="DDFF2C56"/>
    <w:rsid w:val="E3662AC8"/>
    <w:rsid w:val="E3FBFB6D"/>
    <w:rsid w:val="EDED7ABC"/>
    <w:rsid w:val="EFFC6ADF"/>
    <w:rsid w:val="F2FFE3D8"/>
    <w:rsid w:val="F7FFFDC1"/>
    <w:rsid w:val="FB7FD669"/>
    <w:rsid w:val="FBDF678B"/>
    <w:rsid w:val="FBFF5DE3"/>
    <w:rsid w:val="FBFF63E7"/>
    <w:rsid w:val="FD7F72EF"/>
    <w:rsid w:val="FEFC613D"/>
    <w:rsid w:val="FEFF13AC"/>
    <w:rsid w:val="FEFF41D8"/>
    <w:rsid w:val="FF53B76B"/>
    <w:rsid w:val="FFBD665F"/>
    <w:rsid w:val="FFBFFEA8"/>
    <w:rsid w:val="FFEDF58B"/>
    <w:rsid w:val="FFF7CF70"/>
    <w:rsid w:val="000028CE"/>
    <w:rsid w:val="00005D13"/>
    <w:rsid w:val="00015529"/>
    <w:rsid w:val="00021631"/>
    <w:rsid w:val="00024581"/>
    <w:rsid w:val="000305EF"/>
    <w:rsid w:val="00030764"/>
    <w:rsid w:val="0003755B"/>
    <w:rsid w:val="00042D80"/>
    <w:rsid w:val="000451D5"/>
    <w:rsid w:val="00055285"/>
    <w:rsid w:val="00056D2B"/>
    <w:rsid w:val="000675C0"/>
    <w:rsid w:val="0007615D"/>
    <w:rsid w:val="0008098C"/>
    <w:rsid w:val="00082E04"/>
    <w:rsid w:val="000B3FE8"/>
    <w:rsid w:val="000D74EC"/>
    <w:rsid w:val="001030F4"/>
    <w:rsid w:val="00111CCF"/>
    <w:rsid w:val="00111D9D"/>
    <w:rsid w:val="0011243E"/>
    <w:rsid w:val="00123C1E"/>
    <w:rsid w:val="0012716D"/>
    <w:rsid w:val="00130B16"/>
    <w:rsid w:val="00132A40"/>
    <w:rsid w:val="00136E4B"/>
    <w:rsid w:val="0015088E"/>
    <w:rsid w:val="001776B8"/>
    <w:rsid w:val="00182BEA"/>
    <w:rsid w:val="001952F4"/>
    <w:rsid w:val="001A4D7C"/>
    <w:rsid w:val="001A621A"/>
    <w:rsid w:val="001B0015"/>
    <w:rsid w:val="001B0AAB"/>
    <w:rsid w:val="001B5E1E"/>
    <w:rsid w:val="001C22BE"/>
    <w:rsid w:val="001E36AA"/>
    <w:rsid w:val="00204D15"/>
    <w:rsid w:val="00206BAE"/>
    <w:rsid w:val="00215A8F"/>
    <w:rsid w:val="002366BD"/>
    <w:rsid w:val="00246A79"/>
    <w:rsid w:val="002507CA"/>
    <w:rsid w:val="0025180F"/>
    <w:rsid w:val="002A6F7C"/>
    <w:rsid w:val="002B136C"/>
    <w:rsid w:val="002C2317"/>
    <w:rsid w:val="002C7859"/>
    <w:rsid w:val="002D3362"/>
    <w:rsid w:val="002D53D7"/>
    <w:rsid w:val="002D7095"/>
    <w:rsid w:val="002E3D54"/>
    <w:rsid w:val="002E4285"/>
    <w:rsid w:val="002E4C23"/>
    <w:rsid w:val="002E7664"/>
    <w:rsid w:val="00301151"/>
    <w:rsid w:val="00302695"/>
    <w:rsid w:val="00305B71"/>
    <w:rsid w:val="00307453"/>
    <w:rsid w:val="003108DA"/>
    <w:rsid w:val="00316A8C"/>
    <w:rsid w:val="00330260"/>
    <w:rsid w:val="003368E1"/>
    <w:rsid w:val="003407DD"/>
    <w:rsid w:val="00347EED"/>
    <w:rsid w:val="00350DF0"/>
    <w:rsid w:val="003648E1"/>
    <w:rsid w:val="00364F87"/>
    <w:rsid w:val="003720EA"/>
    <w:rsid w:val="00377458"/>
    <w:rsid w:val="00391CE4"/>
    <w:rsid w:val="00395A25"/>
    <w:rsid w:val="003B2FE2"/>
    <w:rsid w:val="003B52B9"/>
    <w:rsid w:val="003B72EC"/>
    <w:rsid w:val="003C44C2"/>
    <w:rsid w:val="003D194B"/>
    <w:rsid w:val="003D6392"/>
    <w:rsid w:val="003E65A1"/>
    <w:rsid w:val="003E7448"/>
    <w:rsid w:val="003F0A5C"/>
    <w:rsid w:val="00402C55"/>
    <w:rsid w:val="00412325"/>
    <w:rsid w:val="004305DC"/>
    <w:rsid w:val="004327FD"/>
    <w:rsid w:val="00433BE6"/>
    <w:rsid w:val="0043658F"/>
    <w:rsid w:val="00452B3D"/>
    <w:rsid w:val="00453418"/>
    <w:rsid w:val="00474FA7"/>
    <w:rsid w:val="0047694E"/>
    <w:rsid w:val="0047762D"/>
    <w:rsid w:val="004861B7"/>
    <w:rsid w:val="004923C7"/>
    <w:rsid w:val="0049601E"/>
    <w:rsid w:val="004A2CDC"/>
    <w:rsid w:val="004B3C0D"/>
    <w:rsid w:val="004D3DF1"/>
    <w:rsid w:val="004E6616"/>
    <w:rsid w:val="004F0E71"/>
    <w:rsid w:val="004F3D85"/>
    <w:rsid w:val="004F5B10"/>
    <w:rsid w:val="005019EB"/>
    <w:rsid w:val="00510573"/>
    <w:rsid w:val="005216FD"/>
    <w:rsid w:val="00533BC0"/>
    <w:rsid w:val="0053522D"/>
    <w:rsid w:val="00537733"/>
    <w:rsid w:val="00543FE8"/>
    <w:rsid w:val="00552075"/>
    <w:rsid w:val="005530E9"/>
    <w:rsid w:val="00555410"/>
    <w:rsid w:val="00562A44"/>
    <w:rsid w:val="00597021"/>
    <w:rsid w:val="005A1F51"/>
    <w:rsid w:val="005A68A5"/>
    <w:rsid w:val="005B1DBB"/>
    <w:rsid w:val="005B6C90"/>
    <w:rsid w:val="005C7555"/>
    <w:rsid w:val="005D097F"/>
    <w:rsid w:val="005D710E"/>
    <w:rsid w:val="005E1F2B"/>
    <w:rsid w:val="00602144"/>
    <w:rsid w:val="00607889"/>
    <w:rsid w:val="006234FF"/>
    <w:rsid w:val="00640BDA"/>
    <w:rsid w:val="00646427"/>
    <w:rsid w:val="00665F9F"/>
    <w:rsid w:val="006660A3"/>
    <w:rsid w:val="006676B8"/>
    <w:rsid w:val="0067406D"/>
    <w:rsid w:val="00680CFE"/>
    <w:rsid w:val="00684DA7"/>
    <w:rsid w:val="0069175C"/>
    <w:rsid w:val="00696F32"/>
    <w:rsid w:val="006A7A80"/>
    <w:rsid w:val="006B185A"/>
    <w:rsid w:val="006B4933"/>
    <w:rsid w:val="006D4465"/>
    <w:rsid w:val="006D59E4"/>
    <w:rsid w:val="00700E12"/>
    <w:rsid w:val="00702663"/>
    <w:rsid w:val="00716A59"/>
    <w:rsid w:val="007235A0"/>
    <w:rsid w:val="0073124B"/>
    <w:rsid w:val="00731E13"/>
    <w:rsid w:val="00743EBC"/>
    <w:rsid w:val="00766945"/>
    <w:rsid w:val="00781105"/>
    <w:rsid w:val="007821FA"/>
    <w:rsid w:val="00785CED"/>
    <w:rsid w:val="007A036D"/>
    <w:rsid w:val="007A3479"/>
    <w:rsid w:val="007D40FE"/>
    <w:rsid w:val="007F3268"/>
    <w:rsid w:val="008169AB"/>
    <w:rsid w:val="00816CB3"/>
    <w:rsid w:val="008234BB"/>
    <w:rsid w:val="00833BA7"/>
    <w:rsid w:val="00846768"/>
    <w:rsid w:val="00861E38"/>
    <w:rsid w:val="0086441A"/>
    <w:rsid w:val="00871B2C"/>
    <w:rsid w:val="0087441C"/>
    <w:rsid w:val="008815BE"/>
    <w:rsid w:val="00891F14"/>
    <w:rsid w:val="008A3631"/>
    <w:rsid w:val="008B2078"/>
    <w:rsid w:val="008D2061"/>
    <w:rsid w:val="008E23C5"/>
    <w:rsid w:val="008E6B60"/>
    <w:rsid w:val="008F14E6"/>
    <w:rsid w:val="008F5F34"/>
    <w:rsid w:val="00900AE9"/>
    <w:rsid w:val="009173C7"/>
    <w:rsid w:val="00921B35"/>
    <w:rsid w:val="00937BDC"/>
    <w:rsid w:val="00964863"/>
    <w:rsid w:val="00972434"/>
    <w:rsid w:val="00972515"/>
    <w:rsid w:val="009762A1"/>
    <w:rsid w:val="00976DDE"/>
    <w:rsid w:val="00992F12"/>
    <w:rsid w:val="009A7F75"/>
    <w:rsid w:val="009B48D9"/>
    <w:rsid w:val="009C1A3B"/>
    <w:rsid w:val="009D13F2"/>
    <w:rsid w:val="009D67AA"/>
    <w:rsid w:val="00A00657"/>
    <w:rsid w:val="00A01182"/>
    <w:rsid w:val="00A25936"/>
    <w:rsid w:val="00A27335"/>
    <w:rsid w:val="00A41847"/>
    <w:rsid w:val="00A4336D"/>
    <w:rsid w:val="00A75A77"/>
    <w:rsid w:val="00A75B6B"/>
    <w:rsid w:val="00A773E2"/>
    <w:rsid w:val="00A96B3B"/>
    <w:rsid w:val="00AB643F"/>
    <w:rsid w:val="00AC3A87"/>
    <w:rsid w:val="00AC4AB5"/>
    <w:rsid w:val="00AD4538"/>
    <w:rsid w:val="00AD4BBB"/>
    <w:rsid w:val="00B06B7B"/>
    <w:rsid w:val="00B24F1C"/>
    <w:rsid w:val="00B271C2"/>
    <w:rsid w:val="00B32911"/>
    <w:rsid w:val="00B536D6"/>
    <w:rsid w:val="00B57A11"/>
    <w:rsid w:val="00B60C07"/>
    <w:rsid w:val="00B71C4E"/>
    <w:rsid w:val="00B82E9A"/>
    <w:rsid w:val="00B93E24"/>
    <w:rsid w:val="00B974D9"/>
    <w:rsid w:val="00BA290C"/>
    <w:rsid w:val="00BA58D6"/>
    <w:rsid w:val="00BC6665"/>
    <w:rsid w:val="00BC6748"/>
    <w:rsid w:val="00BD5B5E"/>
    <w:rsid w:val="00BF27D8"/>
    <w:rsid w:val="00BF29C6"/>
    <w:rsid w:val="00BF46B0"/>
    <w:rsid w:val="00BF6B8A"/>
    <w:rsid w:val="00C117F0"/>
    <w:rsid w:val="00C13C09"/>
    <w:rsid w:val="00C15C07"/>
    <w:rsid w:val="00C17314"/>
    <w:rsid w:val="00C32F37"/>
    <w:rsid w:val="00C35559"/>
    <w:rsid w:val="00C374A1"/>
    <w:rsid w:val="00C400D1"/>
    <w:rsid w:val="00C55B27"/>
    <w:rsid w:val="00C73F6A"/>
    <w:rsid w:val="00C8469A"/>
    <w:rsid w:val="00C85D98"/>
    <w:rsid w:val="00C93A13"/>
    <w:rsid w:val="00C9651D"/>
    <w:rsid w:val="00CA5E9F"/>
    <w:rsid w:val="00CB1216"/>
    <w:rsid w:val="00CB280F"/>
    <w:rsid w:val="00CC3149"/>
    <w:rsid w:val="00CC3838"/>
    <w:rsid w:val="00CD1DAB"/>
    <w:rsid w:val="00CD5556"/>
    <w:rsid w:val="00CF2D25"/>
    <w:rsid w:val="00D0332F"/>
    <w:rsid w:val="00D128C2"/>
    <w:rsid w:val="00D158C0"/>
    <w:rsid w:val="00D21779"/>
    <w:rsid w:val="00D42FB7"/>
    <w:rsid w:val="00D52EED"/>
    <w:rsid w:val="00D61562"/>
    <w:rsid w:val="00D82D84"/>
    <w:rsid w:val="00DA04E2"/>
    <w:rsid w:val="00DA778F"/>
    <w:rsid w:val="00DD7759"/>
    <w:rsid w:val="00DF2EB9"/>
    <w:rsid w:val="00E020F6"/>
    <w:rsid w:val="00E03F1F"/>
    <w:rsid w:val="00E1762A"/>
    <w:rsid w:val="00E21270"/>
    <w:rsid w:val="00E24F89"/>
    <w:rsid w:val="00E329DD"/>
    <w:rsid w:val="00E44207"/>
    <w:rsid w:val="00E55201"/>
    <w:rsid w:val="00E64970"/>
    <w:rsid w:val="00E73DBF"/>
    <w:rsid w:val="00EB415A"/>
    <w:rsid w:val="00EC737E"/>
    <w:rsid w:val="00ED75E9"/>
    <w:rsid w:val="00EE0432"/>
    <w:rsid w:val="00EE50ED"/>
    <w:rsid w:val="00EF33FD"/>
    <w:rsid w:val="00EF6DCB"/>
    <w:rsid w:val="00EF7A37"/>
    <w:rsid w:val="00F01A54"/>
    <w:rsid w:val="00F1294D"/>
    <w:rsid w:val="00F34F10"/>
    <w:rsid w:val="00F41068"/>
    <w:rsid w:val="00F6577E"/>
    <w:rsid w:val="00F73023"/>
    <w:rsid w:val="00F82219"/>
    <w:rsid w:val="00F85EF9"/>
    <w:rsid w:val="00FA2545"/>
    <w:rsid w:val="00FA4FF7"/>
    <w:rsid w:val="00FB2C62"/>
    <w:rsid w:val="00FC0477"/>
    <w:rsid w:val="00FC14EC"/>
    <w:rsid w:val="00FC6A5D"/>
    <w:rsid w:val="00FD2DEA"/>
    <w:rsid w:val="00FF0F3E"/>
    <w:rsid w:val="00FF5256"/>
    <w:rsid w:val="073308D9"/>
    <w:rsid w:val="11EC66FD"/>
    <w:rsid w:val="14681FEA"/>
    <w:rsid w:val="16A3587A"/>
    <w:rsid w:val="1EFF31E6"/>
    <w:rsid w:val="1FE598D6"/>
    <w:rsid w:val="1FFBAF8C"/>
    <w:rsid w:val="209B2C72"/>
    <w:rsid w:val="2AD5737D"/>
    <w:rsid w:val="2FA664C2"/>
    <w:rsid w:val="2FAF1ED5"/>
    <w:rsid w:val="2FD4484E"/>
    <w:rsid w:val="31FDE975"/>
    <w:rsid w:val="37FFABE0"/>
    <w:rsid w:val="38AF14A5"/>
    <w:rsid w:val="391CED57"/>
    <w:rsid w:val="3A5FBA83"/>
    <w:rsid w:val="3BDE7109"/>
    <w:rsid w:val="3D6F1B0A"/>
    <w:rsid w:val="3EAB6E43"/>
    <w:rsid w:val="3EFF565D"/>
    <w:rsid w:val="3F7D5E35"/>
    <w:rsid w:val="3FD77D63"/>
    <w:rsid w:val="3FFC02E1"/>
    <w:rsid w:val="3FFF5B9F"/>
    <w:rsid w:val="42B75819"/>
    <w:rsid w:val="467FD0F4"/>
    <w:rsid w:val="46FDA65D"/>
    <w:rsid w:val="4FBFD62C"/>
    <w:rsid w:val="4FEE0289"/>
    <w:rsid w:val="5A701946"/>
    <w:rsid w:val="5EF73C55"/>
    <w:rsid w:val="5FAFF7CB"/>
    <w:rsid w:val="5FF71C1F"/>
    <w:rsid w:val="5FFE4073"/>
    <w:rsid w:val="64913BA4"/>
    <w:rsid w:val="6BB1F5B1"/>
    <w:rsid w:val="6C0D6B20"/>
    <w:rsid w:val="6FFD69A5"/>
    <w:rsid w:val="733A1535"/>
    <w:rsid w:val="73E9C783"/>
    <w:rsid w:val="75FBCB23"/>
    <w:rsid w:val="75FEB1E9"/>
    <w:rsid w:val="77397139"/>
    <w:rsid w:val="774F7BA9"/>
    <w:rsid w:val="796F7CF7"/>
    <w:rsid w:val="7B46A725"/>
    <w:rsid w:val="7BEB5DE7"/>
    <w:rsid w:val="7BF4B242"/>
    <w:rsid w:val="7BFB6916"/>
    <w:rsid w:val="7D3FF485"/>
    <w:rsid w:val="7DAC31CF"/>
    <w:rsid w:val="7DF59953"/>
    <w:rsid w:val="7E6F55F9"/>
    <w:rsid w:val="7E7E6334"/>
    <w:rsid w:val="7EB5B785"/>
    <w:rsid w:val="7EFA7EC3"/>
    <w:rsid w:val="7F301B45"/>
    <w:rsid w:val="7FCBBFE3"/>
    <w:rsid w:val="7FE51661"/>
    <w:rsid w:val="7FE76B63"/>
    <w:rsid w:val="7FEF6F13"/>
    <w:rsid w:val="7FEFE68D"/>
    <w:rsid w:val="7FFEAF4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05D2B6"/>
  <w15:docId w15:val="{DD84AD58-4CF1-4665-93E7-E3DBD060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eastAsia="宋体"/>
      <w:sz w:val="18"/>
      <w:szCs w:val="18"/>
    </w:rPr>
  </w:style>
  <w:style w:type="paragraph" w:styleId="a5">
    <w:name w:val="annotation text"/>
    <w:basedOn w:val="a"/>
    <w:link w:val="a6"/>
    <w:qFormat/>
    <w:pPr>
      <w:jc w:val="left"/>
    </w:pPr>
  </w:style>
  <w:style w:type="paragraph" w:styleId="a7">
    <w:name w:val="Balloon Text"/>
    <w:basedOn w:val="a"/>
    <w:link w:val="a8"/>
    <w:qFormat/>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szCs w:val="18"/>
    </w:rPr>
  </w:style>
  <w:style w:type="paragraph" w:styleId="ad">
    <w:name w:val="Subtitle"/>
    <w:basedOn w:val="a"/>
    <w:next w:val="a"/>
    <w:qFormat/>
    <w:pPr>
      <w:spacing w:before="240" w:after="60" w:line="312" w:lineRule="auto"/>
      <w:jc w:val="center"/>
      <w:outlineLvl w:val="1"/>
    </w:pPr>
    <w:rPr>
      <w:rFonts w:asciiTheme="majorHAnsi" w:eastAsia="宋体" w:hAnsiTheme="majorHAnsi" w:cstheme="majorBidi"/>
      <w:b/>
      <w:bCs/>
      <w:kern w:val="28"/>
      <w:sz w:val="32"/>
      <w:szCs w:val="32"/>
    </w:rPr>
  </w:style>
  <w:style w:type="paragraph" w:styleId="ae">
    <w:name w:val="footnote text"/>
    <w:basedOn w:val="a"/>
    <w:link w:val="11"/>
    <w:semiHidden/>
    <w:unhideWhenUsed/>
    <w:qFormat/>
    <w:pPr>
      <w:snapToGrid w:val="0"/>
      <w:jc w:val="left"/>
    </w:pPr>
    <w:rPr>
      <w:sz w:val="18"/>
      <w:szCs w:val="18"/>
    </w:rPr>
  </w:style>
  <w:style w:type="paragraph" w:styleId="af">
    <w:name w:val="Normal (Web)"/>
    <w:basedOn w:val="a"/>
    <w:qFormat/>
    <w:pPr>
      <w:spacing w:beforeAutospacing="1" w:afterAutospacing="1"/>
      <w:jc w:val="left"/>
    </w:pPr>
    <w:rPr>
      <w:rFonts w:cs="Times New Roman"/>
      <w:kern w:val="0"/>
      <w:sz w:val="24"/>
    </w:rPr>
  </w:style>
  <w:style w:type="paragraph" w:styleId="af0">
    <w:name w:val="annotation subject"/>
    <w:basedOn w:val="a5"/>
    <w:next w:val="a5"/>
    <w:link w:val="af1"/>
    <w:qFormat/>
    <w:rPr>
      <w:b/>
      <w:bCs/>
    </w:rPr>
  </w:style>
  <w:style w:type="table" w:styleId="af2">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annotation reference"/>
    <w:basedOn w:val="a0"/>
    <w:qFormat/>
    <w:rPr>
      <w:sz w:val="21"/>
      <w:szCs w:val="21"/>
    </w:rPr>
  </w:style>
  <w:style w:type="character" w:styleId="af4">
    <w:name w:val="footnote reference"/>
    <w:basedOn w:val="a0"/>
    <w:uiPriority w:val="99"/>
    <w:semiHidden/>
    <w:unhideWhenUsed/>
    <w:qFormat/>
    <w:rPr>
      <w:vertAlign w:val="superscript"/>
    </w:rPr>
  </w:style>
  <w:style w:type="character" w:customStyle="1" w:styleId="ac">
    <w:name w:val="页眉 字符"/>
    <w:basedOn w:val="a0"/>
    <w:link w:val="ab"/>
    <w:qFormat/>
    <w:rPr>
      <w:rFonts w:asciiTheme="minorHAnsi" w:eastAsiaTheme="minorEastAsia" w:hAnsiTheme="minorHAnsi" w:cstheme="minorBidi"/>
      <w:kern w:val="2"/>
      <w:sz w:val="18"/>
      <w:szCs w:val="18"/>
    </w:rPr>
  </w:style>
  <w:style w:type="character" w:customStyle="1" w:styleId="aa">
    <w:name w:val="页脚 字符"/>
    <w:basedOn w:val="a0"/>
    <w:link w:val="a9"/>
    <w:uiPriority w:val="99"/>
    <w:qFormat/>
    <w:rPr>
      <w:rFonts w:asciiTheme="minorHAnsi" w:eastAsiaTheme="minorEastAsia" w:hAnsiTheme="minorHAnsi" w:cstheme="minorBidi"/>
      <w:kern w:val="2"/>
      <w:sz w:val="18"/>
      <w:szCs w:val="18"/>
    </w:rPr>
  </w:style>
  <w:style w:type="character" w:customStyle="1" w:styleId="a8">
    <w:name w:val="批注框文本 字符"/>
    <w:basedOn w:val="a0"/>
    <w:link w:val="a7"/>
    <w:qFormat/>
    <w:rPr>
      <w:rFonts w:asciiTheme="minorHAnsi" w:eastAsiaTheme="minorEastAsia" w:hAnsiTheme="minorHAnsi" w:cstheme="minorBidi"/>
      <w:kern w:val="2"/>
      <w:sz w:val="18"/>
      <w:szCs w:val="18"/>
    </w:rPr>
  </w:style>
  <w:style w:type="character" w:customStyle="1" w:styleId="a6">
    <w:name w:val="批注文字 字符"/>
    <w:basedOn w:val="a0"/>
    <w:link w:val="a5"/>
    <w:qFormat/>
    <w:rPr>
      <w:rFonts w:asciiTheme="minorHAnsi" w:eastAsiaTheme="minorEastAsia" w:hAnsiTheme="minorHAnsi" w:cstheme="minorBidi"/>
      <w:kern w:val="2"/>
      <w:sz w:val="21"/>
      <w:szCs w:val="24"/>
    </w:rPr>
  </w:style>
  <w:style w:type="character" w:customStyle="1" w:styleId="af1">
    <w:name w:val="批注主题 字符"/>
    <w:basedOn w:val="a6"/>
    <w:link w:val="af0"/>
    <w:qFormat/>
    <w:rPr>
      <w:rFonts w:asciiTheme="minorHAnsi" w:eastAsiaTheme="minorEastAsia" w:hAnsiTheme="minorHAnsi" w:cstheme="minorBidi"/>
      <w:b/>
      <w:bCs/>
      <w:kern w:val="2"/>
      <w:sz w:val="21"/>
      <w:szCs w:val="24"/>
    </w:rPr>
  </w:style>
  <w:style w:type="character" w:customStyle="1" w:styleId="a4">
    <w:name w:val="文档结构图 字符"/>
    <w:basedOn w:val="a0"/>
    <w:link w:val="a3"/>
    <w:qFormat/>
    <w:rPr>
      <w:rFonts w:ascii="宋体" w:hAnsiTheme="minorHAnsi" w:cstheme="minorBidi"/>
      <w:kern w:val="2"/>
      <w:sz w:val="18"/>
      <w:szCs w:val="18"/>
    </w:rPr>
  </w:style>
  <w:style w:type="paragraph" w:customStyle="1" w:styleId="12">
    <w:name w:val="脚注文本1"/>
    <w:basedOn w:val="a"/>
    <w:next w:val="ae"/>
    <w:link w:val="af5"/>
    <w:uiPriority w:val="99"/>
    <w:semiHidden/>
    <w:unhideWhenUsed/>
    <w:qFormat/>
    <w:pPr>
      <w:snapToGrid w:val="0"/>
      <w:jc w:val="left"/>
    </w:pPr>
    <w:rPr>
      <w:rFonts w:ascii="Times New Roman" w:eastAsia="宋体" w:hAnsi="Times New Roman" w:cs="Times New Roman"/>
      <w:sz w:val="18"/>
      <w:szCs w:val="18"/>
    </w:rPr>
  </w:style>
  <w:style w:type="character" w:customStyle="1" w:styleId="af5">
    <w:name w:val="脚注文本 字符"/>
    <w:basedOn w:val="a0"/>
    <w:link w:val="12"/>
    <w:uiPriority w:val="99"/>
    <w:semiHidden/>
    <w:qFormat/>
    <w:rPr>
      <w:kern w:val="2"/>
      <w:sz w:val="18"/>
      <w:szCs w:val="18"/>
    </w:rPr>
  </w:style>
  <w:style w:type="character" w:customStyle="1" w:styleId="11">
    <w:name w:val="脚注文本 字符1"/>
    <w:basedOn w:val="a0"/>
    <w:link w:val="ae"/>
    <w:semiHidden/>
    <w:qFormat/>
    <w:rPr>
      <w:rFonts w:asciiTheme="minorHAnsi" w:eastAsiaTheme="minorEastAsia" w:hAnsiTheme="minorHAnsi" w:cstheme="minorBidi"/>
      <w:kern w:val="2"/>
      <w:sz w:val="18"/>
      <w:szCs w:val="18"/>
    </w:rPr>
  </w:style>
  <w:style w:type="character" w:customStyle="1" w:styleId="10">
    <w:name w:val="标题 1 字符"/>
    <w:basedOn w:val="a0"/>
    <w:link w:val="1"/>
    <w:qFormat/>
    <w:rPr>
      <w:rFonts w:ascii="宋体" w:hAnsi="宋体"/>
      <w:b/>
      <w:bCs/>
      <w:kern w:val="44"/>
      <w:sz w:val="48"/>
      <w:szCs w:val="48"/>
    </w:rPr>
  </w:style>
  <w:style w:type="paragraph" w:customStyle="1" w:styleId="13">
    <w:name w:val="修订1"/>
    <w:hidden/>
    <w:uiPriority w:val="99"/>
    <w:unhideWhenUsed/>
    <w:qFormat/>
    <w:rPr>
      <w:rFonts w:asciiTheme="minorHAnsi" w:eastAsiaTheme="minorEastAsia" w:hAnsiTheme="minorHAnsi" w:cstheme="minorBidi"/>
      <w:kern w:val="2"/>
      <w:sz w:val="21"/>
      <w:szCs w:val="24"/>
    </w:rPr>
  </w:style>
  <w:style w:type="table" w:customStyle="1" w:styleId="3">
    <w:name w:val="网格型3"/>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型11"/>
    <w:basedOn w:val="a1"/>
    <w:uiPriority w:val="5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Revision"/>
    <w:hidden/>
    <w:uiPriority w:val="99"/>
    <w:unhideWhenUsed/>
    <w:rsid w:val="006234FF"/>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8FD4DD-D08F-41B0-9DFA-AD4ACF2B16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106</Words>
  <Characters>607</Characters>
  <Application>Microsoft Office Word</Application>
  <DocSecurity>0</DocSecurity>
  <Lines>5</Lines>
  <Paragraphs>1</Paragraphs>
  <ScaleCrop>false</ScaleCrop>
  <Company>国泰君安证券股份有限公司</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lhy</dc:creator>
  <cp:lastModifiedBy>Yang LI</cp:lastModifiedBy>
  <cp:revision>160</cp:revision>
  <dcterms:created xsi:type="dcterms:W3CDTF">2020-04-07T03:00:00Z</dcterms:created>
  <dcterms:modified xsi:type="dcterms:W3CDTF">2025-11-18T06:56:00Z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eyJoZGlkIjoiNDBkMzZhYjg1MTA5NWQxZDBlZTkzNTdlNjQ1NThlNjAiLCJ1c2VySWQiOiIxOTk5NDQxOTYifQ==</vt:lpwstr>
  </property>
  <property fmtid="{D5CDD505-2E9C-101B-9397-08002B2CF9AE}" pid="4" name="ICV">
    <vt:lpwstr>946B306DDBF94525A339A1DED1299049_12</vt:lpwstr>
  </property>
</Properties>
</file>