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7B97C" w14:textId="77777777" w:rsidR="00FA27F9" w:rsidRDefault="00C73CED">
      <w:pPr>
        <w:pStyle w:val="1"/>
        <w:widowControl/>
        <w:shd w:val="clear" w:color="auto" w:fill="FFFFFF"/>
        <w:spacing w:beforeAutospacing="0" w:afterAutospacing="0" w:line="360" w:lineRule="auto"/>
        <w:jc w:val="center"/>
        <w:rPr>
          <w:rFonts w:ascii="Times New Roman" w:eastAsia="黑体" w:hAnsi="Times New Roman" w:hint="default"/>
          <w:sz w:val="30"/>
          <w:szCs w:val="30"/>
          <w:shd w:val="clear" w:color="auto" w:fill="FFFFFF"/>
        </w:rPr>
      </w:pPr>
      <w:r>
        <w:rPr>
          <w:rFonts w:ascii="Times New Roman" w:eastAsia="黑体" w:hAnsi="Times New Roman" w:hint="default"/>
          <w:sz w:val="30"/>
          <w:szCs w:val="30"/>
          <w:shd w:val="clear" w:color="auto" w:fill="FFFFFF"/>
        </w:rPr>
        <w:t>国泰海通证券股份有限公司</w:t>
      </w:r>
      <w:r>
        <w:rPr>
          <w:rFonts w:ascii="Times New Roman" w:eastAsia="黑体" w:hAnsi="Times New Roman" w:hint="default"/>
          <w:sz w:val="30"/>
          <w:szCs w:val="30"/>
          <w:shd w:val="clear" w:color="auto" w:fill="FFFFFF"/>
        </w:rPr>
        <w:br/>
      </w:r>
      <w:r>
        <w:rPr>
          <w:rFonts w:ascii="Times New Roman" w:eastAsia="黑体" w:hAnsi="Times New Roman" w:hint="default"/>
          <w:sz w:val="30"/>
          <w:szCs w:val="30"/>
          <w:shd w:val="clear" w:color="auto" w:fill="FFFFFF"/>
        </w:rPr>
        <w:t>关于广东天亿马信息产业股份有限公司本次交易方案调整</w:t>
      </w:r>
    </w:p>
    <w:p w14:paraId="3403A0AE" w14:textId="77777777" w:rsidR="00FA27F9" w:rsidRDefault="00C73CED">
      <w:pPr>
        <w:pStyle w:val="1"/>
        <w:widowControl/>
        <w:shd w:val="clear" w:color="auto" w:fill="FFFFFF"/>
        <w:spacing w:beforeAutospacing="0" w:afterAutospacing="0" w:line="360" w:lineRule="auto"/>
        <w:jc w:val="center"/>
        <w:rPr>
          <w:rFonts w:ascii="Times New Roman" w:eastAsia="黑体" w:hAnsi="Times New Roman" w:hint="default"/>
          <w:sz w:val="30"/>
          <w:szCs w:val="30"/>
          <w:shd w:val="clear" w:color="auto" w:fill="FFFFFF"/>
        </w:rPr>
      </w:pPr>
      <w:r>
        <w:rPr>
          <w:rFonts w:ascii="Times New Roman" w:eastAsia="黑体" w:hAnsi="Times New Roman" w:hint="default"/>
          <w:sz w:val="30"/>
          <w:szCs w:val="30"/>
          <w:shd w:val="clear" w:color="auto" w:fill="FFFFFF"/>
        </w:rPr>
        <w:t>不构成重组方案重大调整的核查意见</w:t>
      </w:r>
    </w:p>
    <w:p w14:paraId="1C497F50" w14:textId="40D99387" w:rsidR="00FA27F9" w:rsidRDefault="00C73CED">
      <w:pPr>
        <w:pStyle w:val="af"/>
        <w:widowControl/>
        <w:shd w:val="clear" w:color="auto" w:fill="FFFFFF"/>
        <w:spacing w:beforeLines="50" w:before="156" w:beforeAutospacing="0" w:afterLines="50" w:after="156" w:afterAutospacing="0" w:line="360" w:lineRule="auto"/>
        <w:ind w:firstLineChars="200" w:firstLine="480"/>
        <w:jc w:val="both"/>
        <w:rPr>
          <w:rFonts w:ascii="Times New Roman" w:eastAsia="宋体" w:hAnsi="Times New Roman"/>
          <w:shd w:val="clear" w:color="auto" w:fill="FFFFFF"/>
        </w:rPr>
      </w:pPr>
      <w:r>
        <w:rPr>
          <w:rFonts w:ascii="Times New Roman" w:hAnsi="Times New Roman"/>
          <w:shd w:val="clear" w:color="auto" w:fill="FFFFFF"/>
        </w:rPr>
        <w:t>2025</w:t>
      </w:r>
      <w:r>
        <w:rPr>
          <w:rFonts w:ascii="Times New Roman" w:hAnsi="Times New Roman"/>
          <w:shd w:val="clear" w:color="auto" w:fill="FFFFFF"/>
        </w:rPr>
        <w:t>年</w:t>
      </w:r>
      <w:r>
        <w:rPr>
          <w:rFonts w:ascii="Times New Roman" w:hAnsi="Times New Roman"/>
          <w:shd w:val="clear" w:color="auto" w:fill="FFFFFF"/>
        </w:rPr>
        <w:t>6</w:t>
      </w:r>
      <w:r>
        <w:rPr>
          <w:rFonts w:ascii="Times New Roman" w:hAnsi="Times New Roman"/>
          <w:shd w:val="clear" w:color="auto" w:fill="FFFFFF"/>
        </w:rPr>
        <w:t>月</w:t>
      </w:r>
      <w:r>
        <w:rPr>
          <w:rFonts w:ascii="Times New Roman" w:hAnsi="Times New Roman"/>
          <w:shd w:val="clear" w:color="auto" w:fill="FFFFFF"/>
        </w:rPr>
        <w:t>23</w:t>
      </w:r>
      <w:r>
        <w:rPr>
          <w:rFonts w:ascii="Times New Roman" w:hAnsi="Times New Roman"/>
          <w:shd w:val="clear" w:color="auto" w:fill="FFFFFF"/>
        </w:rPr>
        <w:t>日，广东天亿马信息产业股份有限公司（以下简称</w:t>
      </w:r>
      <w:r>
        <w:rPr>
          <w:rFonts w:ascii="宋体" w:eastAsia="宋体" w:hAnsi="宋体" w:cs="宋体" w:hint="eastAsia"/>
          <w:shd w:val="clear" w:color="auto" w:fill="FFFFFF"/>
        </w:rPr>
        <w:t>“上市公司”</w:t>
      </w:r>
      <w:r>
        <w:rPr>
          <w:rFonts w:ascii="Times New Roman" w:hAnsi="Times New Roman"/>
          <w:shd w:val="clear" w:color="auto" w:fill="FFFFFF"/>
        </w:rPr>
        <w:t>）召开第三届董事会第三十二次会议，审议通过了《关于</w:t>
      </w:r>
      <w:r>
        <w:rPr>
          <w:rFonts w:ascii="Times New Roman" w:hAnsi="Times New Roman"/>
          <w:shd w:val="clear" w:color="auto" w:fill="FFFFFF"/>
        </w:rPr>
        <w:t>&lt;</w:t>
      </w:r>
      <w:r>
        <w:rPr>
          <w:rFonts w:ascii="Times New Roman" w:hAnsi="Times New Roman"/>
          <w:shd w:val="clear" w:color="auto" w:fill="FFFFFF"/>
        </w:rPr>
        <w:t>广东天亿马信息产业股份有限公司发行股份及支付现金购买资产并募集配套资金暨关联交易预案</w:t>
      </w:r>
      <w:r>
        <w:rPr>
          <w:rFonts w:ascii="Times New Roman" w:hAnsi="Times New Roman"/>
          <w:shd w:val="clear" w:color="auto" w:fill="FFFFFF"/>
        </w:rPr>
        <w:t>&gt;</w:t>
      </w:r>
      <w:r>
        <w:rPr>
          <w:rFonts w:ascii="Times New Roman" w:hAnsi="Times New Roman"/>
          <w:shd w:val="clear" w:color="auto" w:fill="FFFFFF"/>
        </w:rPr>
        <w:t>及其摘要的议案》等相关议案</w:t>
      </w:r>
      <w:r>
        <w:rPr>
          <w:rFonts w:ascii="Times New Roman" w:eastAsia="宋体" w:hAnsi="Times New Roman"/>
          <w:shd w:val="clear" w:color="auto" w:fill="FFFFFF"/>
        </w:rPr>
        <w:t>。</w:t>
      </w:r>
    </w:p>
    <w:p w14:paraId="3F3B08EF" w14:textId="42A00D8A" w:rsidR="00FA27F9" w:rsidRDefault="00C73CED">
      <w:pPr>
        <w:pStyle w:val="af"/>
        <w:widowControl/>
        <w:shd w:val="clear" w:color="auto" w:fill="FFFFFF"/>
        <w:spacing w:beforeLines="50" w:before="156" w:beforeAutospacing="0" w:afterLines="50" w:after="156" w:afterAutospacing="0" w:line="360" w:lineRule="auto"/>
        <w:ind w:firstLineChars="200" w:firstLine="480"/>
        <w:jc w:val="both"/>
        <w:rPr>
          <w:rFonts w:ascii="Times New Roman" w:eastAsia="宋体" w:hAnsi="Times New Roman"/>
          <w:shd w:val="clear" w:color="auto" w:fill="FFFFFF"/>
        </w:rPr>
      </w:pPr>
      <w:r>
        <w:rPr>
          <w:rFonts w:ascii="Times New Roman" w:eastAsia="宋体" w:hAnsi="Times New Roman"/>
          <w:shd w:val="clear" w:color="auto" w:fill="FFFFFF"/>
        </w:rPr>
        <w:t>2025</w:t>
      </w:r>
      <w:r>
        <w:rPr>
          <w:rFonts w:ascii="Times New Roman" w:eastAsia="宋体" w:hAnsi="Times New Roman"/>
          <w:shd w:val="clear" w:color="auto" w:fill="FFFFFF"/>
        </w:rPr>
        <w:t>年</w:t>
      </w:r>
      <w:r>
        <w:rPr>
          <w:rFonts w:ascii="Times New Roman" w:eastAsia="宋体" w:hAnsi="Times New Roman"/>
          <w:shd w:val="clear" w:color="auto" w:fill="FFFFFF"/>
        </w:rPr>
        <w:t>1</w:t>
      </w:r>
      <w:r w:rsidR="001621EC">
        <w:rPr>
          <w:rFonts w:ascii="Times New Roman" w:eastAsia="宋体" w:hAnsi="Times New Roman" w:hint="eastAsia"/>
          <w:shd w:val="clear" w:color="auto" w:fill="FFFFFF"/>
        </w:rPr>
        <w:t>1</w:t>
      </w:r>
      <w:r>
        <w:rPr>
          <w:rFonts w:ascii="Times New Roman" w:eastAsia="宋体" w:hAnsi="Times New Roman"/>
          <w:shd w:val="clear" w:color="auto" w:fill="FFFFFF"/>
        </w:rPr>
        <w:t>月</w:t>
      </w:r>
      <w:r w:rsidR="0084070B">
        <w:rPr>
          <w:rFonts w:ascii="Times New Roman" w:eastAsia="宋体" w:hAnsi="Times New Roman" w:hint="eastAsia"/>
          <w:shd w:val="clear" w:color="auto" w:fill="FFFFFF"/>
        </w:rPr>
        <w:t>18</w:t>
      </w:r>
      <w:r>
        <w:rPr>
          <w:rFonts w:ascii="Times New Roman" w:eastAsia="宋体" w:hAnsi="Times New Roman"/>
          <w:shd w:val="clear" w:color="auto" w:fill="FFFFFF"/>
        </w:rPr>
        <w:t>日，上市公司召开第四届董事会第</w:t>
      </w:r>
      <w:r w:rsidR="001621EC">
        <w:rPr>
          <w:rFonts w:ascii="Times New Roman" w:eastAsia="宋体" w:hAnsi="Times New Roman" w:hint="eastAsia"/>
          <w:shd w:val="clear" w:color="auto" w:fill="FFFFFF"/>
        </w:rPr>
        <w:t>三</w:t>
      </w:r>
      <w:r>
        <w:rPr>
          <w:rFonts w:ascii="Times New Roman" w:eastAsia="宋体" w:hAnsi="Times New Roman"/>
          <w:shd w:val="clear" w:color="auto" w:fill="FFFFFF"/>
        </w:rPr>
        <w:t>次会议，审议通过了</w:t>
      </w:r>
      <w:r>
        <w:rPr>
          <w:rFonts w:ascii="Times New Roman" w:hAnsi="Times New Roman"/>
          <w:shd w:val="clear" w:color="auto" w:fill="FFFFFF"/>
        </w:rPr>
        <w:t>关于《</w:t>
      </w:r>
      <w:r>
        <w:rPr>
          <w:rFonts w:ascii="Times New Roman" w:hAnsi="Times New Roman"/>
          <w:shd w:val="clear" w:color="auto" w:fill="FFFFFF"/>
        </w:rPr>
        <w:t>&lt;</w:t>
      </w:r>
      <w:r>
        <w:rPr>
          <w:rFonts w:ascii="Times New Roman" w:hAnsi="Times New Roman"/>
          <w:shd w:val="clear" w:color="auto" w:fill="FFFFFF"/>
        </w:rPr>
        <w:t>广东天亿马信息产业股份有限公司发行股份及支付现金购买资产并募集配套资金暨关联交易报告书（草案）</w:t>
      </w:r>
      <w:r>
        <w:rPr>
          <w:rFonts w:ascii="Times New Roman" w:hAnsi="Times New Roman"/>
          <w:shd w:val="clear" w:color="auto" w:fill="FFFFFF"/>
        </w:rPr>
        <w:t>&gt;</w:t>
      </w:r>
      <w:r>
        <w:rPr>
          <w:rFonts w:ascii="Times New Roman" w:hAnsi="Times New Roman"/>
          <w:shd w:val="clear" w:color="auto" w:fill="FFFFFF"/>
        </w:rPr>
        <w:t>及其摘要的议案》《关于本次交易方案调整不构成重大调整的议案》</w:t>
      </w:r>
      <w:r>
        <w:rPr>
          <w:rFonts w:ascii="Times New Roman" w:eastAsia="宋体" w:hAnsi="Times New Roman"/>
          <w:shd w:val="clear" w:color="auto" w:fill="FFFFFF"/>
        </w:rPr>
        <w:t>等相关议案，对本次重组方案进行了调整。</w:t>
      </w:r>
    </w:p>
    <w:p w14:paraId="7A0A1B57" w14:textId="573D366F" w:rsidR="00FA27F9" w:rsidRDefault="00C73CED">
      <w:pPr>
        <w:pStyle w:val="af"/>
        <w:widowControl/>
        <w:shd w:val="clear" w:color="auto" w:fill="FFFFFF"/>
        <w:spacing w:beforeLines="50" w:before="156" w:beforeAutospacing="0" w:afterLines="50" w:after="156" w:afterAutospacing="0" w:line="360" w:lineRule="auto"/>
        <w:ind w:firstLineChars="200" w:firstLine="480"/>
        <w:jc w:val="both"/>
        <w:rPr>
          <w:rFonts w:ascii="Times New Roman" w:eastAsia="宋体" w:hAnsi="Times New Roman"/>
          <w:shd w:val="clear" w:color="auto" w:fill="FFFFFF"/>
        </w:rPr>
      </w:pPr>
      <w:r>
        <w:rPr>
          <w:rFonts w:ascii="Times New Roman" w:eastAsia="宋体" w:hAnsi="Times New Roman"/>
          <w:shd w:val="clear" w:color="auto" w:fill="FFFFFF"/>
        </w:rPr>
        <w:t>国泰海通证</w:t>
      </w:r>
      <w:r>
        <w:rPr>
          <w:rFonts w:ascii="宋体" w:eastAsia="宋体" w:hAnsi="宋体" w:cs="宋体" w:hint="eastAsia"/>
          <w:shd w:val="clear" w:color="auto" w:fill="FFFFFF"/>
        </w:rPr>
        <w:t>券股份有限公司（以下简称“独立财务顾问”）作为广东天亿马信息产业股份有限公司发行股份及支付现金购买资产并募集配套资金暨关联交易（以下简称“本次交易”）的</w:t>
      </w:r>
      <w:r>
        <w:rPr>
          <w:rFonts w:ascii="Times New Roman" w:eastAsia="宋体" w:hAnsi="Times New Roman"/>
          <w:shd w:val="clear" w:color="auto" w:fill="FFFFFF"/>
        </w:rPr>
        <w:t>独立财务顾问，就上市公司本次交易方案调整事项进行了核查，并出具如下核查意见</w:t>
      </w:r>
      <w:r>
        <w:rPr>
          <w:rFonts w:ascii="Times New Roman" w:eastAsia="宋体" w:hAnsi="Times New Roman" w:hint="eastAsia"/>
          <w:shd w:val="clear" w:color="auto" w:fill="FFFFFF"/>
        </w:rPr>
        <w:t>：</w:t>
      </w:r>
    </w:p>
    <w:p w14:paraId="1881723F" w14:textId="77777777" w:rsidR="00FA27F9" w:rsidRDefault="00C73CED">
      <w:pPr>
        <w:adjustRightInd w:val="0"/>
        <w:snapToGrid w:val="0"/>
        <w:spacing w:beforeLines="50" w:before="156" w:afterLines="50" w:after="156" w:line="360" w:lineRule="auto"/>
        <w:ind w:firstLineChars="200" w:firstLine="482"/>
        <w:contextualSpacing/>
        <w:rPr>
          <w:rFonts w:ascii="Times New Roman" w:eastAsia="宋体" w:hAnsi="Times New Roman" w:cs="Times New Roman"/>
          <w:b/>
          <w:bCs/>
          <w:color w:val="000000"/>
          <w:sz w:val="24"/>
        </w:rPr>
      </w:pPr>
      <w:r>
        <w:rPr>
          <w:rFonts w:ascii="Times New Roman" w:eastAsia="宋体" w:hAnsi="Times New Roman" w:cs="Times New Roman" w:hint="eastAsia"/>
          <w:b/>
          <w:bCs/>
          <w:color w:val="000000"/>
          <w:sz w:val="24"/>
        </w:rPr>
        <w:t>一、</w:t>
      </w:r>
      <w:r>
        <w:rPr>
          <w:rFonts w:ascii="Times New Roman" w:eastAsia="宋体" w:hAnsi="Times New Roman" w:cs="Times New Roman"/>
          <w:b/>
          <w:bCs/>
          <w:color w:val="000000"/>
          <w:sz w:val="24"/>
        </w:rPr>
        <w:t>本次交易方案调整的具体情况</w:t>
      </w:r>
    </w:p>
    <w:p w14:paraId="0540DDF2" w14:textId="77777777" w:rsidR="00FA27F9" w:rsidRDefault="00C73CED">
      <w:pPr>
        <w:adjustRightInd w:val="0"/>
        <w:snapToGrid w:val="0"/>
        <w:spacing w:beforeLines="50" w:before="156" w:afterLines="50" w:after="156" w:line="360" w:lineRule="auto"/>
        <w:ind w:firstLineChars="200" w:firstLine="482"/>
        <w:contextualSpacing/>
        <w:rPr>
          <w:rFonts w:ascii="Times New Roman" w:eastAsia="宋体" w:hAnsi="Times New Roman" w:cs="Times New Roman"/>
          <w:b/>
          <w:bCs/>
          <w:color w:val="000000"/>
          <w:sz w:val="24"/>
        </w:rPr>
      </w:pPr>
      <w:r>
        <w:rPr>
          <w:rFonts w:ascii="Times New Roman" w:eastAsia="宋体" w:hAnsi="Times New Roman" w:cs="Times New Roman" w:hint="eastAsia"/>
          <w:b/>
          <w:bCs/>
          <w:color w:val="000000"/>
          <w:sz w:val="24"/>
        </w:rPr>
        <w:t>（一）</w:t>
      </w:r>
      <w:r>
        <w:rPr>
          <w:rFonts w:ascii="Times New Roman" w:eastAsia="宋体" w:hAnsi="Times New Roman" w:cs="Times New Roman"/>
          <w:b/>
          <w:bCs/>
          <w:color w:val="000000"/>
          <w:sz w:val="24"/>
        </w:rPr>
        <w:t>本次募集配套资金金额</w:t>
      </w:r>
    </w:p>
    <w:tbl>
      <w:tblPr>
        <w:tblW w:w="4998" w:type="pct"/>
        <w:tblBorders>
          <w:top w:val="thinThickSmallGap" w:sz="24" w:space="0" w:color="000000" w:themeColor="text1"/>
          <w:left w:val="single" w:sz="4" w:space="0" w:color="000000" w:themeColor="text1"/>
          <w:bottom w:val="thinThickSmallGap" w:sz="24" w:space="0" w:color="000000" w:themeColor="text1"/>
          <w:right w:val="single" w:sz="4" w:space="0" w:color="000000" w:themeColor="text1"/>
          <w:insideH w:val="single" w:sz="4" w:space="0" w:color="000000" w:themeColor="text1"/>
          <w:insideV w:val="single" w:sz="4" w:space="0" w:color="000000" w:themeColor="text1"/>
        </w:tblBorders>
        <w:shd w:val="clear" w:color="auto" w:fill="FFFFFF"/>
        <w:tblCellMar>
          <w:left w:w="0" w:type="dxa"/>
          <w:right w:w="0" w:type="dxa"/>
        </w:tblCellMar>
        <w:tblLook w:val="04A0" w:firstRow="1" w:lastRow="0" w:firstColumn="1" w:lastColumn="0" w:noHBand="0" w:noVBand="1"/>
      </w:tblPr>
      <w:tblGrid>
        <w:gridCol w:w="1609"/>
        <w:gridCol w:w="2270"/>
        <w:gridCol w:w="2271"/>
        <w:gridCol w:w="2273"/>
      </w:tblGrid>
      <w:tr w:rsidR="00FA27F9" w14:paraId="0344F200" w14:textId="77777777">
        <w:tc>
          <w:tcPr>
            <w:tcW w:w="956" w:type="pct"/>
            <w:tcBorders>
              <w:tl2br w:val="nil"/>
              <w:tr2bl w:val="nil"/>
            </w:tcBorders>
            <w:shd w:val="clear" w:color="auto" w:fill="FFFFFF"/>
            <w:tcMar>
              <w:top w:w="60" w:type="dxa"/>
              <w:left w:w="60" w:type="dxa"/>
              <w:bottom w:w="60" w:type="dxa"/>
              <w:right w:w="60" w:type="dxa"/>
            </w:tcMar>
            <w:vAlign w:val="center"/>
          </w:tcPr>
          <w:p w14:paraId="1EB0A082" w14:textId="77777777" w:rsidR="00FA27F9" w:rsidRDefault="00C73CED">
            <w:pPr>
              <w:widowControl/>
              <w:wordWrap w:val="0"/>
              <w:jc w:val="center"/>
              <w:rPr>
                <w:rFonts w:ascii="Times New Roman" w:eastAsia="宋体" w:hAnsi="Times New Roman" w:cs="Times New Roman"/>
                <w:b/>
                <w:bCs/>
                <w:color w:val="333333"/>
                <w:kern w:val="0"/>
                <w:szCs w:val="21"/>
                <w:lang w:bidi="ar"/>
              </w:rPr>
            </w:pPr>
            <w:r>
              <w:rPr>
                <w:rFonts w:ascii="Times New Roman" w:eastAsia="宋体" w:hAnsi="Times New Roman" w:cs="Times New Roman"/>
                <w:b/>
                <w:bCs/>
                <w:color w:val="333333"/>
                <w:kern w:val="0"/>
                <w:szCs w:val="21"/>
                <w:lang w:bidi="ar"/>
              </w:rPr>
              <w:t>调整事项</w:t>
            </w:r>
          </w:p>
        </w:tc>
        <w:tc>
          <w:tcPr>
            <w:tcW w:w="1347" w:type="pct"/>
            <w:tcBorders>
              <w:tl2br w:val="nil"/>
              <w:tr2bl w:val="nil"/>
            </w:tcBorders>
            <w:shd w:val="clear" w:color="auto" w:fill="FFFFFF"/>
            <w:tcMar>
              <w:top w:w="60" w:type="dxa"/>
              <w:left w:w="60" w:type="dxa"/>
              <w:bottom w:w="60" w:type="dxa"/>
              <w:right w:w="60" w:type="dxa"/>
            </w:tcMar>
            <w:vAlign w:val="center"/>
          </w:tcPr>
          <w:p w14:paraId="27C3E84E" w14:textId="77777777" w:rsidR="00FA27F9" w:rsidRDefault="00C73CED">
            <w:pPr>
              <w:widowControl/>
              <w:wordWrap w:val="0"/>
              <w:jc w:val="center"/>
              <w:rPr>
                <w:rFonts w:ascii="Times New Roman" w:eastAsia="宋体" w:hAnsi="Times New Roman" w:cs="Times New Roman"/>
                <w:b/>
                <w:bCs/>
                <w:color w:val="333333"/>
                <w:kern w:val="0"/>
                <w:szCs w:val="21"/>
                <w:lang w:bidi="ar"/>
              </w:rPr>
            </w:pPr>
            <w:r>
              <w:rPr>
                <w:rFonts w:ascii="Times New Roman" w:eastAsia="宋体" w:hAnsi="Times New Roman" w:cs="Times New Roman"/>
                <w:b/>
                <w:bCs/>
                <w:color w:val="333333"/>
                <w:kern w:val="0"/>
                <w:szCs w:val="21"/>
                <w:lang w:bidi="ar"/>
              </w:rPr>
              <w:t>调整前</w:t>
            </w:r>
          </w:p>
        </w:tc>
        <w:tc>
          <w:tcPr>
            <w:tcW w:w="1347" w:type="pct"/>
            <w:tcBorders>
              <w:tl2br w:val="nil"/>
              <w:tr2bl w:val="nil"/>
            </w:tcBorders>
            <w:shd w:val="clear" w:color="auto" w:fill="FFFFFF"/>
            <w:tcMar>
              <w:top w:w="60" w:type="dxa"/>
              <w:left w:w="60" w:type="dxa"/>
              <w:bottom w:w="60" w:type="dxa"/>
              <w:right w:w="60" w:type="dxa"/>
            </w:tcMar>
            <w:vAlign w:val="center"/>
          </w:tcPr>
          <w:p w14:paraId="66BCF47D" w14:textId="77777777" w:rsidR="00FA27F9" w:rsidRDefault="00C73CED">
            <w:pPr>
              <w:widowControl/>
              <w:wordWrap w:val="0"/>
              <w:jc w:val="center"/>
              <w:rPr>
                <w:rFonts w:ascii="Times New Roman" w:eastAsia="宋体" w:hAnsi="Times New Roman" w:cs="Times New Roman"/>
                <w:b/>
                <w:bCs/>
                <w:color w:val="333333"/>
                <w:kern w:val="0"/>
                <w:szCs w:val="21"/>
                <w:lang w:bidi="ar"/>
              </w:rPr>
            </w:pPr>
            <w:r>
              <w:rPr>
                <w:rFonts w:ascii="Times New Roman" w:eastAsia="宋体" w:hAnsi="Times New Roman" w:cs="Times New Roman"/>
                <w:b/>
                <w:bCs/>
                <w:color w:val="333333"/>
                <w:kern w:val="0"/>
                <w:szCs w:val="21"/>
                <w:lang w:bidi="ar"/>
              </w:rPr>
              <w:t>调整后</w:t>
            </w:r>
          </w:p>
        </w:tc>
        <w:tc>
          <w:tcPr>
            <w:tcW w:w="1348" w:type="pct"/>
            <w:tcBorders>
              <w:tl2br w:val="nil"/>
              <w:tr2bl w:val="nil"/>
            </w:tcBorders>
            <w:shd w:val="clear" w:color="auto" w:fill="FFFFFF"/>
            <w:tcMar>
              <w:top w:w="60" w:type="dxa"/>
              <w:left w:w="60" w:type="dxa"/>
              <w:bottom w:w="60" w:type="dxa"/>
              <w:right w:w="60" w:type="dxa"/>
            </w:tcMar>
            <w:vAlign w:val="center"/>
          </w:tcPr>
          <w:p w14:paraId="1468D960" w14:textId="77777777" w:rsidR="00FA27F9" w:rsidRDefault="00C73CED">
            <w:pPr>
              <w:widowControl/>
              <w:wordWrap w:val="0"/>
              <w:jc w:val="center"/>
              <w:rPr>
                <w:rFonts w:ascii="Times New Roman" w:eastAsia="宋体" w:hAnsi="Times New Roman" w:cs="Times New Roman"/>
                <w:b/>
                <w:bCs/>
                <w:color w:val="333333"/>
                <w:kern w:val="0"/>
                <w:szCs w:val="21"/>
                <w:lang w:bidi="ar"/>
              </w:rPr>
            </w:pPr>
            <w:r>
              <w:rPr>
                <w:rFonts w:ascii="Times New Roman" w:eastAsia="宋体" w:hAnsi="Times New Roman" w:cs="Times New Roman" w:hint="eastAsia"/>
                <w:b/>
                <w:bCs/>
                <w:color w:val="333333"/>
                <w:kern w:val="0"/>
                <w:szCs w:val="21"/>
                <w:lang w:bidi="ar"/>
              </w:rPr>
              <w:t>差异</w:t>
            </w:r>
          </w:p>
        </w:tc>
      </w:tr>
      <w:tr w:rsidR="00FA27F9" w14:paraId="4B6E70B4" w14:textId="77777777">
        <w:tc>
          <w:tcPr>
            <w:tcW w:w="956" w:type="pct"/>
            <w:tcBorders>
              <w:tl2br w:val="nil"/>
              <w:tr2bl w:val="nil"/>
            </w:tcBorders>
            <w:shd w:val="clear" w:color="auto" w:fill="FFFFFF"/>
            <w:tcMar>
              <w:top w:w="60" w:type="dxa"/>
              <w:left w:w="60" w:type="dxa"/>
              <w:bottom w:w="60" w:type="dxa"/>
              <w:right w:w="60" w:type="dxa"/>
            </w:tcMar>
            <w:vAlign w:val="center"/>
          </w:tcPr>
          <w:p w14:paraId="05C56D2E" w14:textId="77777777" w:rsidR="00FA27F9" w:rsidRDefault="00C73CED">
            <w:pPr>
              <w:widowControl/>
              <w:wordWrap w:val="0"/>
              <w:jc w:val="center"/>
              <w:rPr>
                <w:rFonts w:ascii="Times New Roman" w:eastAsia="宋体" w:hAnsi="Times New Roman" w:cs="Times New Roman"/>
                <w:color w:val="333333"/>
                <w:kern w:val="0"/>
                <w:szCs w:val="21"/>
                <w:lang w:bidi="ar"/>
              </w:rPr>
            </w:pPr>
            <w:r>
              <w:rPr>
                <w:rFonts w:ascii="Times New Roman" w:eastAsia="宋体" w:hAnsi="Times New Roman" w:cs="Times New Roman"/>
                <w:color w:val="333333"/>
                <w:kern w:val="0"/>
                <w:szCs w:val="21"/>
                <w:lang w:bidi="ar"/>
              </w:rPr>
              <w:t>本次募集配套资金金额</w:t>
            </w:r>
          </w:p>
        </w:tc>
        <w:tc>
          <w:tcPr>
            <w:tcW w:w="1347" w:type="pct"/>
            <w:tcBorders>
              <w:tl2br w:val="nil"/>
              <w:tr2bl w:val="nil"/>
            </w:tcBorders>
            <w:shd w:val="clear" w:color="auto" w:fill="FFFFFF"/>
            <w:tcMar>
              <w:top w:w="60" w:type="dxa"/>
              <w:left w:w="60" w:type="dxa"/>
              <w:bottom w:w="60" w:type="dxa"/>
              <w:right w:w="60" w:type="dxa"/>
            </w:tcMar>
            <w:vAlign w:val="center"/>
          </w:tcPr>
          <w:p w14:paraId="0C71C199" w14:textId="1610A0AC" w:rsidR="00FA27F9" w:rsidRDefault="00C73CED">
            <w:pPr>
              <w:widowControl/>
              <w:wordWrap w:val="0"/>
              <w:jc w:val="center"/>
              <w:rPr>
                <w:rFonts w:ascii="Times New Roman" w:eastAsia="宋体" w:hAnsi="Times New Roman" w:cs="Times New Roman"/>
                <w:color w:val="333333"/>
                <w:kern w:val="0"/>
                <w:szCs w:val="21"/>
                <w:lang w:bidi="ar"/>
              </w:rPr>
            </w:pPr>
            <w:r>
              <w:rPr>
                <w:rFonts w:ascii="Times New Roman" w:eastAsia="宋体" w:hAnsi="Times New Roman" w:cs="Times New Roman"/>
                <w:color w:val="333333"/>
                <w:kern w:val="0"/>
                <w:szCs w:val="21"/>
                <w:lang w:bidi="ar"/>
              </w:rPr>
              <w:t>募集配套资金总额不超过</w:t>
            </w:r>
            <w:r>
              <w:rPr>
                <w:rFonts w:ascii="Times New Roman" w:eastAsia="宋体" w:hAnsi="Times New Roman" w:cs="Times New Roman"/>
                <w:color w:val="333333"/>
                <w:kern w:val="0"/>
                <w:szCs w:val="21"/>
                <w:lang w:bidi="ar"/>
              </w:rPr>
              <w:t>2</w:t>
            </w:r>
            <w:r>
              <w:rPr>
                <w:rFonts w:ascii="Times New Roman" w:eastAsia="宋体" w:hAnsi="Times New Roman" w:cs="Times New Roman"/>
                <w:color w:val="333333"/>
                <w:kern w:val="0"/>
                <w:szCs w:val="21"/>
                <w:lang w:bidi="ar"/>
              </w:rPr>
              <w:t>亿元。</w:t>
            </w:r>
          </w:p>
        </w:tc>
        <w:tc>
          <w:tcPr>
            <w:tcW w:w="1347" w:type="pct"/>
            <w:tcBorders>
              <w:tl2br w:val="nil"/>
              <w:tr2bl w:val="nil"/>
            </w:tcBorders>
            <w:shd w:val="clear" w:color="auto" w:fill="FFFFFF"/>
            <w:tcMar>
              <w:top w:w="60" w:type="dxa"/>
              <w:left w:w="60" w:type="dxa"/>
              <w:bottom w:w="60" w:type="dxa"/>
              <w:right w:w="60" w:type="dxa"/>
            </w:tcMar>
            <w:vAlign w:val="center"/>
          </w:tcPr>
          <w:p w14:paraId="2BA62BD9" w14:textId="77777777" w:rsidR="00FA27F9" w:rsidRDefault="00C73CED">
            <w:pPr>
              <w:widowControl/>
              <w:wordWrap w:val="0"/>
              <w:jc w:val="center"/>
              <w:rPr>
                <w:rFonts w:ascii="Times New Roman" w:eastAsia="宋体" w:hAnsi="Times New Roman" w:cs="Times New Roman"/>
                <w:color w:val="333333"/>
                <w:kern w:val="0"/>
                <w:szCs w:val="21"/>
                <w:lang w:bidi="ar"/>
              </w:rPr>
            </w:pPr>
            <w:r>
              <w:rPr>
                <w:rFonts w:ascii="Times New Roman" w:eastAsia="宋体" w:hAnsi="Times New Roman" w:cs="Times New Roman"/>
                <w:color w:val="333333"/>
                <w:kern w:val="0"/>
                <w:szCs w:val="21"/>
                <w:lang w:bidi="ar"/>
              </w:rPr>
              <w:t>募集配套资金总额不超过</w:t>
            </w:r>
            <w:r>
              <w:rPr>
                <w:rFonts w:ascii="Times New Roman" w:eastAsia="宋体" w:hAnsi="Times New Roman" w:cs="Times New Roman"/>
                <w:color w:val="333333"/>
                <w:kern w:val="0"/>
                <w:szCs w:val="21"/>
                <w:lang w:bidi="ar"/>
              </w:rPr>
              <w:t>1.55</w:t>
            </w:r>
            <w:r>
              <w:rPr>
                <w:rFonts w:ascii="Times New Roman" w:eastAsia="宋体" w:hAnsi="Times New Roman" w:cs="Times New Roman"/>
                <w:color w:val="333333"/>
                <w:kern w:val="0"/>
                <w:szCs w:val="21"/>
                <w:lang w:bidi="ar"/>
              </w:rPr>
              <w:t>亿元。</w:t>
            </w:r>
          </w:p>
        </w:tc>
        <w:tc>
          <w:tcPr>
            <w:tcW w:w="1348" w:type="pct"/>
            <w:tcBorders>
              <w:tl2br w:val="nil"/>
              <w:tr2bl w:val="nil"/>
            </w:tcBorders>
            <w:shd w:val="clear" w:color="auto" w:fill="FFFFFF"/>
            <w:tcMar>
              <w:top w:w="60" w:type="dxa"/>
              <w:left w:w="60" w:type="dxa"/>
              <w:bottom w:w="60" w:type="dxa"/>
              <w:right w:w="60" w:type="dxa"/>
            </w:tcMar>
            <w:vAlign w:val="center"/>
          </w:tcPr>
          <w:p w14:paraId="5C552AA1" w14:textId="77777777" w:rsidR="00FA27F9" w:rsidRDefault="00C73CED">
            <w:pPr>
              <w:widowControl/>
              <w:wordWrap w:val="0"/>
              <w:jc w:val="center"/>
              <w:rPr>
                <w:rFonts w:ascii="Times New Roman" w:eastAsia="宋体" w:hAnsi="Times New Roman" w:cs="Times New Roman"/>
                <w:color w:val="333333"/>
                <w:kern w:val="0"/>
                <w:szCs w:val="21"/>
                <w:lang w:bidi="ar"/>
              </w:rPr>
            </w:pPr>
            <w:r>
              <w:rPr>
                <w:rFonts w:ascii="Times New Roman" w:eastAsia="宋体" w:hAnsi="Times New Roman" w:cs="Times New Roman" w:hint="eastAsia"/>
                <w:color w:val="333333"/>
                <w:kern w:val="0"/>
                <w:szCs w:val="21"/>
                <w:lang w:bidi="ar"/>
              </w:rPr>
              <w:t>调减募集配套资金</w:t>
            </w:r>
          </w:p>
        </w:tc>
      </w:tr>
    </w:tbl>
    <w:p w14:paraId="12C7891F" w14:textId="77777777" w:rsidR="00FA27F9" w:rsidRDefault="00C73CED">
      <w:pPr>
        <w:adjustRightInd w:val="0"/>
        <w:snapToGrid w:val="0"/>
        <w:spacing w:beforeLines="50" w:before="156" w:afterLines="50" w:after="156" w:line="360" w:lineRule="auto"/>
        <w:ind w:firstLineChars="200" w:firstLine="482"/>
        <w:contextualSpacing/>
        <w:rPr>
          <w:rFonts w:ascii="Times New Roman" w:eastAsia="宋体" w:hAnsi="Times New Roman" w:cs="Times New Roman"/>
          <w:b/>
          <w:bCs/>
          <w:color w:val="000000"/>
          <w:sz w:val="24"/>
        </w:rPr>
      </w:pPr>
      <w:r>
        <w:rPr>
          <w:rFonts w:ascii="Times New Roman" w:eastAsia="宋体" w:hAnsi="Times New Roman" w:cs="Times New Roman" w:hint="eastAsia"/>
          <w:b/>
          <w:bCs/>
          <w:color w:val="000000"/>
          <w:sz w:val="24"/>
        </w:rPr>
        <w:t>（二）</w:t>
      </w:r>
      <w:r>
        <w:rPr>
          <w:rFonts w:ascii="Times New Roman" w:eastAsia="宋体" w:hAnsi="Times New Roman" w:cs="Times New Roman"/>
          <w:b/>
          <w:bCs/>
          <w:color w:val="000000"/>
          <w:sz w:val="24"/>
        </w:rPr>
        <w:t>交易对方</w:t>
      </w:r>
    </w:p>
    <w:tbl>
      <w:tblPr>
        <w:tblW w:w="4998" w:type="pct"/>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712"/>
        <w:gridCol w:w="3117"/>
        <w:gridCol w:w="3117"/>
        <w:gridCol w:w="1477"/>
      </w:tblGrid>
      <w:tr w:rsidR="00FA27F9" w14:paraId="41BF2BD8" w14:textId="77777777" w:rsidTr="002D4A64">
        <w:tc>
          <w:tcPr>
            <w:tcW w:w="423" w:type="pct"/>
            <w:tcBorders>
              <w:tl2br w:val="nil"/>
              <w:tr2bl w:val="nil"/>
            </w:tcBorders>
            <w:shd w:val="clear" w:color="auto" w:fill="FFFFFF"/>
            <w:tcMar>
              <w:top w:w="60" w:type="dxa"/>
              <w:left w:w="60" w:type="dxa"/>
              <w:bottom w:w="60" w:type="dxa"/>
              <w:right w:w="60" w:type="dxa"/>
            </w:tcMar>
            <w:vAlign w:val="center"/>
          </w:tcPr>
          <w:p w14:paraId="1E225B7D" w14:textId="77777777" w:rsidR="00FA27F9" w:rsidRDefault="00C73CED">
            <w:pPr>
              <w:widowControl/>
              <w:wordWrap w:val="0"/>
              <w:jc w:val="center"/>
              <w:rPr>
                <w:rFonts w:ascii="Times New Roman" w:eastAsia="宋体" w:hAnsi="Times New Roman" w:cs="Times New Roman"/>
                <w:b/>
                <w:bCs/>
                <w:color w:val="333333"/>
                <w:szCs w:val="21"/>
              </w:rPr>
            </w:pPr>
            <w:r>
              <w:rPr>
                <w:rFonts w:ascii="Times New Roman" w:eastAsia="宋体" w:hAnsi="Times New Roman" w:cs="Times New Roman"/>
                <w:b/>
                <w:bCs/>
                <w:color w:val="333333"/>
                <w:kern w:val="0"/>
                <w:szCs w:val="21"/>
                <w:lang w:bidi="ar"/>
              </w:rPr>
              <w:t>调整事项</w:t>
            </w:r>
          </w:p>
        </w:tc>
        <w:tc>
          <w:tcPr>
            <w:tcW w:w="1850" w:type="pct"/>
            <w:tcBorders>
              <w:tl2br w:val="nil"/>
              <w:tr2bl w:val="nil"/>
            </w:tcBorders>
            <w:shd w:val="clear" w:color="auto" w:fill="FFFFFF"/>
            <w:tcMar>
              <w:top w:w="60" w:type="dxa"/>
              <w:left w:w="60" w:type="dxa"/>
              <w:bottom w:w="60" w:type="dxa"/>
              <w:right w:w="60" w:type="dxa"/>
            </w:tcMar>
            <w:vAlign w:val="center"/>
          </w:tcPr>
          <w:p w14:paraId="112D33B4" w14:textId="77777777" w:rsidR="00FA27F9" w:rsidRDefault="00C73CED">
            <w:pPr>
              <w:widowControl/>
              <w:wordWrap w:val="0"/>
              <w:jc w:val="center"/>
              <w:rPr>
                <w:rFonts w:ascii="Times New Roman" w:eastAsia="宋体" w:hAnsi="Times New Roman" w:cs="Times New Roman"/>
                <w:b/>
                <w:bCs/>
                <w:color w:val="333333"/>
                <w:szCs w:val="21"/>
              </w:rPr>
            </w:pPr>
            <w:r>
              <w:rPr>
                <w:rFonts w:ascii="Times New Roman" w:eastAsia="宋体" w:hAnsi="Times New Roman" w:cs="Times New Roman"/>
                <w:b/>
                <w:bCs/>
                <w:color w:val="333333"/>
                <w:kern w:val="0"/>
                <w:szCs w:val="21"/>
                <w:lang w:bidi="ar"/>
              </w:rPr>
              <w:t>调整前</w:t>
            </w:r>
          </w:p>
        </w:tc>
        <w:tc>
          <w:tcPr>
            <w:tcW w:w="1850" w:type="pct"/>
            <w:tcBorders>
              <w:tl2br w:val="nil"/>
              <w:tr2bl w:val="nil"/>
            </w:tcBorders>
            <w:shd w:val="clear" w:color="auto" w:fill="FFFFFF"/>
            <w:tcMar>
              <w:top w:w="60" w:type="dxa"/>
              <w:left w:w="60" w:type="dxa"/>
              <w:bottom w:w="60" w:type="dxa"/>
              <w:right w:w="60" w:type="dxa"/>
            </w:tcMar>
            <w:vAlign w:val="center"/>
          </w:tcPr>
          <w:p w14:paraId="630E14C5" w14:textId="77777777" w:rsidR="00FA27F9" w:rsidRDefault="00C73CED">
            <w:pPr>
              <w:widowControl/>
              <w:wordWrap w:val="0"/>
              <w:jc w:val="center"/>
              <w:rPr>
                <w:rFonts w:ascii="Times New Roman" w:eastAsia="宋体" w:hAnsi="Times New Roman" w:cs="Times New Roman"/>
                <w:b/>
                <w:bCs/>
                <w:color w:val="333333"/>
                <w:szCs w:val="21"/>
              </w:rPr>
            </w:pPr>
            <w:r>
              <w:rPr>
                <w:rFonts w:ascii="Times New Roman" w:eastAsia="宋体" w:hAnsi="Times New Roman" w:cs="Times New Roman"/>
                <w:b/>
                <w:bCs/>
                <w:color w:val="333333"/>
                <w:kern w:val="0"/>
                <w:szCs w:val="21"/>
                <w:lang w:bidi="ar"/>
              </w:rPr>
              <w:t>调整后</w:t>
            </w:r>
          </w:p>
        </w:tc>
        <w:tc>
          <w:tcPr>
            <w:tcW w:w="877" w:type="pct"/>
            <w:tcBorders>
              <w:tl2br w:val="nil"/>
              <w:tr2bl w:val="nil"/>
            </w:tcBorders>
            <w:shd w:val="clear" w:color="auto" w:fill="FFFFFF"/>
            <w:tcMar>
              <w:top w:w="60" w:type="dxa"/>
              <w:left w:w="60" w:type="dxa"/>
              <w:bottom w:w="60" w:type="dxa"/>
              <w:right w:w="60" w:type="dxa"/>
            </w:tcMar>
            <w:vAlign w:val="center"/>
          </w:tcPr>
          <w:p w14:paraId="03C6746C" w14:textId="77777777" w:rsidR="00FA27F9" w:rsidRDefault="00C73CED">
            <w:pPr>
              <w:widowControl/>
              <w:wordWrap w:val="0"/>
              <w:jc w:val="center"/>
              <w:rPr>
                <w:rFonts w:ascii="Times New Roman" w:eastAsia="宋体" w:hAnsi="Times New Roman" w:cs="Times New Roman"/>
                <w:b/>
                <w:bCs/>
                <w:color w:val="333333"/>
                <w:kern w:val="0"/>
                <w:szCs w:val="21"/>
                <w:lang w:bidi="ar"/>
              </w:rPr>
            </w:pPr>
            <w:r>
              <w:rPr>
                <w:rFonts w:ascii="Times New Roman" w:eastAsia="宋体" w:hAnsi="Times New Roman" w:cs="Times New Roman" w:hint="eastAsia"/>
                <w:b/>
                <w:bCs/>
                <w:color w:val="333333"/>
                <w:kern w:val="0"/>
                <w:szCs w:val="21"/>
                <w:lang w:bidi="ar"/>
              </w:rPr>
              <w:t>差异</w:t>
            </w:r>
          </w:p>
        </w:tc>
      </w:tr>
      <w:tr w:rsidR="00FA27F9" w14:paraId="3B0B0197" w14:textId="77777777" w:rsidTr="002D4A64">
        <w:tc>
          <w:tcPr>
            <w:tcW w:w="423" w:type="pct"/>
            <w:tcBorders>
              <w:tl2br w:val="nil"/>
              <w:tr2bl w:val="nil"/>
            </w:tcBorders>
            <w:shd w:val="clear" w:color="auto" w:fill="FFFFFF"/>
            <w:tcMar>
              <w:top w:w="60" w:type="dxa"/>
              <w:left w:w="60" w:type="dxa"/>
              <w:bottom w:w="60" w:type="dxa"/>
              <w:right w:w="60" w:type="dxa"/>
            </w:tcMar>
            <w:vAlign w:val="center"/>
          </w:tcPr>
          <w:p w14:paraId="29DEA688" w14:textId="77777777" w:rsidR="00FA27F9" w:rsidRDefault="00C73CED">
            <w:pPr>
              <w:widowControl/>
              <w:wordWrap w:val="0"/>
              <w:jc w:val="center"/>
              <w:rPr>
                <w:rFonts w:ascii="Times New Roman" w:eastAsia="宋体" w:hAnsi="Times New Roman" w:cs="Times New Roman"/>
                <w:color w:val="333333"/>
                <w:szCs w:val="21"/>
              </w:rPr>
            </w:pPr>
            <w:r>
              <w:rPr>
                <w:rFonts w:ascii="Times New Roman" w:eastAsia="宋体" w:hAnsi="Times New Roman" w:cs="Times New Roman"/>
                <w:color w:val="333333"/>
                <w:kern w:val="0"/>
                <w:szCs w:val="21"/>
                <w:lang w:bidi="ar"/>
              </w:rPr>
              <w:t>交易对方</w:t>
            </w:r>
          </w:p>
        </w:tc>
        <w:tc>
          <w:tcPr>
            <w:tcW w:w="1850" w:type="pct"/>
            <w:tcBorders>
              <w:tl2br w:val="nil"/>
              <w:tr2bl w:val="nil"/>
            </w:tcBorders>
            <w:shd w:val="clear" w:color="auto" w:fill="FFFFFF"/>
            <w:tcMar>
              <w:top w:w="60" w:type="dxa"/>
              <w:left w:w="60" w:type="dxa"/>
              <w:bottom w:w="60" w:type="dxa"/>
              <w:right w:w="60" w:type="dxa"/>
            </w:tcMar>
            <w:vAlign w:val="center"/>
          </w:tcPr>
          <w:p w14:paraId="0CA68480" w14:textId="77777777" w:rsidR="00FA27F9" w:rsidRDefault="00C73CED">
            <w:pPr>
              <w:widowControl/>
              <w:wordWrap w:val="0"/>
              <w:jc w:val="center"/>
              <w:rPr>
                <w:rFonts w:ascii="Times New Roman" w:eastAsia="宋体" w:hAnsi="Times New Roman" w:cs="Times New Roman"/>
                <w:color w:val="333333"/>
                <w:szCs w:val="21"/>
              </w:rPr>
            </w:pPr>
            <w:r>
              <w:rPr>
                <w:rFonts w:ascii="Times New Roman" w:eastAsia="宋体" w:hAnsi="Times New Roman" w:cs="Times New Roman"/>
                <w:color w:val="333333"/>
                <w:kern w:val="0"/>
                <w:szCs w:val="21"/>
                <w:lang w:bidi="ar"/>
              </w:rPr>
              <w:t>陈耿豪、南通成为常青股权投资合伙企业（有限合伙）、珠海广发信德科文创业投资基金（有限合伙）、苏州市德同合心创业投资合伙企业（有限合伙）、珠海乐陶陶投资合伙企业（有限合</w:t>
            </w:r>
            <w:r>
              <w:rPr>
                <w:rFonts w:ascii="Times New Roman" w:eastAsia="宋体" w:hAnsi="Times New Roman" w:cs="Times New Roman"/>
                <w:color w:val="333333"/>
                <w:kern w:val="0"/>
                <w:szCs w:val="21"/>
                <w:lang w:bidi="ar"/>
              </w:rPr>
              <w:lastRenderedPageBreak/>
              <w:t>伙）、林芝利新信息技术有限公司、杨凯然、张杰波、璀璨远见（深圳）企业管理合伙企业（有限合伙）、珠海乐熙熙投资合伙企业（有限合伙）、珠海乐腾腾投资合伙企业（有限合伙）、深圳市前海千</w:t>
            </w:r>
            <w:proofErr w:type="gramStart"/>
            <w:r>
              <w:rPr>
                <w:rFonts w:ascii="Times New Roman" w:eastAsia="宋体" w:hAnsi="Times New Roman" w:cs="Times New Roman"/>
                <w:color w:val="333333"/>
                <w:kern w:val="0"/>
                <w:szCs w:val="21"/>
                <w:lang w:bidi="ar"/>
              </w:rPr>
              <w:t>意智合三期</w:t>
            </w:r>
            <w:proofErr w:type="gramEnd"/>
            <w:r>
              <w:rPr>
                <w:rFonts w:ascii="Times New Roman" w:eastAsia="宋体" w:hAnsi="Times New Roman" w:cs="Times New Roman"/>
                <w:color w:val="333333"/>
                <w:kern w:val="0"/>
                <w:szCs w:val="21"/>
                <w:lang w:bidi="ar"/>
              </w:rPr>
              <w:t>投资合伙企业（有限合伙）、胡俊、王佳、杨裕雄、珠海乐哈哈投资合伙企业（有限合伙）、广州广发信德二期创业投资合伙企业（有限合伙）、</w:t>
            </w:r>
            <w:proofErr w:type="gramStart"/>
            <w:r>
              <w:rPr>
                <w:rFonts w:ascii="Times New Roman" w:eastAsia="宋体" w:hAnsi="Times New Roman" w:cs="Times New Roman"/>
                <w:color w:val="333333"/>
                <w:kern w:val="0"/>
                <w:szCs w:val="21"/>
                <w:lang w:bidi="ar"/>
              </w:rPr>
              <w:t>璀璨德</w:t>
            </w:r>
            <w:proofErr w:type="gramEnd"/>
            <w:r>
              <w:rPr>
                <w:rFonts w:ascii="Times New Roman" w:eastAsia="宋体" w:hAnsi="Times New Roman" w:cs="Times New Roman"/>
                <w:color w:val="333333"/>
                <w:kern w:val="0"/>
                <w:szCs w:val="21"/>
                <w:lang w:bidi="ar"/>
              </w:rPr>
              <w:t>商（深圳）创业投资中心（有限合伙）、广州信</w:t>
            </w:r>
            <w:proofErr w:type="gramStart"/>
            <w:r>
              <w:rPr>
                <w:rFonts w:ascii="Times New Roman" w:eastAsia="宋体" w:hAnsi="Times New Roman" w:cs="Times New Roman"/>
                <w:color w:val="333333"/>
                <w:kern w:val="0"/>
                <w:szCs w:val="21"/>
                <w:lang w:bidi="ar"/>
              </w:rPr>
              <w:t>德创业营</w:t>
            </w:r>
            <w:proofErr w:type="gramEnd"/>
            <w:r>
              <w:rPr>
                <w:rFonts w:ascii="Times New Roman" w:eastAsia="宋体" w:hAnsi="Times New Roman" w:cs="Times New Roman"/>
                <w:color w:val="333333"/>
                <w:kern w:val="0"/>
                <w:szCs w:val="21"/>
                <w:lang w:bidi="ar"/>
              </w:rPr>
              <w:t>股权投资合伙企业（有限合伙）、珠海</w:t>
            </w:r>
            <w:proofErr w:type="gramStart"/>
            <w:r>
              <w:rPr>
                <w:rFonts w:ascii="Times New Roman" w:eastAsia="宋体" w:hAnsi="Times New Roman" w:cs="Times New Roman"/>
                <w:color w:val="333333"/>
                <w:kern w:val="0"/>
                <w:szCs w:val="21"/>
                <w:lang w:bidi="ar"/>
              </w:rPr>
              <w:t>乐摇投资</w:t>
            </w:r>
            <w:proofErr w:type="gramEnd"/>
            <w:r>
              <w:rPr>
                <w:rFonts w:ascii="Times New Roman" w:eastAsia="宋体" w:hAnsi="Times New Roman" w:cs="Times New Roman"/>
                <w:color w:val="333333"/>
                <w:kern w:val="0"/>
                <w:szCs w:val="21"/>
                <w:lang w:bidi="ar"/>
              </w:rPr>
              <w:t>合伙企业（有限合伙）、珠海康</w:t>
            </w:r>
            <w:proofErr w:type="gramStart"/>
            <w:r>
              <w:rPr>
                <w:rFonts w:ascii="Times New Roman" w:eastAsia="宋体" w:hAnsi="Times New Roman" w:cs="Times New Roman"/>
                <w:color w:val="333333"/>
                <w:kern w:val="0"/>
                <w:szCs w:val="21"/>
                <w:lang w:bidi="ar"/>
              </w:rPr>
              <w:t>远投资</w:t>
            </w:r>
            <w:proofErr w:type="gramEnd"/>
            <w:r>
              <w:rPr>
                <w:rFonts w:ascii="Times New Roman" w:eastAsia="宋体" w:hAnsi="Times New Roman" w:cs="Times New Roman"/>
                <w:color w:val="333333"/>
                <w:kern w:val="0"/>
                <w:szCs w:val="21"/>
                <w:lang w:bidi="ar"/>
              </w:rPr>
              <w:t>企业（有限合伙）、上海德盾企业管理合伙企业（有限合伙）等</w:t>
            </w:r>
            <w:r>
              <w:rPr>
                <w:rFonts w:ascii="Times New Roman" w:eastAsia="宋体" w:hAnsi="Times New Roman" w:cs="Times New Roman"/>
                <w:color w:val="333333"/>
                <w:kern w:val="0"/>
                <w:szCs w:val="21"/>
                <w:lang w:bidi="ar"/>
              </w:rPr>
              <w:t>22</w:t>
            </w:r>
            <w:r>
              <w:rPr>
                <w:rFonts w:ascii="Times New Roman" w:eastAsia="宋体" w:hAnsi="Times New Roman" w:cs="Times New Roman"/>
                <w:color w:val="333333"/>
                <w:kern w:val="0"/>
                <w:szCs w:val="21"/>
                <w:lang w:bidi="ar"/>
              </w:rPr>
              <w:t>名交易对方</w:t>
            </w:r>
            <w:r>
              <w:rPr>
                <w:rFonts w:ascii="Times New Roman" w:eastAsia="宋体" w:hAnsi="Times New Roman" w:cs="Times New Roman" w:hint="eastAsia"/>
                <w:color w:val="333333"/>
                <w:kern w:val="0"/>
                <w:szCs w:val="21"/>
                <w:lang w:bidi="ar"/>
              </w:rPr>
              <w:t>。</w:t>
            </w:r>
          </w:p>
        </w:tc>
        <w:tc>
          <w:tcPr>
            <w:tcW w:w="1850" w:type="pct"/>
            <w:tcBorders>
              <w:tl2br w:val="nil"/>
              <w:tr2bl w:val="nil"/>
            </w:tcBorders>
            <w:shd w:val="clear" w:color="auto" w:fill="FFFFFF"/>
            <w:tcMar>
              <w:top w:w="60" w:type="dxa"/>
              <w:left w:w="60" w:type="dxa"/>
              <w:bottom w:w="60" w:type="dxa"/>
              <w:right w:w="60" w:type="dxa"/>
            </w:tcMar>
            <w:vAlign w:val="center"/>
          </w:tcPr>
          <w:p w14:paraId="3AB6196A" w14:textId="101372B9" w:rsidR="00FA27F9" w:rsidRDefault="00C73CED" w:rsidP="00AF526C">
            <w:pPr>
              <w:widowControl/>
              <w:wordWrap w:val="0"/>
              <w:jc w:val="center"/>
              <w:rPr>
                <w:rFonts w:ascii="Times New Roman" w:eastAsia="宋体" w:hAnsi="Times New Roman" w:cs="Times New Roman"/>
                <w:color w:val="333333"/>
                <w:szCs w:val="21"/>
              </w:rPr>
            </w:pPr>
            <w:r>
              <w:rPr>
                <w:rFonts w:ascii="Times New Roman" w:eastAsia="宋体" w:hAnsi="Times New Roman" w:cs="Times New Roman"/>
                <w:color w:val="333333"/>
                <w:kern w:val="0"/>
                <w:szCs w:val="21"/>
                <w:lang w:bidi="ar"/>
              </w:rPr>
              <w:lastRenderedPageBreak/>
              <w:t>陈耿豪、南通成为常青股权投资合伙企业（有限合伙）、珠海广发信德科文创业投资基金（有限合伙）、苏州市德同合心创业投资合伙企业（有限合伙）、</w:t>
            </w:r>
            <w:r w:rsidR="001621EC">
              <w:rPr>
                <w:rFonts w:ascii="Times New Roman" w:eastAsia="宋体" w:hAnsi="Times New Roman" w:cs="Times New Roman" w:hint="eastAsia"/>
                <w:color w:val="333333"/>
                <w:kern w:val="0"/>
                <w:szCs w:val="21"/>
                <w:lang w:bidi="ar"/>
              </w:rPr>
              <w:t>泰安</w:t>
            </w:r>
            <w:r>
              <w:rPr>
                <w:rFonts w:ascii="Times New Roman" w:eastAsia="宋体" w:hAnsi="Times New Roman" w:cs="Times New Roman"/>
                <w:color w:val="333333"/>
                <w:kern w:val="0"/>
                <w:szCs w:val="21"/>
                <w:lang w:bidi="ar"/>
              </w:rPr>
              <w:t>乐陶陶投资</w:t>
            </w:r>
            <w:r w:rsidR="001621EC">
              <w:rPr>
                <w:rFonts w:ascii="Times New Roman" w:eastAsia="宋体" w:hAnsi="Times New Roman" w:cs="Times New Roman" w:hint="eastAsia"/>
                <w:color w:val="333333"/>
                <w:kern w:val="0"/>
                <w:szCs w:val="21"/>
                <w:lang w:bidi="ar"/>
              </w:rPr>
              <w:t>服务</w:t>
            </w:r>
            <w:r>
              <w:rPr>
                <w:rFonts w:ascii="Times New Roman" w:eastAsia="宋体" w:hAnsi="Times New Roman" w:cs="Times New Roman"/>
                <w:color w:val="333333"/>
                <w:kern w:val="0"/>
                <w:szCs w:val="21"/>
                <w:lang w:bidi="ar"/>
              </w:rPr>
              <w:t>合伙企业（有限</w:t>
            </w:r>
            <w:r>
              <w:rPr>
                <w:rFonts w:ascii="Times New Roman" w:eastAsia="宋体" w:hAnsi="Times New Roman" w:cs="Times New Roman"/>
                <w:color w:val="333333"/>
                <w:kern w:val="0"/>
                <w:szCs w:val="21"/>
                <w:lang w:bidi="ar"/>
              </w:rPr>
              <w:lastRenderedPageBreak/>
              <w:t>合伙）、林芝利新信息技术有限公司、杨凯然、张杰波、璀璨远见（深圳）企业管理合伙企业（有限合伙）、</w:t>
            </w:r>
            <w:r w:rsidR="00AF526C">
              <w:rPr>
                <w:rFonts w:ascii="Times New Roman" w:eastAsia="宋体" w:hAnsi="Times New Roman" w:cs="Times New Roman" w:hint="eastAsia"/>
                <w:color w:val="333333"/>
                <w:kern w:val="0"/>
                <w:szCs w:val="21"/>
                <w:lang w:bidi="ar"/>
              </w:rPr>
              <w:t>泰安</w:t>
            </w:r>
            <w:r>
              <w:rPr>
                <w:rFonts w:ascii="Times New Roman" w:eastAsia="宋体" w:hAnsi="Times New Roman" w:cs="Times New Roman"/>
                <w:color w:val="333333"/>
                <w:kern w:val="0"/>
                <w:szCs w:val="21"/>
                <w:lang w:bidi="ar"/>
              </w:rPr>
              <w:t>乐熙熙投资</w:t>
            </w:r>
            <w:r w:rsidR="00AF526C">
              <w:rPr>
                <w:rFonts w:ascii="Times New Roman" w:eastAsia="宋体" w:hAnsi="Times New Roman" w:cs="Times New Roman" w:hint="eastAsia"/>
                <w:color w:val="333333"/>
                <w:kern w:val="0"/>
                <w:szCs w:val="21"/>
                <w:lang w:bidi="ar"/>
              </w:rPr>
              <w:t>服务</w:t>
            </w:r>
            <w:r>
              <w:rPr>
                <w:rFonts w:ascii="Times New Roman" w:eastAsia="宋体" w:hAnsi="Times New Roman" w:cs="Times New Roman"/>
                <w:color w:val="333333"/>
                <w:kern w:val="0"/>
                <w:szCs w:val="21"/>
                <w:lang w:bidi="ar"/>
              </w:rPr>
              <w:t>合伙企业（有限合伙）、</w:t>
            </w:r>
            <w:r w:rsidR="00AF526C">
              <w:rPr>
                <w:rFonts w:ascii="Times New Roman" w:eastAsia="宋体" w:hAnsi="Times New Roman" w:cs="Times New Roman" w:hint="eastAsia"/>
                <w:color w:val="333333"/>
                <w:kern w:val="0"/>
                <w:szCs w:val="21"/>
                <w:lang w:bidi="ar"/>
              </w:rPr>
              <w:t>泰安</w:t>
            </w:r>
            <w:r>
              <w:rPr>
                <w:rFonts w:ascii="Times New Roman" w:eastAsia="宋体" w:hAnsi="Times New Roman" w:cs="Times New Roman"/>
                <w:color w:val="333333"/>
                <w:kern w:val="0"/>
                <w:szCs w:val="21"/>
                <w:lang w:bidi="ar"/>
              </w:rPr>
              <w:t>乐腾腾投资</w:t>
            </w:r>
            <w:r w:rsidR="00AF526C">
              <w:rPr>
                <w:rFonts w:ascii="Times New Roman" w:eastAsia="宋体" w:hAnsi="Times New Roman" w:cs="Times New Roman" w:hint="eastAsia"/>
                <w:color w:val="333333"/>
                <w:kern w:val="0"/>
                <w:szCs w:val="21"/>
                <w:lang w:bidi="ar"/>
              </w:rPr>
              <w:t>服务</w:t>
            </w:r>
            <w:r>
              <w:rPr>
                <w:rFonts w:ascii="Times New Roman" w:eastAsia="宋体" w:hAnsi="Times New Roman" w:cs="Times New Roman"/>
                <w:color w:val="333333"/>
                <w:kern w:val="0"/>
                <w:szCs w:val="21"/>
                <w:lang w:bidi="ar"/>
              </w:rPr>
              <w:t>合伙企业（有限合伙）、深圳市前海千</w:t>
            </w:r>
            <w:proofErr w:type="gramStart"/>
            <w:r>
              <w:rPr>
                <w:rFonts w:ascii="Times New Roman" w:eastAsia="宋体" w:hAnsi="Times New Roman" w:cs="Times New Roman"/>
                <w:color w:val="333333"/>
                <w:kern w:val="0"/>
                <w:szCs w:val="21"/>
                <w:lang w:bidi="ar"/>
              </w:rPr>
              <w:t>意智合三期</w:t>
            </w:r>
            <w:proofErr w:type="gramEnd"/>
            <w:r>
              <w:rPr>
                <w:rFonts w:ascii="Times New Roman" w:eastAsia="宋体" w:hAnsi="Times New Roman" w:cs="Times New Roman"/>
                <w:color w:val="333333"/>
                <w:kern w:val="0"/>
                <w:szCs w:val="21"/>
                <w:lang w:bidi="ar"/>
              </w:rPr>
              <w:t>投资合伙企业（有限合伙）、胡俊、王佳、</w:t>
            </w:r>
            <w:r w:rsidR="00AF526C">
              <w:rPr>
                <w:rFonts w:ascii="Times New Roman" w:eastAsia="宋体" w:hAnsi="Times New Roman" w:cs="Times New Roman" w:hint="eastAsia"/>
                <w:color w:val="333333"/>
                <w:kern w:val="0"/>
                <w:szCs w:val="21"/>
                <w:lang w:bidi="ar"/>
              </w:rPr>
              <w:t>泰安</w:t>
            </w:r>
            <w:r>
              <w:rPr>
                <w:rFonts w:ascii="Times New Roman" w:eastAsia="宋体" w:hAnsi="Times New Roman" w:cs="Times New Roman"/>
                <w:color w:val="333333"/>
                <w:kern w:val="0"/>
                <w:szCs w:val="21"/>
                <w:lang w:bidi="ar"/>
              </w:rPr>
              <w:t>乐哈哈投资</w:t>
            </w:r>
            <w:r w:rsidR="00AF526C">
              <w:rPr>
                <w:rFonts w:ascii="Times New Roman" w:eastAsia="宋体" w:hAnsi="Times New Roman" w:cs="Times New Roman" w:hint="eastAsia"/>
                <w:color w:val="333333"/>
                <w:kern w:val="0"/>
                <w:szCs w:val="21"/>
                <w:lang w:bidi="ar"/>
              </w:rPr>
              <w:t>服务</w:t>
            </w:r>
            <w:r>
              <w:rPr>
                <w:rFonts w:ascii="Times New Roman" w:eastAsia="宋体" w:hAnsi="Times New Roman" w:cs="Times New Roman"/>
                <w:color w:val="333333"/>
                <w:kern w:val="0"/>
                <w:szCs w:val="21"/>
                <w:lang w:bidi="ar"/>
              </w:rPr>
              <w:t>合伙企业（有限合伙）、广州广发信德二期创业投资合伙企业（有限合伙）、</w:t>
            </w:r>
            <w:proofErr w:type="gramStart"/>
            <w:r>
              <w:rPr>
                <w:rFonts w:ascii="Times New Roman" w:eastAsia="宋体" w:hAnsi="Times New Roman" w:cs="Times New Roman"/>
                <w:color w:val="333333"/>
                <w:kern w:val="0"/>
                <w:szCs w:val="21"/>
                <w:lang w:bidi="ar"/>
              </w:rPr>
              <w:t>璀璨德</w:t>
            </w:r>
            <w:proofErr w:type="gramEnd"/>
            <w:r>
              <w:rPr>
                <w:rFonts w:ascii="Times New Roman" w:eastAsia="宋体" w:hAnsi="Times New Roman" w:cs="Times New Roman"/>
                <w:color w:val="333333"/>
                <w:kern w:val="0"/>
                <w:szCs w:val="21"/>
                <w:lang w:bidi="ar"/>
              </w:rPr>
              <w:t>商（深圳）创业投资中心（有限合伙）、广州信</w:t>
            </w:r>
            <w:proofErr w:type="gramStart"/>
            <w:r>
              <w:rPr>
                <w:rFonts w:ascii="Times New Roman" w:eastAsia="宋体" w:hAnsi="Times New Roman" w:cs="Times New Roman"/>
                <w:color w:val="333333"/>
                <w:kern w:val="0"/>
                <w:szCs w:val="21"/>
                <w:lang w:bidi="ar"/>
              </w:rPr>
              <w:t>德创业营</w:t>
            </w:r>
            <w:proofErr w:type="gramEnd"/>
            <w:r>
              <w:rPr>
                <w:rFonts w:ascii="Times New Roman" w:eastAsia="宋体" w:hAnsi="Times New Roman" w:cs="Times New Roman"/>
                <w:color w:val="333333"/>
                <w:kern w:val="0"/>
                <w:szCs w:val="21"/>
                <w:lang w:bidi="ar"/>
              </w:rPr>
              <w:t>股权投资合伙企业（有限合伙）、</w:t>
            </w:r>
            <w:r w:rsidR="00AF526C">
              <w:rPr>
                <w:rFonts w:ascii="Times New Roman" w:eastAsia="宋体" w:hAnsi="Times New Roman" w:cs="Times New Roman" w:hint="eastAsia"/>
                <w:color w:val="333333"/>
                <w:kern w:val="0"/>
                <w:szCs w:val="21"/>
                <w:lang w:bidi="ar"/>
              </w:rPr>
              <w:t>泰安</w:t>
            </w:r>
            <w:proofErr w:type="gramStart"/>
            <w:r>
              <w:rPr>
                <w:rFonts w:ascii="Times New Roman" w:eastAsia="宋体" w:hAnsi="Times New Roman" w:cs="Times New Roman"/>
                <w:color w:val="333333"/>
                <w:kern w:val="0"/>
                <w:szCs w:val="21"/>
                <w:lang w:bidi="ar"/>
              </w:rPr>
              <w:t>乐摇投资</w:t>
            </w:r>
            <w:proofErr w:type="gramEnd"/>
            <w:r w:rsidR="00AF526C">
              <w:rPr>
                <w:rFonts w:ascii="Times New Roman" w:eastAsia="宋体" w:hAnsi="Times New Roman" w:cs="Times New Roman" w:hint="eastAsia"/>
                <w:color w:val="333333"/>
                <w:kern w:val="0"/>
                <w:szCs w:val="21"/>
                <w:lang w:bidi="ar"/>
              </w:rPr>
              <w:t>服务</w:t>
            </w:r>
            <w:r>
              <w:rPr>
                <w:rFonts w:ascii="Times New Roman" w:eastAsia="宋体" w:hAnsi="Times New Roman" w:cs="Times New Roman"/>
                <w:color w:val="333333"/>
                <w:kern w:val="0"/>
                <w:szCs w:val="21"/>
                <w:lang w:bidi="ar"/>
              </w:rPr>
              <w:t>合伙企业（有限合伙）、珠海康</w:t>
            </w:r>
            <w:proofErr w:type="gramStart"/>
            <w:r>
              <w:rPr>
                <w:rFonts w:ascii="Times New Roman" w:eastAsia="宋体" w:hAnsi="Times New Roman" w:cs="Times New Roman"/>
                <w:color w:val="333333"/>
                <w:kern w:val="0"/>
                <w:szCs w:val="21"/>
                <w:lang w:bidi="ar"/>
              </w:rPr>
              <w:t>远投资</w:t>
            </w:r>
            <w:proofErr w:type="gramEnd"/>
            <w:r>
              <w:rPr>
                <w:rFonts w:ascii="Times New Roman" w:eastAsia="宋体" w:hAnsi="Times New Roman" w:cs="Times New Roman"/>
                <w:color w:val="333333"/>
                <w:kern w:val="0"/>
                <w:szCs w:val="21"/>
                <w:lang w:bidi="ar"/>
              </w:rPr>
              <w:t>企业（有限合伙）、上海德盾企业管理合伙企业（有限合伙）等</w:t>
            </w:r>
            <w:r>
              <w:rPr>
                <w:rFonts w:ascii="Times New Roman" w:eastAsia="宋体" w:hAnsi="Times New Roman" w:cs="Times New Roman"/>
                <w:color w:val="333333"/>
                <w:kern w:val="0"/>
                <w:szCs w:val="21"/>
                <w:lang w:bidi="ar"/>
              </w:rPr>
              <w:t>21</w:t>
            </w:r>
            <w:r>
              <w:rPr>
                <w:rFonts w:ascii="Times New Roman" w:eastAsia="宋体" w:hAnsi="Times New Roman" w:cs="Times New Roman"/>
                <w:color w:val="333333"/>
                <w:kern w:val="0"/>
                <w:szCs w:val="21"/>
                <w:lang w:bidi="ar"/>
              </w:rPr>
              <w:t>名交易对方</w:t>
            </w:r>
            <w:r>
              <w:rPr>
                <w:rFonts w:ascii="Times New Roman" w:eastAsia="宋体" w:hAnsi="Times New Roman" w:cs="Times New Roman" w:hint="eastAsia"/>
                <w:color w:val="333333"/>
                <w:kern w:val="0"/>
                <w:szCs w:val="21"/>
                <w:lang w:bidi="ar"/>
              </w:rPr>
              <w:t>。</w:t>
            </w:r>
          </w:p>
        </w:tc>
        <w:tc>
          <w:tcPr>
            <w:tcW w:w="877" w:type="pct"/>
            <w:tcBorders>
              <w:tl2br w:val="nil"/>
              <w:tr2bl w:val="nil"/>
            </w:tcBorders>
            <w:shd w:val="clear" w:color="auto" w:fill="FFFFFF"/>
            <w:tcMar>
              <w:top w:w="60" w:type="dxa"/>
              <w:left w:w="60" w:type="dxa"/>
              <w:bottom w:w="60" w:type="dxa"/>
              <w:right w:w="60" w:type="dxa"/>
            </w:tcMar>
            <w:vAlign w:val="center"/>
          </w:tcPr>
          <w:p w14:paraId="64B2A485" w14:textId="77777777" w:rsidR="00FA27F9" w:rsidRDefault="00C73CED">
            <w:pPr>
              <w:widowControl/>
              <w:wordWrap w:val="0"/>
              <w:jc w:val="center"/>
              <w:rPr>
                <w:rFonts w:ascii="Times New Roman" w:eastAsia="宋体" w:hAnsi="Times New Roman" w:cs="Times New Roman"/>
                <w:color w:val="333333"/>
                <w:kern w:val="0"/>
                <w:szCs w:val="21"/>
                <w:lang w:bidi="ar"/>
              </w:rPr>
            </w:pPr>
            <w:r>
              <w:rPr>
                <w:rFonts w:ascii="Times New Roman" w:eastAsia="宋体" w:hAnsi="Times New Roman" w:cs="Times New Roman" w:hint="eastAsia"/>
                <w:color w:val="333333"/>
                <w:kern w:val="0"/>
                <w:szCs w:val="21"/>
                <w:lang w:bidi="ar"/>
              </w:rPr>
              <w:lastRenderedPageBreak/>
              <w:t>杨裕雄不再纳入本次交易对方</w:t>
            </w:r>
          </w:p>
        </w:tc>
      </w:tr>
    </w:tbl>
    <w:p w14:paraId="77EEF44C" w14:textId="4401B3EC" w:rsidR="002D4A64" w:rsidRPr="001924BF" w:rsidRDefault="001621EC" w:rsidP="001924BF">
      <w:pPr>
        <w:adjustRightInd w:val="0"/>
        <w:snapToGrid w:val="0"/>
        <w:contextualSpacing/>
        <w:rPr>
          <w:rFonts w:ascii="宋体" w:eastAsia="宋体" w:hAnsi="宋体" w:cs="Times New Roman" w:hint="eastAsia"/>
          <w:b/>
          <w:bCs/>
          <w:color w:val="000000"/>
          <w:sz w:val="24"/>
        </w:rPr>
      </w:pPr>
      <w:r w:rsidRPr="001924BF">
        <w:rPr>
          <w:rFonts w:ascii="宋体" w:eastAsia="宋体" w:hAnsi="宋体" w:cs="仿宋" w:hint="eastAsia"/>
        </w:rPr>
        <w:t>注：珠海乐陶陶投资合伙企业（有限合伙）、珠海乐熙熙投资合伙企业（有限合伙）、珠海乐腾腾投资合伙企业（有限合伙）、珠海乐哈哈投资合伙企业（有限合伙）</w:t>
      </w:r>
      <w:r>
        <w:rPr>
          <w:rFonts w:ascii="宋体" w:eastAsia="宋体" w:hAnsi="宋体" w:cs="仿宋" w:hint="eastAsia"/>
        </w:rPr>
        <w:t>及</w:t>
      </w:r>
      <w:r w:rsidRPr="001924BF">
        <w:rPr>
          <w:rFonts w:ascii="宋体" w:eastAsia="宋体" w:hAnsi="宋体" w:cs="仿宋" w:hint="eastAsia"/>
        </w:rPr>
        <w:t>珠海</w:t>
      </w:r>
      <w:proofErr w:type="gramStart"/>
      <w:r w:rsidRPr="001924BF">
        <w:rPr>
          <w:rFonts w:ascii="宋体" w:eastAsia="宋体" w:hAnsi="宋体" w:cs="仿宋" w:hint="eastAsia"/>
        </w:rPr>
        <w:t>乐摇投资</w:t>
      </w:r>
      <w:proofErr w:type="gramEnd"/>
      <w:r w:rsidRPr="001924BF">
        <w:rPr>
          <w:rFonts w:ascii="宋体" w:eastAsia="宋体" w:hAnsi="宋体" w:cs="仿宋" w:hint="eastAsia"/>
        </w:rPr>
        <w:t>合伙企业（有限合伙）分别更名为泰安乐陶陶投资服务合伙企业（有限合伙）</w:t>
      </w:r>
      <w:r w:rsidR="00EA0224">
        <w:rPr>
          <w:rFonts w:ascii="宋体" w:eastAsia="宋体" w:hAnsi="宋体" w:cs="仿宋" w:hint="eastAsia"/>
        </w:rPr>
        <w:t>、</w:t>
      </w:r>
      <w:r w:rsidRPr="001924BF">
        <w:rPr>
          <w:rFonts w:ascii="宋体" w:eastAsia="宋体" w:hAnsi="宋体" w:cs="仿宋" w:hint="eastAsia"/>
        </w:rPr>
        <w:t>泰安乐熙熙投资服务合伙企业（有限合伙）、泰安乐腾腾投资服务合伙企业（有限合伙）、泰安乐哈哈投资服务合伙企业（有限合伙）及泰安</w:t>
      </w:r>
      <w:proofErr w:type="gramStart"/>
      <w:r w:rsidRPr="001924BF">
        <w:rPr>
          <w:rFonts w:ascii="宋体" w:eastAsia="宋体" w:hAnsi="宋体" w:cs="仿宋" w:hint="eastAsia"/>
        </w:rPr>
        <w:t>乐摇投资</w:t>
      </w:r>
      <w:proofErr w:type="gramEnd"/>
      <w:r w:rsidRPr="001924BF">
        <w:rPr>
          <w:rFonts w:ascii="宋体" w:eastAsia="宋体" w:hAnsi="宋体" w:cs="仿宋" w:hint="eastAsia"/>
        </w:rPr>
        <w:t>服务合伙企业（有限合伙）。</w:t>
      </w:r>
    </w:p>
    <w:p w14:paraId="277D261D" w14:textId="0D8D11C2" w:rsidR="00FA27F9" w:rsidRDefault="00C73CED">
      <w:pPr>
        <w:adjustRightInd w:val="0"/>
        <w:snapToGrid w:val="0"/>
        <w:spacing w:beforeLines="50" w:before="156" w:afterLines="50" w:after="156" w:line="360" w:lineRule="auto"/>
        <w:ind w:firstLineChars="200" w:firstLine="482"/>
        <w:contextualSpacing/>
        <w:rPr>
          <w:rFonts w:ascii="Times New Roman" w:eastAsia="宋体" w:hAnsi="Times New Roman" w:cs="Times New Roman"/>
          <w:b/>
          <w:bCs/>
          <w:color w:val="000000"/>
          <w:sz w:val="24"/>
        </w:rPr>
      </w:pPr>
      <w:r>
        <w:rPr>
          <w:rFonts w:ascii="Times New Roman" w:eastAsia="宋体" w:hAnsi="Times New Roman" w:cs="Times New Roman" w:hint="eastAsia"/>
          <w:b/>
          <w:bCs/>
          <w:color w:val="000000"/>
          <w:sz w:val="24"/>
        </w:rPr>
        <w:t>（三）标的资产</w:t>
      </w:r>
    </w:p>
    <w:tbl>
      <w:tblPr>
        <w:tblW w:w="4998" w:type="pct"/>
        <w:tblBorders>
          <w:top w:val="thinThickSmallGap" w:sz="24" w:space="0" w:color="000000" w:themeColor="text1"/>
          <w:left w:val="single" w:sz="4" w:space="0" w:color="000000" w:themeColor="text1"/>
          <w:bottom w:val="thinThickSmallGap" w:sz="24" w:space="0" w:color="000000" w:themeColor="text1"/>
          <w:right w:val="single" w:sz="4" w:space="0" w:color="000000" w:themeColor="text1"/>
          <w:insideH w:val="single" w:sz="4" w:space="0" w:color="000000" w:themeColor="text1"/>
          <w:insideV w:val="single" w:sz="4" w:space="0" w:color="000000" w:themeColor="text1"/>
        </w:tblBorders>
        <w:shd w:val="clear" w:color="auto" w:fill="FFFFFF"/>
        <w:tblCellMar>
          <w:left w:w="0" w:type="dxa"/>
          <w:right w:w="0" w:type="dxa"/>
        </w:tblCellMar>
        <w:tblLook w:val="04A0" w:firstRow="1" w:lastRow="0" w:firstColumn="1" w:lastColumn="0" w:noHBand="0" w:noVBand="1"/>
      </w:tblPr>
      <w:tblGrid>
        <w:gridCol w:w="1609"/>
        <w:gridCol w:w="2270"/>
        <w:gridCol w:w="2271"/>
        <w:gridCol w:w="2273"/>
      </w:tblGrid>
      <w:tr w:rsidR="00FA27F9" w14:paraId="5D78A3D5" w14:textId="77777777">
        <w:tc>
          <w:tcPr>
            <w:tcW w:w="956" w:type="pct"/>
            <w:tcBorders>
              <w:tl2br w:val="nil"/>
              <w:tr2bl w:val="nil"/>
            </w:tcBorders>
            <w:shd w:val="clear" w:color="auto" w:fill="FFFFFF"/>
            <w:tcMar>
              <w:top w:w="60" w:type="dxa"/>
              <w:left w:w="60" w:type="dxa"/>
              <w:bottom w:w="60" w:type="dxa"/>
              <w:right w:w="60" w:type="dxa"/>
            </w:tcMar>
            <w:vAlign w:val="center"/>
          </w:tcPr>
          <w:p w14:paraId="58D1DCE0" w14:textId="77777777" w:rsidR="00FA27F9" w:rsidRDefault="00C73CED">
            <w:pPr>
              <w:widowControl/>
              <w:wordWrap w:val="0"/>
              <w:jc w:val="center"/>
              <w:rPr>
                <w:rFonts w:ascii="Times New Roman" w:eastAsia="宋体" w:hAnsi="Times New Roman" w:cs="Times New Roman"/>
                <w:color w:val="333333"/>
                <w:kern w:val="0"/>
                <w:szCs w:val="21"/>
                <w:lang w:bidi="ar"/>
              </w:rPr>
            </w:pPr>
            <w:r>
              <w:rPr>
                <w:rFonts w:ascii="Times New Roman" w:eastAsia="宋体" w:hAnsi="Times New Roman" w:cs="Times New Roman"/>
                <w:color w:val="333333"/>
                <w:kern w:val="0"/>
                <w:szCs w:val="21"/>
                <w:lang w:bidi="ar"/>
              </w:rPr>
              <w:t>调整事项</w:t>
            </w:r>
          </w:p>
        </w:tc>
        <w:tc>
          <w:tcPr>
            <w:tcW w:w="1347" w:type="pct"/>
            <w:tcBorders>
              <w:tl2br w:val="nil"/>
              <w:tr2bl w:val="nil"/>
            </w:tcBorders>
            <w:shd w:val="clear" w:color="auto" w:fill="FFFFFF"/>
            <w:tcMar>
              <w:top w:w="60" w:type="dxa"/>
              <w:left w:w="60" w:type="dxa"/>
              <w:bottom w:w="60" w:type="dxa"/>
              <w:right w:w="60" w:type="dxa"/>
            </w:tcMar>
            <w:vAlign w:val="center"/>
          </w:tcPr>
          <w:p w14:paraId="2BE02DB6" w14:textId="77777777" w:rsidR="00FA27F9" w:rsidRDefault="00C73CED">
            <w:pPr>
              <w:widowControl/>
              <w:wordWrap w:val="0"/>
              <w:jc w:val="center"/>
              <w:rPr>
                <w:rFonts w:ascii="Times New Roman" w:eastAsia="宋体" w:hAnsi="Times New Roman" w:cs="Times New Roman"/>
                <w:color w:val="333333"/>
                <w:kern w:val="0"/>
                <w:szCs w:val="21"/>
                <w:lang w:bidi="ar"/>
              </w:rPr>
            </w:pPr>
            <w:r>
              <w:rPr>
                <w:rFonts w:ascii="Times New Roman" w:eastAsia="宋体" w:hAnsi="Times New Roman" w:cs="Times New Roman"/>
                <w:color w:val="333333"/>
                <w:kern w:val="0"/>
                <w:szCs w:val="21"/>
                <w:lang w:bidi="ar"/>
              </w:rPr>
              <w:t>调整前</w:t>
            </w:r>
          </w:p>
        </w:tc>
        <w:tc>
          <w:tcPr>
            <w:tcW w:w="1347" w:type="pct"/>
            <w:tcBorders>
              <w:tl2br w:val="nil"/>
              <w:tr2bl w:val="nil"/>
            </w:tcBorders>
            <w:shd w:val="clear" w:color="auto" w:fill="FFFFFF"/>
            <w:tcMar>
              <w:top w:w="60" w:type="dxa"/>
              <w:left w:w="60" w:type="dxa"/>
              <w:bottom w:w="60" w:type="dxa"/>
              <w:right w:w="60" w:type="dxa"/>
            </w:tcMar>
            <w:vAlign w:val="center"/>
          </w:tcPr>
          <w:p w14:paraId="7ABCC3EF" w14:textId="77777777" w:rsidR="00FA27F9" w:rsidRDefault="00C73CED">
            <w:pPr>
              <w:widowControl/>
              <w:wordWrap w:val="0"/>
              <w:jc w:val="center"/>
              <w:rPr>
                <w:rFonts w:ascii="Times New Roman" w:eastAsia="宋体" w:hAnsi="Times New Roman" w:cs="Times New Roman"/>
                <w:color w:val="333333"/>
                <w:kern w:val="0"/>
                <w:szCs w:val="21"/>
                <w:lang w:bidi="ar"/>
              </w:rPr>
            </w:pPr>
            <w:r>
              <w:rPr>
                <w:rFonts w:ascii="Times New Roman" w:eastAsia="宋体" w:hAnsi="Times New Roman" w:cs="Times New Roman"/>
                <w:color w:val="333333"/>
                <w:kern w:val="0"/>
                <w:szCs w:val="21"/>
                <w:lang w:bidi="ar"/>
              </w:rPr>
              <w:t>调整后</w:t>
            </w:r>
          </w:p>
        </w:tc>
        <w:tc>
          <w:tcPr>
            <w:tcW w:w="1348" w:type="pct"/>
            <w:tcBorders>
              <w:tl2br w:val="nil"/>
              <w:tr2bl w:val="nil"/>
            </w:tcBorders>
            <w:shd w:val="clear" w:color="auto" w:fill="FFFFFF"/>
            <w:tcMar>
              <w:top w:w="60" w:type="dxa"/>
              <w:left w:w="60" w:type="dxa"/>
              <w:bottom w:w="60" w:type="dxa"/>
              <w:right w:w="60" w:type="dxa"/>
            </w:tcMar>
            <w:vAlign w:val="center"/>
          </w:tcPr>
          <w:p w14:paraId="45C07520" w14:textId="77777777" w:rsidR="00FA27F9" w:rsidRDefault="00C73CED">
            <w:pPr>
              <w:widowControl/>
              <w:wordWrap w:val="0"/>
              <w:jc w:val="center"/>
              <w:rPr>
                <w:rFonts w:ascii="Times New Roman" w:eastAsia="宋体" w:hAnsi="Times New Roman" w:cs="Times New Roman"/>
                <w:color w:val="333333"/>
                <w:kern w:val="0"/>
                <w:szCs w:val="21"/>
                <w:lang w:bidi="ar"/>
              </w:rPr>
            </w:pPr>
            <w:r>
              <w:rPr>
                <w:rFonts w:ascii="Times New Roman" w:eastAsia="宋体" w:hAnsi="Times New Roman" w:cs="Times New Roman" w:hint="eastAsia"/>
                <w:color w:val="333333"/>
                <w:kern w:val="0"/>
                <w:szCs w:val="21"/>
                <w:lang w:bidi="ar"/>
              </w:rPr>
              <w:t>差异</w:t>
            </w:r>
          </w:p>
        </w:tc>
      </w:tr>
      <w:tr w:rsidR="00FA27F9" w14:paraId="22727B28" w14:textId="77777777">
        <w:tc>
          <w:tcPr>
            <w:tcW w:w="956" w:type="pct"/>
            <w:tcBorders>
              <w:tl2br w:val="nil"/>
              <w:tr2bl w:val="nil"/>
            </w:tcBorders>
            <w:shd w:val="clear" w:color="auto" w:fill="FFFFFF"/>
            <w:tcMar>
              <w:top w:w="60" w:type="dxa"/>
              <w:left w:w="60" w:type="dxa"/>
              <w:bottom w:w="60" w:type="dxa"/>
              <w:right w:w="60" w:type="dxa"/>
            </w:tcMar>
            <w:vAlign w:val="center"/>
          </w:tcPr>
          <w:p w14:paraId="3906DD4E" w14:textId="77777777" w:rsidR="00FA27F9" w:rsidRDefault="00C73CED">
            <w:pPr>
              <w:widowControl/>
              <w:wordWrap w:val="0"/>
              <w:jc w:val="center"/>
              <w:rPr>
                <w:rFonts w:ascii="Times New Roman" w:eastAsia="宋体" w:hAnsi="Times New Roman" w:cs="Times New Roman"/>
                <w:color w:val="333333"/>
                <w:kern w:val="0"/>
                <w:szCs w:val="21"/>
                <w:lang w:bidi="ar"/>
              </w:rPr>
            </w:pPr>
            <w:r>
              <w:rPr>
                <w:rFonts w:ascii="Times New Roman" w:eastAsia="宋体" w:hAnsi="Times New Roman" w:cs="Times New Roman" w:hint="eastAsia"/>
                <w:color w:val="333333"/>
                <w:kern w:val="0"/>
                <w:szCs w:val="21"/>
                <w:lang w:bidi="ar"/>
              </w:rPr>
              <w:t>标的资产</w:t>
            </w:r>
          </w:p>
        </w:tc>
        <w:tc>
          <w:tcPr>
            <w:tcW w:w="1347" w:type="pct"/>
            <w:tcBorders>
              <w:tl2br w:val="nil"/>
              <w:tr2bl w:val="nil"/>
            </w:tcBorders>
            <w:shd w:val="clear" w:color="auto" w:fill="FFFFFF"/>
            <w:tcMar>
              <w:top w:w="60" w:type="dxa"/>
              <w:left w:w="60" w:type="dxa"/>
              <w:bottom w:w="60" w:type="dxa"/>
              <w:right w:w="60" w:type="dxa"/>
            </w:tcMar>
            <w:vAlign w:val="center"/>
          </w:tcPr>
          <w:p w14:paraId="3CA0C19F" w14:textId="77777777" w:rsidR="00FA27F9" w:rsidRDefault="00C73CED">
            <w:pPr>
              <w:widowControl/>
              <w:wordWrap w:val="0"/>
              <w:jc w:val="center"/>
              <w:rPr>
                <w:rFonts w:ascii="Times New Roman" w:eastAsia="宋体" w:hAnsi="Times New Roman" w:cs="Times New Roman"/>
                <w:color w:val="333333"/>
                <w:kern w:val="0"/>
                <w:szCs w:val="21"/>
                <w:lang w:bidi="ar"/>
              </w:rPr>
            </w:pPr>
            <w:r>
              <w:rPr>
                <w:rFonts w:ascii="Times New Roman" w:eastAsia="宋体" w:hAnsi="Times New Roman" w:cs="Times New Roman" w:hint="eastAsia"/>
                <w:color w:val="333333"/>
                <w:kern w:val="0"/>
                <w:szCs w:val="21"/>
                <w:lang w:bidi="ar"/>
              </w:rPr>
              <w:t>星云开物</w:t>
            </w:r>
            <w:r>
              <w:rPr>
                <w:rFonts w:ascii="Times New Roman" w:eastAsia="宋体" w:hAnsi="Times New Roman" w:cs="Times New Roman" w:hint="eastAsia"/>
                <w:color w:val="333333"/>
                <w:kern w:val="0"/>
                <w:szCs w:val="21"/>
                <w:lang w:bidi="ar"/>
              </w:rPr>
              <w:t>100%</w:t>
            </w:r>
            <w:r>
              <w:rPr>
                <w:rFonts w:ascii="Times New Roman" w:eastAsia="宋体" w:hAnsi="Times New Roman" w:cs="Times New Roman" w:hint="eastAsia"/>
                <w:color w:val="333333"/>
                <w:kern w:val="0"/>
                <w:szCs w:val="21"/>
                <w:lang w:bidi="ar"/>
              </w:rPr>
              <w:t>股权</w:t>
            </w:r>
          </w:p>
        </w:tc>
        <w:tc>
          <w:tcPr>
            <w:tcW w:w="1347" w:type="pct"/>
            <w:tcBorders>
              <w:tl2br w:val="nil"/>
              <w:tr2bl w:val="nil"/>
            </w:tcBorders>
            <w:shd w:val="clear" w:color="auto" w:fill="FFFFFF"/>
            <w:tcMar>
              <w:top w:w="60" w:type="dxa"/>
              <w:left w:w="60" w:type="dxa"/>
              <w:bottom w:w="60" w:type="dxa"/>
              <w:right w:w="60" w:type="dxa"/>
            </w:tcMar>
            <w:vAlign w:val="center"/>
          </w:tcPr>
          <w:p w14:paraId="732EDF72" w14:textId="77777777" w:rsidR="00FA27F9" w:rsidRDefault="00C73CED">
            <w:pPr>
              <w:widowControl/>
              <w:wordWrap w:val="0"/>
              <w:jc w:val="center"/>
              <w:rPr>
                <w:rFonts w:ascii="Times New Roman" w:eastAsia="宋体" w:hAnsi="Times New Roman" w:cs="Times New Roman"/>
                <w:color w:val="333333"/>
                <w:kern w:val="0"/>
                <w:szCs w:val="21"/>
                <w:lang w:bidi="ar"/>
              </w:rPr>
            </w:pPr>
            <w:r>
              <w:rPr>
                <w:rFonts w:ascii="Times New Roman" w:eastAsia="宋体" w:hAnsi="Times New Roman" w:cs="Times New Roman" w:hint="eastAsia"/>
                <w:color w:val="333333"/>
                <w:kern w:val="0"/>
                <w:szCs w:val="21"/>
                <w:lang w:bidi="ar"/>
              </w:rPr>
              <w:t>星云开物</w:t>
            </w:r>
            <w:r>
              <w:rPr>
                <w:rFonts w:ascii="Times New Roman" w:eastAsia="宋体" w:hAnsi="Times New Roman" w:cs="Times New Roman" w:hint="eastAsia"/>
                <w:color w:val="333333"/>
                <w:kern w:val="0"/>
                <w:szCs w:val="21"/>
                <w:lang w:bidi="ar"/>
              </w:rPr>
              <w:t>98.5632%</w:t>
            </w:r>
            <w:r>
              <w:rPr>
                <w:rFonts w:ascii="Times New Roman" w:eastAsia="宋体" w:hAnsi="Times New Roman" w:cs="Times New Roman" w:hint="eastAsia"/>
                <w:color w:val="333333"/>
                <w:kern w:val="0"/>
                <w:szCs w:val="21"/>
                <w:lang w:bidi="ar"/>
              </w:rPr>
              <w:t>股权</w:t>
            </w:r>
          </w:p>
        </w:tc>
        <w:tc>
          <w:tcPr>
            <w:tcW w:w="1348" w:type="pct"/>
            <w:tcBorders>
              <w:tl2br w:val="nil"/>
              <w:tr2bl w:val="nil"/>
            </w:tcBorders>
            <w:shd w:val="clear" w:color="auto" w:fill="FFFFFF"/>
            <w:tcMar>
              <w:top w:w="60" w:type="dxa"/>
              <w:left w:w="60" w:type="dxa"/>
              <w:bottom w:w="60" w:type="dxa"/>
              <w:right w:w="60" w:type="dxa"/>
            </w:tcMar>
            <w:vAlign w:val="center"/>
          </w:tcPr>
          <w:p w14:paraId="06D6892F" w14:textId="77777777" w:rsidR="00FA27F9" w:rsidRDefault="00C73CED">
            <w:pPr>
              <w:widowControl/>
              <w:wordWrap w:val="0"/>
              <w:jc w:val="center"/>
              <w:rPr>
                <w:rFonts w:ascii="Times New Roman" w:eastAsia="宋体" w:hAnsi="Times New Roman" w:cs="Times New Roman"/>
                <w:color w:val="333333"/>
                <w:kern w:val="0"/>
                <w:szCs w:val="21"/>
                <w:lang w:bidi="ar"/>
              </w:rPr>
            </w:pPr>
            <w:r>
              <w:rPr>
                <w:rFonts w:ascii="Times New Roman" w:eastAsia="宋体" w:hAnsi="Times New Roman" w:cs="Times New Roman" w:hint="eastAsia"/>
                <w:color w:val="333333"/>
                <w:kern w:val="0"/>
                <w:szCs w:val="21"/>
                <w:lang w:bidi="ar"/>
              </w:rPr>
              <w:t>杨裕雄持有的星云开物</w:t>
            </w:r>
            <w:r>
              <w:rPr>
                <w:rFonts w:ascii="Times New Roman" w:eastAsia="宋体" w:hAnsi="Times New Roman" w:cs="Times New Roman" w:hint="eastAsia"/>
                <w:color w:val="333333"/>
                <w:kern w:val="0"/>
                <w:szCs w:val="21"/>
                <w:lang w:bidi="ar"/>
              </w:rPr>
              <w:t>1.4368%</w:t>
            </w:r>
            <w:r>
              <w:rPr>
                <w:rFonts w:ascii="Times New Roman" w:eastAsia="宋体" w:hAnsi="Times New Roman" w:cs="Times New Roman" w:hint="eastAsia"/>
                <w:color w:val="333333"/>
                <w:kern w:val="0"/>
                <w:szCs w:val="21"/>
                <w:lang w:bidi="ar"/>
              </w:rPr>
              <w:t>股权不再纳入标的资产范围</w:t>
            </w:r>
          </w:p>
        </w:tc>
      </w:tr>
    </w:tbl>
    <w:p w14:paraId="0C890CBA" w14:textId="77777777" w:rsidR="00FA27F9" w:rsidRDefault="00C73CED" w:rsidP="00AF526C">
      <w:pPr>
        <w:adjustRightInd w:val="0"/>
        <w:snapToGrid w:val="0"/>
        <w:spacing w:beforeLines="50" w:before="156" w:afterLines="50" w:after="156" w:line="360" w:lineRule="auto"/>
        <w:ind w:firstLineChars="200" w:firstLine="482"/>
        <w:contextualSpacing/>
        <w:rPr>
          <w:rFonts w:ascii="Times New Roman" w:eastAsia="宋体" w:hAnsi="Times New Roman" w:cs="Times New Roman"/>
          <w:b/>
          <w:bCs/>
          <w:color w:val="000000"/>
          <w:sz w:val="24"/>
        </w:rPr>
      </w:pPr>
      <w:r>
        <w:rPr>
          <w:rFonts w:ascii="Times New Roman" w:eastAsia="宋体" w:hAnsi="Times New Roman" w:cs="Times New Roman"/>
          <w:b/>
          <w:bCs/>
          <w:color w:val="000000"/>
          <w:sz w:val="24"/>
        </w:rPr>
        <w:t>二、本次交易方案调整不构成重大调整</w:t>
      </w:r>
    </w:p>
    <w:p w14:paraId="034BB0C0" w14:textId="77777777" w:rsidR="00FA27F9" w:rsidRDefault="00C73CED" w:rsidP="00AF526C">
      <w:pPr>
        <w:adjustRightInd w:val="0"/>
        <w:snapToGrid w:val="0"/>
        <w:spacing w:beforeLines="50" w:before="156" w:afterLines="50" w:after="156" w:line="360" w:lineRule="auto"/>
        <w:ind w:firstLineChars="200" w:firstLine="482"/>
        <w:contextualSpacing/>
        <w:rPr>
          <w:rFonts w:ascii="Times New Roman" w:eastAsia="宋体" w:hAnsi="Times New Roman" w:cs="Times New Roman"/>
          <w:b/>
          <w:bCs/>
          <w:color w:val="000000"/>
          <w:sz w:val="24"/>
        </w:rPr>
      </w:pPr>
      <w:r>
        <w:rPr>
          <w:rFonts w:ascii="Times New Roman" w:eastAsia="宋体" w:hAnsi="Times New Roman" w:cs="Times New Roman"/>
          <w:b/>
          <w:bCs/>
          <w:color w:val="000000"/>
          <w:sz w:val="24"/>
        </w:rPr>
        <w:t>（一）重大调整的标准</w:t>
      </w:r>
    </w:p>
    <w:p w14:paraId="01143E7E" w14:textId="04B2A267" w:rsidR="00FA27F9" w:rsidRDefault="00C73CED" w:rsidP="00AF526C">
      <w:pPr>
        <w:widowControl/>
        <w:adjustRightInd w:val="0"/>
        <w:snapToGrid w:val="0"/>
        <w:spacing w:beforeLines="50" w:before="156" w:afterLines="50" w:after="156" w:line="360" w:lineRule="auto"/>
        <w:ind w:firstLineChars="200" w:firstLine="480"/>
        <w:contextualSpacing/>
        <w:rPr>
          <w:rFonts w:ascii="Times New Roman" w:eastAsia="宋体" w:hAnsi="Times New Roman" w:cs="Times New Roman"/>
          <w:color w:val="000000"/>
          <w:sz w:val="24"/>
        </w:rPr>
      </w:pPr>
      <w:r>
        <w:rPr>
          <w:rFonts w:ascii="Times New Roman" w:eastAsia="宋体" w:hAnsi="Times New Roman" w:cs="Times New Roman"/>
          <w:color w:val="000000"/>
          <w:sz w:val="24"/>
        </w:rPr>
        <w:t>根据《上市公司重大资产重组管理办法》及</w:t>
      </w:r>
      <w:r w:rsidR="001435B8">
        <w:rPr>
          <w:rFonts w:ascii="Times New Roman" w:eastAsia="宋体" w:hAnsi="Times New Roman" w:cs="Times New Roman"/>
          <w:color w:val="000000"/>
          <w:sz w:val="24"/>
        </w:rPr>
        <w:t>《</w:t>
      </w:r>
      <w:r w:rsidR="001435B8">
        <w:rPr>
          <w:rFonts w:ascii="Times New Roman" w:eastAsia="宋体" w:hAnsi="Times New Roman" w:cs="Times New Roman" w:hint="eastAsia"/>
          <w:color w:val="000000"/>
          <w:sz w:val="24"/>
        </w:rPr>
        <w:t>&lt;</w:t>
      </w:r>
      <w:r>
        <w:rPr>
          <w:rFonts w:ascii="Times New Roman" w:eastAsia="宋体" w:hAnsi="Times New Roman" w:cs="Times New Roman"/>
          <w:color w:val="000000"/>
          <w:sz w:val="24"/>
        </w:rPr>
        <w:t>上市公司重大资产重组管理办法〉第二十九条、第四十五条的适用意见一证券期货法律适用意见第</w:t>
      </w:r>
      <w:r>
        <w:rPr>
          <w:rFonts w:ascii="Times New Roman" w:eastAsia="宋体" w:hAnsi="Times New Roman" w:cs="Times New Roman"/>
          <w:color w:val="000000"/>
          <w:sz w:val="24"/>
        </w:rPr>
        <w:t>15</w:t>
      </w:r>
      <w:r>
        <w:rPr>
          <w:rFonts w:ascii="Times New Roman" w:eastAsia="宋体" w:hAnsi="Times New Roman" w:cs="Times New Roman"/>
          <w:color w:val="000000"/>
          <w:sz w:val="24"/>
        </w:rPr>
        <w:t>号》等法律、法规及规范性文件的规定，关于重组方案重大调整的认定适用意见如下</w:t>
      </w:r>
      <w:r>
        <w:rPr>
          <w:rFonts w:ascii="Times New Roman" w:eastAsia="宋体" w:hAnsi="Times New Roman" w:cs="Times New Roman"/>
          <w:color w:val="000000"/>
          <w:sz w:val="24"/>
        </w:rPr>
        <w:t>:</w:t>
      </w:r>
    </w:p>
    <w:p w14:paraId="6CE29096" w14:textId="77777777" w:rsidR="00FA27F9" w:rsidRDefault="00C73CED" w:rsidP="00AF526C">
      <w:pPr>
        <w:widowControl/>
        <w:adjustRightInd w:val="0"/>
        <w:snapToGrid w:val="0"/>
        <w:spacing w:beforeLines="50" w:before="156" w:afterLines="50" w:after="156" w:line="360" w:lineRule="auto"/>
        <w:ind w:firstLineChars="200" w:firstLine="482"/>
        <w:contextualSpacing/>
        <w:rPr>
          <w:rFonts w:ascii="Times New Roman" w:eastAsia="宋体" w:hAnsi="Times New Roman" w:cs="Times New Roman"/>
          <w:b/>
          <w:bCs/>
          <w:color w:val="000000"/>
          <w:sz w:val="24"/>
        </w:rPr>
      </w:pPr>
      <w:r>
        <w:rPr>
          <w:rFonts w:ascii="Times New Roman" w:eastAsia="宋体" w:hAnsi="Times New Roman" w:cs="Times New Roman"/>
          <w:b/>
          <w:bCs/>
          <w:color w:val="000000"/>
          <w:sz w:val="24"/>
        </w:rPr>
        <w:t>1</w:t>
      </w:r>
      <w:r>
        <w:rPr>
          <w:rFonts w:ascii="Times New Roman" w:eastAsia="宋体" w:hAnsi="Times New Roman" w:cs="Times New Roman"/>
          <w:b/>
          <w:bCs/>
          <w:color w:val="000000"/>
          <w:sz w:val="24"/>
        </w:rPr>
        <w:t>、关于交易对象</w:t>
      </w:r>
    </w:p>
    <w:p w14:paraId="66F61869" w14:textId="77777777" w:rsidR="00FA27F9" w:rsidRDefault="00C73CED" w:rsidP="00AF526C">
      <w:pPr>
        <w:widowControl/>
        <w:adjustRightInd w:val="0"/>
        <w:snapToGrid w:val="0"/>
        <w:spacing w:beforeLines="50" w:before="156" w:afterLines="50" w:after="156" w:line="360" w:lineRule="auto"/>
        <w:ind w:firstLineChars="200" w:firstLine="480"/>
        <w:contextualSpacing/>
        <w:rPr>
          <w:rFonts w:ascii="Times New Roman" w:eastAsia="宋体" w:hAnsi="Times New Roman" w:cs="Times New Roman"/>
          <w:color w:val="000000"/>
          <w:sz w:val="24"/>
        </w:rPr>
      </w:pPr>
      <w:r>
        <w:rPr>
          <w:rFonts w:ascii="Times New Roman" w:eastAsia="宋体" w:hAnsi="Times New Roman" w:cs="Times New Roman"/>
          <w:color w:val="000000"/>
          <w:sz w:val="24"/>
        </w:rPr>
        <w:t>拟对交易对象进行变更的，原则上视为构成对重组方案重大调整，但是有以下两种情况的，可以视为不构成对重组方案重大调整：</w:t>
      </w:r>
    </w:p>
    <w:p w14:paraId="5BD9C233" w14:textId="77777777" w:rsidR="00FA27F9" w:rsidRDefault="00C73CED" w:rsidP="00AF526C">
      <w:pPr>
        <w:widowControl/>
        <w:adjustRightInd w:val="0"/>
        <w:snapToGrid w:val="0"/>
        <w:spacing w:beforeLines="50" w:before="156" w:afterLines="50" w:after="156" w:line="360" w:lineRule="auto"/>
        <w:ind w:firstLineChars="200" w:firstLine="480"/>
        <w:contextualSpacing/>
        <w:rPr>
          <w:rFonts w:ascii="Times New Roman" w:eastAsia="宋体" w:hAnsi="Times New Roman" w:cs="Times New Roman"/>
          <w:color w:val="000000"/>
          <w:sz w:val="24"/>
        </w:rPr>
      </w:pPr>
      <w:r>
        <w:rPr>
          <w:rFonts w:ascii="Times New Roman" w:eastAsia="宋体" w:hAnsi="Times New Roman" w:cs="Times New Roman"/>
          <w:color w:val="000000"/>
          <w:sz w:val="24"/>
        </w:rPr>
        <w:lastRenderedPageBreak/>
        <w:t>（</w:t>
      </w:r>
      <w:r>
        <w:rPr>
          <w:rFonts w:ascii="Times New Roman" w:eastAsia="宋体" w:hAnsi="Times New Roman" w:cs="Times New Roman"/>
          <w:color w:val="000000"/>
          <w:sz w:val="24"/>
        </w:rPr>
        <w:t>1</w:t>
      </w:r>
      <w:r>
        <w:rPr>
          <w:rFonts w:ascii="Times New Roman" w:eastAsia="宋体" w:hAnsi="Times New Roman" w:cs="Times New Roman"/>
          <w:color w:val="000000"/>
          <w:sz w:val="24"/>
        </w:rPr>
        <w:t>）拟减少交易对象的，如交易各方同意将该交易对象及其持有的标的资产份额剔除出重组方案，且剔除相关标的资产后按照下述有关交易标的变更的规定不构成对重组方案重大调整的；</w:t>
      </w:r>
    </w:p>
    <w:p w14:paraId="639B7133" w14:textId="77777777" w:rsidR="00FA27F9" w:rsidRDefault="00C73CED" w:rsidP="00AF526C">
      <w:pPr>
        <w:widowControl/>
        <w:adjustRightInd w:val="0"/>
        <w:snapToGrid w:val="0"/>
        <w:spacing w:beforeLines="50" w:before="156" w:afterLines="50" w:after="156" w:line="360" w:lineRule="auto"/>
        <w:ind w:firstLineChars="200" w:firstLine="480"/>
        <w:contextualSpacing/>
        <w:rPr>
          <w:rFonts w:ascii="Times New Roman" w:eastAsia="宋体" w:hAnsi="Times New Roman" w:cs="Times New Roman"/>
          <w:color w:val="000000"/>
          <w:sz w:val="24"/>
        </w:rPr>
      </w:pPr>
      <w:r>
        <w:rPr>
          <w:rFonts w:ascii="Times New Roman" w:eastAsia="宋体" w:hAnsi="Times New Roman" w:cs="Times New Roman"/>
          <w:color w:val="000000"/>
          <w:sz w:val="24"/>
        </w:rPr>
        <w:t>（</w:t>
      </w:r>
      <w:r>
        <w:rPr>
          <w:rFonts w:ascii="Times New Roman" w:eastAsia="宋体" w:hAnsi="Times New Roman" w:cs="Times New Roman"/>
          <w:color w:val="000000"/>
          <w:sz w:val="24"/>
        </w:rPr>
        <w:t>2</w:t>
      </w:r>
      <w:r>
        <w:rPr>
          <w:rFonts w:ascii="Times New Roman" w:eastAsia="宋体" w:hAnsi="Times New Roman" w:cs="Times New Roman"/>
          <w:color w:val="000000"/>
          <w:sz w:val="24"/>
        </w:rPr>
        <w:t>）拟调整交易对象所持标的资产份额的，如交易各方同意交易对象之间转让标的资产份额，且转让份额不超过交易作价百分之二十的。</w:t>
      </w:r>
    </w:p>
    <w:p w14:paraId="1BB685C3" w14:textId="77777777" w:rsidR="00FA27F9" w:rsidRDefault="00C73CED" w:rsidP="00AF526C">
      <w:pPr>
        <w:widowControl/>
        <w:adjustRightInd w:val="0"/>
        <w:snapToGrid w:val="0"/>
        <w:spacing w:beforeLines="50" w:before="156" w:afterLines="50" w:after="156" w:line="360" w:lineRule="auto"/>
        <w:ind w:firstLineChars="200" w:firstLine="482"/>
        <w:contextualSpacing/>
        <w:rPr>
          <w:rFonts w:ascii="Times New Roman" w:eastAsia="宋体" w:hAnsi="Times New Roman" w:cs="Times New Roman"/>
          <w:b/>
          <w:bCs/>
          <w:color w:val="000000"/>
          <w:sz w:val="24"/>
        </w:rPr>
      </w:pPr>
      <w:r>
        <w:rPr>
          <w:rFonts w:ascii="Times New Roman" w:eastAsia="宋体" w:hAnsi="Times New Roman" w:cs="Times New Roman"/>
          <w:b/>
          <w:bCs/>
          <w:color w:val="000000"/>
          <w:sz w:val="24"/>
        </w:rPr>
        <w:t>2</w:t>
      </w:r>
      <w:r>
        <w:rPr>
          <w:rFonts w:ascii="Times New Roman" w:eastAsia="宋体" w:hAnsi="Times New Roman" w:cs="Times New Roman"/>
          <w:b/>
          <w:bCs/>
          <w:color w:val="000000"/>
          <w:sz w:val="24"/>
        </w:rPr>
        <w:t>、关于交易标的</w:t>
      </w:r>
    </w:p>
    <w:p w14:paraId="4FA494E5" w14:textId="77777777" w:rsidR="00FA27F9" w:rsidRDefault="00C73CED" w:rsidP="00AF526C">
      <w:pPr>
        <w:widowControl/>
        <w:adjustRightInd w:val="0"/>
        <w:snapToGrid w:val="0"/>
        <w:spacing w:beforeLines="50" w:before="156" w:afterLines="50" w:after="156" w:line="360" w:lineRule="auto"/>
        <w:ind w:firstLineChars="200" w:firstLine="480"/>
        <w:contextualSpacing/>
        <w:rPr>
          <w:rFonts w:ascii="Times New Roman" w:eastAsia="宋体" w:hAnsi="Times New Roman" w:cs="Times New Roman"/>
          <w:color w:val="000000"/>
          <w:sz w:val="24"/>
        </w:rPr>
      </w:pPr>
      <w:r>
        <w:rPr>
          <w:rFonts w:ascii="Times New Roman" w:eastAsia="宋体" w:hAnsi="Times New Roman" w:cs="Times New Roman"/>
          <w:color w:val="000000"/>
          <w:sz w:val="24"/>
        </w:rPr>
        <w:t>拟对标的资产进行变更的，原则上视为构成对重组方案重大调整，但是同时满足以下条件的，可以视为不构成对重组方案重大调整：</w:t>
      </w:r>
    </w:p>
    <w:p w14:paraId="7E06A830" w14:textId="77777777" w:rsidR="00FA27F9" w:rsidRDefault="00C73CED" w:rsidP="00AF526C">
      <w:pPr>
        <w:widowControl/>
        <w:adjustRightInd w:val="0"/>
        <w:snapToGrid w:val="0"/>
        <w:spacing w:beforeLines="50" w:before="156" w:afterLines="50" w:after="156" w:line="360" w:lineRule="auto"/>
        <w:ind w:firstLineChars="200" w:firstLine="480"/>
        <w:contextualSpacing/>
        <w:rPr>
          <w:rFonts w:ascii="Times New Roman" w:eastAsia="宋体" w:hAnsi="Times New Roman" w:cs="Times New Roman"/>
          <w:color w:val="000000"/>
          <w:sz w:val="24"/>
        </w:rPr>
      </w:pPr>
      <w:r>
        <w:rPr>
          <w:rFonts w:ascii="Times New Roman" w:eastAsia="宋体" w:hAnsi="Times New Roman" w:cs="Times New Roman"/>
          <w:color w:val="000000"/>
          <w:sz w:val="24"/>
        </w:rPr>
        <w:t>（</w:t>
      </w:r>
      <w:r>
        <w:rPr>
          <w:rFonts w:ascii="Times New Roman" w:eastAsia="宋体" w:hAnsi="Times New Roman" w:cs="Times New Roman"/>
          <w:color w:val="000000"/>
          <w:sz w:val="24"/>
        </w:rPr>
        <w:t>1</w:t>
      </w:r>
      <w:r>
        <w:rPr>
          <w:rFonts w:ascii="Times New Roman" w:eastAsia="宋体" w:hAnsi="Times New Roman" w:cs="Times New Roman"/>
          <w:color w:val="000000"/>
          <w:sz w:val="24"/>
        </w:rPr>
        <w:t>）拟增加或减少的交易标的</w:t>
      </w:r>
      <w:proofErr w:type="gramStart"/>
      <w:r>
        <w:rPr>
          <w:rFonts w:ascii="Times New Roman" w:eastAsia="宋体" w:hAnsi="Times New Roman" w:cs="Times New Roman"/>
          <w:color w:val="000000"/>
          <w:sz w:val="24"/>
        </w:rPr>
        <w:t>的</w:t>
      </w:r>
      <w:proofErr w:type="gramEnd"/>
      <w:r>
        <w:rPr>
          <w:rFonts w:ascii="Times New Roman" w:eastAsia="宋体" w:hAnsi="Times New Roman" w:cs="Times New Roman"/>
          <w:color w:val="000000"/>
          <w:sz w:val="24"/>
        </w:rPr>
        <w:t>交易作价、资产总额、资产净额及营业收入占原标的资产相应指标总量的比例均不超过百分之二十；</w:t>
      </w:r>
    </w:p>
    <w:p w14:paraId="7A28EC96" w14:textId="77777777" w:rsidR="00FA27F9" w:rsidRDefault="00C73CED" w:rsidP="00AF526C">
      <w:pPr>
        <w:widowControl/>
        <w:adjustRightInd w:val="0"/>
        <w:snapToGrid w:val="0"/>
        <w:spacing w:beforeLines="50" w:before="156" w:afterLines="50" w:after="156" w:line="360" w:lineRule="auto"/>
        <w:ind w:firstLineChars="200" w:firstLine="480"/>
        <w:contextualSpacing/>
        <w:rPr>
          <w:rFonts w:ascii="Times New Roman" w:eastAsia="宋体" w:hAnsi="Times New Roman" w:cs="Times New Roman"/>
          <w:color w:val="000000"/>
          <w:sz w:val="24"/>
        </w:rPr>
      </w:pPr>
      <w:r>
        <w:rPr>
          <w:rFonts w:ascii="Times New Roman" w:eastAsia="宋体" w:hAnsi="Times New Roman" w:cs="Times New Roman"/>
          <w:color w:val="000000"/>
          <w:sz w:val="24"/>
        </w:rPr>
        <w:t>（</w:t>
      </w:r>
      <w:r>
        <w:rPr>
          <w:rFonts w:ascii="Times New Roman" w:eastAsia="宋体" w:hAnsi="Times New Roman" w:cs="Times New Roman"/>
          <w:color w:val="000000"/>
          <w:sz w:val="24"/>
        </w:rPr>
        <w:t>2</w:t>
      </w:r>
      <w:r>
        <w:rPr>
          <w:rFonts w:ascii="Times New Roman" w:eastAsia="宋体" w:hAnsi="Times New Roman" w:cs="Times New Roman"/>
          <w:color w:val="000000"/>
          <w:sz w:val="24"/>
        </w:rPr>
        <w:t>）变更标的资产对交易标的</w:t>
      </w:r>
      <w:proofErr w:type="gramStart"/>
      <w:r>
        <w:rPr>
          <w:rFonts w:ascii="Times New Roman" w:eastAsia="宋体" w:hAnsi="Times New Roman" w:cs="Times New Roman"/>
          <w:color w:val="000000"/>
          <w:sz w:val="24"/>
        </w:rPr>
        <w:t>的</w:t>
      </w:r>
      <w:proofErr w:type="gramEnd"/>
      <w:r>
        <w:rPr>
          <w:rFonts w:ascii="Times New Roman" w:eastAsia="宋体" w:hAnsi="Times New Roman" w:cs="Times New Roman"/>
          <w:color w:val="000000"/>
          <w:sz w:val="24"/>
        </w:rPr>
        <w:t>生产经营不构成实质性影响，包括不影响标的资产及业务完整性等。</w:t>
      </w:r>
    </w:p>
    <w:p w14:paraId="17E74714" w14:textId="77777777" w:rsidR="00FA27F9" w:rsidRDefault="00C73CED" w:rsidP="00AF526C">
      <w:pPr>
        <w:widowControl/>
        <w:adjustRightInd w:val="0"/>
        <w:snapToGrid w:val="0"/>
        <w:spacing w:beforeLines="50" w:before="156" w:afterLines="50" w:after="156" w:line="360" w:lineRule="auto"/>
        <w:ind w:firstLineChars="200" w:firstLine="482"/>
        <w:contextualSpacing/>
        <w:rPr>
          <w:rFonts w:ascii="Times New Roman" w:eastAsia="宋体" w:hAnsi="Times New Roman" w:cs="Times New Roman"/>
          <w:color w:val="000000"/>
          <w:sz w:val="24"/>
        </w:rPr>
      </w:pPr>
      <w:r>
        <w:rPr>
          <w:rFonts w:ascii="Times New Roman" w:eastAsia="宋体" w:hAnsi="Times New Roman" w:cs="Times New Roman"/>
          <w:b/>
          <w:bCs/>
          <w:color w:val="000000"/>
          <w:sz w:val="24"/>
        </w:rPr>
        <w:t>3</w:t>
      </w:r>
      <w:r>
        <w:rPr>
          <w:rFonts w:ascii="Times New Roman" w:eastAsia="宋体" w:hAnsi="Times New Roman" w:cs="Times New Roman"/>
          <w:b/>
          <w:bCs/>
          <w:color w:val="000000"/>
          <w:sz w:val="24"/>
        </w:rPr>
        <w:t>、关于募集配套资金</w:t>
      </w:r>
    </w:p>
    <w:p w14:paraId="2E20E2C3" w14:textId="77777777" w:rsidR="00FA27F9" w:rsidRDefault="00C73CED" w:rsidP="00AF526C">
      <w:pPr>
        <w:widowControl/>
        <w:adjustRightInd w:val="0"/>
        <w:snapToGrid w:val="0"/>
        <w:spacing w:beforeLines="50" w:before="156" w:afterLines="50" w:after="156" w:line="360" w:lineRule="auto"/>
        <w:ind w:firstLineChars="200" w:firstLine="480"/>
        <w:contextualSpacing/>
        <w:rPr>
          <w:rFonts w:ascii="Times New Roman" w:eastAsia="宋体" w:hAnsi="Times New Roman" w:cs="Times New Roman"/>
          <w:color w:val="000000"/>
          <w:sz w:val="24"/>
        </w:rPr>
      </w:pPr>
      <w:r>
        <w:rPr>
          <w:rFonts w:ascii="Times New Roman" w:eastAsia="宋体" w:hAnsi="Times New Roman" w:cs="Times New Roman"/>
          <w:color w:val="000000"/>
          <w:sz w:val="24"/>
        </w:rPr>
        <w:t>新增或调增配套募集资金，应当视为构成对重组方案重大调整。调减或取消配套募集资金不构成重组方案的重大调整。证券交易所并购重组委员会会议可以提出本次交易符合重组条件和信息披露要求的审议意见，但要求申请人调减或取消配套募集资金。</w:t>
      </w:r>
    </w:p>
    <w:p w14:paraId="5C3DFDCC" w14:textId="77777777" w:rsidR="00FA27F9" w:rsidRDefault="00C73CED" w:rsidP="00AF526C">
      <w:pPr>
        <w:adjustRightInd w:val="0"/>
        <w:snapToGrid w:val="0"/>
        <w:spacing w:beforeLines="50" w:before="156" w:afterLines="50" w:after="156" w:line="360" w:lineRule="auto"/>
        <w:ind w:firstLineChars="200" w:firstLine="482"/>
        <w:contextualSpacing/>
        <w:rPr>
          <w:rFonts w:ascii="Times New Roman" w:eastAsia="宋体" w:hAnsi="Times New Roman" w:cs="Times New Roman"/>
          <w:b/>
          <w:bCs/>
          <w:color w:val="000000"/>
          <w:sz w:val="24"/>
        </w:rPr>
      </w:pPr>
      <w:r>
        <w:rPr>
          <w:rFonts w:ascii="Times New Roman" w:eastAsia="宋体" w:hAnsi="Times New Roman" w:cs="Times New Roman"/>
          <w:b/>
          <w:bCs/>
          <w:color w:val="000000"/>
          <w:sz w:val="24"/>
        </w:rPr>
        <w:t>（二）本次交易方案调整不构成重大调整</w:t>
      </w:r>
    </w:p>
    <w:p w14:paraId="6FF576CA" w14:textId="77777777" w:rsidR="00FA27F9" w:rsidRDefault="00C73CED" w:rsidP="00AF526C">
      <w:pPr>
        <w:adjustRightInd w:val="0"/>
        <w:snapToGrid w:val="0"/>
        <w:spacing w:beforeLines="50" w:before="156" w:afterLines="50" w:after="156" w:line="360" w:lineRule="auto"/>
        <w:ind w:firstLineChars="200" w:firstLine="480"/>
        <w:contextualSpacing/>
        <w:rPr>
          <w:rFonts w:ascii="Times New Roman" w:eastAsia="宋体" w:hAnsi="Times New Roman" w:cs="Times New Roman"/>
          <w:color w:val="000000"/>
          <w:sz w:val="24"/>
        </w:rPr>
      </w:pPr>
      <w:r>
        <w:rPr>
          <w:rFonts w:ascii="Times New Roman" w:eastAsia="宋体" w:hAnsi="Times New Roman" w:cs="Times New Roman"/>
          <w:color w:val="000000"/>
          <w:sz w:val="24"/>
        </w:rPr>
        <w:t>经有关交易各方进一步沟通并协商一致，对本次重组的交易对方进行了调整，即原交易对方</w:t>
      </w:r>
      <w:r>
        <w:rPr>
          <w:rFonts w:ascii="Times New Roman" w:eastAsia="宋体" w:hAnsi="Times New Roman" w:cs="Times New Roman" w:hint="eastAsia"/>
          <w:color w:val="000000"/>
          <w:sz w:val="24"/>
        </w:rPr>
        <w:t>杨裕雄</w:t>
      </w:r>
      <w:r>
        <w:rPr>
          <w:rFonts w:ascii="Times New Roman" w:eastAsia="宋体" w:hAnsi="Times New Roman" w:cs="Times New Roman"/>
          <w:color w:val="000000"/>
          <w:sz w:val="24"/>
        </w:rPr>
        <w:t>从交易中退出，不再参与本次交易</w:t>
      </w:r>
      <w:r>
        <w:rPr>
          <w:rFonts w:ascii="Times New Roman" w:eastAsia="宋体" w:hAnsi="Times New Roman" w:cs="Times New Roman" w:hint="eastAsia"/>
          <w:color w:val="000000"/>
          <w:sz w:val="24"/>
        </w:rPr>
        <w:t>。交易方案从上市公司收购星云开物</w:t>
      </w:r>
      <w:r>
        <w:rPr>
          <w:rFonts w:ascii="Times New Roman" w:eastAsia="宋体" w:hAnsi="Times New Roman" w:cs="Times New Roman" w:hint="eastAsia"/>
          <w:color w:val="000000"/>
          <w:sz w:val="24"/>
        </w:rPr>
        <w:t>100%</w:t>
      </w:r>
      <w:r>
        <w:rPr>
          <w:rFonts w:ascii="Times New Roman" w:eastAsia="宋体" w:hAnsi="Times New Roman" w:cs="Times New Roman" w:hint="eastAsia"/>
          <w:color w:val="000000"/>
          <w:sz w:val="24"/>
        </w:rPr>
        <w:t>股份变更为收购</w:t>
      </w:r>
      <w:r>
        <w:rPr>
          <w:rFonts w:ascii="Times New Roman" w:eastAsia="宋体" w:hAnsi="Times New Roman" w:cs="Times New Roman" w:hint="eastAsia"/>
          <w:color w:val="000000"/>
          <w:sz w:val="24"/>
        </w:rPr>
        <w:t>98.5632%</w:t>
      </w:r>
      <w:r>
        <w:rPr>
          <w:rFonts w:ascii="Times New Roman" w:eastAsia="宋体" w:hAnsi="Times New Roman" w:cs="Times New Roman" w:hint="eastAsia"/>
          <w:color w:val="000000"/>
          <w:sz w:val="24"/>
        </w:rPr>
        <w:t>股份，减少的交易标的</w:t>
      </w:r>
      <w:proofErr w:type="gramStart"/>
      <w:r>
        <w:rPr>
          <w:rFonts w:ascii="Times New Roman" w:eastAsia="宋体" w:hAnsi="Times New Roman" w:cs="Times New Roman" w:hint="eastAsia"/>
          <w:color w:val="000000"/>
          <w:sz w:val="24"/>
        </w:rPr>
        <w:t>的</w:t>
      </w:r>
      <w:proofErr w:type="gramEnd"/>
      <w:r>
        <w:rPr>
          <w:rFonts w:ascii="Times New Roman" w:eastAsia="宋体" w:hAnsi="Times New Roman" w:cs="Times New Roman" w:hint="eastAsia"/>
          <w:color w:val="000000"/>
          <w:sz w:val="24"/>
        </w:rPr>
        <w:t>交易作价、资产总额、资产净额及营业收入占原标的资产相应指标总量的比例均不超过百分之二十，对标的公司生产经营不构成实质性影响，不构成方案的重大调整。本次交易方案调减募集配套资金，不构成方案的重大调整。</w:t>
      </w:r>
    </w:p>
    <w:p w14:paraId="7D880B48" w14:textId="77777777" w:rsidR="00FA27F9" w:rsidRDefault="00C73CED" w:rsidP="00AF526C">
      <w:pPr>
        <w:adjustRightInd w:val="0"/>
        <w:snapToGrid w:val="0"/>
        <w:spacing w:beforeLines="50" w:before="156" w:afterLines="50" w:after="156" w:line="360" w:lineRule="auto"/>
        <w:ind w:firstLineChars="200" w:firstLine="482"/>
        <w:contextualSpacing/>
        <w:rPr>
          <w:rFonts w:ascii="Times New Roman" w:eastAsia="宋体" w:hAnsi="Times New Roman" w:cs="Times New Roman"/>
          <w:b/>
          <w:bCs/>
          <w:color w:val="000000"/>
          <w:sz w:val="24"/>
        </w:rPr>
      </w:pPr>
      <w:r>
        <w:rPr>
          <w:rFonts w:ascii="Times New Roman" w:eastAsia="宋体" w:hAnsi="Times New Roman" w:cs="Times New Roman"/>
          <w:b/>
          <w:bCs/>
          <w:color w:val="000000"/>
          <w:sz w:val="24"/>
        </w:rPr>
        <w:t>三、本次重组方案调整履行的相关程序</w:t>
      </w:r>
    </w:p>
    <w:p w14:paraId="195AD379" w14:textId="62334C1C" w:rsidR="00FA27F9" w:rsidRDefault="00C73CED" w:rsidP="00AF526C">
      <w:pPr>
        <w:widowControl/>
        <w:adjustRightInd w:val="0"/>
        <w:snapToGrid w:val="0"/>
        <w:spacing w:beforeLines="50" w:before="156" w:afterLines="50" w:after="156" w:line="360" w:lineRule="auto"/>
        <w:ind w:firstLineChars="200" w:firstLine="480"/>
        <w:contextualSpacing/>
        <w:rPr>
          <w:rFonts w:ascii="Times New Roman" w:eastAsia="宋体" w:hAnsi="Times New Roman" w:cs="Times New Roman"/>
          <w:color w:val="000000"/>
          <w:sz w:val="24"/>
        </w:rPr>
      </w:pPr>
      <w:r w:rsidRPr="0084070B">
        <w:rPr>
          <w:rFonts w:ascii="Times New Roman" w:eastAsia="宋体" w:hAnsi="Times New Roman" w:cs="Times New Roman"/>
          <w:color w:val="000000"/>
          <w:sz w:val="24"/>
        </w:rPr>
        <w:t>2025</w:t>
      </w:r>
      <w:r w:rsidRPr="0084070B">
        <w:rPr>
          <w:rFonts w:ascii="Times New Roman" w:eastAsia="宋体" w:hAnsi="Times New Roman" w:cs="Times New Roman" w:hint="eastAsia"/>
          <w:color w:val="000000"/>
          <w:sz w:val="24"/>
        </w:rPr>
        <w:t>年</w:t>
      </w:r>
      <w:r w:rsidRPr="0084070B">
        <w:rPr>
          <w:rFonts w:ascii="Times New Roman" w:eastAsia="宋体" w:hAnsi="Times New Roman" w:cs="Times New Roman"/>
          <w:color w:val="000000"/>
          <w:sz w:val="24"/>
        </w:rPr>
        <w:t>1</w:t>
      </w:r>
      <w:r w:rsidR="001621EC" w:rsidRPr="001924BF">
        <w:rPr>
          <w:rFonts w:ascii="Times New Roman" w:eastAsia="宋体" w:hAnsi="Times New Roman" w:cs="Times New Roman"/>
          <w:color w:val="000000"/>
          <w:sz w:val="24"/>
        </w:rPr>
        <w:t>1</w:t>
      </w:r>
      <w:r w:rsidRPr="0084070B">
        <w:rPr>
          <w:rFonts w:ascii="Times New Roman" w:eastAsia="宋体" w:hAnsi="Times New Roman" w:cs="Times New Roman" w:hint="eastAsia"/>
          <w:color w:val="000000"/>
          <w:sz w:val="24"/>
        </w:rPr>
        <w:t>月</w:t>
      </w:r>
      <w:r w:rsidR="0084070B" w:rsidRPr="001924BF">
        <w:rPr>
          <w:rFonts w:ascii="Times New Roman" w:eastAsia="宋体" w:hAnsi="Times New Roman" w:cs="Times New Roman"/>
          <w:color w:val="000000"/>
          <w:sz w:val="24"/>
        </w:rPr>
        <w:t>18</w:t>
      </w:r>
      <w:r w:rsidRPr="0084070B">
        <w:rPr>
          <w:rFonts w:ascii="Times New Roman" w:eastAsia="宋体" w:hAnsi="Times New Roman" w:cs="Times New Roman" w:hint="eastAsia"/>
          <w:color w:val="000000"/>
          <w:sz w:val="24"/>
        </w:rPr>
        <w:t>日</w:t>
      </w:r>
      <w:r>
        <w:rPr>
          <w:rFonts w:ascii="Times New Roman" w:eastAsia="宋体" w:hAnsi="Times New Roman" w:cs="Times New Roman"/>
          <w:color w:val="000000"/>
          <w:sz w:val="24"/>
        </w:rPr>
        <w:t>，</w:t>
      </w:r>
      <w:r w:rsidR="001435B8">
        <w:rPr>
          <w:rFonts w:ascii="Times New Roman" w:eastAsia="宋体" w:hAnsi="Times New Roman" w:cs="Times New Roman" w:hint="eastAsia"/>
          <w:color w:val="000000"/>
          <w:sz w:val="24"/>
        </w:rPr>
        <w:t>上市</w:t>
      </w:r>
      <w:r>
        <w:rPr>
          <w:rFonts w:ascii="Times New Roman" w:eastAsia="宋体" w:hAnsi="Times New Roman" w:cs="Times New Roman"/>
          <w:color w:val="000000"/>
          <w:sz w:val="24"/>
        </w:rPr>
        <w:t>公司召开第</w:t>
      </w:r>
      <w:r>
        <w:rPr>
          <w:rFonts w:ascii="Times New Roman" w:eastAsia="宋体" w:hAnsi="Times New Roman" w:cs="Times New Roman" w:hint="eastAsia"/>
          <w:color w:val="000000"/>
          <w:sz w:val="24"/>
        </w:rPr>
        <w:t>四</w:t>
      </w:r>
      <w:r>
        <w:rPr>
          <w:rFonts w:ascii="Times New Roman" w:eastAsia="宋体" w:hAnsi="Times New Roman" w:cs="Times New Roman"/>
          <w:color w:val="000000"/>
          <w:sz w:val="24"/>
        </w:rPr>
        <w:t>届董事会第</w:t>
      </w:r>
      <w:r w:rsidR="001621EC">
        <w:rPr>
          <w:rFonts w:ascii="Times New Roman" w:eastAsia="宋体" w:hAnsi="Times New Roman" w:cs="Times New Roman" w:hint="eastAsia"/>
          <w:color w:val="000000"/>
          <w:sz w:val="24"/>
        </w:rPr>
        <w:t>三</w:t>
      </w:r>
      <w:r>
        <w:rPr>
          <w:rFonts w:ascii="Times New Roman" w:eastAsia="宋体" w:hAnsi="Times New Roman" w:cs="Times New Roman"/>
          <w:color w:val="000000"/>
          <w:sz w:val="24"/>
        </w:rPr>
        <w:t>次会议，审议通过了《关于</w:t>
      </w:r>
      <w:r>
        <w:rPr>
          <w:rFonts w:ascii="Times New Roman" w:eastAsia="宋体" w:hAnsi="Times New Roman" w:cs="Times New Roman"/>
          <w:color w:val="000000"/>
          <w:sz w:val="24"/>
        </w:rPr>
        <w:t>&lt;</w:t>
      </w:r>
      <w:r>
        <w:rPr>
          <w:rFonts w:ascii="Times New Roman" w:eastAsia="宋体" w:hAnsi="Times New Roman" w:cs="Times New Roman"/>
          <w:color w:val="000000"/>
          <w:sz w:val="24"/>
        </w:rPr>
        <w:t>广东天亿马信息产业股份有限公司发行股份及支付现金购买资产并募集配套资金暨关联交易报告书（草案）</w:t>
      </w:r>
      <w:r>
        <w:rPr>
          <w:rFonts w:ascii="Times New Roman" w:eastAsia="宋体" w:hAnsi="Times New Roman" w:cs="Times New Roman"/>
          <w:color w:val="000000"/>
          <w:sz w:val="24"/>
        </w:rPr>
        <w:t>&gt;</w:t>
      </w:r>
      <w:r>
        <w:rPr>
          <w:rFonts w:ascii="Times New Roman" w:eastAsia="宋体" w:hAnsi="Times New Roman" w:cs="Times New Roman"/>
          <w:color w:val="000000"/>
          <w:sz w:val="24"/>
        </w:rPr>
        <w:t>及其摘要的议案》《关于本次交易方案调整不构成重大调整的议案》等与本次交易相关的议案，对本次重组方案进行了调</w:t>
      </w:r>
      <w:r>
        <w:rPr>
          <w:rFonts w:ascii="Times New Roman" w:eastAsia="宋体" w:hAnsi="Times New Roman" w:cs="Times New Roman"/>
          <w:color w:val="000000"/>
          <w:sz w:val="24"/>
        </w:rPr>
        <w:lastRenderedPageBreak/>
        <w:t>整。本次交易相关议案已经</w:t>
      </w:r>
      <w:r w:rsidR="001621EC">
        <w:rPr>
          <w:rFonts w:ascii="Times New Roman" w:eastAsia="宋体" w:hAnsi="Times New Roman" w:cs="Times New Roman" w:hint="eastAsia"/>
          <w:color w:val="000000"/>
          <w:sz w:val="24"/>
        </w:rPr>
        <w:t>上市</w:t>
      </w:r>
      <w:r>
        <w:rPr>
          <w:rFonts w:ascii="Times New Roman" w:eastAsia="宋体" w:hAnsi="Times New Roman" w:cs="Times New Roman"/>
          <w:color w:val="000000"/>
          <w:sz w:val="24"/>
        </w:rPr>
        <w:t>公司独立董事专门会议审议通过，独立董事已就有关议案发表同意的审核意见，尚需提交</w:t>
      </w:r>
      <w:r w:rsidR="001621EC">
        <w:rPr>
          <w:rFonts w:ascii="Times New Roman" w:eastAsia="宋体" w:hAnsi="Times New Roman" w:cs="Times New Roman" w:hint="eastAsia"/>
          <w:color w:val="000000"/>
          <w:sz w:val="24"/>
        </w:rPr>
        <w:t>上市</w:t>
      </w:r>
      <w:r>
        <w:rPr>
          <w:rFonts w:ascii="Times New Roman" w:eastAsia="宋体" w:hAnsi="Times New Roman" w:cs="Times New Roman"/>
          <w:color w:val="000000"/>
          <w:sz w:val="24"/>
        </w:rPr>
        <w:t>公司股东会审议批准。</w:t>
      </w:r>
    </w:p>
    <w:p w14:paraId="283CD4B7" w14:textId="77777777" w:rsidR="00FA27F9" w:rsidRDefault="00C73CED" w:rsidP="00AF526C">
      <w:pPr>
        <w:adjustRightInd w:val="0"/>
        <w:snapToGrid w:val="0"/>
        <w:spacing w:beforeLines="50" w:before="156" w:afterLines="50" w:after="156" w:line="360" w:lineRule="auto"/>
        <w:ind w:firstLineChars="200" w:firstLine="482"/>
        <w:contextualSpacing/>
        <w:rPr>
          <w:rFonts w:ascii="Times New Roman" w:eastAsia="宋体" w:hAnsi="Times New Roman" w:cs="Times New Roman"/>
          <w:b/>
          <w:bCs/>
          <w:color w:val="000000"/>
          <w:sz w:val="24"/>
        </w:rPr>
      </w:pPr>
      <w:r>
        <w:rPr>
          <w:rFonts w:ascii="Times New Roman" w:eastAsia="宋体" w:hAnsi="Times New Roman" w:cs="Times New Roman"/>
          <w:b/>
          <w:bCs/>
          <w:color w:val="000000"/>
          <w:sz w:val="24"/>
        </w:rPr>
        <w:t>四、独立财务顾问核查意见</w:t>
      </w:r>
    </w:p>
    <w:p w14:paraId="3E4E4ED2" w14:textId="5478CE03" w:rsidR="00FA27F9" w:rsidRDefault="00C73CED" w:rsidP="00AF526C">
      <w:pPr>
        <w:pStyle w:val="af"/>
        <w:widowControl/>
        <w:shd w:val="clear" w:color="auto" w:fill="FFFFFF"/>
        <w:spacing w:beforeLines="50" w:before="156" w:beforeAutospacing="0" w:afterLines="50" w:after="156" w:afterAutospacing="0" w:line="360" w:lineRule="auto"/>
        <w:ind w:firstLineChars="200" w:firstLine="480"/>
        <w:jc w:val="both"/>
        <w:rPr>
          <w:rFonts w:ascii="Times New Roman" w:eastAsia="宋体" w:hAnsi="Times New Roman"/>
          <w:shd w:val="clear" w:color="auto" w:fill="FFFFFF"/>
        </w:rPr>
      </w:pPr>
      <w:r>
        <w:rPr>
          <w:rFonts w:ascii="Times New Roman" w:eastAsia="宋体" w:hAnsi="Times New Roman"/>
          <w:shd w:val="clear" w:color="auto" w:fill="FFFFFF"/>
        </w:rPr>
        <w:t>经核查，独立财务顾问认为：根据《上市公司重大资产重组管理办法》和《</w:t>
      </w:r>
      <w:r>
        <w:rPr>
          <w:rFonts w:ascii="Times New Roman" w:eastAsia="宋体" w:hAnsi="Times New Roman"/>
          <w:shd w:val="clear" w:color="auto" w:fill="FFFFFF"/>
        </w:rPr>
        <w:t>&lt;</w:t>
      </w:r>
      <w:r>
        <w:rPr>
          <w:rFonts w:ascii="Times New Roman" w:eastAsia="宋体" w:hAnsi="Times New Roman"/>
          <w:shd w:val="clear" w:color="auto" w:fill="FFFFFF"/>
        </w:rPr>
        <w:t>上市公司重大资产重组管理办法</w:t>
      </w:r>
      <w:r>
        <w:rPr>
          <w:rFonts w:ascii="Times New Roman" w:eastAsia="宋体" w:hAnsi="Times New Roman"/>
          <w:shd w:val="clear" w:color="auto" w:fill="FFFFFF"/>
        </w:rPr>
        <w:t>&gt;</w:t>
      </w:r>
      <w:r>
        <w:rPr>
          <w:rFonts w:ascii="Times New Roman" w:eastAsia="宋体" w:hAnsi="Times New Roman"/>
          <w:shd w:val="clear" w:color="auto" w:fill="FFFFFF"/>
        </w:rPr>
        <w:t>第二十九条、第四十五条的适用意见</w:t>
      </w:r>
      <w:r w:rsidR="00317224">
        <w:rPr>
          <w:rFonts w:ascii="Times New Roman" w:eastAsia="宋体" w:hAnsi="Times New Roman" w:hint="eastAsia"/>
          <w:shd w:val="clear" w:color="auto" w:fill="FFFFFF"/>
        </w:rPr>
        <w:t>——</w:t>
      </w:r>
      <w:r>
        <w:rPr>
          <w:rFonts w:ascii="Times New Roman" w:eastAsia="宋体" w:hAnsi="Times New Roman"/>
          <w:shd w:val="clear" w:color="auto" w:fill="FFFFFF"/>
        </w:rPr>
        <w:t>证券期货法律适用意见第</w:t>
      </w:r>
      <w:r>
        <w:rPr>
          <w:rFonts w:ascii="Times New Roman" w:eastAsia="宋体" w:hAnsi="Times New Roman"/>
          <w:shd w:val="clear" w:color="auto" w:fill="FFFFFF"/>
        </w:rPr>
        <w:t>15</w:t>
      </w:r>
      <w:r>
        <w:rPr>
          <w:rFonts w:ascii="Times New Roman" w:eastAsia="宋体" w:hAnsi="Times New Roman"/>
          <w:shd w:val="clear" w:color="auto" w:fill="FFFFFF"/>
        </w:rPr>
        <w:t>号》等相关规定，本次交易方案调整不构成重组方案的重大调整。</w:t>
      </w:r>
    </w:p>
    <w:p w14:paraId="70D72533" w14:textId="77777777" w:rsidR="00FA27F9" w:rsidRDefault="00C73CED" w:rsidP="00AF526C">
      <w:pPr>
        <w:spacing w:beforeLines="50" w:before="156" w:afterLines="50"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（以下无正文）</w:t>
      </w:r>
    </w:p>
    <w:p w14:paraId="3483DA94" w14:textId="77777777" w:rsidR="00FA27F9" w:rsidRDefault="00FA27F9">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sectPr w:rsidR="00FA27F9">
          <w:footerReference w:type="default" r:id="rId7"/>
          <w:pgSz w:w="11906" w:h="16838"/>
          <w:pgMar w:top="1440" w:right="1800" w:bottom="1440" w:left="1800" w:header="851" w:footer="992" w:gutter="0"/>
          <w:cols w:space="425"/>
          <w:docGrid w:type="lines" w:linePitch="312"/>
        </w:sectPr>
      </w:pPr>
    </w:p>
    <w:p w14:paraId="0B51B668" w14:textId="29A2BD7C" w:rsidR="00FA27F9" w:rsidRDefault="00C73CED" w:rsidP="00AF526C">
      <w:pPr>
        <w:spacing w:beforeLines="50" w:before="156" w:afterLines="50" w:after="156" w:line="360" w:lineRule="auto"/>
        <w:jc w:val="left"/>
        <w:rPr>
          <w:rFonts w:ascii="宋体" w:eastAsia="宋体" w:hAnsi="宋体" w:cs="Times New Roman" w:hint="eastAsia"/>
          <w:color w:val="000000"/>
          <w:sz w:val="24"/>
        </w:rPr>
      </w:pPr>
      <w:r>
        <w:rPr>
          <w:rFonts w:ascii="宋体" w:eastAsia="宋体" w:hAnsi="宋体" w:cs="Times New Roman" w:hint="eastAsia"/>
          <w:sz w:val="24"/>
        </w:rPr>
        <w:lastRenderedPageBreak/>
        <w:t>（本页</w:t>
      </w:r>
      <w:r>
        <w:rPr>
          <w:rFonts w:ascii="宋体" w:eastAsia="宋体" w:hAnsi="宋体" w:cs="Times New Roman" w:hint="eastAsia"/>
          <w:color w:val="000000"/>
          <w:sz w:val="24"/>
        </w:rPr>
        <w:t>无正文，为《国泰海通证券股份有限公司关于广东天亿马信息产业股份有限公司本次交易方案调整不构成重组方案重大调整的核查意见》之签字盖章页）</w:t>
      </w:r>
    </w:p>
    <w:p w14:paraId="58CF586C" w14:textId="77777777" w:rsidR="00FA27F9" w:rsidRDefault="00FA27F9">
      <w:pPr>
        <w:rPr>
          <w:rFonts w:ascii="宋体" w:eastAsia="宋体" w:hAnsi="宋体" w:cs="Times New Roman" w:hint="eastAsia"/>
          <w:sz w:val="28"/>
          <w:szCs w:val="28"/>
        </w:rPr>
      </w:pPr>
    </w:p>
    <w:p w14:paraId="257FFA42" w14:textId="77777777" w:rsidR="00FA27F9" w:rsidRDefault="00FA27F9">
      <w:pPr>
        <w:rPr>
          <w:rFonts w:ascii="宋体" w:eastAsia="宋体" w:hAnsi="宋体" w:cs="Times New Roman" w:hint="eastAsia"/>
          <w:sz w:val="28"/>
          <w:szCs w:val="28"/>
        </w:rPr>
      </w:pPr>
    </w:p>
    <w:tbl>
      <w:tblPr>
        <w:tblStyle w:val="110"/>
        <w:tblW w:w="8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417"/>
        <w:gridCol w:w="709"/>
        <w:gridCol w:w="1417"/>
        <w:gridCol w:w="709"/>
        <w:gridCol w:w="1417"/>
      </w:tblGrid>
      <w:tr w:rsidR="00FA27F9" w14:paraId="53B2A8F6" w14:textId="77777777">
        <w:tc>
          <w:tcPr>
            <w:tcW w:w="2689" w:type="dxa"/>
            <w:vAlign w:val="center"/>
          </w:tcPr>
          <w:p w14:paraId="39B07358" w14:textId="77777777" w:rsidR="00FA27F9" w:rsidRDefault="00C73CED">
            <w:pPr>
              <w:widowControl/>
              <w:spacing w:beforeLines="50" w:before="156" w:afterLines="50" w:after="156" w:line="360" w:lineRule="auto"/>
              <w:jc w:val="center"/>
              <w:rPr>
                <w:rFonts w:ascii="宋体" w:eastAsia="宋体" w:hAnsi="宋体" w:cs="宋体" w:hint="eastAsia"/>
                <w:kern w:val="0"/>
                <w:sz w:val="24"/>
              </w:rPr>
            </w:pPr>
            <w:r>
              <w:rPr>
                <w:rFonts w:ascii="宋体" w:eastAsia="宋体" w:hAnsi="宋体" w:cs="宋体" w:hint="eastAsia"/>
                <w:kern w:val="0"/>
                <w:sz w:val="24"/>
              </w:rPr>
              <w:t>独立财务顾问主办人：</w:t>
            </w:r>
          </w:p>
        </w:tc>
        <w:tc>
          <w:tcPr>
            <w:tcW w:w="1417" w:type="dxa"/>
            <w:tcBorders>
              <w:top w:val="nil"/>
              <w:left w:val="nil"/>
              <w:bottom w:val="single" w:sz="4" w:space="0" w:color="auto"/>
              <w:right w:val="nil"/>
            </w:tcBorders>
            <w:vAlign w:val="center"/>
          </w:tcPr>
          <w:p w14:paraId="4145C7BE" w14:textId="77777777" w:rsidR="00FA27F9" w:rsidRDefault="00FA27F9">
            <w:pPr>
              <w:widowControl/>
              <w:spacing w:beforeLines="50" w:before="156" w:afterLines="50" w:after="156" w:line="360" w:lineRule="auto"/>
              <w:jc w:val="center"/>
              <w:rPr>
                <w:rFonts w:ascii="宋体" w:eastAsia="宋体" w:hAnsi="宋体" w:cs="宋体" w:hint="eastAsia"/>
                <w:kern w:val="0"/>
                <w:sz w:val="24"/>
              </w:rPr>
            </w:pPr>
          </w:p>
        </w:tc>
        <w:tc>
          <w:tcPr>
            <w:tcW w:w="709" w:type="dxa"/>
            <w:vAlign w:val="center"/>
          </w:tcPr>
          <w:p w14:paraId="2D0C9685" w14:textId="77777777" w:rsidR="00FA27F9" w:rsidRDefault="00FA27F9">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nil"/>
              <w:left w:val="nil"/>
              <w:bottom w:val="single" w:sz="4" w:space="0" w:color="auto"/>
              <w:right w:val="nil"/>
            </w:tcBorders>
            <w:vAlign w:val="center"/>
          </w:tcPr>
          <w:p w14:paraId="56F745A1" w14:textId="77777777" w:rsidR="00FA27F9" w:rsidRDefault="00FA27F9">
            <w:pPr>
              <w:widowControl/>
              <w:spacing w:beforeLines="50" w:before="156" w:afterLines="50" w:after="156" w:line="360" w:lineRule="auto"/>
              <w:jc w:val="center"/>
              <w:rPr>
                <w:rFonts w:ascii="宋体" w:eastAsia="宋体" w:hAnsi="宋体" w:cs="宋体" w:hint="eastAsia"/>
                <w:kern w:val="0"/>
                <w:sz w:val="24"/>
              </w:rPr>
            </w:pPr>
          </w:p>
        </w:tc>
        <w:tc>
          <w:tcPr>
            <w:tcW w:w="709" w:type="dxa"/>
            <w:vAlign w:val="center"/>
          </w:tcPr>
          <w:p w14:paraId="67371F1B" w14:textId="77777777" w:rsidR="00FA27F9" w:rsidRDefault="00FA27F9">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nil"/>
              <w:left w:val="nil"/>
              <w:bottom w:val="single" w:sz="4" w:space="0" w:color="auto"/>
              <w:right w:val="nil"/>
            </w:tcBorders>
            <w:vAlign w:val="center"/>
          </w:tcPr>
          <w:p w14:paraId="48B1450C" w14:textId="77777777" w:rsidR="00FA27F9" w:rsidRDefault="00FA27F9">
            <w:pPr>
              <w:widowControl/>
              <w:spacing w:beforeLines="50" w:before="156" w:afterLines="50" w:after="156" w:line="360" w:lineRule="auto"/>
              <w:jc w:val="center"/>
              <w:rPr>
                <w:rFonts w:ascii="宋体" w:eastAsia="宋体" w:hAnsi="宋体" w:cs="宋体" w:hint="eastAsia"/>
                <w:kern w:val="0"/>
                <w:sz w:val="24"/>
              </w:rPr>
            </w:pPr>
          </w:p>
        </w:tc>
      </w:tr>
      <w:tr w:rsidR="00FA27F9" w14:paraId="6CFF9A33" w14:textId="77777777">
        <w:tc>
          <w:tcPr>
            <w:tcW w:w="2689" w:type="dxa"/>
            <w:vAlign w:val="center"/>
          </w:tcPr>
          <w:p w14:paraId="0808C9C6" w14:textId="77777777" w:rsidR="00FA27F9" w:rsidRDefault="00FA27F9">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single" w:sz="4" w:space="0" w:color="auto"/>
              <w:left w:val="nil"/>
              <w:bottom w:val="nil"/>
              <w:right w:val="nil"/>
            </w:tcBorders>
            <w:vAlign w:val="center"/>
          </w:tcPr>
          <w:p w14:paraId="543173B1" w14:textId="77777777" w:rsidR="00FA27F9" w:rsidRDefault="00C73CED">
            <w:pPr>
              <w:widowControl/>
              <w:spacing w:beforeLines="50" w:before="156" w:afterLines="50" w:after="156" w:line="360" w:lineRule="auto"/>
              <w:jc w:val="center"/>
              <w:rPr>
                <w:rFonts w:ascii="宋体" w:eastAsia="宋体" w:hAnsi="宋体" w:cs="宋体" w:hint="eastAsia"/>
                <w:kern w:val="0"/>
                <w:sz w:val="24"/>
              </w:rPr>
            </w:pPr>
            <w:r>
              <w:rPr>
                <w:rFonts w:ascii="宋体" w:eastAsia="宋体" w:hAnsi="宋体" w:cs="宋体"/>
                <w:kern w:val="0"/>
                <w:sz w:val="24"/>
              </w:rPr>
              <w:t>邢雨晨</w:t>
            </w:r>
          </w:p>
        </w:tc>
        <w:tc>
          <w:tcPr>
            <w:tcW w:w="709" w:type="dxa"/>
            <w:vAlign w:val="center"/>
          </w:tcPr>
          <w:p w14:paraId="08302113" w14:textId="77777777" w:rsidR="00FA27F9" w:rsidRDefault="00FA27F9">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single" w:sz="4" w:space="0" w:color="auto"/>
              <w:left w:val="nil"/>
              <w:bottom w:val="nil"/>
              <w:right w:val="nil"/>
            </w:tcBorders>
            <w:vAlign w:val="center"/>
          </w:tcPr>
          <w:p w14:paraId="39718C3A" w14:textId="77777777" w:rsidR="00FA27F9" w:rsidRDefault="00C73CED">
            <w:pPr>
              <w:widowControl/>
              <w:spacing w:beforeLines="50" w:before="156" w:afterLines="50" w:after="156" w:line="360" w:lineRule="auto"/>
              <w:jc w:val="center"/>
              <w:rPr>
                <w:rFonts w:ascii="宋体" w:eastAsia="宋体" w:hAnsi="宋体" w:cs="宋体" w:hint="eastAsia"/>
                <w:kern w:val="0"/>
                <w:sz w:val="24"/>
              </w:rPr>
            </w:pPr>
            <w:r>
              <w:rPr>
                <w:rFonts w:ascii="宋体" w:eastAsia="宋体" w:hAnsi="宋体" w:cs="宋体" w:hint="eastAsia"/>
                <w:kern w:val="0"/>
                <w:sz w:val="24"/>
              </w:rPr>
              <w:t>徐振宇</w:t>
            </w:r>
          </w:p>
        </w:tc>
        <w:tc>
          <w:tcPr>
            <w:tcW w:w="709" w:type="dxa"/>
            <w:vAlign w:val="center"/>
          </w:tcPr>
          <w:p w14:paraId="541D5AFF" w14:textId="77777777" w:rsidR="00FA27F9" w:rsidRDefault="00FA27F9">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single" w:sz="4" w:space="0" w:color="auto"/>
              <w:left w:val="nil"/>
              <w:bottom w:val="nil"/>
              <w:right w:val="nil"/>
            </w:tcBorders>
            <w:vAlign w:val="center"/>
          </w:tcPr>
          <w:p w14:paraId="0538BEE2" w14:textId="77777777" w:rsidR="00FA27F9" w:rsidRDefault="00C73CED">
            <w:pPr>
              <w:widowControl/>
              <w:spacing w:beforeLines="50" w:before="156" w:afterLines="50" w:after="156" w:line="360" w:lineRule="auto"/>
              <w:jc w:val="center"/>
              <w:rPr>
                <w:rFonts w:ascii="宋体" w:eastAsia="宋体" w:hAnsi="宋体" w:cs="宋体" w:hint="eastAsia"/>
                <w:kern w:val="0"/>
                <w:sz w:val="24"/>
              </w:rPr>
            </w:pPr>
            <w:r>
              <w:rPr>
                <w:rFonts w:ascii="宋体" w:eastAsia="宋体" w:hAnsi="宋体" w:cs="宋体" w:hint="eastAsia"/>
                <w:kern w:val="0"/>
                <w:sz w:val="24"/>
              </w:rPr>
              <w:t>张成浩</w:t>
            </w:r>
          </w:p>
        </w:tc>
      </w:tr>
    </w:tbl>
    <w:p w14:paraId="24CB75EA" w14:textId="77777777" w:rsidR="00FA27F9" w:rsidRDefault="00FA27F9">
      <w:pPr>
        <w:rPr>
          <w:rFonts w:ascii="宋体" w:eastAsia="宋体" w:hAnsi="宋体" w:cs="Times New Roman" w:hint="eastAsia"/>
          <w:sz w:val="28"/>
          <w:szCs w:val="28"/>
        </w:rPr>
      </w:pPr>
    </w:p>
    <w:p w14:paraId="2C774E54" w14:textId="77777777" w:rsidR="00FA27F9" w:rsidRDefault="00FA27F9">
      <w:pPr>
        <w:autoSpaceDE w:val="0"/>
        <w:autoSpaceDN w:val="0"/>
        <w:adjustRightInd w:val="0"/>
        <w:spacing w:beforeLines="50" w:before="156" w:after="50" w:line="440" w:lineRule="exact"/>
        <w:ind w:leftChars="257" w:left="540" w:firstLineChars="1600" w:firstLine="3840"/>
        <w:jc w:val="right"/>
        <w:rPr>
          <w:rFonts w:ascii="宋体" w:eastAsia="宋体" w:hAnsi="宋体" w:cs="Times New Roman" w:hint="eastAsia"/>
          <w:kern w:val="0"/>
          <w:sz w:val="24"/>
        </w:rPr>
      </w:pPr>
    </w:p>
    <w:p w14:paraId="7804A875" w14:textId="77777777" w:rsidR="00FA27F9" w:rsidRDefault="00FA27F9">
      <w:pPr>
        <w:autoSpaceDE w:val="0"/>
        <w:autoSpaceDN w:val="0"/>
        <w:adjustRightInd w:val="0"/>
        <w:spacing w:beforeLines="50" w:before="156" w:after="50" w:line="440" w:lineRule="exact"/>
        <w:ind w:leftChars="257" w:left="540" w:firstLineChars="1600" w:firstLine="3840"/>
        <w:jc w:val="right"/>
        <w:rPr>
          <w:rFonts w:ascii="宋体" w:eastAsia="宋体" w:hAnsi="宋体" w:cs="Times New Roman" w:hint="eastAsia"/>
          <w:kern w:val="0"/>
          <w:sz w:val="24"/>
        </w:rPr>
      </w:pPr>
    </w:p>
    <w:p w14:paraId="65BF7654" w14:textId="77777777" w:rsidR="00FA27F9" w:rsidRDefault="00FA27F9">
      <w:pPr>
        <w:autoSpaceDE w:val="0"/>
        <w:autoSpaceDN w:val="0"/>
        <w:adjustRightInd w:val="0"/>
        <w:spacing w:beforeLines="50" w:before="156" w:after="50" w:line="440" w:lineRule="exact"/>
        <w:ind w:leftChars="257" w:left="540" w:firstLineChars="1600" w:firstLine="3840"/>
        <w:jc w:val="right"/>
        <w:rPr>
          <w:rFonts w:ascii="宋体" w:eastAsia="宋体" w:hAnsi="宋体" w:cs="Times New Roman" w:hint="eastAsia"/>
          <w:color w:val="000000"/>
          <w:kern w:val="0"/>
          <w:sz w:val="24"/>
        </w:rPr>
      </w:pPr>
    </w:p>
    <w:p w14:paraId="7D2B6F05" w14:textId="77777777" w:rsidR="00FA27F9" w:rsidRDefault="00FA27F9">
      <w:pPr>
        <w:autoSpaceDE w:val="0"/>
        <w:autoSpaceDN w:val="0"/>
        <w:adjustRightInd w:val="0"/>
        <w:spacing w:beforeLines="50" w:before="156" w:after="50" w:line="440" w:lineRule="exact"/>
        <w:ind w:leftChars="257" w:left="540" w:firstLineChars="1600" w:firstLine="3840"/>
        <w:jc w:val="right"/>
        <w:rPr>
          <w:rFonts w:ascii="宋体" w:eastAsia="宋体" w:hAnsi="宋体" w:cs="Times New Roman" w:hint="eastAsia"/>
          <w:color w:val="000000"/>
          <w:kern w:val="0"/>
          <w:sz w:val="24"/>
        </w:rPr>
      </w:pPr>
    </w:p>
    <w:p w14:paraId="064F1259" w14:textId="77777777" w:rsidR="00FA27F9" w:rsidRDefault="00FA27F9">
      <w:pPr>
        <w:autoSpaceDE w:val="0"/>
        <w:autoSpaceDN w:val="0"/>
        <w:adjustRightInd w:val="0"/>
        <w:spacing w:beforeLines="100" w:before="312" w:after="50" w:line="440" w:lineRule="exact"/>
        <w:ind w:leftChars="257" w:left="540" w:firstLineChars="1350" w:firstLine="3240"/>
        <w:jc w:val="right"/>
        <w:rPr>
          <w:rFonts w:ascii="宋体" w:eastAsia="宋体" w:hAnsi="宋体" w:cs="Times New Roman" w:hint="eastAsia"/>
          <w:color w:val="000000"/>
          <w:kern w:val="0"/>
          <w:sz w:val="24"/>
        </w:rPr>
      </w:pPr>
    </w:p>
    <w:p w14:paraId="227F99CE" w14:textId="77777777" w:rsidR="00FA27F9" w:rsidRDefault="00C73CED">
      <w:pPr>
        <w:autoSpaceDE w:val="0"/>
        <w:autoSpaceDN w:val="0"/>
        <w:adjustRightInd w:val="0"/>
        <w:spacing w:beforeLines="100" w:before="312" w:after="50" w:line="440" w:lineRule="exact"/>
        <w:ind w:leftChars="257" w:left="540" w:firstLineChars="1600" w:firstLine="3840"/>
        <w:jc w:val="right"/>
        <w:rPr>
          <w:rFonts w:ascii="宋体" w:eastAsia="宋体" w:hAnsi="宋体" w:cs="Times New Roman" w:hint="eastAsia"/>
          <w:color w:val="000000"/>
          <w:sz w:val="24"/>
        </w:rPr>
      </w:pPr>
      <w:r>
        <w:rPr>
          <w:rFonts w:ascii="宋体" w:eastAsia="宋体" w:hAnsi="宋体" w:cs="Times New Roman" w:hint="eastAsia"/>
          <w:color w:val="000000"/>
          <w:sz w:val="24"/>
        </w:rPr>
        <w:t>国泰海通证券股份有限公司</w:t>
      </w:r>
    </w:p>
    <w:p w14:paraId="143C3387" w14:textId="39F510CB" w:rsidR="00FA27F9" w:rsidRPr="00D50DE7" w:rsidRDefault="00C73CED">
      <w:pPr>
        <w:autoSpaceDE w:val="0"/>
        <w:autoSpaceDN w:val="0"/>
        <w:adjustRightInd w:val="0"/>
        <w:spacing w:beforeLines="100" w:before="312" w:after="50" w:line="440" w:lineRule="exact"/>
        <w:ind w:leftChars="257" w:left="540" w:firstLineChars="1600" w:firstLine="3840"/>
        <w:jc w:val="right"/>
        <w:rPr>
          <w:rFonts w:ascii="Times New Roman" w:eastAsia="宋体" w:hAnsi="Times New Roman" w:cs="Times New Roman"/>
          <w:bCs/>
          <w:kern w:val="0"/>
          <w:sz w:val="24"/>
        </w:rPr>
      </w:pPr>
      <w:r w:rsidRPr="00D50DE7">
        <w:rPr>
          <w:rFonts w:ascii="Times New Roman" w:eastAsia="宋体" w:hAnsi="Times New Roman" w:cs="Times New Roman"/>
          <w:color w:val="000000"/>
          <w:kern w:val="0"/>
          <w:sz w:val="24"/>
        </w:rPr>
        <w:t xml:space="preserve"> </w:t>
      </w:r>
      <w:r w:rsidR="00260E69" w:rsidRPr="00D50DE7">
        <w:rPr>
          <w:rFonts w:ascii="Times New Roman" w:eastAsia="宋体" w:hAnsi="Times New Roman" w:cs="Times New Roman"/>
          <w:color w:val="000000"/>
          <w:kern w:val="0"/>
          <w:sz w:val="24"/>
        </w:rPr>
        <w:t>2025</w:t>
      </w:r>
      <w:r w:rsidRPr="00D50DE7">
        <w:rPr>
          <w:rFonts w:ascii="Times New Roman" w:eastAsia="宋体" w:hAnsi="Times New Roman" w:cs="Times New Roman"/>
          <w:color w:val="000000"/>
          <w:kern w:val="0"/>
          <w:sz w:val="24"/>
        </w:rPr>
        <w:t xml:space="preserve"> </w:t>
      </w:r>
      <w:r w:rsidRPr="00D50DE7">
        <w:rPr>
          <w:rFonts w:ascii="Times New Roman" w:eastAsia="宋体" w:hAnsi="Times New Roman" w:cs="Times New Roman"/>
          <w:color w:val="000000"/>
          <w:kern w:val="0"/>
          <w:sz w:val="24"/>
        </w:rPr>
        <w:t>年</w:t>
      </w:r>
      <w:r w:rsidRPr="00D50DE7">
        <w:rPr>
          <w:rFonts w:ascii="Times New Roman" w:eastAsia="宋体" w:hAnsi="Times New Roman" w:cs="Times New Roman"/>
          <w:color w:val="000000"/>
          <w:kern w:val="0"/>
          <w:sz w:val="24"/>
        </w:rPr>
        <w:t xml:space="preserve"> </w:t>
      </w:r>
      <w:r w:rsidR="00260E69" w:rsidRPr="00D50DE7">
        <w:rPr>
          <w:rFonts w:ascii="Times New Roman" w:eastAsia="宋体" w:hAnsi="Times New Roman" w:cs="Times New Roman"/>
          <w:color w:val="000000"/>
          <w:kern w:val="0"/>
          <w:sz w:val="24"/>
        </w:rPr>
        <w:t>11</w:t>
      </w:r>
      <w:r w:rsidRPr="00D50DE7">
        <w:rPr>
          <w:rFonts w:ascii="Times New Roman" w:eastAsia="宋体" w:hAnsi="Times New Roman" w:cs="Times New Roman"/>
          <w:color w:val="000000"/>
          <w:kern w:val="0"/>
          <w:sz w:val="24"/>
        </w:rPr>
        <w:t xml:space="preserve"> </w:t>
      </w:r>
      <w:r w:rsidRPr="00D50DE7">
        <w:rPr>
          <w:rFonts w:ascii="Times New Roman" w:eastAsia="宋体" w:hAnsi="Times New Roman" w:cs="Times New Roman"/>
          <w:color w:val="000000"/>
          <w:kern w:val="0"/>
          <w:sz w:val="24"/>
        </w:rPr>
        <w:t>月</w:t>
      </w:r>
      <w:r w:rsidRPr="00D50DE7">
        <w:rPr>
          <w:rFonts w:ascii="Times New Roman" w:eastAsia="宋体" w:hAnsi="Times New Roman" w:cs="Times New Roman"/>
          <w:color w:val="000000"/>
          <w:kern w:val="0"/>
          <w:sz w:val="24"/>
        </w:rPr>
        <w:t xml:space="preserve"> </w:t>
      </w:r>
      <w:r w:rsidR="00260E69" w:rsidRPr="00D50DE7">
        <w:rPr>
          <w:rFonts w:ascii="Times New Roman" w:eastAsia="宋体" w:hAnsi="Times New Roman" w:cs="Times New Roman"/>
          <w:color w:val="000000"/>
          <w:kern w:val="0"/>
          <w:sz w:val="24"/>
        </w:rPr>
        <w:t>18</w:t>
      </w:r>
      <w:r w:rsidRPr="00D50DE7">
        <w:rPr>
          <w:rFonts w:ascii="Times New Roman" w:eastAsia="宋体" w:hAnsi="Times New Roman" w:cs="Times New Roman"/>
          <w:color w:val="000000"/>
          <w:kern w:val="0"/>
          <w:sz w:val="24"/>
        </w:rPr>
        <w:t xml:space="preserve"> </w:t>
      </w:r>
      <w:r w:rsidRPr="00D50DE7">
        <w:rPr>
          <w:rFonts w:ascii="Times New Roman" w:eastAsia="宋体" w:hAnsi="Times New Roman" w:cs="Times New Roman"/>
          <w:color w:val="000000"/>
          <w:kern w:val="0"/>
          <w:sz w:val="24"/>
        </w:rPr>
        <w:t>日</w:t>
      </w:r>
    </w:p>
    <w:p w14:paraId="47EB4F0C" w14:textId="77777777" w:rsidR="00FA27F9" w:rsidRDefault="00FA27F9">
      <w:pPr>
        <w:spacing w:beforeLines="50" w:before="156" w:afterLines="50" w:after="156" w:line="360" w:lineRule="auto"/>
        <w:ind w:firstLineChars="200" w:firstLine="420"/>
        <w:rPr>
          <w:rFonts w:ascii="Times New Roman" w:eastAsia="宋体" w:hAnsi="Times New Roman" w:cs="Times New Roman"/>
        </w:rPr>
      </w:pPr>
    </w:p>
    <w:sectPr w:rsidR="00FA27F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71C474" w14:textId="77777777" w:rsidR="000D65D7" w:rsidRDefault="000D65D7">
      <w:r>
        <w:separator/>
      </w:r>
    </w:p>
  </w:endnote>
  <w:endnote w:type="continuationSeparator" w:id="0">
    <w:p w14:paraId="2E748E34" w14:textId="77777777" w:rsidR="000D65D7" w:rsidRDefault="000D6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5784791"/>
    </w:sdtPr>
    <w:sdtEndPr>
      <w:rPr>
        <w:rFonts w:ascii="Times New Roman" w:hAnsi="Times New Roman" w:cs="Times New Roman"/>
      </w:rPr>
    </w:sdtEndPr>
    <w:sdtContent>
      <w:p w14:paraId="6B6ADAA6" w14:textId="77777777" w:rsidR="00FA27F9" w:rsidRDefault="00C73CED">
        <w:pPr>
          <w:pStyle w:val="a9"/>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1435B8" w:rsidRPr="001435B8">
          <w:rPr>
            <w:rFonts w:ascii="Times New Roman" w:hAnsi="Times New Roman" w:cs="Times New Roman"/>
            <w:noProof/>
            <w:lang w:val="zh-CN"/>
          </w:rPr>
          <w:t>2</w:t>
        </w:r>
        <w:r>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D0E535" w14:textId="77777777" w:rsidR="000D65D7" w:rsidRDefault="000D65D7">
      <w:r>
        <w:separator/>
      </w:r>
    </w:p>
  </w:footnote>
  <w:footnote w:type="continuationSeparator" w:id="0">
    <w:p w14:paraId="39676449" w14:textId="77777777" w:rsidR="000D65D7" w:rsidRDefault="000D65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2FD4484E"/>
    <w:rsid w:val="0000461C"/>
    <w:rsid w:val="2FD4484E"/>
    <w:rsid w:val="8DFF3911"/>
    <w:rsid w:val="9A2DA4EC"/>
    <w:rsid w:val="9EED6CD7"/>
    <w:rsid w:val="A57B183E"/>
    <w:rsid w:val="ADFDE751"/>
    <w:rsid w:val="AFEEA460"/>
    <w:rsid w:val="B3DFBA76"/>
    <w:rsid w:val="BBFD3E99"/>
    <w:rsid w:val="BF7E98A1"/>
    <w:rsid w:val="BFF74CEA"/>
    <w:rsid w:val="CB2E9D91"/>
    <w:rsid w:val="DDEFB8B9"/>
    <w:rsid w:val="DDFF2C56"/>
    <w:rsid w:val="E3662AC8"/>
    <w:rsid w:val="E3FBFB6D"/>
    <w:rsid w:val="EDED7ABC"/>
    <w:rsid w:val="EFFC6ADF"/>
    <w:rsid w:val="F2FFE3D8"/>
    <w:rsid w:val="F7FFFDC1"/>
    <w:rsid w:val="FB7FD669"/>
    <w:rsid w:val="FBDF678B"/>
    <w:rsid w:val="FBFF5DE3"/>
    <w:rsid w:val="FBFF63E7"/>
    <w:rsid w:val="FD7F72EF"/>
    <w:rsid w:val="FEFC613D"/>
    <w:rsid w:val="FEFF13AC"/>
    <w:rsid w:val="FEFF41D8"/>
    <w:rsid w:val="FF53B76B"/>
    <w:rsid w:val="FFBD665F"/>
    <w:rsid w:val="FFBFFEA8"/>
    <w:rsid w:val="FFEDF58B"/>
    <w:rsid w:val="FFF7CF70"/>
    <w:rsid w:val="000028CE"/>
    <w:rsid w:val="00003275"/>
    <w:rsid w:val="00005D13"/>
    <w:rsid w:val="00015529"/>
    <w:rsid w:val="00021631"/>
    <w:rsid w:val="00024581"/>
    <w:rsid w:val="000305EF"/>
    <w:rsid w:val="00030764"/>
    <w:rsid w:val="0003755B"/>
    <w:rsid w:val="00042D80"/>
    <w:rsid w:val="000451D5"/>
    <w:rsid w:val="00055285"/>
    <w:rsid w:val="00056D2B"/>
    <w:rsid w:val="000675C0"/>
    <w:rsid w:val="0007615D"/>
    <w:rsid w:val="0008098C"/>
    <w:rsid w:val="00082E04"/>
    <w:rsid w:val="00096D6B"/>
    <w:rsid w:val="000B3FE8"/>
    <w:rsid w:val="000C5220"/>
    <w:rsid w:val="000D65D7"/>
    <w:rsid w:val="000D74EC"/>
    <w:rsid w:val="001030F4"/>
    <w:rsid w:val="00111CCF"/>
    <w:rsid w:val="00111D9D"/>
    <w:rsid w:val="0011243E"/>
    <w:rsid w:val="00123C1E"/>
    <w:rsid w:val="0012716D"/>
    <w:rsid w:val="00130B16"/>
    <w:rsid w:val="00132A40"/>
    <w:rsid w:val="00136E4B"/>
    <w:rsid w:val="001435B8"/>
    <w:rsid w:val="0015088E"/>
    <w:rsid w:val="001621EC"/>
    <w:rsid w:val="001776B8"/>
    <w:rsid w:val="001924BF"/>
    <w:rsid w:val="001952F4"/>
    <w:rsid w:val="00197CF9"/>
    <w:rsid w:val="001A4D7C"/>
    <w:rsid w:val="001A621A"/>
    <w:rsid w:val="001B0015"/>
    <w:rsid w:val="001B0AAB"/>
    <w:rsid w:val="001C22BE"/>
    <w:rsid w:val="001E36AA"/>
    <w:rsid w:val="00215A8F"/>
    <w:rsid w:val="00246A79"/>
    <w:rsid w:val="002507CA"/>
    <w:rsid w:val="0025180F"/>
    <w:rsid w:val="00260E69"/>
    <w:rsid w:val="002A6F7C"/>
    <w:rsid w:val="002B136C"/>
    <w:rsid w:val="002C2317"/>
    <w:rsid w:val="002C7859"/>
    <w:rsid w:val="002D3362"/>
    <w:rsid w:val="002D4A64"/>
    <w:rsid w:val="002D53D7"/>
    <w:rsid w:val="002D7095"/>
    <w:rsid w:val="002E3D54"/>
    <w:rsid w:val="002E4285"/>
    <w:rsid w:val="002E4C23"/>
    <w:rsid w:val="002E7664"/>
    <w:rsid w:val="00301151"/>
    <w:rsid w:val="00302695"/>
    <w:rsid w:val="003061F7"/>
    <w:rsid w:val="00307453"/>
    <w:rsid w:val="003108DA"/>
    <w:rsid w:val="00316A8C"/>
    <w:rsid w:val="00317224"/>
    <w:rsid w:val="00330260"/>
    <w:rsid w:val="003407DD"/>
    <w:rsid w:val="00347EED"/>
    <w:rsid w:val="00350DF0"/>
    <w:rsid w:val="003648E1"/>
    <w:rsid w:val="003720EA"/>
    <w:rsid w:val="00377458"/>
    <w:rsid w:val="003835A8"/>
    <w:rsid w:val="00395A25"/>
    <w:rsid w:val="003B2FE2"/>
    <w:rsid w:val="003B52B9"/>
    <w:rsid w:val="003B72EC"/>
    <w:rsid w:val="003C44C2"/>
    <w:rsid w:val="003D194B"/>
    <w:rsid w:val="003D6392"/>
    <w:rsid w:val="003E65A1"/>
    <w:rsid w:val="003E7448"/>
    <w:rsid w:val="003F0A5C"/>
    <w:rsid w:val="00402C55"/>
    <w:rsid w:val="004305DC"/>
    <w:rsid w:val="004327C1"/>
    <w:rsid w:val="00433BE6"/>
    <w:rsid w:val="0043658F"/>
    <w:rsid w:val="00452B3D"/>
    <w:rsid w:val="00453418"/>
    <w:rsid w:val="0047694E"/>
    <w:rsid w:val="0047762D"/>
    <w:rsid w:val="004923C7"/>
    <w:rsid w:val="0049601E"/>
    <w:rsid w:val="004A092F"/>
    <w:rsid w:val="004A2CDC"/>
    <w:rsid w:val="004B3C0D"/>
    <w:rsid w:val="004D3DF1"/>
    <w:rsid w:val="004E35F2"/>
    <w:rsid w:val="004E6616"/>
    <w:rsid w:val="004F0E71"/>
    <w:rsid w:val="004F3D85"/>
    <w:rsid w:val="004F5B10"/>
    <w:rsid w:val="004F78BA"/>
    <w:rsid w:val="005019EB"/>
    <w:rsid w:val="00510573"/>
    <w:rsid w:val="005216FD"/>
    <w:rsid w:val="00533BC0"/>
    <w:rsid w:val="00552075"/>
    <w:rsid w:val="005530E9"/>
    <w:rsid w:val="00555410"/>
    <w:rsid w:val="00562A44"/>
    <w:rsid w:val="00597021"/>
    <w:rsid w:val="005A1F51"/>
    <w:rsid w:val="005A68A5"/>
    <w:rsid w:val="005B1DBB"/>
    <w:rsid w:val="005B6C90"/>
    <w:rsid w:val="005D097F"/>
    <w:rsid w:val="005D662D"/>
    <w:rsid w:val="005D710E"/>
    <w:rsid w:val="005E1F2B"/>
    <w:rsid w:val="00602144"/>
    <w:rsid w:val="00607889"/>
    <w:rsid w:val="00640BDA"/>
    <w:rsid w:val="00646427"/>
    <w:rsid w:val="006540F9"/>
    <w:rsid w:val="006660A3"/>
    <w:rsid w:val="006676B8"/>
    <w:rsid w:val="0067406D"/>
    <w:rsid w:val="00680CFE"/>
    <w:rsid w:val="00684DA7"/>
    <w:rsid w:val="0069175C"/>
    <w:rsid w:val="00696F32"/>
    <w:rsid w:val="006A7A80"/>
    <w:rsid w:val="006D4465"/>
    <w:rsid w:val="006D59E4"/>
    <w:rsid w:val="006E68B8"/>
    <w:rsid w:val="00700E12"/>
    <w:rsid w:val="00702663"/>
    <w:rsid w:val="00716A59"/>
    <w:rsid w:val="007235A0"/>
    <w:rsid w:val="00724017"/>
    <w:rsid w:val="00731E13"/>
    <w:rsid w:val="00743EBC"/>
    <w:rsid w:val="007821FA"/>
    <w:rsid w:val="00785CED"/>
    <w:rsid w:val="007917F1"/>
    <w:rsid w:val="007A036D"/>
    <w:rsid w:val="007A3479"/>
    <w:rsid w:val="007D40FE"/>
    <w:rsid w:val="007F3268"/>
    <w:rsid w:val="008105E3"/>
    <w:rsid w:val="008169AB"/>
    <w:rsid w:val="00816CB3"/>
    <w:rsid w:val="008234BB"/>
    <w:rsid w:val="00833BA7"/>
    <w:rsid w:val="0084070B"/>
    <w:rsid w:val="00846768"/>
    <w:rsid w:val="00861E38"/>
    <w:rsid w:val="0086441A"/>
    <w:rsid w:val="008661A7"/>
    <w:rsid w:val="00871B2C"/>
    <w:rsid w:val="0087441C"/>
    <w:rsid w:val="008815BE"/>
    <w:rsid w:val="00891F14"/>
    <w:rsid w:val="008A3631"/>
    <w:rsid w:val="008B2078"/>
    <w:rsid w:val="008B6789"/>
    <w:rsid w:val="008D2061"/>
    <w:rsid w:val="008E0438"/>
    <w:rsid w:val="008E23C5"/>
    <w:rsid w:val="008F081B"/>
    <w:rsid w:val="008F5F34"/>
    <w:rsid w:val="00900AE9"/>
    <w:rsid w:val="00903590"/>
    <w:rsid w:val="00913216"/>
    <w:rsid w:val="00921B35"/>
    <w:rsid w:val="00937BDC"/>
    <w:rsid w:val="00972515"/>
    <w:rsid w:val="009762A1"/>
    <w:rsid w:val="00976DDE"/>
    <w:rsid w:val="00990123"/>
    <w:rsid w:val="00992F12"/>
    <w:rsid w:val="009A7F75"/>
    <w:rsid w:val="009B48D9"/>
    <w:rsid w:val="009C1A3B"/>
    <w:rsid w:val="009D67AA"/>
    <w:rsid w:val="00A00657"/>
    <w:rsid w:val="00A01182"/>
    <w:rsid w:val="00A25936"/>
    <w:rsid w:val="00A27335"/>
    <w:rsid w:val="00A4336D"/>
    <w:rsid w:val="00A75A77"/>
    <w:rsid w:val="00A75B6B"/>
    <w:rsid w:val="00A773E2"/>
    <w:rsid w:val="00A96B3B"/>
    <w:rsid w:val="00AB643F"/>
    <w:rsid w:val="00AC3A87"/>
    <w:rsid w:val="00AC4AB5"/>
    <w:rsid w:val="00AD4538"/>
    <w:rsid w:val="00AD4BBB"/>
    <w:rsid w:val="00AF36DB"/>
    <w:rsid w:val="00AF526C"/>
    <w:rsid w:val="00B06B7B"/>
    <w:rsid w:val="00B24F1C"/>
    <w:rsid w:val="00B271C2"/>
    <w:rsid w:val="00B32911"/>
    <w:rsid w:val="00B536D6"/>
    <w:rsid w:val="00B57A11"/>
    <w:rsid w:val="00B60C07"/>
    <w:rsid w:val="00B64316"/>
    <w:rsid w:val="00B71C4E"/>
    <w:rsid w:val="00B82E9A"/>
    <w:rsid w:val="00BA290C"/>
    <w:rsid w:val="00BA58D6"/>
    <w:rsid w:val="00BC6665"/>
    <w:rsid w:val="00BF27D8"/>
    <w:rsid w:val="00BF29C6"/>
    <w:rsid w:val="00BF46B0"/>
    <w:rsid w:val="00C07D35"/>
    <w:rsid w:val="00C117F0"/>
    <w:rsid w:val="00C13C09"/>
    <w:rsid w:val="00C15C07"/>
    <w:rsid w:val="00C17314"/>
    <w:rsid w:val="00C32F37"/>
    <w:rsid w:val="00C400D1"/>
    <w:rsid w:val="00C55B27"/>
    <w:rsid w:val="00C73CED"/>
    <w:rsid w:val="00C73F6A"/>
    <w:rsid w:val="00C8469A"/>
    <w:rsid w:val="00C85D98"/>
    <w:rsid w:val="00C93A13"/>
    <w:rsid w:val="00C9651D"/>
    <w:rsid w:val="00CA5E9F"/>
    <w:rsid w:val="00CB1216"/>
    <w:rsid w:val="00CB280F"/>
    <w:rsid w:val="00CC3149"/>
    <w:rsid w:val="00CD1DAB"/>
    <w:rsid w:val="00CD5556"/>
    <w:rsid w:val="00CF2D25"/>
    <w:rsid w:val="00D0332F"/>
    <w:rsid w:val="00D128C2"/>
    <w:rsid w:val="00D158C0"/>
    <w:rsid w:val="00D21779"/>
    <w:rsid w:val="00D42FB7"/>
    <w:rsid w:val="00D50DE7"/>
    <w:rsid w:val="00D52EED"/>
    <w:rsid w:val="00D61562"/>
    <w:rsid w:val="00D64156"/>
    <w:rsid w:val="00D82D84"/>
    <w:rsid w:val="00DA778F"/>
    <w:rsid w:val="00DD7759"/>
    <w:rsid w:val="00DF2EB9"/>
    <w:rsid w:val="00E020F6"/>
    <w:rsid w:val="00E21270"/>
    <w:rsid w:val="00E24F89"/>
    <w:rsid w:val="00E329DD"/>
    <w:rsid w:val="00E55201"/>
    <w:rsid w:val="00E55866"/>
    <w:rsid w:val="00E64970"/>
    <w:rsid w:val="00E73DBF"/>
    <w:rsid w:val="00E82C7E"/>
    <w:rsid w:val="00EA0224"/>
    <w:rsid w:val="00EB415A"/>
    <w:rsid w:val="00ED14A8"/>
    <w:rsid w:val="00ED75E9"/>
    <w:rsid w:val="00EE0432"/>
    <w:rsid w:val="00EF33FD"/>
    <w:rsid w:val="00EF7A37"/>
    <w:rsid w:val="00F01A54"/>
    <w:rsid w:val="00F11E2A"/>
    <w:rsid w:val="00F1294D"/>
    <w:rsid w:val="00F34F10"/>
    <w:rsid w:val="00F41068"/>
    <w:rsid w:val="00F63A50"/>
    <w:rsid w:val="00F6575D"/>
    <w:rsid w:val="00F6577E"/>
    <w:rsid w:val="00F82219"/>
    <w:rsid w:val="00F85EF9"/>
    <w:rsid w:val="00FA2545"/>
    <w:rsid w:val="00FA27F9"/>
    <w:rsid w:val="00FA4FF7"/>
    <w:rsid w:val="00FB2C62"/>
    <w:rsid w:val="00FC0477"/>
    <w:rsid w:val="00FD2DEA"/>
    <w:rsid w:val="00FF0F3E"/>
    <w:rsid w:val="00FF5256"/>
    <w:rsid w:val="02702040"/>
    <w:rsid w:val="08307C22"/>
    <w:rsid w:val="14681FEA"/>
    <w:rsid w:val="16A3587A"/>
    <w:rsid w:val="1EFF31E6"/>
    <w:rsid w:val="1FE598D6"/>
    <w:rsid w:val="1FFBAF8C"/>
    <w:rsid w:val="209B2C72"/>
    <w:rsid w:val="20FF0F9B"/>
    <w:rsid w:val="26A57E13"/>
    <w:rsid w:val="2FAF1ED5"/>
    <w:rsid w:val="2FD4484E"/>
    <w:rsid w:val="31FDE975"/>
    <w:rsid w:val="336220F3"/>
    <w:rsid w:val="37FFABE0"/>
    <w:rsid w:val="38AF14A5"/>
    <w:rsid w:val="391CED57"/>
    <w:rsid w:val="3A5FBA83"/>
    <w:rsid w:val="3BDE7109"/>
    <w:rsid w:val="3D6F1B0A"/>
    <w:rsid w:val="3EAB6E43"/>
    <w:rsid w:val="3EFF565D"/>
    <w:rsid w:val="3F7D5E35"/>
    <w:rsid w:val="3FD77D63"/>
    <w:rsid w:val="3FFC02E1"/>
    <w:rsid w:val="3FFF5B9F"/>
    <w:rsid w:val="41AC096A"/>
    <w:rsid w:val="42B75819"/>
    <w:rsid w:val="467FD0F4"/>
    <w:rsid w:val="46FDA65D"/>
    <w:rsid w:val="4A1752E1"/>
    <w:rsid w:val="4FBFD62C"/>
    <w:rsid w:val="4FEE0289"/>
    <w:rsid w:val="56BA0BDB"/>
    <w:rsid w:val="5A701946"/>
    <w:rsid w:val="5EF73C55"/>
    <w:rsid w:val="5FAFF7CB"/>
    <w:rsid w:val="5FF71C1F"/>
    <w:rsid w:val="5FFE4073"/>
    <w:rsid w:val="64913BA4"/>
    <w:rsid w:val="6BB1F5B1"/>
    <w:rsid w:val="6C0D6B20"/>
    <w:rsid w:val="6FFD69A5"/>
    <w:rsid w:val="733A1535"/>
    <w:rsid w:val="73E9C783"/>
    <w:rsid w:val="75FBCB23"/>
    <w:rsid w:val="75FEB1E9"/>
    <w:rsid w:val="77244EC6"/>
    <w:rsid w:val="77397139"/>
    <w:rsid w:val="774F7BA9"/>
    <w:rsid w:val="796F7CF7"/>
    <w:rsid w:val="7B46A725"/>
    <w:rsid w:val="7BEB5DE7"/>
    <w:rsid w:val="7BF4B242"/>
    <w:rsid w:val="7BFB6916"/>
    <w:rsid w:val="7D3FF485"/>
    <w:rsid w:val="7DAC31CF"/>
    <w:rsid w:val="7DF59953"/>
    <w:rsid w:val="7E6F55F9"/>
    <w:rsid w:val="7E7E6334"/>
    <w:rsid w:val="7EB5B785"/>
    <w:rsid w:val="7EFA7EC3"/>
    <w:rsid w:val="7F301B45"/>
    <w:rsid w:val="7FCBBFE3"/>
    <w:rsid w:val="7FE51661"/>
    <w:rsid w:val="7FE76B63"/>
    <w:rsid w:val="7FEF6F13"/>
    <w:rsid w:val="7FEFE68D"/>
    <w:rsid w:val="7FFEAF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1AA797"/>
  <w15:docId w15:val="{A78AFFC4-2CA5-4518-8B45-32ABD188A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qFormat/>
    <w:rPr>
      <w:rFonts w:ascii="宋体" w:eastAsia="宋体"/>
      <w:sz w:val="18"/>
      <w:szCs w:val="18"/>
    </w:rPr>
  </w:style>
  <w:style w:type="paragraph" w:styleId="a5">
    <w:name w:val="annotation text"/>
    <w:basedOn w:val="a"/>
    <w:link w:val="a6"/>
    <w:qFormat/>
    <w:pPr>
      <w:jc w:val="left"/>
    </w:pPr>
  </w:style>
  <w:style w:type="paragraph" w:styleId="a7">
    <w:name w:val="Balloon Text"/>
    <w:basedOn w:val="a"/>
    <w:link w:val="a8"/>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ad">
    <w:name w:val="Subtitle"/>
    <w:basedOn w:val="a"/>
    <w:next w:val="a"/>
    <w:qFormat/>
    <w:pPr>
      <w:spacing w:before="240" w:after="60" w:line="312" w:lineRule="auto"/>
      <w:jc w:val="center"/>
      <w:outlineLvl w:val="1"/>
    </w:pPr>
    <w:rPr>
      <w:rFonts w:asciiTheme="majorHAnsi" w:eastAsia="宋体" w:hAnsiTheme="majorHAnsi" w:cstheme="majorBidi"/>
      <w:b/>
      <w:bCs/>
      <w:kern w:val="28"/>
      <w:sz w:val="32"/>
      <w:szCs w:val="32"/>
    </w:rPr>
  </w:style>
  <w:style w:type="paragraph" w:styleId="ae">
    <w:name w:val="footnote text"/>
    <w:basedOn w:val="a"/>
    <w:link w:val="11"/>
    <w:semiHidden/>
    <w:unhideWhenUsed/>
    <w:qFormat/>
    <w:pPr>
      <w:snapToGrid w:val="0"/>
      <w:jc w:val="left"/>
    </w:pPr>
    <w:rPr>
      <w:sz w:val="18"/>
      <w:szCs w:val="18"/>
    </w:rPr>
  </w:style>
  <w:style w:type="paragraph" w:styleId="af">
    <w:name w:val="Normal (Web)"/>
    <w:basedOn w:val="a"/>
    <w:qFormat/>
    <w:pPr>
      <w:spacing w:beforeAutospacing="1" w:afterAutospacing="1"/>
      <w:jc w:val="left"/>
    </w:pPr>
    <w:rPr>
      <w:rFonts w:cs="Times New Roman"/>
      <w:kern w:val="0"/>
      <w:sz w:val="24"/>
    </w:rPr>
  </w:style>
  <w:style w:type="paragraph" w:styleId="af0">
    <w:name w:val="annotation subject"/>
    <w:basedOn w:val="a5"/>
    <w:next w:val="a5"/>
    <w:link w:val="af1"/>
    <w:qFormat/>
    <w:rPr>
      <w:b/>
      <w:bCs/>
    </w:rPr>
  </w:style>
  <w:style w:type="table" w:styleId="af2">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annotation reference"/>
    <w:basedOn w:val="a0"/>
    <w:qFormat/>
    <w:rPr>
      <w:sz w:val="21"/>
      <w:szCs w:val="21"/>
    </w:rPr>
  </w:style>
  <w:style w:type="character" w:styleId="af4">
    <w:name w:val="footnote reference"/>
    <w:basedOn w:val="a0"/>
    <w:uiPriority w:val="99"/>
    <w:semiHidden/>
    <w:unhideWhenUsed/>
    <w:qFormat/>
    <w:rPr>
      <w:vertAlign w:val="superscript"/>
    </w:rPr>
  </w:style>
  <w:style w:type="character" w:customStyle="1" w:styleId="ac">
    <w:name w:val="页眉 字符"/>
    <w:basedOn w:val="a0"/>
    <w:link w:val="ab"/>
    <w:qFormat/>
    <w:rPr>
      <w:rFonts w:asciiTheme="minorHAnsi" w:eastAsiaTheme="minorEastAsia" w:hAnsiTheme="minorHAnsi" w:cstheme="minorBidi"/>
      <w:kern w:val="2"/>
      <w:sz w:val="18"/>
      <w:szCs w:val="18"/>
    </w:rPr>
  </w:style>
  <w:style w:type="character" w:customStyle="1" w:styleId="aa">
    <w:name w:val="页脚 字符"/>
    <w:basedOn w:val="a0"/>
    <w:link w:val="a9"/>
    <w:uiPriority w:val="99"/>
    <w:qFormat/>
    <w:rPr>
      <w:rFonts w:asciiTheme="minorHAnsi" w:eastAsiaTheme="minorEastAsia" w:hAnsiTheme="minorHAnsi" w:cstheme="minorBidi"/>
      <w:kern w:val="2"/>
      <w:sz w:val="18"/>
      <w:szCs w:val="18"/>
    </w:rPr>
  </w:style>
  <w:style w:type="character" w:customStyle="1" w:styleId="a8">
    <w:name w:val="批注框文本 字符"/>
    <w:basedOn w:val="a0"/>
    <w:link w:val="a7"/>
    <w:qFormat/>
    <w:rPr>
      <w:rFonts w:asciiTheme="minorHAnsi" w:eastAsiaTheme="minorEastAsia" w:hAnsiTheme="minorHAnsi" w:cstheme="minorBidi"/>
      <w:kern w:val="2"/>
      <w:sz w:val="18"/>
      <w:szCs w:val="18"/>
    </w:rPr>
  </w:style>
  <w:style w:type="character" w:customStyle="1" w:styleId="a6">
    <w:name w:val="批注文字 字符"/>
    <w:basedOn w:val="a0"/>
    <w:link w:val="a5"/>
    <w:qFormat/>
    <w:rPr>
      <w:rFonts w:asciiTheme="minorHAnsi" w:eastAsiaTheme="minorEastAsia" w:hAnsiTheme="minorHAnsi" w:cstheme="minorBidi"/>
      <w:kern w:val="2"/>
      <w:sz w:val="21"/>
      <w:szCs w:val="24"/>
    </w:rPr>
  </w:style>
  <w:style w:type="character" w:customStyle="1" w:styleId="af1">
    <w:name w:val="批注主题 字符"/>
    <w:basedOn w:val="a6"/>
    <w:link w:val="af0"/>
    <w:qFormat/>
    <w:rPr>
      <w:rFonts w:asciiTheme="minorHAnsi" w:eastAsiaTheme="minorEastAsia" w:hAnsiTheme="minorHAnsi" w:cstheme="minorBidi"/>
      <w:b/>
      <w:bCs/>
      <w:kern w:val="2"/>
      <w:sz w:val="21"/>
      <w:szCs w:val="24"/>
    </w:rPr>
  </w:style>
  <w:style w:type="character" w:customStyle="1" w:styleId="a4">
    <w:name w:val="文档结构图 字符"/>
    <w:basedOn w:val="a0"/>
    <w:link w:val="a3"/>
    <w:qFormat/>
    <w:rPr>
      <w:rFonts w:ascii="宋体" w:hAnsiTheme="minorHAnsi" w:cstheme="minorBidi"/>
      <w:kern w:val="2"/>
      <w:sz w:val="18"/>
      <w:szCs w:val="18"/>
    </w:rPr>
  </w:style>
  <w:style w:type="paragraph" w:customStyle="1" w:styleId="12">
    <w:name w:val="脚注文本1"/>
    <w:basedOn w:val="a"/>
    <w:next w:val="ae"/>
    <w:link w:val="af5"/>
    <w:uiPriority w:val="99"/>
    <w:semiHidden/>
    <w:unhideWhenUsed/>
    <w:qFormat/>
    <w:pPr>
      <w:snapToGrid w:val="0"/>
      <w:jc w:val="left"/>
    </w:pPr>
    <w:rPr>
      <w:rFonts w:ascii="Times New Roman" w:eastAsia="宋体" w:hAnsi="Times New Roman" w:cs="Times New Roman"/>
      <w:sz w:val="18"/>
      <w:szCs w:val="18"/>
    </w:rPr>
  </w:style>
  <w:style w:type="character" w:customStyle="1" w:styleId="af5">
    <w:name w:val="脚注文本 字符"/>
    <w:basedOn w:val="a0"/>
    <w:link w:val="12"/>
    <w:uiPriority w:val="99"/>
    <w:semiHidden/>
    <w:qFormat/>
    <w:rPr>
      <w:kern w:val="2"/>
      <w:sz w:val="18"/>
      <w:szCs w:val="18"/>
    </w:rPr>
  </w:style>
  <w:style w:type="character" w:customStyle="1" w:styleId="11">
    <w:name w:val="脚注文本 字符1"/>
    <w:basedOn w:val="a0"/>
    <w:link w:val="ae"/>
    <w:semiHidden/>
    <w:qFormat/>
    <w:rPr>
      <w:rFonts w:asciiTheme="minorHAnsi" w:eastAsiaTheme="minorEastAsia" w:hAnsiTheme="minorHAnsi" w:cstheme="minorBidi"/>
      <w:kern w:val="2"/>
      <w:sz w:val="18"/>
      <w:szCs w:val="18"/>
    </w:rPr>
  </w:style>
  <w:style w:type="character" w:customStyle="1" w:styleId="10">
    <w:name w:val="标题 1 字符"/>
    <w:basedOn w:val="a0"/>
    <w:link w:val="1"/>
    <w:qFormat/>
    <w:rPr>
      <w:rFonts w:ascii="宋体" w:hAnsi="宋体"/>
      <w:b/>
      <w:bCs/>
      <w:kern w:val="44"/>
      <w:sz w:val="48"/>
      <w:szCs w:val="48"/>
    </w:rPr>
  </w:style>
  <w:style w:type="paragraph" w:customStyle="1" w:styleId="13">
    <w:name w:val="修订1"/>
    <w:hidden/>
    <w:uiPriority w:val="99"/>
    <w:unhideWhenUsed/>
    <w:qFormat/>
    <w:rPr>
      <w:rFonts w:asciiTheme="minorHAnsi" w:eastAsiaTheme="minorEastAsia" w:hAnsiTheme="minorHAnsi" w:cstheme="minorBidi"/>
      <w:kern w:val="2"/>
      <w:sz w:val="21"/>
      <w:szCs w:val="24"/>
    </w:rPr>
  </w:style>
  <w:style w:type="table" w:customStyle="1" w:styleId="3">
    <w:name w:val="网格型3"/>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1"/>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Revision"/>
    <w:hidden/>
    <w:uiPriority w:val="99"/>
    <w:unhideWhenUsed/>
    <w:rsid w:val="002D4A64"/>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F2A6D9-329C-4418-A767-0FE171E71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5</Pages>
  <Words>436</Words>
  <Characters>2489</Characters>
  <Application>Microsoft Office Word</Application>
  <DocSecurity>0</DocSecurity>
  <Lines>20</Lines>
  <Paragraphs>5</Paragraphs>
  <ScaleCrop>false</ScaleCrop>
  <Company>国泰君安证券股份有限公司</Company>
  <LinksUpToDate>false</LinksUpToDate>
  <CharactersWithSpaces>2920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lhy</dc:creator>
  <cp:lastModifiedBy>GTHTHAO</cp:lastModifiedBy>
  <cp:revision>156</cp:revision>
  <dcterms:created xsi:type="dcterms:W3CDTF">2020-04-07T03:00:00Z</dcterms:created>
  <dcterms:modified xsi:type="dcterms:W3CDTF">2025-11-18T07:14:00Z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eyJoZGlkIjoiNDBkMzZhYjg1MTA5NWQxZDBlZTkzNTdlNjQ1NThlNjAiLCJ1c2VySWQiOiIxOTk5NDQxOTYifQ==</vt:lpwstr>
  </property>
  <property fmtid="{D5CDD505-2E9C-101B-9397-08002B2CF9AE}" pid="4" name="ICV">
    <vt:lpwstr>946B306DDBF94525A339A1DED1299049_12</vt:lpwstr>
  </property>
</Properties>
</file>