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2A8850" w14:textId="77777777" w:rsidR="004D4B0C" w:rsidRDefault="00252C8D">
      <w:pPr>
        <w:spacing w:line="758" w:lineRule="exact"/>
        <w:ind w:firstLine="1490"/>
      </w:pPr>
      <w:bookmarkStart w:id="0" w:name="_Hlk150983693"/>
      <w:bookmarkStart w:id="1" w:name="_Hlk196399319"/>
      <w:bookmarkStart w:id="2" w:name="_Hlk154685889"/>
      <w:r>
        <w:rPr>
          <w:noProof/>
          <w:position w:val="-15"/>
        </w:rPr>
        <w:drawing>
          <wp:inline distT="0" distB="0" distL="0" distR="0" wp14:anchorId="5617F7AE" wp14:editId="7085C379">
            <wp:extent cx="1676400" cy="481330"/>
            <wp:effectExtent l="0" t="0" r="0" b="6350"/>
            <wp:docPr id="1" name="IM 2"/>
            <wp:cNvGraphicFramePr/>
            <a:graphic xmlns:a="http://schemas.openxmlformats.org/drawingml/2006/main">
              <a:graphicData uri="http://schemas.openxmlformats.org/drawingml/2006/picture">
                <pic:pic xmlns:pic="http://schemas.openxmlformats.org/drawingml/2006/picture">
                  <pic:nvPicPr>
                    <pic:cNvPr id="1" name="IM 2"/>
                    <pic:cNvPicPr/>
                  </pic:nvPicPr>
                  <pic:blipFill>
                    <a:blip r:embed="rId9"/>
                    <a:stretch>
                      <a:fillRect/>
                    </a:stretch>
                  </pic:blipFill>
                  <pic:spPr>
                    <a:xfrm>
                      <a:off x="0" y="0"/>
                      <a:ext cx="1676400" cy="481583"/>
                    </a:xfrm>
                    <a:prstGeom prst="rect">
                      <a:avLst/>
                    </a:prstGeom>
                  </pic:spPr>
                </pic:pic>
              </a:graphicData>
            </a:graphic>
          </wp:inline>
        </w:drawing>
      </w:r>
    </w:p>
    <w:p w14:paraId="53BC1DC8" w14:textId="77777777" w:rsidR="004D4B0C" w:rsidRDefault="004D4B0C">
      <w:pPr>
        <w:pStyle w:val="a4"/>
        <w:spacing w:line="287" w:lineRule="auto"/>
      </w:pPr>
    </w:p>
    <w:p w14:paraId="72CF6EC0" w14:textId="77777777" w:rsidR="004D4B0C" w:rsidRDefault="004D4B0C">
      <w:pPr>
        <w:pStyle w:val="a4"/>
        <w:spacing w:line="288" w:lineRule="auto"/>
      </w:pPr>
    </w:p>
    <w:p w14:paraId="1AD8A793" w14:textId="77777777" w:rsidR="004D4B0C" w:rsidRDefault="004D4B0C">
      <w:pPr>
        <w:pStyle w:val="a4"/>
        <w:spacing w:line="288" w:lineRule="auto"/>
      </w:pPr>
    </w:p>
    <w:p w14:paraId="04A17491" w14:textId="77777777" w:rsidR="004D4B0C" w:rsidRDefault="004D4B0C">
      <w:pPr>
        <w:pStyle w:val="a4"/>
        <w:spacing w:line="288" w:lineRule="auto"/>
      </w:pPr>
    </w:p>
    <w:p w14:paraId="4101A110" w14:textId="77777777" w:rsidR="004D4B0C" w:rsidRDefault="004D4B0C">
      <w:pPr>
        <w:pStyle w:val="a4"/>
        <w:spacing w:line="288" w:lineRule="auto"/>
      </w:pPr>
    </w:p>
    <w:p w14:paraId="768CBA1A" w14:textId="77777777" w:rsidR="004D4B0C" w:rsidRDefault="00252C8D">
      <w:pPr>
        <w:spacing w:beforeLines="100" w:before="240" w:line="360" w:lineRule="auto"/>
        <w:jc w:val="center"/>
        <w:rPr>
          <w:rFonts w:ascii="黑体" w:eastAsia="黑体" w:hAnsi="黑体" w:cs="黑体"/>
          <w:sz w:val="36"/>
          <w:szCs w:val="36"/>
        </w:rPr>
      </w:pPr>
      <w:r>
        <w:rPr>
          <w:rFonts w:ascii="黑体" w:eastAsia="黑体" w:hAnsi="黑体" w:cs="黑体" w:hint="eastAsia"/>
          <w:b/>
          <w:bCs/>
          <w:spacing w:val="6"/>
          <w:sz w:val="36"/>
          <w:szCs w:val="36"/>
        </w:rPr>
        <w:t>湖南启元律师事务所</w:t>
      </w:r>
    </w:p>
    <w:p w14:paraId="0FCC68BD" w14:textId="77777777" w:rsidR="004D4B0C" w:rsidRDefault="00252C8D">
      <w:pPr>
        <w:spacing w:beforeLines="100" w:before="240" w:line="360" w:lineRule="auto"/>
        <w:jc w:val="center"/>
        <w:rPr>
          <w:rFonts w:ascii="黑体" w:eastAsia="黑体" w:hAnsi="黑体" w:cs="黑体"/>
          <w:sz w:val="36"/>
          <w:szCs w:val="36"/>
        </w:rPr>
      </w:pPr>
      <w:r>
        <w:rPr>
          <w:rFonts w:ascii="黑体" w:eastAsia="黑体" w:hAnsi="黑体" w:cs="黑体" w:hint="eastAsia"/>
          <w:b/>
          <w:bCs/>
          <w:spacing w:val="-6"/>
          <w:sz w:val="36"/>
          <w:szCs w:val="36"/>
        </w:rPr>
        <w:t>关于</w:t>
      </w:r>
    </w:p>
    <w:p w14:paraId="2FDAE6B7" w14:textId="77777777" w:rsidR="004D4B0C" w:rsidRDefault="004D4B0C">
      <w:pPr>
        <w:spacing w:beforeLines="100" w:before="240" w:line="360" w:lineRule="auto"/>
        <w:jc w:val="center"/>
        <w:rPr>
          <w:rFonts w:ascii="黑体" w:eastAsia="黑体" w:hAnsi="黑体" w:cs="黑体"/>
          <w:b/>
          <w:bCs/>
          <w:spacing w:val="6"/>
          <w:sz w:val="36"/>
          <w:szCs w:val="36"/>
        </w:rPr>
      </w:pPr>
    </w:p>
    <w:p w14:paraId="7BD1BBF7" w14:textId="77777777" w:rsidR="004D4B0C" w:rsidRDefault="00252C8D">
      <w:pPr>
        <w:spacing w:beforeLines="100" w:before="240" w:line="360" w:lineRule="auto"/>
        <w:jc w:val="center"/>
        <w:rPr>
          <w:rFonts w:ascii="黑体" w:eastAsia="黑体" w:hAnsi="黑体" w:cs="黑体"/>
          <w:sz w:val="36"/>
          <w:szCs w:val="36"/>
        </w:rPr>
      </w:pPr>
      <w:r>
        <w:rPr>
          <w:rFonts w:ascii="黑体" w:eastAsia="黑体" w:hAnsi="黑体" w:cs="黑体" w:hint="eastAsia"/>
          <w:b/>
          <w:bCs/>
          <w:spacing w:val="6"/>
          <w:sz w:val="36"/>
          <w:szCs w:val="36"/>
        </w:rPr>
        <w:t>广东天亿马信息产业股份有限公司</w:t>
      </w:r>
    </w:p>
    <w:p w14:paraId="3824E97E" w14:textId="77777777" w:rsidR="004D4B0C" w:rsidRDefault="00252C8D">
      <w:pPr>
        <w:tabs>
          <w:tab w:val="left" w:pos="9660"/>
        </w:tabs>
        <w:spacing w:beforeLines="100" w:before="240" w:line="360" w:lineRule="auto"/>
        <w:jc w:val="center"/>
        <w:rPr>
          <w:rFonts w:ascii="黑体" w:eastAsia="黑体" w:hAnsi="黑体" w:cs="黑体"/>
          <w:b/>
          <w:bCs/>
          <w:spacing w:val="6"/>
          <w:sz w:val="36"/>
          <w:szCs w:val="36"/>
        </w:rPr>
      </w:pPr>
      <w:r>
        <w:rPr>
          <w:rFonts w:ascii="黑体" w:eastAsia="黑体" w:hAnsi="黑体" w:cs="黑体" w:hint="eastAsia"/>
          <w:b/>
          <w:bCs/>
          <w:spacing w:val="6"/>
          <w:sz w:val="36"/>
          <w:szCs w:val="36"/>
        </w:rPr>
        <w:t>发行股份及支付现金购买资产暨关联交易</w:t>
      </w:r>
    </w:p>
    <w:p w14:paraId="7B1E5CDD" w14:textId="77777777" w:rsidR="004D4B0C" w:rsidRDefault="00252C8D">
      <w:pPr>
        <w:tabs>
          <w:tab w:val="left" w:pos="9660"/>
        </w:tabs>
        <w:spacing w:beforeLines="100" w:before="240" w:line="360" w:lineRule="auto"/>
        <w:jc w:val="center"/>
        <w:rPr>
          <w:rFonts w:ascii="黑体" w:eastAsia="黑体" w:hAnsi="黑体" w:cs="黑体"/>
          <w:sz w:val="36"/>
          <w:szCs w:val="36"/>
        </w:rPr>
      </w:pPr>
      <w:r>
        <w:rPr>
          <w:rFonts w:ascii="黑体" w:eastAsia="黑体" w:hAnsi="黑体" w:cs="黑体" w:hint="eastAsia"/>
          <w:b/>
          <w:bCs/>
          <w:spacing w:val="6"/>
          <w:sz w:val="36"/>
          <w:szCs w:val="36"/>
        </w:rPr>
        <w:t>相关主体买卖上市公司股票的</w:t>
      </w:r>
    </w:p>
    <w:p w14:paraId="56DD7F2C" w14:textId="77777777" w:rsidR="004D4B0C" w:rsidRDefault="004D4B0C">
      <w:pPr>
        <w:spacing w:beforeLines="100" w:before="240" w:line="360" w:lineRule="auto"/>
        <w:jc w:val="center"/>
        <w:rPr>
          <w:rFonts w:ascii="黑体" w:eastAsia="黑体" w:hAnsi="黑体" w:cs="黑体"/>
          <w:b/>
          <w:bCs/>
          <w:spacing w:val="4"/>
          <w:sz w:val="36"/>
          <w:szCs w:val="36"/>
        </w:rPr>
      </w:pPr>
    </w:p>
    <w:p w14:paraId="0A64A29D" w14:textId="77777777" w:rsidR="004D4B0C" w:rsidRDefault="00252C8D">
      <w:pPr>
        <w:spacing w:beforeLines="100" w:before="240" w:line="360" w:lineRule="auto"/>
        <w:jc w:val="center"/>
        <w:rPr>
          <w:rFonts w:ascii="黑体" w:eastAsia="黑体" w:hAnsi="黑体" w:cs="黑体"/>
          <w:sz w:val="36"/>
          <w:szCs w:val="36"/>
        </w:rPr>
      </w:pPr>
      <w:r>
        <w:rPr>
          <w:rFonts w:ascii="黑体" w:eastAsia="黑体" w:hAnsi="黑体" w:cs="黑体" w:hint="eastAsia"/>
          <w:b/>
          <w:bCs/>
          <w:spacing w:val="4"/>
          <w:sz w:val="36"/>
          <w:szCs w:val="36"/>
        </w:rPr>
        <w:t>专项核查意见</w:t>
      </w:r>
    </w:p>
    <w:p w14:paraId="51BF1C87" w14:textId="77777777" w:rsidR="004D4B0C" w:rsidRDefault="004D4B0C">
      <w:pPr>
        <w:pStyle w:val="a4"/>
        <w:spacing w:line="241" w:lineRule="auto"/>
        <w:rPr>
          <w:rFonts w:ascii="黑体" w:eastAsia="黑体" w:hAnsi="黑体" w:cs="黑体"/>
        </w:rPr>
      </w:pPr>
    </w:p>
    <w:p w14:paraId="2BB6496D" w14:textId="77777777" w:rsidR="004D4B0C" w:rsidRDefault="004D4B0C">
      <w:pPr>
        <w:pStyle w:val="a4"/>
        <w:spacing w:line="242" w:lineRule="auto"/>
        <w:rPr>
          <w:rFonts w:ascii="黑体" w:eastAsia="黑体" w:hAnsi="黑体" w:cs="黑体"/>
        </w:rPr>
      </w:pPr>
    </w:p>
    <w:p w14:paraId="0B2BA109" w14:textId="77777777" w:rsidR="004D4B0C" w:rsidRDefault="004D4B0C">
      <w:pPr>
        <w:pStyle w:val="a4"/>
        <w:spacing w:line="242" w:lineRule="auto"/>
        <w:rPr>
          <w:rFonts w:ascii="黑体" w:eastAsia="黑体" w:hAnsi="黑体" w:cs="黑体"/>
        </w:rPr>
      </w:pPr>
    </w:p>
    <w:p w14:paraId="23CD7FDB" w14:textId="77777777" w:rsidR="004D4B0C" w:rsidRDefault="004D4B0C">
      <w:pPr>
        <w:pStyle w:val="a4"/>
        <w:spacing w:line="242" w:lineRule="auto"/>
        <w:rPr>
          <w:rFonts w:ascii="黑体" w:eastAsia="黑体" w:hAnsi="黑体" w:cs="黑体"/>
        </w:rPr>
      </w:pPr>
    </w:p>
    <w:p w14:paraId="1DAEC722" w14:textId="77777777" w:rsidR="004D4B0C" w:rsidRDefault="004D4B0C">
      <w:pPr>
        <w:pStyle w:val="a4"/>
        <w:spacing w:line="242" w:lineRule="auto"/>
        <w:rPr>
          <w:rFonts w:ascii="黑体" w:eastAsia="黑体" w:hAnsi="黑体" w:cs="黑体"/>
        </w:rPr>
      </w:pPr>
    </w:p>
    <w:p w14:paraId="551A1D45" w14:textId="77777777" w:rsidR="004D4B0C" w:rsidRDefault="004D4B0C">
      <w:pPr>
        <w:spacing w:before="92" w:line="224" w:lineRule="auto"/>
        <w:rPr>
          <w:rFonts w:ascii="黑体" w:eastAsia="黑体" w:hAnsi="黑体" w:cs="黑体"/>
          <w:spacing w:val="-3"/>
          <w:sz w:val="28"/>
          <w:szCs w:val="28"/>
        </w:rPr>
      </w:pPr>
    </w:p>
    <w:p w14:paraId="65E1C990" w14:textId="77777777" w:rsidR="004D4B0C" w:rsidRDefault="00252C8D">
      <w:pPr>
        <w:spacing w:before="92" w:line="224" w:lineRule="auto"/>
        <w:ind w:left="4971"/>
        <w:rPr>
          <w:rFonts w:ascii="黑体" w:eastAsia="黑体" w:hAnsi="黑体" w:cs="黑体"/>
          <w:sz w:val="28"/>
          <w:szCs w:val="28"/>
        </w:rPr>
      </w:pPr>
      <w:r>
        <w:rPr>
          <w:rFonts w:ascii="黑体" w:eastAsia="黑体" w:hAnsi="黑体" w:cs="黑体" w:hint="eastAsia"/>
          <w:spacing w:val="-3"/>
          <w:sz w:val="28"/>
          <w:szCs w:val="28"/>
        </w:rPr>
        <w:t>二〇二五年十二月</w:t>
      </w:r>
    </w:p>
    <w:p w14:paraId="21FE8FED" w14:textId="77777777" w:rsidR="004D4B0C" w:rsidRDefault="004D4B0C">
      <w:pPr>
        <w:pStyle w:val="a4"/>
        <w:spacing w:line="246" w:lineRule="auto"/>
        <w:rPr>
          <w:rFonts w:ascii="黑体" w:eastAsia="黑体" w:hAnsi="黑体" w:cs="黑体"/>
        </w:rPr>
      </w:pPr>
    </w:p>
    <w:p w14:paraId="3DE43F2E" w14:textId="77777777" w:rsidR="004D4B0C" w:rsidRDefault="004D4B0C">
      <w:pPr>
        <w:pStyle w:val="a4"/>
        <w:spacing w:line="246" w:lineRule="auto"/>
        <w:rPr>
          <w:rFonts w:ascii="黑体" w:eastAsia="黑体" w:hAnsi="黑体" w:cs="黑体"/>
        </w:rPr>
      </w:pPr>
    </w:p>
    <w:p w14:paraId="78589782" w14:textId="77777777" w:rsidR="004D4B0C" w:rsidRDefault="004D4B0C">
      <w:pPr>
        <w:pStyle w:val="a4"/>
        <w:spacing w:line="246" w:lineRule="auto"/>
        <w:rPr>
          <w:rFonts w:ascii="黑体" w:eastAsia="黑体" w:hAnsi="黑体" w:cs="黑体"/>
        </w:rPr>
      </w:pPr>
    </w:p>
    <w:p w14:paraId="79B94139" w14:textId="77777777" w:rsidR="004D4B0C" w:rsidRDefault="004D4B0C">
      <w:pPr>
        <w:pStyle w:val="a4"/>
        <w:spacing w:line="246" w:lineRule="auto"/>
        <w:rPr>
          <w:rFonts w:ascii="黑体" w:eastAsia="黑体" w:hAnsi="黑体" w:cs="黑体"/>
        </w:rPr>
      </w:pPr>
    </w:p>
    <w:p w14:paraId="5308103B" w14:textId="77777777" w:rsidR="004D4B0C" w:rsidRDefault="00252C8D">
      <w:pPr>
        <w:spacing w:before="78" w:line="219" w:lineRule="auto"/>
        <w:ind w:left="2874"/>
        <w:rPr>
          <w:rFonts w:ascii="黑体" w:eastAsia="黑体" w:hAnsi="黑体" w:cs="黑体"/>
          <w:sz w:val="24"/>
        </w:rPr>
      </w:pPr>
      <w:r>
        <w:rPr>
          <w:rFonts w:ascii="黑体" w:eastAsia="黑体" w:hAnsi="黑体" w:cs="黑体" w:hint="eastAsia"/>
          <w:b/>
          <w:bCs/>
          <w:spacing w:val="1"/>
          <w:sz w:val="24"/>
        </w:rPr>
        <w:t>湖南省长沙市芙蓉区建湘路</w:t>
      </w:r>
      <w:r>
        <w:rPr>
          <w:rFonts w:ascii="黑体" w:eastAsia="黑体" w:hAnsi="黑体" w:cs="黑体" w:hint="eastAsia"/>
          <w:spacing w:val="-56"/>
          <w:sz w:val="24"/>
        </w:rPr>
        <w:t xml:space="preserve"> </w:t>
      </w:r>
      <w:r>
        <w:rPr>
          <w:rFonts w:ascii="黑体" w:eastAsia="黑体" w:hAnsi="黑体" w:cs="黑体" w:hint="eastAsia"/>
          <w:b/>
          <w:bCs/>
          <w:spacing w:val="1"/>
          <w:sz w:val="24"/>
        </w:rPr>
        <w:t xml:space="preserve">393 </w:t>
      </w:r>
      <w:r>
        <w:rPr>
          <w:rFonts w:ascii="黑体" w:eastAsia="黑体" w:hAnsi="黑体" w:cs="黑体" w:hint="eastAsia"/>
          <w:b/>
          <w:bCs/>
          <w:spacing w:val="1"/>
          <w:sz w:val="24"/>
        </w:rPr>
        <w:t>号世茂</w:t>
      </w:r>
      <w:r>
        <w:rPr>
          <w:rFonts w:ascii="黑体" w:eastAsia="黑体" w:hAnsi="黑体" w:cs="黑体" w:hint="eastAsia"/>
          <w:b/>
          <w:bCs/>
          <w:sz w:val="24"/>
        </w:rPr>
        <w:t>环球金融中心</w:t>
      </w:r>
      <w:r>
        <w:rPr>
          <w:rFonts w:ascii="黑体" w:eastAsia="黑体" w:hAnsi="黑体" w:cs="黑体" w:hint="eastAsia"/>
          <w:b/>
          <w:bCs/>
          <w:sz w:val="24"/>
        </w:rPr>
        <w:t xml:space="preserve">63 </w:t>
      </w:r>
      <w:r>
        <w:rPr>
          <w:rFonts w:ascii="黑体" w:eastAsia="黑体" w:hAnsi="黑体" w:cs="黑体" w:hint="eastAsia"/>
          <w:b/>
          <w:bCs/>
          <w:sz w:val="24"/>
        </w:rPr>
        <w:t>层</w:t>
      </w:r>
    </w:p>
    <w:p w14:paraId="77639041" w14:textId="77777777" w:rsidR="004D4B0C" w:rsidRDefault="00252C8D">
      <w:pPr>
        <w:spacing w:before="226" w:line="219" w:lineRule="auto"/>
        <w:ind w:left="2948"/>
        <w:rPr>
          <w:rFonts w:ascii="黑体" w:eastAsia="黑体" w:hAnsi="黑体" w:cs="黑体"/>
          <w:sz w:val="24"/>
        </w:rPr>
      </w:pPr>
      <w:r>
        <w:rPr>
          <w:rFonts w:ascii="黑体" w:eastAsia="黑体" w:hAnsi="黑体" w:cs="黑体" w:hint="eastAsia"/>
          <w:b/>
          <w:bCs/>
          <w:spacing w:val="-2"/>
          <w:sz w:val="24"/>
        </w:rPr>
        <w:t>电话：</w:t>
      </w:r>
      <w:r>
        <w:rPr>
          <w:rFonts w:ascii="黑体" w:eastAsia="黑体" w:hAnsi="黑体" w:cs="黑体" w:hint="eastAsia"/>
          <w:b/>
          <w:bCs/>
          <w:spacing w:val="-2"/>
          <w:sz w:val="24"/>
        </w:rPr>
        <w:t xml:space="preserve">0731-82953778 </w:t>
      </w:r>
      <w:r>
        <w:rPr>
          <w:rFonts w:ascii="黑体" w:eastAsia="黑体" w:hAnsi="黑体" w:cs="黑体" w:hint="eastAsia"/>
          <w:b/>
          <w:bCs/>
          <w:spacing w:val="-2"/>
          <w:sz w:val="24"/>
        </w:rPr>
        <w:t>传真：</w:t>
      </w:r>
      <w:r>
        <w:rPr>
          <w:rFonts w:ascii="黑体" w:eastAsia="黑体" w:hAnsi="黑体" w:cs="黑体" w:hint="eastAsia"/>
          <w:b/>
          <w:bCs/>
          <w:spacing w:val="-2"/>
          <w:sz w:val="24"/>
        </w:rPr>
        <w:t>0731-82953779</w:t>
      </w:r>
      <w:r>
        <w:rPr>
          <w:rFonts w:ascii="黑体" w:eastAsia="黑体" w:hAnsi="黑体" w:cs="黑体" w:hint="eastAsia"/>
          <w:b/>
          <w:bCs/>
          <w:spacing w:val="31"/>
          <w:sz w:val="24"/>
        </w:rPr>
        <w:t xml:space="preserve"> </w:t>
      </w:r>
      <w:r>
        <w:rPr>
          <w:rFonts w:ascii="黑体" w:eastAsia="黑体" w:hAnsi="黑体" w:cs="黑体" w:hint="eastAsia"/>
          <w:b/>
          <w:bCs/>
          <w:spacing w:val="-2"/>
          <w:sz w:val="24"/>
        </w:rPr>
        <w:t>邮编：</w:t>
      </w:r>
      <w:r>
        <w:rPr>
          <w:rFonts w:ascii="黑体" w:eastAsia="黑体" w:hAnsi="黑体" w:cs="黑体" w:hint="eastAsia"/>
          <w:b/>
          <w:bCs/>
          <w:spacing w:val="-2"/>
          <w:sz w:val="24"/>
        </w:rPr>
        <w:t>410000</w:t>
      </w:r>
    </w:p>
    <w:p w14:paraId="41A2123D" w14:textId="77777777" w:rsidR="004D4B0C" w:rsidRDefault="00252C8D">
      <w:pPr>
        <w:spacing w:before="230" w:line="210" w:lineRule="auto"/>
        <w:ind w:left="4703"/>
        <w:rPr>
          <w:rFonts w:ascii="黑体" w:eastAsia="黑体" w:hAnsi="黑体" w:cs="黑体"/>
        </w:rPr>
      </w:pPr>
      <w:r>
        <w:rPr>
          <w:rFonts w:ascii="黑体" w:eastAsia="黑体" w:hAnsi="黑体" w:cs="黑体" w:hint="eastAsia"/>
          <w:b/>
          <w:bCs/>
          <w:spacing w:val="-2"/>
          <w:sz w:val="24"/>
        </w:rPr>
        <w:t>网站：</w:t>
      </w:r>
      <w:hyperlink r:id="rId10" w:history="1">
        <w:r w:rsidR="004D4B0C">
          <w:rPr>
            <w:rFonts w:ascii="黑体" w:eastAsia="黑体" w:hAnsi="黑体" w:cs="黑体" w:hint="eastAsia"/>
            <w:b/>
            <w:bCs/>
            <w:spacing w:val="-2"/>
            <w:sz w:val="24"/>
          </w:rPr>
          <w:t>www.qiyuan.com</w:t>
        </w:r>
      </w:hyperlink>
    </w:p>
    <w:p w14:paraId="01A2751F" w14:textId="77777777" w:rsidR="004D4B0C" w:rsidRDefault="004D4B0C">
      <w:pPr>
        <w:pStyle w:val="a4"/>
        <w:spacing w:line="274" w:lineRule="auto"/>
      </w:pPr>
    </w:p>
    <w:p w14:paraId="5073DA43" w14:textId="77777777" w:rsidR="004D4B0C" w:rsidRDefault="00252C8D">
      <w:pPr>
        <w:spacing w:line="446" w:lineRule="exact"/>
      </w:pPr>
      <w:r>
        <w:rPr>
          <w:noProof/>
          <w:position w:val="-8"/>
        </w:rPr>
        <w:drawing>
          <wp:inline distT="0" distB="0" distL="0" distR="0" wp14:anchorId="56A8DD0F" wp14:editId="27357C11">
            <wp:extent cx="7549515" cy="283210"/>
            <wp:effectExtent l="0" t="0" r="9525" b="635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
                    <a:stretch>
                      <a:fillRect/>
                    </a:stretch>
                  </pic:blipFill>
                  <pic:spPr>
                    <a:xfrm>
                      <a:off x="0" y="0"/>
                      <a:ext cx="7549641" cy="283463"/>
                    </a:xfrm>
                    <a:prstGeom prst="rect">
                      <a:avLst/>
                    </a:prstGeom>
                  </pic:spPr>
                </pic:pic>
              </a:graphicData>
            </a:graphic>
          </wp:inline>
        </w:drawing>
      </w:r>
    </w:p>
    <w:p w14:paraId="0789186F" w14:textId="77777777" w:rsidR="004D4B0C" w:rsidRDefault="004D4B0C">
      <w:pPr>
        <w:spacing w:line="446" w:lineRule="exact"/>
        <w:sectPr w:rsidR="004D4B0C">
          <w:pgSz w:w="11906" w:h="16839"/>
          <w:pgMar w:top="955" w:right="0" w:bottom="0" w:left="16" w:header="0" w:footer="0" w:gutter="0"/>
          <w:cols w:space="720"/>
        </w:sectPr>
      </w:pPr>
    </w:p>
    <w:p w14:paraId="317AFBF8" w14:textId="77777777" w:rsidR="004D4B0C" w:rsidRDefault="00252C8D">
      <w:pPr>
        <w:widowControl/>
        <w:kinsoku w:val="0"/>
        <w:autoSpaceDE w:val="0"/>
        <w:autoSpaceDN w:val="0"/>
        <w:adjustRightInd w:val="0"/>
        <w:snapToGrid w:val="0"/>
        <w:spacing w:beforeLines="50" w:before="120" w:line="360" w:lineRule="auto"/>
        <w:textAlignment w:val="baseline"/>
        <w:rPr>
          <w:rFonts w:ascii="宋体" w:eastAsia="宋体" w:hAnsi="宋体" w:cs="宋体"/>
          <w:sz w:val="24"/>
        </w:rPr>
      </w:pPr>
      <w:r>
        <w:rPr>
          <w:rFonts w:ascii="宋体" w:eastAsia="宋体" w:hAnsi="宋体" w:cs="宋体"/>
          <w:b/>
          <w:bCs/>
          <w:spacing w:val="-3"/>
          <w:sz w:val="24"/>
        </w:rPr>
        <w:lastRenderedPageBreak/>
        <w:t>致：</w:t>
      </w:r>
      <w:r>
        <w:rPr>
          <w:rFonts w:ascii="宋体" w:eastAsia="宋体" w:hAnsi="宋体" w:cs="宋体" w:hint="eastAsia"/>
          <w:b/>
          <w:bCs/>
          <w:spacing w:val="-3"/>
          <w:sz w:val="24"/>
        </w:rPr>
        <w:t>广东天亿马信息产业股份有限公司</w:t>
      </w:r>
    </w:p>
    <w:p w14:paraId="562121EC" w14:textId="77777777" w:rsidR="004D4B0C" w:rsidRDefault="00252C8D">
      <w:pPr>
        <w:widowControl/>
        <w:kinsoku w:val="0"/>
        <w:autoSpaceDE w:val="0"/>
        <w:autoSpaceDN w:val="0"/>
        <w:adjustRightInd w:val="0"/>
        <w:snapToGrid w:val="0"/>
        <w:spacing w:beforeLines="50" w:before="120" w:line="360" w:lineRule="auto"/>
        <w:ind w:firstLineChars="200" w:firstLine="464"/>
        <w:textAlignment w:val="baseline"/>
        <w:rPr>
          <w:rFonts w:ascii="宋体" w:eastAsia="宋体" w:hAnsi="宋体" w:cs="宋体"/>
          <w:sz w:val="24"/>
        </w:rPr>
      </w:pPr>
      <w:r>
        <w:rPr>
          <w:rFonts w:ascii="宋体" w:eastAsia="宋体" w:hAnsi="宋体" w:cs="宋体"/>
          <w:spacing w:val="-4"/>
          <w:sz w:val="24"/>
        </w:rPr>
        <w:t>湖南启元律师事务所（以下简称</w:t>
      </w:r>
      <w:r>
        <w:rPr>
          <w:rFonts w:ascii="宋体" w:eastAsia="宋体" w:hAnsi="宋体" w:cs="宋体"/>
          <w:spacing w:val="-4"/>
          <w:sz w:val="24"/>
        </w:rPr>
        <w:t>“</w:t>
      </w:r>
      <w:r>
        <w:rPr>
          <w:rFonts w:ascii="宋体" w:eastAsia="宋体" w:hAnsi="宋体" w:cs="宋体"/>
          <w:spacing w:val="-4"/>
          <w:sz w:val="24"/>
        </w:rPr>
        <w:t>本所</w:t>
      </w:r>
      <w:r>
        <w:rPr>
          <w:rFonts w:ascii="宋体" w:eastAsia="宋体" w:hAnsi="宋体" w:cs="宋体"/>
          <w:spacing w:val="-89"/>
          <w:sz w:val="24"/>
        </w:rPr>
        <w:t xml:space="preserve"> </w:t>
      </w:r>
      <w:r>
        <w:rPr>
          <w:rFonts w:ascii="宋体" w:eastAsia="宋体" w:hAnsi="宋体" w:cs="宋体"/>
          <w:spacing w:val="-4"/>
          <w:sz w:val="24"/>
        </w:rPr>
        <w:t>”</w:t>
      </w:r>
      <w:r>
        <w:rPr>
          <w:rFonts w:ascii="宋体" w:eastAsia="宋体" w:hAnsi="宋体" w:cs="宋体"/>
          <w:spacing w:val="-4"/>
          <w:sz w:val="24"/>
        </w:rPr>
        <w:t>）接受</w:t>
      </w:r>
      <w:r>
        <w:rPr>
          <w:rFonts w:ascii="宋体" w:eastAsia="宋体" w:hAnsi="宋体" w:cs="宋体" w:hint="eastAsia"/>
          <w:spacing w:val="-4"/>
          <w:sz w:val="24"/>
        </w:rPr>
        <w:t>广东天亿马信息产业股份有限公司</w:t>
      </w:r>
      <w:r>
        <w:rPr>
          <w:rFonts w:ascii="宋体" w:eastAsia="宋体" w:hAnsi="宋体" w:cs="宋体"/>
          <w:spacing w:val="-5"/>
          <w:sz w:val="24"/>
        </w:rPr>
        <w:t>（以下简称</w:t>
      </w:r>
      <w:r>
        <w:rPr>
          <w:rFonts w:ascii="宋体" w:eastAsia="宋体" w:hAnsi="宋体" w:cs="宋体"/>
          <w:spacing w:val="-5"/>
          <w:sz w:val="24"/>
        </w:rPr>
        <w:t>“</w:t>
      </w:r>
      <w:r>
        <w:rPr>
          <w:rFonts w:ascii="宋体" w:eastAsia="宋体" w:hAnsi="宋体" w:cs="宋体"/>
          <w:spacing w:val="-5"/>
          <w:sz w:val="24"/>
        </w:rPr>
        <w:t>上市公司</w:t>
      </w:r>
      <w:r>
        <w:rPr>
          <w:rFonts w:ascii="宋体" w:eastAsia="宋体" w:hAnsi="宋体" w:cs="宋体"/>
          <w:spacing w:val="-84"/>
          <w:sz w:val="24"/>
        </w:rPr>
        <w:t xml:space="preserve"> </w:t>
      </w:r>
      <w:r>
        <w:rPr>
          <w:rFonts w:ascii="宋体" w:eastAsia="宋体" w:hAnsi="宋体" w:cs="宋体"/>
          <w:spacing w:val="-5"/>
          <w:sz w:val="24"/>
        </w:rPr>
        <w:t>”</w:t>
      </w:r>
      <w:r>
        <w:rPr>
          <w:rFonts w:ascii="宋体" w:eastAsia="宋体" w:hAnsi="宋体" w:cs="宋体"/>
          <w:spacing w:val="-5"/>
          <w:sz w:val="24"/>
        </w:rPr>
        <w:t>或</w:t>
      </w:r>
      <w:r>
        <w:rPr>
          <w:rFonts w:ascii="宋体" w:eastAsia="宋体" w:hAnsi="宋体" w:cs="宋体"/>
          <w:spacing w:val="-5"/>
          <w:sz w:val="24"/>
        </w:rPr>
        <w:t>“</w:t>
      </w:r>
      <w:r>
        <w:rPr>
          <w:rFonts w:ascii="宋体" w:eastAsia="宋体" w:hAnsi="宋体" w:cs="宋体" w:hint="eastAsia"/>
          <w:spacing w:val="-5"/>
          <w:sz w:val="24"/>
        </w:rPr>
        <w:t>天亿马</w:t>
      </w:r>
      <w:r>
        <w:rPr>
          <w:rFonts w:ascii="宋体" w:eastAsia="宋体" w:hAnsi="宋体" w:cs="宋体"/>
          <w:spacing w:val="-88"/>
          <w:sz w:val="24"/>
        </w:rPr>
        <w:t xml:space="preserve"> </w:t>
      </w:r>
      <w:r>
        <w:rPr>
          <w:rFonts w:ascii="宋体" w:eastAsia="宋体" w:hAnsi="宋体" w:cs="宋体"/>
          <w:spacing w:val="-5"/>
          <w:sz w:val="24"/>
        </w:rPr>
        <w:t>”</w:t>
      </w:r>
      <w:r>
        <w:rPr>
          <w:rFonts w:ascii="宋体" w:eastAsia="宋体" w:hAnsi="宋体" w:cs="宋体"/>
          <w:spacing w:val="-5"/>
          <w:sz w:val="24"/>
        </w:rPr>
        <w:t>）委托，担任</w:t>
      </w:r>
      <w:r>
        <w:rPr>
          <w:rFonts w:ascii="宋体" w:eastAsia="宋体" w:hAnsi="宋体" w:cs="宋体" w:hint="eastAsia"/>
          <w:spacing w:val="-5"/>
          <w:sz w:val="24"/>
        </w:rPr>
        <w:t>天亿马</w:t>
      </w:r>
      <w:r>
        <w:rPr>
          <w:rFonts w:ascii="宋体" w:eastAsia="宋体" w:hAnsi="宋体" w:cs="宋体"/>
          <w:spacing w:val="-5"/>
          <w:sz w:val="24"/>
        </w:rPr>
        <w:t>发行股份及支</w:t>
      </w:r>
      <w:r>
        <w:rPr>
          <w:rFonts w:ascii="宋体" w:eastAsia="宋体" w:hAnsi="宋体" w:cs="宋体"/>
          <w:spacing w:val="-1"/>
          <w:sz w:val="24"/>
        </w:rPr>
        <w:t>付现金购买资产</w:t>
      </w:r>
      <w:r>
        <w:rPr>
          <w:rFonts w:ascii="Times New Roman" w:hAnsi="Times New Roman" w:cs="Times New Roman" w:hint="eastAsia"/>
          <w:bCs/>
          <w:sz w:val="24"/>
        </w:rPr>
        <w:t>并募集配套资金</w:t>
      </w:r>
      <w:r>
        <w:rPr>
          <w:rFonts w:ascii="宋体" w:eastAsia="宋体" w:hAnsi="宋体" w:cs="宋体"/>
          <w:spacing w:val="-1"/>
          <w:sz w:val="24"/>
        </w:rPr>
        <w:t>暨关联交易项目（以下简称</w:t>
      </w:r>
      <w:r>
        <w:rPr>
          <w:rFonts w:ascii="宋体" w:eastAsia="宋体" w:hAnsi="宋体" w:cs="宋体"/>
          <w:spacing w:val="-1"/>
          <w:sz w:val="24"/>
        </w:rPr>
        <w:t>“</w:t>
      </w:r>
      <w:r>
        <w:rPr>
          <w:rFonts w:ascii="宋体" w:eastAsia="宋体" w:hAnsi="宋体" w:cs="宋体"/>
          <w:spacing w:val="-1"/>
          <w:sz w:val="24"/>
        </w:rPr>
        <w:t>本次交易</w:t>
      </w:r>
      <w:r>
        <w:rPr>
          <w:rFonts w:ascii="宋体" w:eastAsia="宋体" w:hAnsi="宋体" w:cs="宋体"/>
          <w:spacing w:val="-88"/>
          <w:sz w:val="24"/>
        </w:rPr>
        <w:t xml:space="preserve"> </w:t>
      </w:r>
      <w:r>
        <w:rPr>
          <w:rFonts w:ascii="宋体" w:eastAsia="宋体" w:hAnsi="宋体" w:cs="宋体"/>
          <w:spacing w:val="-1"/>
          <w:sz w:val="24"/>
        </w:rPr>
        <w:t>”</w:t>
      </w:r>
      <w:r>
        <w:rPr>
          <w:rFonts w:ascii="宋体" w:eastAsia="宋体" w:hAnsi="宋体" w:cs="宋体"/>
          <w:spacing w:val="-2"/>
          <w:sz w:val="24"/>
        </w:rPr>
        <w:t>）的专项法律顾问。</w:t>
      </w:r>
    </w:p>
    <w:p w14:paraId="501F49DA" w14:textId="77777777" w:rsidR="004D4B0C" w:rsidRDefault="00252C8D">
      <w:pPr>
        <w:widowControl/>
        <w:kinsoku w:val="0"/>
        <w:autoSpaceDE w:val="0"/>
        <w:autoSpaceDN w:val="0"/>
        <w:adjustRightInd w:val="0"/>
        <w:snapToGrid w:val="0"/>
        <w:spacing w:beforeLines="50" w:before="120" w:line="360" w:lineRule="auto"/>
        <w:ind w:firstLineChars="200" w:firstLine="440"/>
        <w:textAlignment w:val="baseline"/>
        <w:rPr>
          <w:rFonts w:ascii="宋体" w:eastAsia="宋体" w:hAnsi="宋体" w:cs="宋体"/>
          <w:sz w:val="24"/>
        </w:rPr>
      </w:pPr>
      <w:r>
        <w:rPr>
          <w:rFonts w:ascii="宋体" w:eastAsia="宋体" w:hAnsi="宋体" w:cs="宋体"/>
          <w:spacing w:val="-10"/>
          <w:sz w:val="24"/>
        </w:rPr>
        <w:t>本所根据《中华人民共和国证券法》《上市公司重大资产重组管理</w:t>
      </w:r>
      <w:r>
        <w:rPr>
          <w:rFonts w:ascii="宋体" w:eastAsia="宋体" w:hAnsi="宋体" w:cs="宋体"/>
          <w:spacing w:val="-11"/>
          <w:sz w:val="24"/>
        </w:rPr>
        <w:t>办法》（以</w:t>
      </w:r>
      <w:r>
        <w:rPr>
          <w:rFonts w:ascii="宋体" w:eastAsia="宋体" w:hAnsi="宋体" w:cs="宋体"/>
          <w:spacing w:val="-3"/>
          <w:sz w:val="24"/>
        </w:rPr>
        <w:t>下简称</w:t>
      </w:r>
      <w:r>
        <w:rPr>
          <w:rFonts w:ascii="宋体" w:eastAsia="宋体" w:hAnsi="宋体" w:cs="宋体"/>
          <w:spacing w:val="-3"/>
          <w:sz w:val="24"/>
        </w:rPr>
        <w:t>“</w:t>
      </w:r>
      <w:r>
        <w:rPr>
          <w:rFonts w:ascii="宋体" w:eastAsia="宋体" w:hAnsi="宋体" w:cs="宋体"/>
          <w:spacing w:val="-3"/>
          <w:sz w:val="24"/>
        </w:rPr>
        <w:t>《重组管理办法》</w:t>
      </w:r>
      <w:r>
        <w:rPr>
          <w:rFonts w:ascii="宋体" w:eastAsia="宋体" w:hAnsi="宋体" w:cs="宋体"/>
          <w:spacing w:val="-3"/>
          <w:sz w:val="24"/>
        </w:rPr>
        <w:t>”</w:t>
      </w:r>
      <w:r>
        <w:rPr>
          <w:rFonts w:ascii="宋体" w:eastAsia="宋体" w:hAnsi="宋体" w:cs="宋体"/>
          <w:spacing w:val="-3"/>
          <w:sz w:val="24"/>
        </w:rPr>
        <w:t>）《公开发行证券的公司信息披露内容与格式准则第</w:t>
      </w:r>
      <w:r>
        <w:rPr>
          <w:rFonts w:ascii="Times New Roman" w:eastAsia="Times New Roman" w:hAnsi="Times New Roman" w:cs="Times New Roman"/>
          <w:spacing w:val="-3"/>
          <w:sz w:val="24"/>
        </w:rPr>
        <w:t>26</w:t>
      </w:r>
      <w:r>
        <w:rPr>
          <w:rFonts w:ascii="宋体" w:eastAsia="宋体" w:hAnsi="宋体" w:cs="宋体"/>
          <w:spacing w:val="-3"/>
          <w:sz w:val="24"/>
        </w:rPr>
        <w:t>号</w:t>
      </w:r>
      <w:r>
        <w:rPr>
          <w:rFonts w:ascii="Times New Roman" w:eastAsia="Times New Roman" w:hAnsi="Times New Roman" w:cs="Times New Roman"/>
          <w:spacing w:val="-3"/>
          <w:sz w:val="24"/>
        </w:rPr>
        <w:t>——</w:t>
      </w:r>
      <w:r>
        <w:rPr>
          <w:rFonts w:ascii="宋体" w:eastAsia="宋体" w:hAnsi="宋体" w:cs="宋体"/>
          <w:spacing w:val="-3"/>
          <w:sz w:val="24"/>
        </w:rPr>
        <w:t>上市公司重大资产重组》（以下简称</w:t>
      </w:r>
      <w:r>
        <w:rPr>
          <w:rFonts w:ascii="宋体" w:eastAsia="宋体" w:hAnsi="宋体" w:cs="宋体"/>
          <w:spacing w:val="-3"/>
          <w:sz w:val="24"/>
        </w:rPr>
        <w:t>“</w:t>
      </w:r>
      <w:r>
        <w:rPr>
          <w:rFonts w:ascii="宋体" w:eastAsia="宋体" w:hAnsi="宋体" w:cs="宋体"/>
          <w:spacing w:val="-3"/>
          <w:sz w:val="24"/>
        </w:rPr>
        <w:t>《</w:t>
      </w:r>
      <w:r>
        <w:rPr>
          <w:rFonts w:ascii="Times New Roman" w:eastAsia="Times New Roman" w:hAnsi="Times New Roman" w:cs="Times New Roman"/>
          <w:spacing w:val="-3"/>
          <w:sz w:val="24"/>
        </w:rPr>
        <w:t>26</w:t>
      </w:r>
      <w:r>
        <w:rPr>
          <w:rFonts w:ascii="宋体" w:eastAsia="宋体" w:hAnsi="宋体" w:cs="宋体"/>
          <w:spacing w:val="-3"/>
          <w:sz w:val="24"/>
        </w:rPr>
        <w:t>号格式准则》</w:t>
      </w:r>
      <w:r>
        <w:rPr>
          <w:rFonts w:ascii="宋体" w:eastAsia="宋体" w:hAnsi="宋体" w:cs="宋体"/>
          <w:spacing w:val="-3"/>
          <w:sz w:val="24"/>
        </w:rPr>
        <w:t>”</w:t>
      </w:r>
      <w:r>
        <w:rPr>
          <w:rFonts w:ascii="宋体" w:eastAsia="宋体" w:hAnsi="宋体" w:cs="宋体"/>
          <w:spacing w:val="-3"/>
          <w:sz w:val="24"/>
        </w:rPr>
        <w:t>）《监管</w:t>
      </w:r>
      <w:r>
        <w:rPr>
          <w:rFonts w:ascii="宋体" w:eastAsia="宋体" w:hAnsi="宋体" w:cs="宋体"/>
          <w:sz w:val="24"/>
        </w:rPr>
        <w:t>规则适用指引</w:t>
      </w:r>
      <w:r>
        <w:rPr>
          <w:rFonts w:ascii="Times New Roman" w:eastAsia="Times New Roman" w:hAnsi="Times New Roman" w:cs="Times New Roman"/>
          <w:sz w:val="24"/>
        </w:rPr>
        <w:t>——</w:t>
      </w:r>
      <w:r>
        <w:rPr>
          <w:rFonts w:ascii="宋体" w:eastAsia="宋体" w:hAnsi="宋体" w:cs="宋体"/>
          <w:sz w:val="24"/>
        </w:rPr>
        <w:t>上市类第</w:t>
      </w:r>
      <w:r>
        <w:rPr>
          <w:rFonts w:ascii="Times New Roman" w:eastAsia="Times New Roman" w:hAnsi="Times New Roman" w:cs="Times New Roman"/>
          <w:sz w:val="24"/>
        </w:rPr>
        <w:t>1</w:t>
      </w:r>
      <w:r>
        <w:rPr>
          <w:rFonts w:ascii="宋体" w:eastAsia="宋体" w:hAnsi="宋体" w:cs="宋体"/>
          <w:sz w:val="24"/>
        </w:rPr>
        <w:t>号》等法律、法规和规范性文件的有关规定，对本</w:t>
      </w:r>
      <w:r>
        <w:rPr>
          <w:rFonts w:ascii="宋体" w:eastAsia="宋体" w:hAnsi="宋体" w:cs="宋体"/>
          <w:spacing w:val="-3"/>
          <w:sz w:val="24"/>
        </w:rPr>
        <w:t>次交易的相关机构及人员在股票交易自查期间，即上市公司就本次交易申请股票停牌前六个月至披露《</w:t>
      </w:r>
      <w:r>
        <w:rPr>
          <w:rFonts w:ascii="宋体" w:eastAsia="宋体" w:hAnsi="宋体" w:cs="宋体" w:hint="eastAsia"/>
          <w:spacing w:val="-3"/>
          <w:sz w:val="24"/>
        </w:rPr>
        <w:t>广东天亿马信息产业股份有限公司</w:t>
      </w:r>
      <w:r>
        <w:rPr>
          <w:rFonts w:ascii="宋体" w:eastAsia="宋体" w:hAnsi="宋体" w:cs="宋体"/>
          <w:spacing w:val="-3"/>
          <w:sz w:val="24"/>
        </w:rPr>
        <w:t>发行股份及支付现金购买资产</w:t>
      </w:r>
      <w:r>
        <w:rPr>
          <w:rFonts w:ascii="Times New Roman" w:hAnsi="Times New Roman" w:cs="Times New Roman" w:hint="eastAsia"/>
          <w:bCs/>
          <w:sz w:val="24"/>
        </w:rPr>
        <w:t>并募集配套资金</w:t>
      </w:r>
      <w:r>
        <w:rPr>
          <w:rFonts w:ascii="宋体" w:eastAsia="宋体" w:hAnsi="宋体" w:cs="宋体"/>
          <w:spacing w:val="-3"/>
          <w:sz w:val="24"/>
        </w:rPr>
        <w:t>暨关联交易报告书（草案）》（以下简称</w:t>
      </w:r>
      <w:r>
        <w:rPr>
          <w:rFonts w:ascii="宋体" w:eastAsia="宋体" w:hAnsi="宋体" w:cs="宋体"/>
          <w:spacing w:val="-3"/>
          <w:sz w:val="24"/>
        </w:rPr>
        <w:t>“</w:t>
      </w:r>
      <w:r>
        <w:rPr>
          <w:rFonts w:ascii="宋体" w:eastAsia="宋体" w:hAnsi="宋体" w:cs="宋体" w:hint="eastAsia"/>
          <w:spacing w:val="-3"/>
          <w:sz w:val="24"/>
        </w:rPr>
        <w:t>《重组报告书（草案）》</w:t>
      </w:r>
      <w:r>
        <w:rPr>
          <w:rFonts w:ascii="宋体" w:eastAsia="宋体" w:hAnsi="宋体" w:cs="宋体"/>
          <w:spacing w:val="-3"/>
          <w:sz w:val="24"/>
        </w:rPr>
        <w:t>”</w:t>
      </w:r>
      <w:r>
        <w:rPr>
          <w:rFonts w:ascii="宋体" w:eastAsia="宋体" w:hAnsi="宋体" w:cs="宋体"/>
          <w:spacing w:val="-3"/>
          <w:sz w:val="24"/>
        </w:rPr>
        <w:t>）披露</w:t>
      </w:r>
      <w:r>
        <w:rPr>
          <w:rFonts w:ascii="宋体" w:eastAsia="宋体" w:hAnsi="宋体" w:cs="宋体"/>
          <w:spacing w:val="-4"/>
          <w:sz w:val="24"/>
        </w:rPr>
        <w:t>前一</w:t>
      </w:r>
      <w:r>
        <w:rPr>
          <w:rFonts w:ascii="宋体" w:eastAsia="宋体" w:hAnsi="宋体" w:cs="宋体"/>
          <w:sz w:val="24"/>
        </w:rPr>
        <w:t>日止的二级市场股票买卖情况进行了专项核查，</w:t>
      </w:r>
      <w:r>
        <w:rPr>
          <w:rFonts w:ascii="宋体" w:eastAsia="宋体" w:hAnsi="宋体" w:cs="宋体"/>
          <w:spacing w:val="-1"/>
          <w:sz w:val="24"/>
        </w:rPr>
        <w:t>并出具本专项核查意见。</w:t>
      </w:r>
    </w:p>
    <w:p w14:paraId="5B611858" w14:textId="77777777" w:rsidR="004D4B0C" w:rsidRDefault="00252C8D">
      <w:pPr>
        <w:widowControl/>
        <w:kinsoku w:val="0"/>
        <w:autoSpaceDE w:val="0"/>
        <w:autoSpaceDN w:val="0"/>
        <w:adjustRightInd w:val="0"/>
        <w:snapToGrid w:val="0"/>
        <w:spacing w:beforeLines="50" w:before="120" w:line="360" w:lineRule="auto"/>
        <w:ind w:firstLineChars="200" w:firstLine="468"/>
        <w:textAlignment w:val="baseline"/>
        <w:rPr>
          <w:rFonts w:ascii="宋体" w:eastAsia="宋体" w:hAnsi="宋体" w:cs="宋体"/>
          <w:sz w:val="24"/>
        </w:rPr>
      </w:pPr>
      <w:r>
        <w:rPr>
          <w:rFonts w:ascii="宋体" w:eastAsia="宋体" w:hAnsi="宋体" w:cs="宋体"/>
          <w:spacing w:val="-3"/>
          <w:sz w:val="24"/>
        </w:rPr>
        <w:t>本所及承办律师依据《律师事务所从事证券法律业务管理办法</w:t>
      </w:r>
      <w:r>
        <w:rPr>
          <w:rFonts w:ascii="宋体" w:eastAsia="宋体" w:hAnsi="宋体" w:cs="宋体"/>
          <w:spacing w:val="-4"/>
          <w:sz w:val="24"/>
        </w:rPr>
        <w:t>》《律师事务</w:t>
      </w:r>
      <w:r>
        <w:rPr>
          <w:rFonts w:ascii="宋体" w:eastAsia="宋体" w:hAnsi="宋体" w:cs="宋体"/>
          <w:spacing w:val="-3"/>
          <w:sz w:val="24"/>
        </w:rPr>
        <w:t>所证券法律业务执业规则（试行）》等规定及本专项核查意见出具之日以前</w:t>
      </w:r>
      <w:r>
        <w:rPr>
          <w:rFonts w:ascii="宋体" w:eastAsia="宋体" w:hAnsi="宋体" w:cs="宋体"/>
          <w:spacing w:val="-4"/>
          <w:sz w:val="24"/>
        </w:rPr>
        <w:t>已经</w:t>
      </w:r>
      <w:r>
        <w:rPr>
          <w:rFonts w:ascii="宋体" w:eastAsia="宋体" w:hAnsi="宋体" w:cs="宋体"/>
          <w:spacing w:val="-3"/>
          <w:sz w:val="24"/>
        </w:rPr>
        <w:t>发生或存在的事实，严格履行了法定职责，遵循了勤勉尽责和诚实信用原则，进行了充分的核查验证，保证本专项核查意见所认定的事实真实、准确、完整，本</w:t>
      </w:r>
      <w:r>
        <w:rPr>
          <w:rFonts w:ascii="宋体" w:eastAsia="宋体" w:hAnsi="宋体" w:cs="宋体"/>
          <w:spacing w:val="-2"/>
          <w:sz w:val="24"/>
        </w:rPr>
        <w:t>所发表的结论性意见合法、准确，不存在虚假记载、误导性陈述或者重大遗漏，</w:t>
      </w:r>
      <w:r>
        <w:rPr>
          <w:rFonts w:ascii="宋体" w:eastAsia="宋体" w:hAnsi="宋体" w:cs="宋体"/>
          <w:spacing w:val="-1"/>
          <w:sz w:val="24"/>
        </w:rPr>
        <w:t>并承担相应法律责任。</w:t>
      </w:r>
    </w:p>
    <w:p w14:paraId="36EFD43E" w14:textId="77777777" w:rsidR="004D4B0C" w:rsidRDefault="00252C8D">
      <w:pPr>
        <w:widowControl/>
        <w:kinsoku w:val="0"/>
        <w:autoSpaceDE w:val="0"/>
        <w:autoSpaceDN w:val="0"/>
        <w:adjustRightInd w:val="0"/>
        <w:snapToGrid w:val="0"/>
        <w:spacing w:beforeLines="50" w:before="120" w:line="360" w:lineRule="auto"/>
        <w:ind w:firstLineChars="200" w:firstLine="496"/>
        <w:textAlignment w:val="baseline"/>
        <w:rPr>
          <w:rFonts w:ascii="宋体" w:eastAsia="宋体" w:hAnsi="宋体" w:cs="宋体"/>
          <w:sz w:val="24"/>
        </w:rPr>
      </w:pPr>
      <w:r>
        <w:rPr>
          <w:rFonts w:ascii="宋体" w:eastAsia="宋体" w:hAnsi="宋体" w:cs="宋体"/>
          <w:spacing w:val="4"/>
          <w:sz w:val="24"/>
        </w:rPr>
        <w:t>本专项核查意见的出具是基于本次交易的相关机构及人员已向本所承办律</w:t>
      </w:r>
      <w:r>
        <w:rPr>
          <w:rFonts w:ascii="宋体" w:eastAsia="宋体" w:hAnsi="宋体" w:cs="宋体"/>
          <w:spacing w:val="-3"/>
          <w:sz w:val="24"/>
        </w:rPr>
        <w:t>师作出如下承诺：其所提供给本所承办律师审核的所有文件均真实可靠，不存在虚假记载、</w:t>
      </w:r>
      <w:r>
        <w:rPr>
          <w:rFonts w:ascii="宋体" w:eastAsia="宋体" w:hAnsi="宋体" w:cs="宋体"/>
          <w:spacing w:val="-3"/>
          <w:sz w:val="24"/>
        </w:rPr>
        <w:t>误导性陈述或重大遗漏；所提供的文件复印件与原件一致；文件中的</w:t>
      </w:r>
      <w:r>
        <w:rPr>
          <w:rFonts w:ascii="宋体" w:eastAsia="宋体" w:hAnsi="宋体" w:cs="宋体"/>
          <w:spacing w:val="-1"/>
          <w:sz w:val="24"/>
        </w:rPr>
        <w:t>盖章及签字均全部真实；其各自提供的文件以及有关的口头陈述均真实、准确、</w:t>
      </w:r>
      <w:r>
        <w:rPr>
          <w:rFonts w:ascii="宋体" w:eastAsia="宋体" w:hAnsi="宋体" w:cs="宋体"/>
          <w:spacing w:val="-3"/>
          <w:sz w:val="24"/>
        </w:rPr>
        <w:t>完整、无遗漏，且不包含任何误导性的信息；一切足以影响本所承办律师出具本</w:t>
      </w:r>
      <w:r>
        <w:rPr>
          <w:rFonts w:ascii="宋体" w:eastAsia="宋体" w:hAnsi="宋体" w:cs="宋体"/>
          <w:spacing w:val="-7"/>
          <w:sz w:val="24"/>
        </w:rPr>
        <w:t>专项核查意见的事实和文件均已向本所承办律师披露</w:t>
      </w:r>
      <w:r>
        <w:rPr>
          <w:rFonts w:ascii="宋体" w:eastAsia="宋体" w:hAnsi="宋体" w:cs="宋体"/>
          <w:spacing w:val="-8"/>
          <w:sz w:val="24"/>
        </w:rPr>
        <w:t>，且无任何隐瞒、遗漏之处。</w:t>
      </w:r>
    </w:p>
    <w:p w14:paraId="29AE140F" w14:textId="77777777" w:rsidR="004D4B0C" w:rsidRDefault="00252C8D">
      <w:pPr>
        <w:kinsoku w:val="0"/>
        <w:autoSpaceDE w:val="0"/>
        <w:autoSpaceDN w:val="0"/>
        <w:adjustRightInd w:val="0"/>
        <w:snapToGrid w:val="0"/>
        <w:spacing w:beforeLines="50" w:before="120" w:line="360" w:lineRule="auto"/>
        <w:ind w:firstLineChars="200" w:firstLine="472"/>
        <w:textAlignment w:val="baseline"/>
        <w:rPr>
          <w:rFonts w:ascii="宋体" w:eastAsia="宋体" w:hAnsi="宋体" w:cs="宋体"/>
          <w:sz w:val="24"/>
        </w:rPr>
      </w:pPr>
      <w:r>
        <w:rPr>
          <w:rFonts w:ascii="宋体" w:eastAsia="宋体" w:hAnsi="宋体" w:cs="宋体"/>
          <w:spacing w:val="-2"/>
          <w:sz w:val="24"/>
        </w:rPr>
        <w:t>对于对出具本专项核查意见至关重要而又无法得到独立的证据支持的事</w:t>
      </w:r>
      <w:r>
        <w:rPr>
          <w:rFonts w:ascii="宋体" w:eastAsia="宋体" w:hAnsi="宋体" w:cs="宋体"/>
          <w:spacing w:val="-3"/>
          <w:sz w:val="24"/>
        </w:rPr>
        <w:t>实，本所依赖政府有关部门、上市公司及其股东、本次交易相关方或者其他有关机构</w:t>
      </w:r>
      <w:r>
        <w:rPr>
          <w:rFonts w:ascii="宋体" w:eastAsia="宋体" w:hAnsi="宋体" w:cs="宋体"/>
          <w:spacing w:val="-1"/>
          <w:sz w:val="24"/>
        </w:rPr>
        <w:t>出具的证明文件或声明</w:t>
      </w:r>
      <w:r>
        <w:rPr>
          <w:rFonts w:ascii="Times New Roman" w:eastAsia="Times New Roman" w:hAnsi="Times New Roman" w:cs="Times New Roman"/>
          <w:spacing w:val="-1"/>
          <w:sz w:val="24"/>
        </w:rPr>
        <w:t>/</w:t>
      </w:r>
      <w:r>
        <w:rPr>
          <w:rFonts w:ascii="宋体" w:eastAsia="宋体" w:hAnsi="宋体" w:cs="宋体"/>
          <w:spacing w:val="-1"/>
          <w:sz w:val="24"/>
        </w:rPr>
        <w:t>承诺作出判断，并出具相关意见。</w:t>
      </w:r>
    </w:p>
    <w:p w14:paraId="16444C82" w14:textId="77777777" w:rsidR="004D4B0C" w:rsidRDefault="004D4B0C">
      <w:pPr>
        <w:kinsoku w:val="0"/>
        <w:autoSpaceDE w:val="0"/>
        <w:autoSpaceDN w:val="0"/>
        <w:adjustRightInd w:val="0"/>
        <w:snapToGrid w:val="0"/>
        <w:spacing w:beforeLines="50" w:before="120" w:line="360" w:lineRule="auto"/>
        <w:ind w:firstLineChars="200" w:firstLine="480"/>
        <w:textAlignment w:val="baseline"/>
        <w:rPr>
          <w:rFonts w:ascii="宋体" w:eastAsia="宋体" w:hAnsi="宋体" w:cs="宋体"/>
          <w:sz w:val="24"/>
        </w:rPr>
        <w:sectPr w:rsidR="004D4B0C">
          <w:footerReference w:type="default" r:id="rId12"/>
          <w:pgSz w:w="11906" w:h="16839"/>
          <w:pgMar w:top="1426" w:right="1719" w:bottom="0" w:left="1785" w:header="0" w:footer="0" w:gutter="0"/>
          <w:pgNumType w:start="1"/>
          <w:cols w:space="720"/>
        </w:sectPr>
      </w:pPr>
    </w:p>
    <w:p w14:paraId="5537CE86" w14:textId="77777777" w:rsidR="004D4B0C" w:rsidRDefault="00252C8D">
      <w:pPr>
        <w:kinsoku w:val="0"/>
        <w:autoSpaceDE w:val="0"/>
        <w:autoSpaceDN w:val="0"/>
        <w:adjustRightInd w:val="0"/>
        <w:snapToGrid w:val="0"/>
        <w:spacing w:beforeLines="50" w:before="156" w:line="360" w:lineRule="auto"/>
        <w:ind w:firstLineChars="200" w:firstLine="468"/>
        <w:textAlignment w:val="baseline"/>
        <w:rPr>
          <w:rFonts w:ascii="宋体" w:eastAsia="宋体" w:hAnsi="宋体" w:cs="宋体"/>
          <w:sz w:val="24"/>
        </w:rPr>
      </w:pPr>
      <w:r>
        <w:rPr>
          <w:rFonts w:ascii="宋体" w:eastAsia="宋体" w:hAnsi="宋体" w:cs="宋体"/>
          <w:spacing w:val="-3"/>
          <w:sz w:val="24"/>
        </w:rPr>
        <w:lastRenderedPageBreak/>
        <w:t>本所同意将本专项核查意见作为本次交易的必备法律文件，随</w:t>
      </w:r>
      <w:r>
        <w:rPr>
          <w:rFonts w:ascii="宋体" w:eastAsia="宋体" w:hAnsi="宋体" w:cs="宋体"/>
          <w:spacing w:val="-4"/>
          <w:sz w:val="24"/>
        </w:rPr>
        <w:t>同其他材料一</w:t>
      </w:r>
      <w:r>
        <w:rPr>
          <w:rFonts w:ascii="宋体" w:eastAsia="宋体" w:hAnsi="宋体" w:cs="宋体"/>
          <w:spacing w:val="-3"/>
          <w:sz w:val="24"/>
        </w:rPr>
        <w:t>起上报。本专项核查意见仅供</w:t>
      </w:r>
      <w:r>
        <w:rPr>
          <w:rFonts w:ascii="宋体" w:eastAsia="宋体" w:hAnsi="宋体" w:cs="宋体" w:hint="eastAsia"/>
          <w:spacing w:val="-3"/>
          <w:sz w:val="24"/>
        </w:rPr>
        <w:t>天亿马</w:t>
      </w:r>
      <w:r>
        <w:rPr>
          <w:rFonts w:ascii="宋体" w:eastAsia="宋体" w:hAnsi="宋体" w:cs="宋体"/>
          <w:spacing w:val="-3"/>
          <w:sz w:val="24"/>
        </w:rPr>
        <w:t>为本次交易之目的使用，未经本所书面同</w:t>
      </w:r>
      <w:r>
        <w:rPr>
          <w:rFonts w:ascii="宋体" w:eastAsia="宋体" w:hAnsi="宋体" w:cs="宋体"/>
          <w:spacing w:val="-2"/>
          <w:sz w:val="24"/>
        </w:rPr>
        <w:t>意，不得用作任何其他目的。</w:t>
      </w:r>
    </w:p>
    <w:p w14:paraId="58FAC677" w14:textId="77777777" w:rsidR="004D4B0C" w:rsidRDefault="004D4B0C">
      <w:pPr>
        <w:widowControl/>
        <w:overflowPunct w:val="0"/>
        <w:topLinePunct/>
        <w:snapToGrid w:val="0"/>
        <w:spacing w:line="360" w:lineRule="auto"/>
        <w:jc w:val="center"/>
        <w:rPr>
          <w:rFonts w:ascii="Times New Roman" w:eastAsia="黑体" w:hAnsi="Times New Roman" w:cs="Times New Roman"/>
          <w:b/>
          <w:bCs/>
          <w:kern w:val="44"/>
          <w:sz w:val="30"/>
          <w:szCs w:val="30"/>
          <w:shd w:val="clear" w:color="auto" w:fill="FFFFFF"/>
        </w:rPr>
      </w:pPr>
    </w:p>
    <w:p w14:paraId="279CB0A1" w14:textId="77777777" w:rsidR="004D4B0C" w:rsidRDefault="00252C8D">
      <w:pPr>
        <w:pageBreakBefore/>
        <w:widowControl/>
        <w:kinsoku w:val="0"/>
        <w:autoSpaceDE w:val="0"/>
        <w:autoSpaceDN w:val="0"/>
        <w:adjustRightInd w:val="0"/>
        <w:snapToGrid w:val="0"/>
        <w:spacing w:beforeLines="50" w:before="156" w:line="360" w:lineRule="auto"/>
        <w:jc w:val="center"/>
        <w:textAlignment w:val="baseline"/>
        <w:rPr>
          <w:rFonts w:ascii="宋体" w:eastAsia="宋体" w:hAnsi="宋体" w:cs="宋体"/>
          <w:b/>
          <w:bCs/>
          <w:snapToGrid w:val="0"/>
          <w:color w:val="000000"/>
          <w:kern w:val="0"/>
          <w:sz w:val="28"/>
          <w:szCs w:val="28"/>
        </w:rPr>
      </w:pPr>
      <w:bookmarkStart w:id="3" w:name="_Hlk150983622"/>
      <w:bookmarkStart w:id="4" w:name="_Hlk150980825"/>
      <w:bookmarkEnd w:id="0"/>
      <w:bookmarkEnd w:id="1"/>
      <w:r>
        <w:rPr>
          <w:rFonts w:ascii="宋体" w:eastAsia="宋体" w:hAnsi="宋体" w:cs="宋体" w:hint="eastAsia"/>
          <w:b/>
          <w:bCs/>
          <w:snapToGrid w:val="0"/>
          <w:color w:val="000000"/>
          <w:kern w:val="0"/>
          <w:sz w:val="28"/>
          <w:szCs w:val="28"/>
        </w:rPr>
        <w:lastRenderedPageBreak/>
        <w:t>正</w:t>
      </w:r>
      <w:r>
        <w:rPr>
          <w:rFonts w:ascii="宋体" w:eastAsia="宋体" w:hAnsi="宋体" w:cs="宋体" w:hint="eastAsia"/>
          <w:b/>
          <w:bCs/>
          <w:snapToGrid w:val="0"/>
          <w:color w:val="000000"/>
          <w:kern w:val="0"/>
          <w:sz w:val="28"/>
          <w:szCs w:val="28"/>
        </w:rPr>
        <w:t xml:space="preserve">  </w:t>
      </w:r>
      <w:r>
        <w:rPr>
          <w:rFonts w:ascii="宋体" w:eastAsia="宋体" w:hAnsi="宋体" w:cs="宋体" w:hint="eastAsia"/>
          <w:b/>
          <w:bCs/>
          <w:snapToGrid w:val="0"/>
          <w:color w:val="000000"/>
          <w:kern w:val="0"/>
          <w:sz w:val="28"/>
          <w:szCs w:val="28"/>
        </w:rPr>
        <w:t>文</w:t>
      </w:r>
    </w:p>
    <w:bookmarkEnd w:id="3"/>
    <w:bookmarkEnd w:id="4"/>
    <w:p w14:paraId="4130CB75" w14:textId="77777777" w:rsidR="004D4B0C" w:rsidRDefault="00252C8D">
      <w:pPr>
        <w:widowControl/>
        <w:overflowPunct w:val="0"/>
        <w:autoSpaceDE w:val="0"/>
        <w:autoSpaceDN w:val="0"/>
        <w:adjustRightInd w:val="0"/>
        <w:snapToGrid w:val="0"/>
        <w:spacing w:beforeLines="50" w:before="156" w:line="360" w:lineRule="auto"/>
        <w:ind w:firstLineChars="200" w:firstLine="482"/>
        <w:textAlignment w:val="baseline"/>
        <w:outlineLvl w:val="0"/>
        <w:rPr>
          <w:rFonts w:ascii="Times New Roman" w:eastAsia="宋体" w:hAnsi="Times New Roman" w:cs="Arial"/>
          <w:b/>
          <w:bCs/>
          <w:snapToGrid w:val="0"/>
          <w:color w:val="000000"/>
          <w:kern w:val="0"/>
          <w:sz w:val="24"/>
          <w:szCs w:val="21"/>
        </w:rPr>
      </w:pPr>
      <w:r>
        <w:rPr>
          <w:rFonts w:ascii="Times New Roman" w:eastAsia="宋体" w:hAnsi="Times New Roman" w:cs="Arial" w:hint="eastAsia"/>
          <w:b/>
          <w:bCs/>
          <w:snapToGrid w:val="0"/>
          <w:color w:val="000000"/>
          <w:kern w:val="0"/>
          <w:sz w:val="24"/>
          <w:szCs w:val="21"/>
        </w:rPr>
        <w:t>一、相关内幕信息知情人核查范围及自查期间</w:t>
      </w:r>
    </w:p>
    <w:p w14:paraId="07FA1F79" w14:textId="77777777" w:rsidR="004D4B0C" w:rsidRDefault="00252C8D">
      <w:pPr>
        <w:widowControl/>
        <w:overflowPunct w:val="0"/>
        <w:topLinePunct/>
        <w:snapToGrid w:val="0"/>
        <w:spacing w:beforeLines="50" w:before="156" w:afterLines="50" w:after="156" w:line="360" w:lineRule="auto"/>
        <w:ind w:firstLineChars="200" w:firstLine="482"/>
        <w:outlineLvl w:val="1"/>
        <w:rPr>
          <w:rFonts w:ascii="Times New Roman" w:eastAsia="宋体" w:hAnsi="Times New Roman" w:cs="Times New Roman"/>
          <w:b/>
          <w:bCs/>
          <w:color w:val="000000"/>
          <w:kern w:val="0"/>
          <w:sz w:val="24"/>
        </w:rPr>
      </w:pPr>
      <w:r>
        <w:rPr>
          <w:rFonts w:ascii="Times New Roman" w:eastAsia="宋体" w:hAnsi="Times New Roman" w:cs="Times New Roman" w:hint="eastAsia"/>
          <w:b/>
          <w:bCs/>
          <w:color w:val="000000"/>
          <w:kern w:val="0"/>
          <w:sz w:val="24"/>
        </w:rPr>
        <w:t>（一）相关内幕信息知情人核查范围</w:t>
      </w:r>
    </w:p>
    <w:p w14:paraId="219621E0" w14:textId="77777777" w:rsidR="004D4B0C" w:rsidRDefault="00252C8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本次交易的内幕信息知情人核查范围包括：</w:t>
      </w:r>
    </w:p>
    <w:p w14:paraId="179E5BB4" w14:textId="77777777" w:rsidR="004D4B0C" w:rsidRDefault="00252C8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1</w:t>
      </w:r>
      <w:r>
        <w:rPr>
          <w:rFonts w:ascii="Times New Roman" w:eastAsia="宋体" w:hAnsi="Times New Roman" w:cs="Times New Roman" w:hint="eastAsia"/>
          <w:color w:val="000000"/>
          <w:kern w:val="0"/>
          <w:sz w:val="24"/>
        </w:rPr>
        <w:t>、上市公司及其董事、高级管理人员及相关知情人员；</w:t>
      </w:r>
    </w:p>
    <w:p w14:paraId="3130CD40" w14:textId="77777777" w:rsidR="004D4B0C" w:rsidRDefault="00252C8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2</w:t>
      </w:r>
      <w:r>
        <w:rPr>
          <w:rFonts w:ascii="Times New Roman" w:eastAsia="宋体" w:hAnsi="Times New Roman" w:cs="Times New Roman" w:hint="eastAsia"/>
          <w:color w:val="000000"/>
          <w:kern w:val="0"/>
          <w:sz w:val="24"/>
        </w:rPr>
        <w:t>、交易对方及其执行事务合伙人及相关知情人员；</w:t>
      </w:r>
    </w:p>
    <w:p w14:paraId="383EE751" w14:textId="77777777" w:rsidR="004D4B0C" w:rsidRDefault="00252C8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3</w:t>
      </w:r>
      <w:r>
        <w:rPr>
          <w:rFonts w:ascii="Times New Roman" w:eastAsia="宋体" w:hAnsi="Times New Roman" w:cs="Times New Roman" w:hint="eastAsia"/>
          <w:color w:val="000000"/>
          <w:kern w:val="0"/>
          <w:sz w:val="24"/>
        </w:rPr>
        <w:t>、上市公司控股股东、实际控制人；</w:t>
      </w:r>
    </w:p>
    <w:p w14:paraId="603CEAD0" w14:textId="77777777" w:rsidR="004D4B0C" w:rsidRDefault="00252C8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4</w:t>
      </w:r>
      <w:r>
        <w:rPr>
          <w:rFonts w:ascii="Times New Roman" w:eastAsia="宋体" w:hAnsi="Times New Roman" w:cs="Times New Roman" w:hint="eastAsia"/>
          <w:color w:val="000000"/>
          <w:kern w:val="0"/>
          <w:sz w:val="24"/>
        </w:rPr>
        <w:t>、标的公司及其董事、监事、高级管理人员及相关知情人员；</w:t>
      </w:r>
    </w:p>
    <w:p w14:paraId="1C0905FB" w14:textId="77777777" w:rsidR="004D4B0C" w:rsidRDefault="00252C8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5</w:t>
      </w:r>
      <w:r>
        <w:rPr>
          <w:rFonts w:ascii="Times New Roman" w:eastAsia="宋体" w:hAnsi="Times New Roman" w:cs="Times New Roman" w:hint="eastAsia"/>
          <w:color w:val="000000"/>
          <w:kern w:val="0"/>
          <w:sz w:val="24"/>
        </w:rPr>
        <w:t>、为本次交易提供服务的相关中介机构及其经办人员；</w:t>
      </w:r>
    </w:p>
    <w:p w14:paraId="21372E8D" w14:textId="77777777" w:rsidR="004D4B0C" w:rsidRDefault="00252C8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6</w:t>
      </w:r>
      <w:r>
        <w:rPr>
          <w:rFonts w:ascii="Times New Roman" w:eastAsia="宋体" w:hAnsi="Times New Roman" w:cs="Times New Roman" w:hint="eastAsia"/>
          <w:color w:val="000000"/>
          <w:kern w:val="0"/>
          <w:sz w:val="24"/>
        </w:rPr>
        <w:t>、上述自然人的直系亲属，包括配偶、父母、成年子女。</w:t>
      </w:r>
    </w:p>
    <w:p w14:paraId="5D018BD2" w14:textId="77777777" w:rsidR="004D4B0C" w:rsidRDefault="00252C8D">
      <w:pPr>
        <w:widowControl/>
        <w:overflowPunct w:val="0"/>
        <w:topLinePunct/>
        <w:snapToGrid w:val="0"/>
        <w:spacing w:beforeLines="50" w:before="156" w:afterLines="50" w:after="156" w:line="360" w:lineRule="auto"/>
        <w:ind w:firstLineChars="200" w:firstLine="482"/>
        <w:outlineLvl w:val="1"/>
        <w:rPr>
          <w:rFonts w:ascii="Times New Roman" w:eastAsia="宋体" w:hAnsi="Times New Roman" w:cs="Times New Roman"/>
          <w:b/>
          <w:bCs/>
          <w:color w:val="000000"/>
          <w:kern w:val="0"/>
          <w:sz w:val="24"/>
        </w:rPr>
      </w:pPr>
      <w:r>
        <w:rPr>
          <w:rFonts w:ascii="Times New Roman" w:eastAsia="宋体" w:hAnsi="Times New Roman" w:cs="Times New Roman" w:hint="eastAsia"/>
          <w:b/>
          <w:bCs/>
          <w:color w:val="000000"/>
          <w:kern w:val="0"/>
          <w:sz w:val="24"/>
        </w:rPr>
        <w:t>（二）相关内幕信息知情人自查期间</w:t>
      </w:r>
    </w:p>
    <w:p w14:paraId="1F5DE4C3" w14:textId="77777777" w:rsidR="004D4B0C" w:rsidRDefault="00252C8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本次交易的内幕信息知情人的自查期间为本次交易申请股票停牌之日前</w:t>
      </w:r>
      <w:r>
        <w:rPr>
          <w:rFonts w:ascii="Times New Roman" w:eastAsia="宋体" w:hAnsi="Times New Roman" w:cs="Times New Roman" w:hint="eastAsia"/>
          <w:color w:val="000000"/>
          <w:kern w:val="0"/>
          <w:sz w:val="24"/>
        </w:rPr>
        <w:t>6</w:t>
      </w:r>
      <w:r>
        <w:rPr>
          <w:rFonts w:ascii="Times New Roman" w:eastAsia="宋体" w:hAnsi="Times New Roman" w:cs="Times New Roman" w:hint="eastAsia"/>
          <w:color w:val="000000"/>
          <w:kern w:val="0"/>
          <w:sz w:val="24"/>
        </w:rPr>
        <w:t>个月至《重组报告书（草案）》披露之前一日，即</w:t>
      </w:r>
      <w:bookmarkStart w:id="5" w:name="OLE_LINK69"/>
      <w:r>
        <w:rPr>
          <w:rFonts w:ascii="Times New Roman" w:eastAsia="宋体" w:hAnsi="Times New Roman" w:cs="Times New Roman"/>
          <w:color w:val="000000"/>
          <w:kern w:val="0"/>
          <w:sz w:val="24"/>
        </w:rPr>
        <w:t>2024</w:t>
      </w:r>
      <w:r>
        <w:rPr>
          <w:rFonts w:ascii="Times New Roman" w:eastAsia="宋体" w:hAnsi="Times New Roman" w:cs="Times New Roman" w:hint="eastAsia"/>
          <w:color w:val="000000"/>
          <w:kern w:val="0"/>
          <w:sz w:val="24"/>
        </w:rPr>
        <w:t>年</w:t>
      </w:r>
      <w:r>
        <w:rPr>
          <w:rFonts w:ascii="Times New Roman" w:eastAsia="宋体" w:hAnsi="Times New Roman" w:cs="Times New Roman" w:hint="eastAsia"/>
          <w:color w:val="000000"/>
          <w:kern w:val="0"/>
          <w:sz w:val="24"/>
        </w:rPr>
        <w:t>12</w:t>
      </w:r>
      <w:r>
        <w:rPr>
          <w:rFonts w:ascii="Times New Roman" w:eastAsia="宋体" w:hAnsi="Times New Roman" w:cs="Times New Roman" w:hint="eastAsia"/>
          <w:color w:val="000000"/>
          <w:kern w:val="0"/>
          <w:sz w:val="24"/>
        </w:rPr>
        <w:t>月</w:t>
      </w:r>
      <w:r>
        <w:rPr>
          <w:rFonts w:ascii="Times New Roman" w:eastAsia="宋体" w:hAnsi="Times New Roman" w:cs="Times New Roman" w:hint="eastAsia"/>
          <w:color w:val="000000"/>
          <w:kern w:val="0"/>
          <w:sz w:val="24"/>
        </w:rPr>
        <w:t>9</w:t>
      </w:r>
      <w:r>
        <w:rPr>
          <w:rFonts w:ascii="Times New Roman" w:eastAsia="宋体" w:hAnsi="Times New Roman" w:cs="Times New Roman" w:hint="eastAsia"/>
          <w:color w:val="000000"/>
          <w:kern w:val="0"/>
          <w:sz w:val="24"/>
        </w:rPr>
        <w:t>日至</w:t>
      </w:r>
      <w:r>
        <w:rPr>
          <w:rFonts w:ascii="Times New Roman" w:eastAsia="宋体" w:hAnsi="Times New Roman" w:cs="Times New Roman"/>
          <w:color w:val="000000"/>
          <w:kern w:val="0"/>
          <w:sz w:val="24"/>
        </w:rPr>
        <w:t>2025</w:t>
      </w:r>
      <w:r>
        <w:rPr>
          <w:rFonts w:ascii="Times New Roman" w:eastAsia="宋体" w:hAnsi="Times New Roman" w:cs="Times New Roman" w:hint="eastAsia"/>
          <w:color w:val="000000"/>
          <w:kern w:val="0"/>
          <w:sz w:val="24"/>
        </w:rPr>
        <w:t>年</w:t>
      </w:r>
      <w:r>
        <w:rPr>
          <w:rFonts w:ascii="Times New Roman" w:eastAsia="宋体" w:hAnsi="Times New Roman" w:cs="Times New Roman" w:hint="eastAsia"/>
          <w:color w:val="000000"/>
          <w:kern w:val="0"/>
          <w:sz w:val="24"/>
        </w:rPr>
        <w:t>11</w:t>
      </w:r>
      <w:r>
        <w:rPr>
          <w:rFonts w:ascii="Times New Roman" w:eastAsia="宋体" w:hAnsi="Times New Roman" w:cs="Times New Roman" w:hint="eastAsia"/>
          <w:color w:val="000000"/>
          <w:kern w:val="0"/>
          <w:sz w:val="24"/>
        </w:rPr>
        <w:t>月</w:t>
      </w:r>
      <w:r>
        <w:rPr>
          <w:rFonts w:ascii="Times New Roman" w:eastAsia="宋体" w:hAnsi="Times New Roman" w:cs="Times New Roman" w:hint="eastAsia"/>
          <w:color w:val="000000"/>
          <w:kern w:val="0"/>
          <w:sz w:val="24"/>
        </w:rPr>
        <w:t>18</w:t>
      </w:r>
      <w:r>
        <w:rPr>
          <w:rFonts w:ascii="Times New Roman" w:eastAsia="宋体" w:hAnsi="Times New Roman" w:cs="Times New Roman" w:hint="eastAsia"/>
          <w:color w:val="000000"/>
          <w:kern w:val="0"/>
          <w:sz w:val="24"/>
        </w:rPr>
        <w:t>日</w:t>
      </w:r>
      <w:bookmarkEnd w:id="5"/>
      <w:r>
        <w:rPr>
          <w:rFonts w:ascii="Times New Roman" w:eastAsia="宋体" w:hAnsi="Times New Roman" w:cs="Times New Roman" w:hint="eastAsia"/>
          <w:color w:val="000000"/>
          <w:kern w:val="0"/>
          <w:sz w:val="24"/>
        </w:rPr>
        <w:t>。</w:t>
      </w:r>
    </w:p>
    <w:p w14:paraId="701DCEC6" w14:textId="77777777" w:rsidR="004D4B0C" w:rsidRDefault="00252C8D">
      <w:pPr>
        <w:widowControl/>
        <w:overflowPunct w:val="0"/>
        <w:autoSpaceDE w:val="0"/>
        <w:autoSpaceDN w:val="0"/>
        <w:adjustRightInd w:val="0"/>
        <w:snapToGrid w:val="0"/>
        <w:spacing w:beforeLines="50" w:before="156" w:line="360" w:lineRule="auto"/>
        <w:ind w:firstLineChars="200" w:firstLine="482"/>
        <w:textAlignment w:val="baseline"/>
        <w:outlineLvl w:val="0"/>
        <w:rPr>
          <w:rFonts w:ascii="Times New Roman" w:eastAsia="宋体" w:hAnsi="Times New Roman" w:cs="Arial"/>
          <w:b/>
          <w:bCs/>
          <w:snapToGrid w:val="0"/>
          <w:color w:val="000000"/>
          <w:kern w:val="0"/>
          <w:sz w:val="24"/>
          <w:szCs w:val="21"/>
        </w:rPr>
      </w:pPr>
      <w:r>
        <w:rPr>
          <w:rFonts w:ascii="Times New Roman" w:eastAsia="宋体" w:hAnsi="Times New Roman" w:cs="Arial" w:hint="eastAsia"/>
          <w:b/>
          <w:bCs/>
          <w:snapToGrid w:val="0"/>
          <w:color w:val="000000"/>
          <w:kern w:val="0"/>
          <w:sz w:val="24"/>
          <w:szCs w:val="21"/>
        </w:rPr>
        <w:t>二、本次交易相关内幕信息知情人买卖天亿马股票的核查情况</w:t>
      </w:r>
    </w:p>
    <w:p w14:paraId="42927C23" w14:textId="77777777" w:rsidR="004D4B0C" w:rsidRDefault="00252C8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根据中国证券登记结算有限责任公司深圳分公司出具的《信息披露义务人持股及股份变更查询证明》《股东股份变更明细清单》、内幕信息知情人签署的自查报告和承诺函等文件，前述纳入内幕信息知情人范围的对象于核查期间存在买卖天亿马</w:t>
      </w:r>
      <w:r>
        <w:rPr>
          <w:rFonts w:ascii="Times New Roman" w:eastAsia="宋体" w:hAnsi="Times New Roman" w:cs="Times New Roman" w:hint="eastAsia"/>
          <w:color w:val="000000"/>
          <w:kern w:val="0"/>
          <w:sz w:val="24"/>
        </w:rPr>
        <w:t>A</w:t>
      </w:r>
      <w:r>
        <w:rPr>
          <w:rFonts w:ascii="Times New Roman" w:eastAsia="宋体" w:hAnsi="Times New Roman" w:cs="Times New Roman" w:hint="eastAsia"/>
          <w:color w:val="000000"/>
          <w:kern w:val="0"/>
          <w:sz w:val="24"/>
        </w:rPr>
        <w:t>股股票的情况如下：</w:t>
      </w:r>
    </w:p>
    <w:p w14:paraId="08B12E73" w14:textId="77777777" w:rsidR="004D4B0C" w:rsidRDefault="00252C8D">
      <w:pPr>
        <w:widowControl/>
        <w:overflowPunct w:val="0"/>
        <w:topLinePunct/>
        <w:snapToGrid w:val="0"/>
        <w:spacing w:beforeLines="50" w:before="156" w:afterLines="50" w:after="156" w:line="360" w:lineRule="auto"/>
        <w:ind w:firstLineChars="200" w:firstLine="482"/>
        <w:outlineLvl w:val="1"/>
        <w:rPr>
          <w:rFonts w:ascii="Times New Roman" w:eastAsia="宋体" w:hAnsi="Times New Roman" w:cs="Times New Roman"/>
          <w:b/>
          <w:bCs/>
          <w:color w:val="000000"/>
          <w:kern w:val="0"/>
          <w:sz w:val="24"/>
        </w:rPr>
      </w:pPr>
      <w:r>
        <w:rPr>
          <w:rFonts w:ascii="Times New Roman" w:eastAsia="宋体" w:hAnsi="Times New Roman" w:cs="Times New Roman" w:hint="eastAsia"/>
          <w:b/>
          <w:bCs/>
          <w:color w:val="000000"/>
          <w:kern w:val="0"/>
          <w:sz w:val="24"/>
        </w:rPr>
        <w:t>（一）法人主体买卖上市公司股票的情况</w:t>
      </w:r>
    </w:p>
    <w:p w14:paraId="104F9C31" w14:textId="77777777" w:rsidR="004D4B0C" w:rsidRDefault="00252C8D">
      <w:pPr>
        <w:widowControl/>
        <w:overflowPunct w:val="0"/>
        <w:topLinePunct/>
        <w:snapToGrid w:val="0"/>
        <w:spacing w:beforeLines="50" w:before="156" w:afterLines="50" w:after="156" w:line="360" w:lineRule="auto"/>
        <w:ind w:firstLineChars="200" w:firstLine="482"/>
        <w:rPr>
          <w:rFonts w:ascii="Times New Roman" w:eastAsia="宋体" w:hAnsi="Times New Roman" w:cs="Times New Roman"/>
          <w:b/>
          <w:bCs/>
          <w:color w:val="000000"/>
          <w:kern w:val="0"/>
          <w:sz w:val="24"/>
        </w:rPr>
      </w:pPr>
      <w:r>
        <w:rPr>
          <w:rFonts w:ascii="Times New Roman" w:eastAsia="宋体" w:hAnsi="Times New Roman" w:cs="Times New Roman" w:hint="eastAsia"/>
          <w:b/>
          <w:bCs/>
          <w:color w:val="000000"/>
          <w:kern w:val="0"/>
          <w:sz w:val="24"/>
        </w:rPr>
        <w:t>1</w:t>
      </w:r>
      <w:r>
        <w:rPr>
          <w:rFonts w:ascii="Times New Roman" w:eastAsia="宋体" w:hAnsi="Times New Roman" w:cs="Times New Roman" w:hint="eastAsia"/>
          <w:b/>
          <w:bCs/>
          <w:color w:val="000000"/>
          <w:kern w:val="0"/>
          <w:sz w:val="24"/>
        </w:rPr>
        <w:t>、天亿马</w:t>
      </w:r>
    </w:p>
    <w:p w14:paraId="5927AFEF" w14:textId="77777777" w:rsidR="004D4B0C" w:rsidRDefault="00252C8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b/>
          <w:bCs/>
          <w:color w:val="000000"/>
          <w:kern w:val="0"/>
          <w:sz w:val="24"/>
        </w:rPr>
      </w:pPr>
      <w:r>
        <w:rPr>
          <w:rFonts w:ascii="Times New Roman" w:eastAsia="宋体" w:hAnsi="Times New Roman" w:cs="Times New Roman" w:hint="eastAsia"/>
          <w:color w:val="000000"/>
          <w:kern w:val="0"/>
          <w:sz w:val="24"/>
        </w:rPr>
        <w:t>核查期间内，天亿马存在买卖上市公司股票的情况，具体如下：</w:t>
      </w:r>
    </w:p>
    <w:tbl>
      <w:tblPr>
        <w:tblW w:w="5000" w:type="pct"/>
        <w:jc w:val="center"/>
        <w:tblBorders>
          <w:top w:val="single" w:sz="12" w:space="0" w:color="010000"/>
          <w:left w:val="single" w:sz="12" w:space="0" w:color="010000"/>
          <w:bottom w:val="single" w:sz="12" w:space="0" w:color="010000"/>
          <w:right w:val="single" w:sz="12" w:space="0" w:color="010000"/>
          <w:insideH w:val="single" w:sz="4" w:space="0" w:color="010000"/>
          <w:insideV w:val="single" w:sz="4" w:space="0" w:color="010000"/>
        </w:tblBorders>
        <w:tblLook w:val="04A0" w:firstRow="1" w:lastRow="0" w:firstColumn="1" w:lastColumn="0" w:noHBand="0" w:noVBand="1"/>
      </w:tblPr>
      <w:tblGrid>
        <w:gridCol w:w="2252"/>
        <w:gridCol w:w="1757"/>
        <w:gridCol w:w="1757"/>
        <w:gridCol w:w="2756"/>
      </w:tblGrid>
      <w:tr w:rsidR="004D4B0C" w14:paraId="73D528E7" w14:textId="77777777">
        <w:trPr>
          <w:cantSplit/>
          <w:trHeight w:val="397"/>
          <w:tblHeader/>
          <w:jc w:val="center"/>
        </w:trPr>
        <w:tc>
          <w:tcPr>
            <w:tcW w:w="1321" w:type="pct"/>
            <w:tcBorders>
              <w:top w:val="single" w:sz="12" w:space="0" w:color="010000"/>
              <w:bottom w:val="single" w:sz="4" w:space="0" w:color="010000"/>
            </w:tcBorders>
            <w:vAlign w:val="center"/>
          </w:tcPr>
          <w:p w14:paraId="62953D23" w14:textId="77777777" w:rsidR="004D4B0C" w:rsidRDefault="00252C8D">
            <w:pPr>
              <w:jc w:val="center"/>
              <w:rPr>
                <w:rFonts w:ascii="Times New Roman" w:hAnsi="Times New Roman"/>
                <w:b/>
                <w:color w:val="000000"/>
              </w:rPr>
            </w:pPr>
            <w:r>
              <w:rPr>
                <w:rFonts w:ascii="Times New Roman" w:hAnsi="Times New Roman" w:hint="eastAsia"/>
                <w:b/>
                <w:color w:val="000000"/>
              </w:rPr>
              <w:lastRenderedPageBreak/>
              <w:t>账户名称</w:t>
            </w:r>
          </w:p>
        </w:tc>
        <w:tc>
          <w:tcPr>
            <w:tcW w:w="1031" w:type="pct"/>
            <w:tcBorders>
              <w:top w:val="single" w:sz="12" w:space="0" w:color="010000"/>
              <w:bottom w:val="single" w:sz="4" w:space="0" w:color="010000"/>
            </w:tcBorders>
            <w:vAlign w:val="center"/>
          </w:tcPr>
          <w:p w14:paraId="12575557" w14:textId="77777777" w:rsidR="004D4B0C" w:rsidRDefault="00252C8D">
            <w:pPr>
              <w:keepNext/>
              <w:jc w:val="center"/>
              <w:rPr>
                <w:rFonts w:ascii="Times New Roman" w:hAnsi="Times New Roman"/>
                <w:b/>
                <w:color w:val="000000"/>
                <w:szCs w:val="21"/>
              </w:rPr>
            </w:pPr>
            <w:r>
              <w:rPr>
                <w:rFonts w:ascii="Times New Roman" w:hAnsi="Times New Roman" w:hint="eastAsia"/>
                <w:b/>
                <w:color w:val="000000"/>
                <w:szCs w:val="21"/>
              </w:rPr>
              <w:t>累计买入股数（股）</w:t>
            </w:r>
          </w:p>
        </w:tc>
        <w:tc>
          <w:tcPr>
            <w:tcW w:w="1031" w:type="pct"/>
            <w:tcBorders>
              <w:top w:val="single" w:sz="12" w:space="0" w:color="010000"/>
              <w:bottom w:val="single" w:sz="4" w:space="0" w:color="010000"/>
            </w:tcBorders>
            <w:vAlign w:val="center"/>
          </w:tcPr>
          <w:p w14:paraId="3B71941E" w14:textId="77777777" w:rsidR="004D4B0C" w:rsidRDefault="00252C8D">
            <w:pPr>
              <w:keepNext/>
              <w:jc w:val="center"/>
              <w:rPr>
                <w:rFonts w:ascii="Times New Roman" w:hAnsi="Times New Roman"/>
                <w:b/>
                <w:color w:val="000000"/>
                <w:szCs w:val="21"/>
              </w:rPr>
            </w:pPr>
            <w:r>
              <w:rPr>
                <w:rFonts w:ascii="Times New Roman" w:hAnsi="Times New Roman" w:hint="eastAsia"/>
                <w:b/>
                <w:color w:val="000000"/>
                <w:szCs w:val="21"/>
              </w:rPr>
              <w:t>累计卖出股数（股）</w:t>
            </w:r>
          </w:p>
        </w:tc>
        <w:tc>
          <w:tcPr>
            <w:tcW w:w="1617" w:type="pct"/>
            <w:tcBorders>
              <w:top w:val="single" w:sz="12" w:space="0" w:color="010000"/>
              <w:bottom w:val="single" w:sz="4" w:space="0" w:color="010000"/>
            </w:tcBorders>
            <w:vAlign w:val="center"/>
          </w:tcPr>
          <w:p w14:paraId="0F4C0E81" w14:textId="77777777" w:rsidR="004D4B0C" w:rsidRDefault="00252C8D">
            <w:pPr>
              <w:keepNext/>
              <w:jc w:val="center"/>
              <w:rPr>
                <w:rFonts w:ascii="Times New Roman" w:hAnsi="Times New Roman"/>
                <w:b/>
                <w:color w:val="000000"/>
                <w:szCs w:val="21"/>
              </w:rPr>
            </w:pPr>
            <w:r>
              <w:rPr>
                <w:rFonts w:ascii="Times New Roman" w:hAnsi="Times New Roman" w:hint="eastAsia"/>
                <w:b/>
                <w:color w:val="000000"/>
                <w:szCs w:val="21"/>
              </w:rPr>
              <w:t>截至</w:t>
            </w:r>
            <w:r>
              <w:rPr>
                <w:rFonts w:ascii="Times New Roman" w:hAnsi="Times New Roman"/>
                <w:b/>
                <w:color w:val="000000"/>
                <w:szCs w:val="21"/>
              </w:rPr>
              <w:t>2025</w:t>
            </w:r>
            <w:r>
              <w:rPr>
                <w:rFonts w:ascii="Times New Roman" w:hAnsi="Times New Roman" w:hint="eastAsia"/>
                <w:b/>
                <w:color w:val="000000"/>
                <w:szCs w:val="21"/>
              </w:rPr>
              <w:t>年</w:t>
            </w:r>
            <w:r>
              <w:rPr>
                <w:rFonts w:ascii="Times New Roman" w:hAnsi="Times New Roman" w:hint="eastAsia"/>
                <w:b/>
                <w:color w:val="000000"/>
                <w:szCs w:val="21"/>
              </w:rPr>
              <w:t>11</w:t>
            </w:r>
            <w:r>
              <w:rPr>
                <w:rFonts w:ascii="Times New Roman" w:hAnsi="Times New Roman" w:hint="eastAsia"/>
                <w:b/>
                <w:color w:val="000000"/>
                <w:szCs w:val="21"/>
              </w:rPr>
              <w:t>月</w:t>
            </w:r>
            <w:r>
              <w:rPr>
                <w:rFonts w:ascii="Times New Roman" w:hAnsi="Times New Roman" w:hint="eastAsia"/>
                <w:b/>
                <w:color w:val="000000"/>
                <w:szCs w:val="21"/>
              </w:rPr>
              <w:t>1</w:t>
            </w:r>
            <w:r>
              <w:rPr>
                <w:rFonts w:ascii="Times New Roman" w:hAnsi="Times New Roman"/>
                <w:b/>
                <w:color w:val="000000"/>
                <w:szCs w:val="21"/>
              </w:rPr>
              <w:t>8</w:t>
            </w:r>
            <w:r>
              <w:rPr>
                <w:rFonts w:ascii="Times New Roman" w:hAnsi="Times New Roman" w:hint="eastAsia"/>
                <w:b/>
                <w:color w:val="000000"/>
                <w:szCs w:val="21"/>
              </w:rPr>
              <w:t>日结余股数（股）</w:t>
            </w:r>
          </w:p>
        </w:tc>
      </w:tr>
      <w:tr w:rsidR="004D4B0C" w14:paraId="35B219A2" w14:textId="77777777">
        <w:trPr>
          <w:cantSplit/>
          <w:trHeight w:val="397"/>
          <w:jc w:val="center"/>
        </w:trPr>
        <w:tc>
          <w:tcPr>
            <w:tcW w:w="1321" w:type="pct"/>
            <w:vAlign w:val="center"/>
          </w:tcPr>
          <w:p w14:paraId="538F0F0B" w14:textId="77777777" w:rsidR="004D4B0C" w:rsidRDefault="00252C8D">
            <w:pPr>
              <w:jc w:val="center"/>
              <w:rPr>
                <w:rFonts w:ascii="Times New Roman" w:hAnsi="Times New Roman"/>
                <w:color w:val="000000"/>
                <w:szCs w:val="21"/>
              </w:rPr>
            </w:pPr>
            <w:r>
              <w:rPr>
                <w:rFonts w:ascii="Times New Roman" w:hAnsi="Times New Roman" w:hint="eastAsia"/>
                <w:color w:val="000000"/>
                <w:szCs w:val="21"/>
              </w:rPr>
              <w:t>广东天亿马信息产业股份有限公司回购专用证券账户</w:t>
            </w:r>
          </w:p>
        </w:tc>
        <w:tc>
          <w:tcPr>
            <w:tcW w:w="1031" w:type="pct"/>
            <w:vAlign w:val="center"/>
          </w:tcPr>
          <w:p w14:paraId="3240ECD8" w14:textId="77777777" w:rsidR="004D4B0C" w:rsidRDefault="00252C8D">
            <w:pPr>
              <w:jc w:val="right"/>
              <w:rPr>
                <w:rFonts w:ascii="Times New Roman" w:eastAsia="等线" w:hAnsi="Times New Roman"/>
                <w:color w:val="000000"/>
                <w:szCs w:val="21"/>
              </w:rPr>
            </w:pPr>
            <w:r>
              <w:rPr>
                <w:rFonts w:ascii="Times New Roman" w:eastAsia="等线" w:hAnsi="Times New Roman"/>
                <w:color w:val="000000"/>
                <w:szCs w:val="21"/>
              </w:rPr>
              <w:t>256,000</w:t>
            </w:r>
            <w:r>
              <w:rPr>
                <w:rFonts w:ascii="Times New Roman" w:eastAsia="等线" w:hAnsi="Times New Roman" w:hint="eastAsia"/>
                <w:color w:val="000000"/>
                <w:szCs w:val="21"/>
              </w:rPr>
              <w:t xml:space="preserve"> </w:t>
            </w:r>
          </w:p>
        </w:tc>
        <w:tc>
          <w:tcPr>
            <w:tcW w:w="1031" w:type="pct"/>
            <w:vAlign w:val="center"/>
          </w:tcPr>
          <w:p w14:paraId="7FCAD7C2" w14:textId="62ECC3CE" w:rsidR="004D4B0C" w:rsidRDefault="00252C8D">
            <w:pPr>
              <w:jc w:val="right"/>
              <w:rPr>
                <w:rFonts w:ascii="Times New Roman" w:eastAsia="等线" w:hAnsi="Times New Roman"/>
                <w:color w:val="000000"/>
                <w:szCs w:val="21"/>
              </w:rPr>
            </w:pPr>
            <w:r>
              <w:rPr>
                <w:rFonts w:ascii="Times New Roman" w:eastAsia="等线" w:hAnsi="Times New Roman"/>
                <w:color w:val="000000"/>
                <w:szCs w:val="21"/>
              </w:rPr>
              <w:t>256,000</w:t>
            </w:r>
            <w:r>
              <w:rPr>
                <w:rFonts w:ascii="Times New Roman" w:eastAsia="等线" w:hAnsi="Times New Roman" w:hint="eastAsia"/>
                <w:color w:val="000000"/>
                <w:szCs w:val="21"/>
              </w:rPr>
              <w:t xml:space="preserve"> </w:t>
            </w:r>
          </w:p>
        </w:tc>
        <w:tc>
          <w:tcPr>
            <w:tcW w:w="1617" w:type="pct"/>
            <w:vAlign w:val="center"/>
          </w:tcPr>
          <w:p w14:paraId="23C41DA5" w14:textId="77777777" w:rsidR="004D4B0C" w:rsidRDefault="00252C8D">
            <w:pPr>
              <w:jc w:val="right"/>
              <w:rPr>
                <w:rFonts w:ascii="Times New Roman" w:eastAsia="等线" w:hAnsi="Times New Roman"/>
                <w:color w:val="000000"/>
                <w:szCs w:val="21"/>
              </w:rPr>
            </w:pPr>
            <w:r>
              <w:rPr>
                <w:rFonts w:ascii="Times New Roman" w:eastAsia="等线" w:hAnsi="Times New Roman" w:hint="eastAsia"/>
                <w:color w:val="000000"/>
                <w:szCs w:val="21"/>
              </w:rPr>
              <w:t>0</w:t>
            </w:r>
          </w:p>
        </w:tc>
      </w:tr>
    </w:tbl>
    <w:p w14:paraId="0C8E3BC3" w14:textId="77777777" w:rsidR="004D4B0C" w:rsidRDefault="00252C8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bookmarkStart w:id="6" w:name="_Hlk215174144"/>
      <w:r>
        <w:rPr>
          <w:rFonts w:ascii="Times New Roman" w:eastAsia="宋体" w:hAnsi="Times New Roman" w:cs="Times New Roman" w:hint="eastAsia"/>
          <w:color w:val="000000"/>
          <w:kern w:val="0"/>
          <w:sz w:val="24"/>
        </w:rPr>
        <w:t>根据天亿马《关于</w:t>
      </w:r>
      <w:r>
        <w:rPr>
          <w:rFonts w:ascii="Times New Roman" w:eastAsia="宋体" w:hAnsi="Times New Roman" w:cs="Times New Roman" w:hint="eastAsia"/>
          <w:color w:val="000000"/>
          <w:kern w:val="0"/>
          <w:sz w:val="24"/>
        </w:rPr>
        <w:t>2023</w:t>
      </w:r>
      <w:r>
        <w:rPr>
          <w:rFonts w:ascii="Times New Roman" w:eastAsia="宋体" w:hAnsi="Times New Roman" w:cs="Times New Roman" w:hint="eastAsia"/>
          <w:color w:val="000000"/>
          <w:kern w:val="0"/>
          <w:sz w:val="24"/>
        </w:rPr>
        <w:t>年限制性股票激励计划部分第一类限制性股票回购注销完成的公告》（公告编号：</w:t>
      </w:r>
      <w:r>
        <w:rPr>
          <w:rFonts w:ascii="Times New Roman" w:eastAsia="宋体" w:hAnsi="Times New Roman" w:cs="Times New Roman"/>
          <w:color w:val="000000"/>
          <w:kern w:val="0"/>
          <w:sz w:val="24"/>
        </w:rPr>
        <w:t>2025-059</w:t>
      </w:r>
      <w:r>
        <w:rPr>
          <w:rFonts w:ascii="Times New Roman" w:eastAsia="宋体" w:hAnsi="Times New Roman" w:cs="Times New Roman" w:hint="eastAsia"/>
          <w:color w:val="000000"/>
          <w:kern w:val="0"/>
          <w:sz w:val="24"/>
        </w:rPr>
        <w:t>），本次回购注销股票</w:t>
      </w:r>
      <w:bookmarkStart w:id="7" w:name="_Hlk215174658"/>
      <w:r>
        <w:rPr>
          <w:rFonts w:ascii="Times New Roman" w:eastAsia="宋体" w:hAnsi="Times New Roman" w:cs="Times New Roman" w:hint="eastAsia"/>
          <w:color w:val="000000"/>
          <w:kern w:val="0"/>
          <w:sz w:val="24"/>
        </w:rPr>
        <w:t>系</w:t>
      </w:r>
      <w:r>
        <w:rPr>
          <w:rFonts w:ascii="Times New Roman" w:eastAsia="宋体" w:hAnsi="Times New Roman" w:cs="Times New Roman" w:hint="eastAsia"/>
          <w:color w:val="000000"/>
          <w:kern w:val="0"/>
          <w:sz w:val="24"/>
        </w:rPr>
        <w:t>2024</w:t>
      </w:r>
      <w:r>
        <w:rPr>
          <w:rFonts w:ascii="Times New Roman" w:eastAsia="宋体" w:hAnsi="Times New Roman" w:cs="Times New Roman" w:hint="eastAsia"/>
          <w:color w:val="000000"/>
          <w:kern w:val="0"/>
          <w:sz w:val="24"/>
        </w:rPr>
        <w:t>年度上市公司层面未满足对应业绩考核目标，由上市公司回购注销首次授予林明玲及马学沛对应当年已获授但尚未解除限售的第一类限制性股票合计</w:t>
      </w:r>
      <w:r>
        <w:rPr>
          <w:rFonts w:ascii="Times New Roman" w:eastAsia="宋体" w:hAnsi="Times New Roman" w:cs="Times New Roman" w:hint="eastAsia"/>
          <w:color w:val="000000"/>
          <w:kern w:val="0"/>
          <w:sz w:val="24"/>
        </w:rPr>
        <w:t>256,000</w:t>
      </w:r>
      <w:r>
        <w:rPr>
          <w:rFonts w:ascii="Times New Roman" w:eastAsia="宋体" w:hAnsi="Times New Roman" w:cs="Times New Roman" w:hint="eastAsia"/>
          <w:color w:val="000000"/>
          <w:kern w:val="0"/>
          <w:sz w:val="24"/>
        </w:rPr>
        <w:t>股</w:t>
      </w:r>
      <w:bookmarkEnd w:id="6"/>
      <w:bookmarkEnd w:id="7"/>
      <w:r>
        <w:rPr>
          <w:rFonts w:ascii="Times New Roman" w:eastAsia="宋体" w:hAnsi="Times New Roman" w:cs="Times New Roman" w:hint="eastAsia"/>
          <w:color w:val="000000"/>
          <w:kern w:val="0"/>
          <w:sz w:val="24"/>
        </w:rPr>
        <w:t>。</w:t>
      </w:r>
    </w:p>
    <w:p w14:paraId="47976E7F" w14:textId="2165481F" w:rsidR="004D4B0C" w:rsidRDefault="00252C8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天亿马</w:t>
      </w:r>
      <w:bookmarkStart w:id="8" w:name="_Hlk215174072"/>
      <w:r>
        <w:rPr>
          <w:rFonts w:ascii="Times New Roman" w:eastAsia="宋体" w:hAnsi="Times New Roman" w:cs="Times New Roman" w:hint="eastAsia"/>
          <w:color w:val="000000"/>
          <w:kern w:val="0"/>
          <w:sz w:val="24"/>
        </w:rPr>
        <w:t>所持有上市公司股票的上述变动，系依据相关法律法规、规范性文件、回购股份方案实施的股份回购以及依据股东</w:t>
      </w:r>
      <w:r>
        <w:rPr>
          <w:rFonts w:ascii="Times New Roman" w:eastAsia="宋体" w:hAnsi="Times New Roman" w:cs="Times New Roman" w:hint="eastAsia"/>
          <w:color w:val="000000"/>
          <w:kern w:val="0"/>
          <w:sz w:val="24"/>
        </w:rPr>
        <w:t>会决议实施的股份注销，不存在利用本次交易内幕信息进行股票交易的情形。</w:t>
      </w:r>
      <w:bookmarkEnd w:id="8"/>
    </w:p>
    <w:p w14:paraId="1776E2FE" w14:textId="77777777" w:rsidR="004D4B0C" w:rsidRDefault="00252C8D">
      <w:pPr>
        <w:widowControl/>
        <w:overflowPunct w:val="0"/>
        <w:topLinePunct/>
        <w:snapToGrid w:val="0"/>
        <w:spacing w:beforeLines="50" w:before="156" w:afterLines="50" w:after="156" w:line="360" w:lineRule="auto"/>
        <w:ind w:firstLineChars="200" w:firstLine="482"/>
        <w:rPr>
          <w:rFonts w:ascii="Times New Roman" w:eastAsia="宋体" w:hAnsi="Times New Roman" w:cs="Times New Roman"/>
          <w:b/>
          <w:bCs/>
          <w:color w:val="000000"/>
          <w:kern w:val="0"/>
          <w:sz w:val="24"/>
        </w:rPr>
      </w:pPr>
      <w:r>
        <w:rPr>
          <w:rFonts w:ascii="Times New Roman" w:eastAsia="宋体" w:hAnsi="Times New Roman" w:cs="Times New Roman" w:hint="eastAsia"/>
          <w:b/>
          <w:bCs/>
          <w:color w:val="000000"/>
          <w:kern w:val="0"/>
          <w:sz w:val="24"/>
        </w:rPr>
        <w:t>2</w:t>
      </w:r>
      <w:r>
        <w:rPr>
          <w:rFonts w:ascii="Times New Roman" w:eastAsia="宋体" w:hAnsi="Times New Roman" w:cs="Times New Roman" w:hint="eastAsia"/>
          <w:b/>
          <w:bCs/>
          <w:color w:val="000000"/>
          <w:kern w:val="0"/>
          <w:sz w:val="24"/>
        </w:rPr>
        <w:t>、国泰海通</w:t>
      </w:r>
    </w:p>
    <w:p w14:paraId="46EEF07B" w14:textId="77777777" w:rsidR="004D4B0C" w:rsidRDefault="00252C8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核查期间内，国泰海通存在买卖上市公司股票的情况，具体如下：</w:t>
      </w:r>
    </w:p>
    <w:p w14:paraId="578C8017" w14:textId="77777777" w:rsidR="004D4B0C" w:rsidRDefault="00252C8D">
      <w:pPr>
        <w:widowControl/>
        <w:overflowPunct w:val="0"/>
        <w:topLinePunct/>
        <w:snapToGrid w:val="0"/>
        <w:spacing w:beforeLines="50" w:before="156" w:afterLines="50" w:after="156" w:line="360" w:lineRule="auto"/>
        <w:ind w:firstLineChars="200" w:firstLine="482"/>
        <w:rPr>
          <w:rFonts w:ascii="Times New Roman" w:eastAsia="宋体" w:hAnsi="Times New Roman" w:cs="Times New Roman"/>
          <w:b/>
          <w:bCs/>
          <w:color w:val="000000"/>
          <w:kern w:val="0"/>
          <w:sz w:val="24"/>
        </w:rPr>
      </w:pPr>
      <w:r>
        <w:rPr>
          <w:rFonts w:ascii="Times New Roman" w:eastAsia="宋体" w:hAnsi="Times New Roman" w:cs="Times New Roman" w:hint="eastAsia"/>
          <w:b/>
          <w:bCs/>
          <w:color w:val="000000"/>
          <w:kern w:val="0"/>
          <w:sz w:val="24"/>
        </w:rPr>
        <w:t>（</w:t>
      </w:r>
      <w:r>
        <w:rPr>
          <w:rFonts w:ascii="Times New Roman" w:eastAsia="宋体" w:hAnsi="Times New Roman" w:cs="Times New Roman" w:hint="eastAsia"/>
          <w:b/>
          <w:bCs/>
          <w:color w:val="000000"/>
          <w:kern w:val="0"/>
          <w:sz w:val="24"/>
        </w:rPr>
        <w:t>1</w:t>
      </w:r>
      <w:r>
        <w:rPr>
          <w:rFonts w:ascii="Times New Roman" w:eastAsia="宋体" w:hAnsi="Times New Roman" w:cs="Times New Roman" w:hint="eastAsia"/>
          <w:b/>
          <w:bCs/>
          <w:color w:val="000000"/>
          <w:kern w:val="0"/>
          <w:sz w:val="24"/>
        </w:rPr>
        <w:t>）国泰海通股票交易情况</w:t>
      </w:r>
    </w:p>
    <w:tbl>
      <w:tblPr>
        <w:tblW w:w="5000" w:type="pct"/>
        <w:jc w:val="center"/>
        <w:tblBorders>
          <w:top w:val="single" w:sz="12" w:space="0" w:color="010000"/>
          <w:left w:val="single" w:sz="12" w:space="0" w:color="010000"/>
          <w:bottom w:val="single" w:sz="12" w:space="0" w:color="010000"/>
          <w:right w:val="single" w:sz="12" w:space="0" w:color="010000"/>
          <w:insideH w:val="single" w:sz="4" w:space="0" w:color="010000"/>
          <w:insideV w:val="single" w:sz="4" w:space="0" w:color="010000"/>
        </w:tblBorders>
        <w:tblLook w:val="04A0" w:firstRow="1" w:lastRow="0" w:firstColumn="1" w:lastColumn="0" w:noHBand="0" w:noVBand="1"/>
      </w:tblPr>
      <w:tblGrid>
        <w:gridCol w:w="2252"/>
        <w:gridCol w:w="1757"/>
        <w:gridCol w:w="1757"/>
        <w:gridCol w:w="2756"/>
      </w:tblGrid>
      <w:tr w:rsidR="004D4B0C" w14:paraId="1456569D" w14:textId="77777777">
        <w:trPr>
          <w:cantSplit/>
          <w:trHeight w:val="397"/>
          <w:tblHeader/>
          <w:jc w:val="center"/>
        </w:trPr>
        <w:tc>
          <w:tcPr>
            <w:tcW w:w="1321" w:type="pct"/>
            <w:tcBorders>
              <w:top w:val="single" w:sz="12" w:space="0" w:color="010000"/>
              <w:bottom w:val="single" w:sz="4" w:space="0" w:color="010000"/>
            </w:tcBorders>
            <w:vAlign w:val="center"/>
          </w:tcPr>
          <w:p w14:paraId="441AD14A" w14:textId="77777777" w:rsidR="004D4B0C" w:rsidRDefault="00252C8D">
            <w:pPr>
              <w:jc w:val="center"/>
              <w:rPr>
                <w:rFonts w:ascii="Times New Roman" w:hAnsi="Times New Roman"/>
                <w:b/>
                <w:color w:val="000000"/>
              </w:rPr>
            </w:pPr>
            <w:bookmarkStart w:id="9" w:name="_Hlk215173083"/>
            <w:r>
              <w:rPr>
                <w:rFonts w:ascii="Times New Roman" w:hAnsi="Times New Roman" w:hint="eastAsia"/>
                <w:b/>
                <w:color w:val="000000"/>
              </w:rPr>
              <w:t>公司名称</w:t>
            </w:r>
          </w:p>
        </w:tc>
        <w:tc>
          <w:tcPr>
            <w:tcW w:w="1031" w:type="pct"/>
            <w:tcBorders>
              <w:top w:val="single" w:sz="12" w:space="0" w:color="010000"/>
              <w:bottom w:val="single" w:sz="4" w:space="0" w:color="010000"/>
            </w:tcBorders>
            <w:vAlign w:val="center"/>
          </w:tcPr>
          <w:p w14:paraId="53DBE30A" w14:textId="77777777" w:rsidR="004D4B0C" w:rsidRDefault="00252C8D">
            <w:pPr>
              <w:keepNext/>
              <w:jc w:val="center"/>
              <w:rPr>
                <w:rFonts w:ascii="Times New Roman" w:hAnsi="Times New Roman"/>
                <w:b/>
                <w:color w:val="000000"/>
                <w:szCs w:val="21"/>
              </w:rPr>
            </w:pPr>
            <w:r>
              <w:rPr>
                <w:rFonts w:ascii="Times New Roman" w:hAnsi="Times New Roman" w:hint="eastAsia"/>
                <w:b/>
                <w:color w:val="000000"/>
                <w:szCs w:val="21"/>
              </w:rPr>
              <w:t>累计买入股数（股）</w:t>
            </w:r>
          </w:p>
        </w:tc>
        <w:tc>
          <w:tcPr>
            <w:tcW w:w="1031" w:type="pct"/>
            <w:tcBorders>
              <w:top w:val="single" w:sz="12" w:space="0" w:color="010000"/>
              <w:bottom w:val="single" w:sz="4" w:space="0" w:color="010000"/>
            </w:tcBorders>
            <w:vAlign w:val="center"/>
          </w:tcPr>
          <w:p w14:paraId="35A1EAB3" w14:textId="77777777" w:rsidR="004D4B0C" w:rsidRDefault="00252C8D">
            <w:pPr>
              <w:keepNext/>
              <w:jc w:val="center"/>
              <w:rPr>
                <w:rFonts w:ascii="Times New Roman" w:hAnsi="Times New Roman"/>
                <w:b/>
                <w:color w:val="000000"/>
                <w:szCs w:val="21"/>
              </w:rPr>
            </w:pPr>
            <w:r>
              <w:rPr>
                <w:rFonts w:ascii="Times New Roman" w:hAnsi="Times New Roman" w:hint="eastAsia"/>
                <w:b/>
                <w:color w:val="000000"/>
                <w:szCs w:val="21"/>
              </w:rPr>
              <w:t>累计卖出股数（股）</w:t>
            </w:r>
          </w:p>
        </w:tc>
        <w:tc>
          <w:tcPr>
            <w:tcW w:w="1617" w:type="pct"/>
            <w:tcBorders>
              <w:top w:val="single" w:sz="12" w:space="0" w:color="010000"/>
              <w:bottom w:val="single" w:sz="4" w:space="0" w:color="010000"/>
            </w:tcBorders>
            <w:vAlign w:val="center"/>
          </w:tcPr>
          <w:p w14:paraId="1FB5965E" w14:textId="77777777" w:rsidR="004D4B0C" w:rsidRDefault="00252C8D">
            <w:pPr>
              <w:keepNext/>
              <w:jc w:val="center"/>
              <w:rPr>
                <w:rFonts w:ascii="Times New Roman" w:hAnsi="Times New Roman"/>
                <w:b/>
                <w:color w:val="000000"/>
                <w:szCs w:val="21"/>
              </w:rPr>
            </w:pPr>
            <w:r>
              <w:rPr>
                <w:rFonts w:ascii="Times New Roman" w:hAnsi="Times New Roman" w:hint="eastAsia"/>
                <w:b/>
                <w:color w:val="000000"/>
                <w:szCs w:val="21"/>
              </w:rPr>
              <w:t>截至</w:t>
            </w:r>
            <w:r>
              <w:rPr>
                <w:rFonts w:ascii="Times New Roman" w:hAnsi="Times New Roman"/>
                <w:b/>
                <w:color w:val="000000"/>
                <w:szCs w:val="21"/>
              </w:rPr>
              <w:t>2025</w:t>
            </w:r>
            <w:r>
              <w:rPr>
                <w:rFonts w:ascii="Times New Roman" w:hAnsi="Times New Roman" w:hint="eastAsia"/>
                <w:b/>
                <w:color w:val="000000"/>
                <w:szCs w:val="21"/>
              </w:rPr>
              <w:t>年</w:t>
            </w:r>
            <w:r>
              <w:rPr>
                <w:rFonts w:ascii="Times New Roman" w:hAnsi="Times New Roman" w:hint="eastAsia"/>
                <w:b/>
                <w:color w:val="000000"/>
                <w:szCs w:val="21"/>
              </w:rPr>
              <w:t>11</w:t>
            </w:r>
            <w:r>
              <w:rPr>
                <w:rFonts w:ascii="Times New Roman" w:hAnsi="Times New Roman" w:hint="eastAsia"/>
                <w:b/>
                <w:color w:val="000000"/>
                <w:szCs w:val="21"/>
              </w:rPr>
              <w:t>月</w:t>
            </w:r>
            <w:r>
              <w:rPr>
                <w:rFonts w:ascii="Times New Roman" w:hAnsi="Times New Roman" w:hint="eastAsia"/>
                <w:b/>
                <w:color w:val="000000"/>
                <w:szCs w:val="21"/>
              </w:rPr>
              <w:t>1</w:t>
            </w:r>
            <w:r>
              <w:rPr>
                <w:rFonts w:ascii="Times New Roman" w:hAnsi="Times New Roman"/>
                <w:b/>
                <w:color w:val="000000"/>
                <w:szCs w:val="21"/>
              </w:rPr>
              <w:t>8</w:t>
            </w:r>
            <w:r>
              <w:rPr>
                <w:rFonts w:ascii="Times New Roman" w:hAnsi="Times New Roman" w:hint="eastAsia"/>
                <w:b/>
                <w:color w:val="000000"/>
                <w:szCs w:val="21"/>
              </w:rPr>
              <w:t>日结余股数（股）</w:t>
            </w:r>
          </w:p>
        </w:tc>
      </w:tr>
      <w:tr w:rsidR="004D4B0C" w14:paraId="6C7A096A" w14:textId="77777777">
        <w:trPr>
          <w:cantSplit/>
          <w:trHeight w:val="397"/>
          <w:jc w:val="center"/>
        </w:trPr>
        <w:tc>
          <w:tcPr>
            <w:tcW w:w="1321" w:type="pct"/>
            <w:vAlign w:val="center"/>
          </w:tcPr>
          <w:p w14:paraId="4F457CEE" w14:textId="77777777" w:rsidR="004D4B0C" w:rsidRDefault="00252C8D">
            <w:pPr>
              <w:jc w:val="center"/>
              <w:rPr>
                <w:rFonts w:ascii="Times New Roman" w:hAnsi="Times New Roman"/>
                <w:color w:val="000000"/>
                <w:szCs w:val="21"/>
              </w:rPr>
            </w:pPr>
            <w:r>
              <w:rPr>
                <w:rFonts w:ascii="Times New Roman" w:hAnsi="Times New Roman" w:hint="eastAsia"/>
                <w:color w:val="000000"/>
                <w:szCs w:val="21"/>
              </w:rPr>
              <w:t>国泰海通证券股份有限公司</w:t>
            </w:r>
          </w:p>
        </w:tc>
        <w:tc>
          <w:tcPr>
            <w:tcW w:w="1031" w:type="pct"/>
            <w:vAlign w:val="center"/>
          </w:tcPr>
          <w:p w14:paraId="37D6A3A2" w14:textId="77777777" w:rsidR="004D4B0C" w:rsidRDefault="00252C8D">
            <w:pPr>
              <w:jc w:val="right"/>
              <w:rPr>
                <w:rFonts w:ascii="Times New Roman" w:eastAsia="等线" w:hAnsi="Times New Roman"/>
                <w:color w:val="000000"/>
                <w:szCs w:val="21"/>
              </w:rPr>
            </w:pPr>
            <w:r>
              <w:rPr>
                <w:rFonts w:ascii="Times New Roman" w:eastAsia="等线" w:hAnsi="Times New Roman" w:hint="eastAsia"/>
                <w:color w:val="000000"/>
                <w:szCs w:val="21"/>
              </w:rPr>
              <w:t xml:space="preserve">1,675,375 </w:t>
            </w:r>
          </w:p>
        </w:tc>
        <w:tc>
          <w:tcPr>
            <w:tcW w:w="1031" w:type="pct"/>
            <w:vAlign w:val="center"/>
          </w:tcPr>
          <w:p w14:paraId="40504A47" w14:textId="77777777" w:rsidR="004D4B0C" w:rsidRDefault="00252C8D">
            <w:pPr>
              <w:jc w:val="right"/>
              <w:rPr>
                <w:rFonts w:ascii="Times New Roman" w:eastAsia="等线" w:hAnsi="Times New Roman"/>
                <w:color w:val="000000"/>
                <w:szCs w:val="21"/>
              </w:rPr>
            </w:pPr>
            <w:r>
              <w:rPr>
                <w:rFonts w:ascii="Times New Roman" w:eastAsia="等线" w:hAnsi="Times New Roman" w:hint="eastAsia"/>
                <w:color w:val="000000"/>
                <w:szCs w:val="21"/>
              </w:rPr>
              <w:t xml:space="preserve">1,683,095 </w:t>
            </w:r>
          </w:p>
        </w:tc>
        <w:tc>
          <w:tcPr>
            <w:tcW w:w="1617" w:type="pct"/>
            <w:vAlign w:val="center"/>
          </w:tcPr>
          <w:p w14:paraId="633E6A1F" w14:textId="77777777" w:rsidR="004D4B0C" w:rsidRDefault="00252C8D">
            <w:pPr>
              <w:jc w:val="right"/>
              <w:rPr>
                <w:rFonts w:ascii="Times New Roman" w:eastAsia="等线" w:hAnsi="Times New Roman"/>
                <w:color w:val="000000"/>
                <w:szCs w:val="21"/>
              </w:rPr>
            </w:pPr>
            <w:r>
              <w:rPr>
                <w:rFonts w:ascii="Times New Roman" w:eastAsia="等线" w:hAnsi="Times New Roman" w:hint="eastAsia"/>
                <w:color w:val="000000"/>
                <w:szCs w:val="21"/>
              </w:rPr>
              <w:t xml:space="preserve">780 </w:t>
            </w:r>
          </w:p>
        </w:tc>
      </w:tr>
    </w:tbl>
    <w:bookmarkEnd w:id="9"/>
    <w:p w14:paraId="20C825C4" w14:textId="77777777" w:rsidR="004D4B0C" w:rsidRDefault="00252C8D">
      <w:pPr>
        <w:widowControl/>
        <w:overflowPunct w:val="0"/>
        <w:topLinePunct/>
        <w:snapToGrid w:val="0"/>
        <w:spacing w:beforeLines="50" w:before="156" w:afterLines="50" w:after="156" w:line="360" w:lineRule="auto"/>
        <w:ind w:firstLineChars="200" w:firstLine="482"/>
        <w:rPr>
          <w:rFonts w:ascii="Times New Roman" w:eastAsia="宋体" w:hAnsi="Times New Roman" w:cs="Times New Roman"/>
          <w:b/>
          <w:bCs/>
          <w:color w:val="000000"/>
          <w:kern w:val="0"/>
          <w:sz w:val="24"/>
        </w:rPr>
      </w:pPr>
      <w:r>
        <w:rPr>
          <w:rFonts w:ascii="Times New Roman" w:eastAsia="宋体" w:hAnsi="Times New Roman" w:cs="Times New Roman" w:hint="eastAsia"/>
          <w:b/>
          <w:bCs/>
          <w:color w:val="000000"/>
          <w:kern w:val="0"/>
          <w:sz w:val="24"/>
        </w:rPr>
        <w:t>（</w:t>
      </w:r>
      <w:r>
        <w:rPr>
          <w:rFonts w:ascii="Times New Roman" w:eastAsia="宋体" w:hAnsi="Times New Roman" w:cs="Times New Roman" w:hint="eastAsia"/>
          <w:b/>
          <w:bCs/>
          <w:color w:val="000000"/>
          <w:kern w:val="0"/>
          <w:sz w:val="24"/>
        </w:rPr>
        <w:t>2</w:t>
      </w:r>
      <w:r>
        <w:rPr>
          <w:rFonts w:ascii="Times New Roman" w:eastAsia="宋体" w:hAnsi="Times New Roman" w:cs="Times New Roman" w:hint="eastAsia"/>
          <w:b/>
          <w:bCs/>
          <w:color w:val="000000"/>
          <w:kern w:val="0"/>
          <w:sz w:val="24"/>
        </w:rPr>
        <w:t>）国泰海通下属子公司股票交易情况</w:t>
      </w:r>
    </w:p>
    <w:tbl>
      <w:tblPr>
        <w:tblW w:w="5000" w:type="pct"/>
        <w:jc w:val="center"/>
        <w:tblBorders>
          <w:top w:val="single" w:sz="12" w:space="0" w:color="010000"/>
          <w:left w:val="single" w:sz="12" w:space="0" w:color="010000"/>
          <w:bottom w:val="single" w:sz="12" w:space="0" w:color="010000"/>
          <w:right w:val="single" w:sz="12" w:space="0" w:color="010000"/>
          <w:insideH w:val="single" w:sz="4" w:space="0" w:color="010000"/>
          <w:insideV w:val="single" w:sz="4" w:space="0" w:color="010000"/>
        </w:tblBorders>
        <w:tblLook w:val="04A0" w:firstRow="1" w:lastRow="0" w:firstColumn="1" w:lastColumn="0" w:noHBand="0" w:noVBand="1"/>
      </w:tblPr>
      <w:tblGrid>
        <w:gridCol w:w="2252"/>
        <w:gridCol w:w="1757"/>
        <w:gridCol w:w="1757"/>
        <w:gridCol w:w="2756"/>
      </w:tblGrid>
      <w:tr w:rsidR="004D4B0C" w14:paraId="13C46C4D" w14:textId="77777777">
        <w:trPr>
          <w:cantSplit/>
          <w:trHeight w:val="397"/>
          <w:tblHeader/>
          <w:jc w:val="center"/>
        </w:trPr>
        <w:tc>
          <w:tcPr>
            <w:tcW w:w="1321" w:type="pct"/>
            <w:tcBorders>
              <w:top w:val="single" w:sz="12" w:space="0" w:color="010000"/>
              <w:bottom w:val="single" w:sz="4" w:space="0" w:color="010000"/>
            </w:tcBorders>
            <w:vAlign w:val="center"/>
          </w:tcPr>
          <w:p w14:paraId="395D863A" w14:textId="77777777" w:rsidR="004D4B0C" w:rsidRDefault="00252C8D">
            <w:pPr>
              <w:jc w:val="center"/>
              <w:rPr>
                <w:rFonts w:ascii="Times New Roman" w:hAnsi="Times New Roman"/>
                <w:b/>
                <w:color w:val="000000"/>
              </w:rPr>
            </w:pPr>
            <w:r>
              <w:rPr>
                <w:rFonts w:ascii="Times New Roman" w:hAnsi="Times New Roman" w:hint="eastAsia"/>
                <w:b/>
                <w:color w:val="000000"/>
              </w:rPr>
              <w:t>子公司名称</w:t>
            </w:r>
          </w:p>
        </w:tc>
        <w:tc>
          <w:tcPr>
            <w:tcW w:w="1031" w:type="pct"/>
            <w:tcBorders>
              <w:top w:val="single" w:sz="12" w:space="0" w:color="010000"/>
              <w:bottom w:val="single" w:sz="4" w:space="0" w:color="010000"/>
            </w:tcBorders>
            <w:vAlign w:val="center"/>
          </w:tcPr>
          <w:p w14:paraId="53F3377C" w14:textId="77777777" w:rsidR="004D4B0C" w:rsidRDefault="00252C8D">
            <w:pPr>
              <w:keepNext/>
              <w:jc w:val="center"/>
              <w:rPr>
                <w:rFonts w:ascii="Times New Roman" w:hAnsi="Times New Roman"/>
                <w:b/>
                <w:color w:val="000000"/>
                <w:szCs w:val="21"/>
              </w:rPr>
            </w:pPr>
            <w:r>
              <w:rPr>
                <w:rFonts w:ascii="Times New Roman" w:hAnsi="Times New Roman" w:hint="eastAsia"/>
                <w:b/>
                <w:color w:val="000000"/>
                <w:szCs w:val="21"/>
              </w:rPr>
              <w:t>累计买入股数（股）</w:t>
            </w:r>
          </w:p>
        </w:tc>
        <w:tc>
          <w:tcPr>
            <w:tcW w:w="1031" w:type="pct"/>
            <w:tcBorders>
              <w:top w:val="single" w:sz="12" w:space="0" w:color="010000"/>
              <w:bottom w:val="single" w:sz="4" w:space="0" w:color="010000"/>
            </w:tcBorders>
            <w:vAlign w:val="center"/>
          </w:tcPr>
          <w:p w14:paraId="34A476C6" w14:textId="77777777" w:rsidR="004D4B0C" w:rsidRDefault="00252C8D">
            <w:pPr>
              <w:keepNext/>
              <w:jc w:val="center"/>
              <w:rPr>
                <w:rFonts w:ascii="Times New Roman" w:hAnsi="Times New Roman"/>
                <w:b/>
                <w:color w:val="000000"/>
                <w:szCs w:val="21"/>
              </w:rPr>
            </w:pPr>
            <w:r>
              <w:rPr>
                <w:rFonts w:ascii="Times New Roman" w:hAnsi="Times New Roman" w:hint="eastAsia"/>
                <w:b/>
                <w:color w:val="000000"/>
                <w:szCs w:val="21"/>
              </w:rPr>
              <w:t>累计卖出股数（股）</w:t>
            </w:r>
          </w:p>
        </w:tc>
        <w:tc>
          <w:tcPr>
            <w:tcW w:w="1617" w:type="pct"/>
            <w:tcBorders>
              <w:top w:val="single" w:sz="12" w:space="0" w:color="010000"/>
              <w:bottom w:val="single" w:sz="4" w:space="0" w:color="010000"/>
            </w:tcBorders>
            <w:vAlign w:val="center"/>
          </w:tcPr>
          <w:p w14:paraId="246D64E5" w14:textId="77777777" w:rsidR="004D4B0C" w:rsidRDefault="00252C8D">
            <w:pPr>
              <w:keepNext/>
              <w:jc w:val="center"/>
              <w:rPr>
                <w:rFonts w:ascii="Times New Roman" w:hAnsi="Times New Roman"/>
                <w:b/>
                <w:color w:val="000000"/>
                <w:szCs w:val="21"/>
              </w:rPr>
            </w:pPr>
            <w:r>
              <w:rPr>
                <w:rFonts w:ascii="Times New Roman" w:hAnsi="Times New Roman" w:hint="eastAsia"/>
                <w:b/>
                <w:color w:val="000000"/>
                <w:szCs w:val="21"/>
              </w:rPr>
              <w:t>截至</w:t>
            </w:r>
            <w:r>
              <w:rPr>
                <w:rFonts w:ascii="Times New Roman" w:hAnsi="Times New Roman"/>
                <w:b/>
                <w:color w:val="000000"/>
                <w:szCs w:val="21"/>
              </w:rPr>
              <w:t>2025</w:t>
            </w:r>
            <w:r>
              <w:rPr>
                <w:rFonts w:ascii="Times New Roman" w:hAnsi="Times New Roman" w:hint="eastAsia"/>
                <w:b/>
                <w:color w:val="000000"/>
                <w:szCs w:val="21"/>
              </w:rPr>
              <w:t>年</w:t>
            </w:r>
            <w:r>
              <w:rPr>
                <w:rFonts w:ascii="Times New Roman" w:hAnsi="Times New Roman" w:hint="eastAsia"/>
                <w:b/>
                <w:color w:val="000000"/>
                <w:szCs w:val="21"/>
              </w:rPr>
              <w:t>11</w:t>
            </w:r>
            <w:r>
              <w:rPr>
                <w:rFonts w:ascii="Times New Roman" w:hAnsi="Times New Roman" w:hint="eastAsia"/>
                <w:b/>
                <w:color w:val="000000"/>
                <w:szCs w:val="21"/>
              </w:rPr>
              <w:t>月</w:t>
            </w:r>
            <w:r>
              <w:rPr>
                <w:rFonts w:ascii="Times New Roman" w:hAnsi="Times New Roman" w:hint="eastAsia"/>
                <w:b/>
                <w:color w:val="000000"/>
                <w:szCs w:val="21"/>
              </w:rPr>
              <w:t>1</w:t>
            </w:r>
            <w:r>
              <w:rPr>
                <w:rFonts w:ascii="Times New Roman" w:hAnsi="Times New Roman"/>
                <w:b/>
                <w:color w:val="000000"/>
                <w:szCs w:val="21"/>
              </w:rPr>
              <w:t>8</w:t>
            </w:r>
            <w:r>
              <w:rPr>
                <w:rFonts w:ascii="Times New Roman" w:hAnsi="Times New Roman" w:hint="eastAsia"/>
                <w:b/>
                <w:color w:val="000000"/>
                <w:szCs w:val="21"/>
              </w:rPr>
              <w:t>日结余股数（股）</w:t>
            </w:r>
          </w:p>
        </w:tc>
      </w:tr>
      <w:tr w:rsidR="004D4B0C" w14:paraId="116882B2" w14:textId="77777777">
        <w:trPr>
          <w:cantSplit/>
          <w:trHeight w:val="397"/>
          <w:jc w:val="center"/>
        </w:trPr>
        <w:tc>
          <w:tcPr>
            <w:tcW w:w="1321" w:type="pct"/>
            <w:vAlign w:val="center"/>
          </w:tcPr>
          <w:p w14:paraId="717B87E8" w14:textId="77777777" w:rsidR="004D4B0C" w:rsidRDefault="00252C8D">
            <w:pPr>
              <w:jc w:val="center"/>
              <w:rPr>
                <w:rFonts w:ascii="Times New Roman" w:hAnsi="Times New Roman"/>
                <w:color w:val="000000"/>
                <w:szCs w:val="21"/>
              </w:rPr>
            </w:pPr>
            <w:bookmarkStart w:id="10" w:name="_Hlk215068050"/>
            <w:r>
              <w:rPr>
                <w:rFonts w:ascii="Times New Roman" w:hAnsi="Times New Roman" w:hint="eastAsia"/>
                <w:color w:val="000000"/>
                <w:szCs w:val="21"/>
              </w:rPr>
              <w:t>上海国泰海通证券资产管理有限公司</w:t>
            </w:r>
          </w:p>
        </w:tc>
        <w:tc>
          <w:tcPr>
            <w:tcW w:w="1031" w:type="pct"/>
            <w:vAlign w:val="center"/>
          </w:tcPr>
          <w:p w14:paraId="2B19C97E" w14:textId="77777777" w:rsidR="004D4B0C" w:rsidRDefault="00252C8D">
            <w:pPr>
              <w:jc w:val="right"/>
              <w:rPr>
                <w:rFonts w:ascii="Times New Roman" w:eastAsia="等线" w:hAnsi="Times New Roman"/>
                <w:color w:val="000000"/>
                <w:szCs w:val="21"/>
              </w:rPr>
            </w:pPr>
            <w:r>
              <w:rPr>
                <w:rFonts w:ascii="Times New Roman" w:eastAsia="等线" w:hAnsi="Times New Roman" w:hint="eastAsia"/>
                <w:color w:val="000000"/>
                <w:szCs w:val="21"/>
              </w:rPr>
              <w:t xml:space="preserve">150,900 </w:t>
            </w:r>
          </w:p>
        </w:tc>
        <w:tc>
          <w:tcPr>
            <w:tcW w:w="1031" w:type="pct"/>
            <w:vAlign w:val="center"/>
          </w:tcPr>
          <w:p w14:paraId="1753A424" w14:textId="77777777" w:rsidR="004D4B0C" w:rsidRDefault="00252C8D">
            <w:pPr>
              <w:jc w:val="right"/>
              <w:rPr>
                <w:rFonts w:ascii="Times New Roman" w:eastAsia="等线" w:hAnsi="Times New Roman"/>
                <w:color w:val="000000"/>
                <w:szCs w:val="21"/>
              </w:rPr>
            </w:pPr>
            <w:r>
              <w:rPr>
                <w:rFonts w:ascii="Times New Roman" w:eastAsia="等线" w:hAnsi="Times New Roman" w:hint="eastAsia"/>
                <w:color w:val="000000"/>
                <w:szCs w:val="21"/>
              </w:rPr>
              <w:t xml:space="preserve">150,900 </w:t>
            </w:r>
          </w:p>
        </w:tc>
        <w:tc>
          <w:tcPr>
            <w:tcW w:w="1617" w:type="pct"/>
            <w:vAlign w:val="center"/>
          </w:tcPr>
          <w:p w14:paraId="7ECCC9D9" w14:textId="77777777" w:rsidR="004D4B0C" w:rsidRDefault="00252C8D">
            <w:pPr>
              <w:jc w:val="right"/>
              <w:rPr>
                <w:rFonts w:ascii="Times New Roman" w:eastAsia="等线" w:hAnsi="Times New Roman"/>
                <w:color w:val="000000"/>
                <w:szCs w:val="21"/>
              </w:rPr>
            </w:pPr>
            <w:r>
              <w:rPr>
                <w:rFonts w:ascii="Times New Roman" w:eastAsia="等线" w:hAnsi="Times New Roman" w:hint="eastAsia"/>
                <w:color w:val="000000"/>
                <w:szCs w:val="21"/>
              </w:rPr>
              <w:t>0</w:t>
            </w:r>
          </w:p>
        </w:tc>
      </w:tr>
      <w:tr w:rsidR="004D4B0C" w14:paraId="2B1B95E0" w14:textId="77777777">
        <w:trPr>
          <w:cantSplit/>
          <w:trHeight w:val="397"/>
          <w:jc w:val="center"/>
        </w:trPr>
        <w:tc>
          <w:tcPr>
            <w:tcW w:w="1321" w:type="pct"/>
            <w:vAlign w:val="center"/>
          </w:tcPr>
          <w:p w14:paraId="716A99B0" w14:textId="77777777" w:rsidR="004D4B0C" w:rsidRDefault="00252C8D">
            <w:pPr>
              <w:jc w:val="center"/>
              <w:rPr>
                <w:rFonts w:ascii="Times New Roman" w:hAnsi="Times New Roman"/>
                <w:color w:val="000000"/>
                <w:szCs w:val="21"/>
              </w:rPr>
            </w:pPr>
            <w:r>
              <w:rPr>
                <w:rFonts w:ascii="Times New Roman" w:hAnsi="Times New Roman" w:hint="eastAsia"/>
                <w:color w:val="000000"/>
                <w:szCs w:val="21"/>
              </w:rPr>
              <w:t>国泰君安国际控股有限公司</w:t>
            </w:r>
          </w:p>
        </w:tc>
        <w:tc>
          <w:tcPr>
            <w:tcW w:w="1031" w:type="pct"/>
            <w:vAlign w:val="center"/>
          </w:tcPr>
          <w:p w14:paraId="2196E987" w14:textId="77777777" w:rsidR="004D4B0C" w:rsidRDefault="00252C8D">
            <w:pPr>
              <w:jc w:val="right"/>
              <w:rPr>
                <w:rFonts w:ascii="Times New Roman" w:hAnsi="Times New Roman"/>
                <w:color w:val="000000"/>
                <w:szCs w:val="21"/>
              </w:rPr>
            </w:pPr>
            <w:r>
              <w:rPr>
                <w:rFonts w:ascii="Times New Roman" w:eastAsia="等线" w:hAnsi="Times New Roman" w:cs="Times New Roman"/>
                <w:color w:val="000000"/>
                <w:szCs w:val="21"/>
              </w:rPr>
              <w:t>172,900</w:t>
            </w:r>
          </w:p>
        </w:tc>
        <w:tc>
          <w:tcPr>
            <w:tcW w:w="1031" w:type="pct"/>
            <w:vAlign w:val="center"/>
          </w:tcPr>
          <w:p w14:paraId="3589ABCC" w14:textId="77777777" w:rsidR="004D4B0C" w:rsidRDefault="00252C8D">
            <w:pPr>
              <w:jc w:val="right"/>
              <w:rPr>
                <w:rFonts w:ascii="Times New Roman" w:hAnsi="Times New Roman"/>
                <w:color w:val="000000"/>
                <w:szCs w:val="21"/>
              </w:rPr>
            </w:pPr>
            <w:r>
              <w:rPr>
                <w:rFonts w:ascii="Times New Roman" w:eastAsia="等线" w:hAnsi="Times New Roman" w:cs="Times New Roman"/>
                <w:color w:val="000000"/>
                <w:szCs w:val="21"/>
              </w:rPr>
              <w:t>172,900</w:t>
            </w:r>
          </w:p>
        </w:tc>
        <w:tc>
          <w:tcPr>
            <w:tcW w:w="1617" w:type="pct"/>
            <w:vAlign w:val="center"/>
          </w:tcPr>
          <w:p w14:paraId="7D907D15" w14:textId="77777777" w:rsidR="004D4B0C" w:rsidRDefault="00252C8D">
            <w:pPr>
              <w:jc w:val="right"/>
              <w:rPr>
                <w:rFonts w:ascii="Times New Roman" w:hAnsi="Times New Roman"/>
                <w:color w:val="000000"/>
                <w:szCs w:val="21"/>
              </w:rPr>
            </w:pPr>
            <w:r>
              <w:rPr>
                <w:rFonts w:ascii="Times New Roman" w:eastAsia="等线" w:hAnsi="Times New Roman" w:cs="Times New Roman"/>
                <w:color w:val="000000"/>
                <w:szCs w:val="21"/>
              </w:rPr>
              <w:t>0</w:t>
            </w:r>
          </w:p>
        </w:tc>
      </w:tr>
    </w:tbl>
    <w:bookmarkEnd w:id="10"/>
    <w:p w14:paraId="5C5186F8"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国泰海通就上述股票变动事项作出说明与承诺如下：</w:t>
      </w:r>
    </w:p>
    <w:p w14:paraId="3EB3B4B5"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本公司严格遵守了中国证券业协会《证券公司信息隔离墙制度指引》等相关法律法规的要求，建立了严格的信息隔离墙制度，各业务之间在机构设置、人员安排、信息系统、资金账户等方面独立运作、分开管理，以控制内幕信息的不</w:t>
      </w:r>
      <w:r>
        <w:rPr>
          <w:rFonts w:ascii="Times New Roman" w:eastAsia="宋体" w:hAnsi="Times New Roman" w:cs="Times New Roman" w:hint="eastAsia"/>
          <w:sz w:val="24"/>
        </w:rPr>
        <w:lastRenderedPageBreak/>
        <w:t>当流转和使用，防范内幕交易的发生，避免公司与客户之间、客户与客户之间以及公司员工与公司、客户之间的利益冲突。</w:t>
      </w:r>
    </w:p>
    <w:p w14:paraId="0F284AB7"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上述股票买卖行为与本次重组事项无关，不存在利用内幕信息进行交易的情形，本公司也未泄露有关信息或者建议他人买卖上</w:t>
      </w:r>
      <w:r>
        <w:rPr>
          <w:rFonts w:ascii="Times New Roman" w:eastAsia="宋体" w:hAnsi="Times New Roman" w:cs="Times New Roman" w:hint="eastAsia"/>
          <w:sz w:val="24"/>
        </w:rPr>
        <w:t>市公司股票、从事市场操纵等禁止的交易行为。</w:t>
      </w:r>
    </w:p>
    <w:p w14:paraId="17C7027C" w14:textId="3388FB8D"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除上述买卖情况外，本公司在自查期间内无买卖上市公司股票的行为。本公司无泄</w:t>
      </w:r>
      <w:r w:rsidR="003D616E">
        <w:rPr>
          <w:rFonts w:ascii="Times New Roman" w:eastAsia="宋体" w:hAnsi="Times New Roman" w:cs="Times New Roman" w:hint="eastAsia"/>
          <w:sz w:val="24"/>
        </w:rPr>
        <w:t>露</w:t>
      </w:r>
      <w:r>
        <w:rPr>
          <w:rFonts w:ascii="Times New Roman" w:eastAsia="宋体" w:hAnsi="Times New Roman" w:cs="Times New Roman" w:hint="eastAsia"/>
          <w:sz w:val="24"/>
        </w:rPr>
        <w:t>有关信息或者建议他人买卖天亿马股票、从事市场操纵等禁止交易的行为。”</w:t>
      </w:r>
    </w:p>
    <w:p w14:paraId="48B704C5" w14:textId="77777777" w:rsidR="004D4B0C" w:rsidRDefault="00252C8D">
      <w:pPr>
        <w:widowControl/>
        <w:overflowPunct w:val="0"/>
        <w:topLinePunct/>
        <w:snapToGrid w:val="0"/>
        <w:spacing w:beforeLines="50" w:before="156" w:afterLines="50" w:after="156" w:line="360" w:lineRule="auto"/>
        <w:ind w:firstLineChars="200" w:firstLine="482"/>
        <w:outlineLvl w:val="1"/>
        <w:rPr>
          <w:rFonts w:ascii="Times New Roman" w:eastAsia="宋体" w:hAnsi="Times New Roman" w:cs="Times New Roman"/>
          <w:b/>
          <w:bCs/>
          <w:color w:val="000000"/>
          <w:kern w:val="0"/>
          <w:sz w:val="24"/>
        </w:rPr>
      </w:pPr>
      <w:r>
        <w:rPr>
          <w:rFonts w:ascii="Times New Roman" w:eastAsia="宋体" w:hAnsi="Times New Roman" w:cs="Times New Roman" w:hint="eastAsia"/>
          <w:b/>
          <w:bCs/>
          <w:color w:val="000000"/>
          <w:kern w:val="0"/>
          <w:sz w:val="24"/>
        </w:rPr>
        <w:t>（二）自然人买卖上市公司股票的情况</w:t>
      </w:r>
    </w:p>
    <w:p w14:paraId="303EDC79"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核查期间内，共有</w:t>
      </w:r>
      <w:r>
        <w:rPr>
          <w:rFonts w:ascii="Times New Roman" w:eastAsia="宋体" w:hAnsi="Times New Roman" w:cs="Times New Roman" w:hint="eastAsia"/>
          <w:sz w:val="24"/>
        </w:rPr>
        <w:t>4</w:t>
      </w:r>
      <w:r>
        <w:rPr>
          <w:rFonts w:ascii="Times New Roman" w:eastAsia="宋体" w:hAnsi="Times New Roman" w:cs="Times New Roman" w:hint="eastAsia"/>
          <w:sz w:val="24"/>
        </w:rPr>
        <w:t>位自然人存在买卖上市公司股票的情况，具体如下：</w:t>
      </w:r>
    </w:p>
    <w:tbl>
      <w:tblPr>
        <w:tblW w:w="0" w:type="auto"/>
        <w:jc w:val="center"/>
        <w:tblBorders>
          <w:top w:val="single" w:sz="12" w:space="0" w:color="010000"/>
          <w:left w:val="single" w:sz="12" w:space="0" w:color="010000"/>
          <w:bottom w:val="single" w:sz="12" w:space="0" w:color="010000"/>
          <w:right w:val="single" w:sz="12" w:space="0" w:color="010000"/>
          <w:insideH w:val="single" w:sz="4" w:space="0" w:color="010000"/>
          <w:insideV w:val="single" w:sz="4" w:space="0" w:color="010000"/>
        </w:tblBorders>
        <w:tblLook w:val="04A0" w:firstRow="1" w:lastRow="0" w:firstColumn="1" w:lastColumn="0" w:noHBand="0" w:noVBand="1"/>
      </w:tblPr>
      <w:tblGrid>
        <w:gridCol w:w="582"/>
        <w:gridCol w:w="851"/>
        <w:gridCol w:w="2786"/>
        <w:gridCol w:w="1418"/>
        <w:gridCol w:w="1275"/>
        <w:gridCol w:w="1610"/>
      </w:tblGrid>
      <w:tr w:rsidR="004D4B0C" w14:paraId="194B5793" w14:textId="77777777">
        <w:trPr>
          <w:cantSplit/>
          <w:trHeight w:val="591"/>
          <w:tblHeader/>
          <w:jc w:val="center"/>
        </w:trPr>
        <w:tc>
          <w:tcPr>
            <w:tcW w:w="0" w:type="auto"/>
            <w:tcBorders>
              <w:top w:val="single" w:sz="12" w:space="0" w:color="010000"/>
              <w:bottom w:val="single" w:sz="4" w:space="0" w:color="010000"/>
            </w:tcBorders>
            <w:vAlign w:val="center"/>
          </w:tcPr>
          <w:p w14:paraId="769CDECD" w14:textId="77777777" w:rsidR="004D4B0C" w:rsidRDefault="00252C8D">
            <w:pPr>
              <w:jc w:val="center"/>
              <w:rPr>
                <w:rFonts w:ascii="Times New Roman" w:eastAsia="宋体" w:hAnsi="Times New Roman" w:cs="Times New Roman"/>
                <w:b/>
                <w:color w:val="000000"/>
                <w:szCs w:val="22"/>
              </w:rPr>
            </w:pPr>
            <w:r>
              <w:rPr>
                <w:rFonts w:ascii="Times New Roman" w:eastAsia="宋体" w:hAnsi="Times New Roman" w:cs="Times New Roman" w:hint="eastAsia"/>
                <w:b/>
                <w:color w:val="000000"/>
                <w:szCs w:val="22"/>
              </w:rPr>
              <w:t>序号</w:t>
            </w:r>
          </w:p>
        </w:tc>
        <w:tc>
          <w:tcPr>
            <w:tcW w:w="851" w:type="dxa"/>
            <w:tcBorders>
              <w:top w:val="single" w:sz="12" w:space="0" w:color="010000"/>
              <w:bottom w:val="single" w:sz="4" w:space="0" w:color="010000"/>
            </w:tcBorders>
            <w:vAlign w:val="center"/>
          </w:tcPr>
          <w:p w14:paraId="7B1C5E4C" w14:textId="77777777" w:rsidR="004D4B0C" w:rsidRDefault="00252C8D">
            <w:pPr>
              <w:jc w:val="center"/>
              <w:rPr>
                <w:rFonts w:ascii="Times New Roman" w:eastAsia="宋体" w:hAnsi="Times New Roman" w:cs="Times New Roman"/>
                <w:b/>
                <w:color w:val="000000"/>
                <w:szCs w:val="22"/>
              </w:rPr>
            </w:pPr>
            <w:r>
              <w:rPr>
                <w:rFonts w:ascii="Times New Roman" w:eastAsia="宋体" w:hAnsi="Times New Roman" w:cs="Times New Roman" w:hint="eastAsia"/>
                <w:b/>
                <w:color w:val="000000"/>
                <w:szCs w:val="22"/>
              </w:rPr>
              <w:t>姓名</w:t>
            </w:r>
          </w:p>
        </w:tc>
        <w:tc>
          <w:tcPr>
            <w:tcW w:w="2786" w:type="dxa"/>
            <w:tcBorders>
              <w:top w:val="single" w:sz="12" w:space="0" w:color="010000"/>
              <w:bottom w:val="single" w:sz="4" w:space="0" w:color="010000"/>
            </w:tcBorders>
            <w:vAlign w:val="center"/>
          </w:tcPr>
          <w:p w14:paraId="0A5A8552" w14:textId="77777777" w:rsidR="004D4B0C" w:rsidRDefault="00252C8D">
            <w:pPr>
              <w:jc w:val="center"/>
              <w:rPr>
                <w:rFonts w:ascii="Times New Roman" w:eastAsia="宋体" w:hAnsi="Times New Roman" w:cs="Times New Roman"/>
                <w:b/>
                <w:color w:val="000000"/>
                <w:szCs w:val="22"/>
              </w:rPr>
            </w:pPr>
            <w:r>
              <w:rPr>
                <w:rFonts w:ascii="Times New Roman" w:eastAsia="宋体" w:hAnsi="Times New Roman" w:cs="Times New Roman" w:hint="eastAsia"/>
                <w:b/>
                <w:color w:val="000000"/>
                <w:szCs w:val="22"/>
              </w:rPr>
              <w:t>职务</w:t>
            </w:r>
            <w:r>
              <w:rPr>
                <w:rFonts w:ascii="Times New Roman" w:eastAsia="宋体" w:hAnsi="Times New Roman" w:cs="Times New Roman" w:hint="eastAsia"/>
                <w:b/>
                <w:color w:val="000000"/>
                <w:szCs w:val="22"/>
              </w:rPr>
              <w:t>/</w:t>
            </w:r>
            <w:r>
              <w:rPr>
                <w:rFonts w:ascii="Times New Roman" w:eastAsia="宋体" w:hAnsi="Times New Roman" w:cs="Times New Roman" w:hint="eastAsia"/>
                <w:b/>
                <w:color w:val="000000"/>
                <w:szCs w:val="22"/>
              </w:rPr>
              <w:t>关系</w:t>
            </w:r>
          </w:p>
        </w:tc>
        <w:tc>
          <w:tcPr>
            <w:tcW w:w="1418" w:type="dxa"/>
            <w:tcBorders>
              <w:top w:val="single" w:sz="12" w:space="0" w:color="010000"/>
              <w:bottom w:val="single" w:sz="4" w:space="0" w:color="010000"/>
            </w:tcBorders>
            <w:vAlign w:val="center"/>
          </w:tcPr>
          <w:p w14:paraId="4DB94A11" w14:textId="77777777" w:rsidR="004D4B0C" w:rsidRDefault="00252C8D">
            <w:pPr>
              <w:keepNext/>
              <w:jc w:val="center"/>
              <w:rPr>
                <w:rFonts w:ascii="Times New Roman" w:eastAsia="宋体" w:hAnsi="Times New Roman" w:cs="Times New Roman"/>
                <w:b/>
                <w:color w:val="000000"/>
                <w:szCs w:val="21"/>
              </w:rPr>
            </w:pPr>
            <w:r>
              <w:rPr>
                <w:rFonts w:ascii="Times New Roman" w:eastAsia="宋体" w:hAnsi="Times New Roman" w:cs="Times New Roman" w:hint="eastAsia"/>
                <w:b/>
                <w:color w:val="000000"/>
                <w:szCs w:val="21"/>
              </w:rPr>
              <w:t>期间累计买入（股）</w:t>
            </w:r>
          </w:p>
        </w:tc>
        <w:tc>
          <w:tcPr>
            <w:tcW w:w="1275" w:type="dxa"/>
            <w:tcBorders>
              <w:top w:val="single" w:sz="12" w:space="0" w:color="010000"/>
              <w:bottom w:val="single" w:sz="4" w:space="0" w:color="010000"/>
            </w:tcBorders>
            <w:vAlign w:val="center"/>
          </w:tcPr>
          <w:p w14:paraId="585B5F9E" w14:textId="77777777" w:rsidR="004D4B0C" w:rsidRDefault="00252C8D">
            <w:pPr>
              <w:keepNext/>
              <w:jc w:val="center"/>
              <w:rPr>
                <w:rFonts w:ascii="Times New Roman" w:eastAsia="宋体" w:hAnsi="Times New Roman" w:cs="Times New Roman"/>
                <w:b/>
                <w:color w:val="000000"/>
                <w:szCs w:val="21"/>
              </w:rPr>
            </w:pPr>
            <w:r>
              <w:rPr>
                <w:rFonts w:ascii="Times New Roman" w:eastAsia="宋体" w:hAnsi="Times New Roman" w:cs="Times New Roman" w:hint="eastAsia"/>
                <w:b/>
                <w:color w:val="000000"/>
                <w:szCs w:val="21"/>
              </w:rPr>
              <w:t>期间累计卖出（股）</w:t>
            </w:r>
          </w:p>
        </w:tc>
        <w:tc>
          <w:tcPr>
            <w:tcW w:w="1610" w:type="dxa"/>
            <w:tcBorders>
              <w:top w:val="single" w:sz="12" w:space="0" w:color="010000"/>
              <w:bottom w:val="single" w:sz="4" w:space="0" w:color="010000"/>
            </w:tcBorders>
            <w:vAlign w:val="center"/>
          </w:tcPr>
          <w:p w14:paraId="44700A63" w14:textId="77777777" w:rsidR="004D4B0C" w:rsidRDefault="00252C8D">
            <w:pPr>
              <w:keepNext/>
              <w:jc w:val="center"/>
              <w:rPr>
                <w:rFonts w:ascii="Times New Roman" w:eastAsia="宋体" w:hAnsi="Times New Roman" w:cs="Times New Roman"/>
                <w:b/>
                <w:color w:val="000000"/>
                <w:szCs w:val="21"/>
              </w:rPr>
            </w:pPr>
            <w:r>
              <w:rPr>
                <w:rFonts w:ascii="Times New Roman" w:eastAsia="宋体" w:hAnsi="Times New Roman" w:cs="Times New Roman" w:hint="eastAsia"/>
                <w:b/>
                <w:color w:val="000000"/>
                <w:szCs w:val="21"/>
              </w:rPr>
              <w:t>截至</w:t>
            </w:r>
            <w:r>
              <w:rPr>
                <w:rFonts w:ascii="Times New Roman" w:eastAsia="宋体" w:hAnsi="Times New Roman" w:cs="Times New Roman" w:hint="eastAsia"/>
                <w:b/>
                <w:color w:val="000000"/>
                <w:szCs w:val="21"/>
              </w:rPr>
              <w:t>2025</w:t>
            </w:r>
            <w:r>
              <w:rPr>
                <w:rFonts w:ascii="Times New Roman" w:eastAsia="宋体" w:hAnsi="Times New Roman" w:cs="Times New Roman" w:hint="eastAsia"/>
                <w:b/>
                <w:color w:val="000000"/>
                <w:szCs w:val="21"/>
              </w:rPr>
              <w:t>年</w:t>
            </w:r>
            <w:r>
              <w:rPr>
                <w:rFonts w:ascii="Times New Roman" w:eastAsia="宋体" w:hAnsi="Times New Roman" w:cs="Times New Roman" w:hint="eastAsia"/>
                <w:b/>
                <w:color w:val="000000"/>
                <w:szCs w:val="21"/>
              </w:rPr>
              <w:t>11</w:t>
            </w:r>
            <w:r>
              <w:rPr>
                <w:rFonts w:ascii="Times New Roman" w:eastAsia="宋体" w:hAnsi="Times New Roman" w:cs="Times New Roman" w:hint="eastAsia"/>
                <w:b/>
                <w:color w:val="000000"/>
                <w:szCs w:val="21"/>
              </w:rPr>
              <w:t>月</w:t>
            </w:r>
            <w:r>
              <w:rPr>
                <w:rFonts w:ascii="Times New Roman" w:eastAsia="宋体" w:hAnsi="Times New Roman" w:cs="Times New Roman" w:hint="eastAsia"/>
                <w:b/>
                <w:color w:val="000000"/>
                <w:szCs w:val="21"/>
              </w:rPr>
              <w:t>18</w:t>
            </w:r>
            <w:r>
              <w:rPr>
                <w:rFonts w:ascii="Times New Roman" w:eastAsia="宋体" w:hAnsi="Times New Roman" w:cs="Times New Roman" w:hint="eastAsia"/>
                <w:b/>
                <w:color w:val="000000"/>
                <w:szCs w:val="21"/>
              </w:rPr>
              <w:t>日结余股数（股）</w:t>
            </w:r>
          </w:p>
        </w:tc>
      </w:tr>
      <w:tr w:rsidR="004D4B0C" w14:paraId="3155271F" w14:textId="77777777">
        <w:trPr>
          <w:cantSplit/>
          <w:trHeight w:val="397"/>
          <w:jc w:val="center"/>
        </w:trPr>
        <w:tc>
          <w:tcPr>
            <w:tcW w:w="0" w:type="auto"/>
            <w:vAlign w:val="center"/>
          </w:tcPr>
          <w:p w14:paraId="7A6B738C" w14:textId="77777777" w:rsidR="004D4B0C" w:rsidRDefault="00252C8D">
            <w:pPr>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1" w:type="dxa"/>
            <w:vAlign w:val="center"/>
          </w:tcPr>
          <w:p w14:paraId="073CB733" w14:textId="77777777" w:rsidR="004D4B0C" w:rsidRDefault="00252C8D">
            <w:pP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陈婵锦</w:t>
            </w:r>
          </w:p>
        </w:tc>
        <w:tc>
          <w:tcPr>
            <w:tcW w:w="2786" w:type="dxa"/>
            <w:vAlign w:val="center"/>
          </w:tcPr>
          <w:p w14:paraId="3F4CE463" w14:textId="77777777" w:rsidR="004D4B0C" w:rsidRDefault="00252C8D">
            <w:pP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上市公司董事刘楚境之配偶</w:t>
            </w:r>
          </w:p>
        </w:tc>
        <w:tc>
          <w:tcPr>
            <w:tcW w:w="1418" w:type="dxa"/>
            <w:vAlign w:val="center"/>
          </w:tcPr>
          <w:p w14:paraId="03E28109" w14:textId="77777777" w:rsidR="004D4B0C" w:rsidRDefault="00252C8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1,000</w:t>
            </w:r>
          </w:p>
        </w:tc>
        <w:tc>
          <w:tcPr>
            <w:tcW w:w="1275" w:type="dxa"/>
            <w:vAlign w:val="center"/>
          </w:tcPr>
          <w:p w14:paraId="237CEC4B" w14:textId="77777777" w:rsidR="004D4B0C" w:rsidRDefault="00252C8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1,000</w:t>
            </w:r>
          </w:p>
        </w:tc>
        <w:tc>
          <w:tcPr>
            <w:tcW w:w="1610" w:type="dxa"/>
            <w:vAlign w:val="center"/>
          </w:tcPr>
          <w:p w14:paraId="0A81D1AA" w14:textId="77777777" w:rsidR="004D4B0C" w:rsidRDefault="00252C8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0</w:t>
            </w:r>
          </w:p>
        </w:tc>
      </w:tr>
      <w:tr w:rsidR="004D4B0C" w14:paraId="3FD270FE" w14:textId="77777777">
        <w:trPr>
          <w:cantSplit/>
          <w:trHeight w:val="397"/>
          <w:jc w:val="center"/>
        </w:trPr>
        <w:tc>
          <w:tcPr>
            <w:tcW w:w="0" w:type="auto"/>
            <w:vAlign w:val="center"/>
          </w:tcPr>
          <w:p w14:paraId="2ACAAB3A" w14:textId="77777777" w:rsidR="004D4B0C" w:rsidRDefault="00252C8D">
            <w:pPr>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851" w:type="dxa"/>
            <w:vAlign w:val="center"/>
          </w:tcPr>
          <w:p w14:paraId="3C17972E" w14:textId="77777777" w:rsidR="004D4B0C" w:rsidRDefault="00252C8D">
            <w:pP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李祥坤</w:t>
            </w:r>
          </w:p>
        </w:tc>
        <w:tc>
          <w:tcPr>
            <w:tcW w:w="2786" w:type="dxa"/>
            <w:vAlign w:val="center"/>
          </w:tcPr>
          <w:p w14:paraId="700F81A5" w14:textId="77777777" w:rsidR="004D4B0C" w:rsidRDefault="00252C8D">
            <w:pP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标的公司监事</w:t>
            </w:r>
          </w:p>
        </w:tc>
        <w:tc>
          <w:tcPr>
            <w:tcW w:w="1418" w:type="dxa"/>
            <w:vAlign w:val="center"/>
          </w:tcPr>
          <w:p w14:paraId="1DED9127" w14:textId="77777777" w:rsidR="004D4B0C" w:rsidRDefault="00252C8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6,100</w:t>
            </w:r>
          </w:p>
        </w:tc>
        <w:tc>
          <w:tcPr>
            <w:tcW w:w="1275" w:type="dxa"/>
            <w:vAlign w:val="center"/>
          </w:tcPr>
          <w:p w14:paraId="3DE64289" w14:textId="77777777" w:rsidR="004D4B0C" w:rsidRDefault="00252C8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6,100</w:t>
            </w:r>
          </w:p>
        </w:tc>
        <w:tc>
          <w:tcPr>
            <w:tcW w:w="1610" w:type="dxa"/>
            <w:vAlign w:val="center"/>
          </w:tcPr>
          <w:p w14:paraId="4593528B" w14:textId="77777777" w:rsidR="004D4B0C" w:rsidRDefault="00252C8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0</w:t>
            </w:r>
          </w:p>
        </w:tc>
      </w:tr>
      <w:tr w:rsidR="004D4B0C" w14:paraId="2C9CCDE3" w14:textId="77777777">
        <w:trPr>
          <w:cantSplit/>
          <w:trHeight w:val="397"/>
          <w:jc w:val="center"/>
        </w:trPr>
        <w:tc>
          <w:tcPr>
            <w:tcW w:w="0" w:type="auto"/>
            <w:vAlign w:val="center"/>
          </w:tcPr>
          <w:p w14:paraId="07459997" w14:textId="77777777" w:rsidR="004D4B0C" w:rsidRDefault="00252C8D">
            <w:pPr>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851" w:type="dxa"/>
            <w:vAlign w:val="center"/>
          </w:tcPr>
          <w:p w14:paraId="1421FD1E" w14:textId="77777777" w:rsidR="004D4B0C" w:rsidRDefault="00252C8D">
            <w:pP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林宝松</w:t>
            </w:r>
          </w:p>
        </w:tc>
        <w:tc>
          <w:tcPr>
            <w:tcW w:w="2786" w:type="dxa"/>
            <w:vAlign w:val="center"/>
          </w:tcPr>
          <w:p w14:paraId="76F81168" w14:textId="77777777" w:rsidR="004D4B0C" w:rsidRDefault="00252C8D">
            <w:pPr>
              <w:rPr>
                <w:rFonts w:ascii="Times New Roman" w:eastAsia="宋体" w:hAnsi="Times New Roman" w:cs="Times New Roman"/>
                <w:color w:val="000000"/>
                <w:szCs w:val="21"/>
              </w:rPr>
            </w:pPr>
            <w:bookmarkStart w:id="11" w:name="OLE_LINK74"/>
            <w:r>
              <w:rPr>
                <w:rFonts w:ascii="Times New Roman" w:eastAsia="宋体" w:hAnsi="Times New Roman" w:cs="Times New Roman" w:hint="eastAsia"/>
                <w:color w:val="000000"/>
                <w:szCs w:val="21"/>
              </w:rPr>
              <w:t>上市公司员工林尊瀛之父亲</w:t>
            </w:r>
            <w:bookmarkEnd w:id="11"/>
          </w:p>
        </w:tc>
        <w:tc>
          <w:tcPr>
            <w:tcW w:w="1418" w:type="dxa"/>
            <w:vAlign w:val="center"/>
          </w:tcPr>
          <w:p w14:paraId="25C0B4C0" w14:textId="77777777" w:rsidR="004D4B0C" w:rsidRDefault="00252C8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1,700</w:t>
            </w:r>
          </w:p>
        </w:tc>
        <w:tc>
          <w:tcPr>
            <w:tcW w:w="1275" w:type="dxa"/>
            <w:vAlign w:val="center"/>
          </w:tcPr>
          <w:p w14:paraId="6CE2E7DD" w14:textId="77777777" w:rsidR="004D4B0C" w:rsidRDefault="00252C8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1,700</w:t>
            </w:r>
          </w:p>
        </w:tc>
        <w:tc>
          <w:tcPr>
            <w:tcW w:w="1610" w:type="dxa"/>
            <w:vAlign w:val="center"/>
          </w:tcPr>
          <w:p w14:paraId="57E5F960" w14:textId="77777777" w:rsidR="004D4B0C" w:rsidRDefault="00252C8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0</w:t>
            </w:r>
          </w:p>
        </w:tc>
      </w:tr>
      <w:tr w:rsidR="004D4B0C" w14:paraId="47283581" w14:textId="77777777">
        <w:trPr>
          <w:cantSplit/>
          <w:trHeight w:val="397"/>
          <w:jc w:val="center"/>
        </w:trPr>
        <w:tc>
          <w:tcPr>
            <w:tcW w:w="0" w:type="auto"/>
            <w:vAlign w:val="center"/>
          </w:tcPr>
          <w:p w14:paraId="16935A87" w14:textId="77777777" w:rsidR="004D4B0C" w:rsidRDefault="00252C8D">
            <w:pPr>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851" w:type="dxa"/>
            <w:vAlign w:val="center"/>
          </w:tcPr>
          <w:p w14:paraId="2E04B773" w14:textId="77777777" w:rsidR="004D4B0C" w:rsidRDefault="00252C8D">
            <w:pP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商桂英</w:t>
            </w:r>
          </w:p>
        </w:tc>
        <w:tc>
          <w:tcPr>
            <w:tcW w:w="2786" w:type="dxa"/>
            <w:vAlign w:val="center"/>
          </w:tcPr>
          <w:p w14:paraId="05FE786B" w14:textId="77777777" w:rsidR="004D4B0C" w:rsidRDefault="00252C8D">
            <w:pP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上市公司员工林尊瀛之母亲</w:t>
            </w:r>
          </w:p>
        </w:tc>
        <w:tc>
          <w:tcPr>
            <w:tcW w:w="1418" w:type="dxa"/>
            <w:vAlign w:val="center"/>
          </w:tcPr>
          <w:p w14:paraId="0E5E58D9" w14:textId="77777777" w:rsidR="004D4B0C" w:rsidRDefault="00252C8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2,700</w:t>
            </w:r>
          </w:p>
        </w:tc>
        <w:tc>
          <w:tcPr>
            <w:tcW w:w="1275" w:type="dxa"/>
            <w:vAlign w:val="center"/>
          </w:tcPr>
          <w:p w14:paraId="5483243E" w14:textId="77777777" w:rsidR="004D4B0C" w:rsidRDefault="00252C8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2,700</w:t>
            </w:r>
          </w:p>
        </w:tc>
        <w:tc>
          <w:tcPr>
            <w:tcW w:w="1610" w:type="dxa"/>
            <w:vAlign w:val="center"/>
          </w:tcPr>
          <w:p w14:paraId="46124D31" w14:textId="77777777" w:rsidR="004D4B0C" w:rsidRDefault="00252C8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0</w:t>
            </w:r>
          </w:p>
        </w:tc>
      </w:tr>
    </w:tbl>
    <w:p w14:paraId="6C99747F"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针对上述在自查期间买卖股票的行为，上述人员均已分别出具《关于买卖广东天亿马信息产业股份有限公司股票情况的承诺函》，主要内容如下：</w:t>
      </w:r>
    </w:p>
    <w:p w14:paraId="561715C9"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hint="eastAsia"/>
          <w:sz w:val="24"/>
        </w:rPr>
        <w:t>1</w:t>
      </w:r>
      <w:r>
        <w:rPr>
          <w:rFonts w:ascii="Times New Roman" w:eastAsia="宋体" w:hAnsi="Times New Roman" w:cs="Times New Roman" w:hint="eastAsia"/>
          <w:sz w:val="24"/>
        </w:rPr>
        <w:t>、上述股票买卖行为，发生于本人知悉内幕信息之前，是本人基于对二级市场交易情况、公开市场信息、天亿马股票投资价值的自行判断而进行的操作，与本次交易无任何关联，不存在泄露本次交易的内幕信息、利用本次交易的内幕信息买卖天亿马股票、利用本次交易的内幕信息建议他人买卖相关证券、从事市场操纵等禁止的交易行为。</w:t>
      </w:r>
    </w:p>
    <w:p w14:paraId="4EAB9E5B"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Times New Roman" w:cs="Times New Roman" w:hint="eastAsia"/>
          <w:sz w:val="24"/>
        </w:rPr>
        <w:t>、本人不存在因涉嫌本次交易相关的内幕交易被立案调查或者立案侦查的情况，最近</w:t>
      </w:r>
      <w:r>
        <w:rPr>
          <w:rFonts w:ascii="Times New Roman" w:eastAsia="宋体" w:hAnsi="Times New Roman" w:cs="Times New Roman" w:hint="eastAsia"/>
          <w:sz w:val="24"/>
        </w:rPr>
        <w:t>36</w:t>
      </w:r>
      <w:r>
        <w:rPr>
          <w:rFonts w:ascii="Times New Roman" w:eastAsia="宋体" w:hAnsi="Times New Roman" w:cs="Times New Roman" w:hint="eastAsia"/>
          <w:sz w:val="24"/>
        </w:rPr>
        <w:t>个月不存在因本次交易相关的内幕交易而被中国证券监督管理委员会作出行政处罚、监管性措施或者司法机关依法追究刑事责任的情况。</w:t>
      </w:r>
    </w:p>
    <w:p w14:paraId="28E6D6D6"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3</w:t>
      </w:r>
      <w:r>
        <w:rPr>
          <w:rFonts w:ascii="Times New Roman" w:eastAsia="宋体" w:hAnsi="Times New Roman" w:cs="Times New Roman" w:hint="eastAsia"/>
          <w:sz w:val="24"/>
        </w:rPr>
        <w:t>、如上述</w:t>
      </w:r>
      <w:r>
        <w:rPr>
          <w:rFonts w:ascii="Times New Roman" w:eastAsia="宋体" w:hAnsi="Times New Roman" w:cs="Times New Roman" w:hint="eastAsia"/>
          <w:sz w:val="24"/>
        </w:rPr>
        <w:t>买卖上市公司股票的行为违反相关法律法规或证券主管机关颁布</w:t>
      </w:r>
      <w:r>
        <w:rPr>
          <w:rFonts w:ascii="Times New Roman" w:eastAsia="宋体" w:hAnsi="Times New Roman" w:cs="Times New Roman" w:hint="eastAsia"/>
          <w:sz w:val="24"/>
        </w:rPr>
        <w:lastRenderedPageBreak/>
        <w:t>的规范性文件的要求，被相关部门认定为利用本次交易相关信息进行内幕交易的情形，本人自愿承担由此引起的全部法律责任。</w:t>
      </w:r>
    </w:p>
    <w:p w14:paraId="3ACC980C"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4</w:t>
      </w:r>
      <w:r>
        <w:rPr>
          <w:rFonts w:ascii="Times New Roman" w:eastAsia="宋体" w:hAnsi="Times New Roman" w:cs="Times New Roman" w:hint="eastAsia"/>
          <w:sz w:val="24"/>
        </w:rPr>
        <w:t>、自本承诺函出具之日起，本人将严格遵守有关法律、行政法规及规范性文件的规定以及相关证券监管机构的要求，规范买卖上市公司股票的行为，不利用内幕信息买卖天亿马的股票，也不以任何方式将本次交易的未公开信息披露给第三方，或建议他人买卖天亿马股票。</w:t>
      </w:r>
    </w:p>
    <w:p w14:paraId="55F1E910"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5</w:t>
      </w:r>
      <w:r>
        <w:rPr>
          <w:rFonts w:ascii="Times New Roman" w:eastAsia="宋体" w:hAnsi="Times New Roman" w:cs="Times New Roman" w:hint="eastAsia"/>
          <w:sz w:val="24"/>
        </w:rPr>
        <w:t>、本人声明上述内容是真实、准确、完整的，保证不存在任何虚假记载、误导性陈述与重大遗漏，并知悉上述承</w:t>
      </w:r>
      <w:r>
        <w:rPr>
          <w:rFonts w:ascii="Times New Roman" w:eastAsia="宋体" w:hAnsi="Times New Roman" w:cs="Times New Roman" w:hint="eastAsia"/>
          <w:sz w:val="24"/>
        </w:rPr>
        <w:t>诺可能导致的法律后果，如违反上述承诺，本人愿意承担相应的法律责任。”</w:t>
      </w:r>
    </w:p>
    <w:p w14:paraId="3C86E973"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刘楚境作为陈婵锦之直系亲属，已出具《关于买卖广东天亿马信息产业股份有限公司股票情况的承诺函》，主要内容如下：</w:t>
      </w:r>
    </w:p>
    <w:p w14:paraId="1EB6A411"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hint="eastAsia"/>
          <w:sz w:val="24"/>
        </w:rPr>
        <w:t>1</w:t>
      </w:r>
      <w:r>
        <w:rPr>
          <w:rFonts w:ascii="Times New Roman" w:eastAsia="宋体" w:hAnsi="Times New Roman" w:cs="Times New Roman" w:hint="eastAsia"/>
          <w:sz w:val="24"/>
        </w:rPr>
        <w:t>、对于本次交易相关事项，本人严格遵守有关法律、行政法规及规范性文件的规定履行了保密义务，从未向本人直系亲属或任何其他第三方泄露本次交易的任何内幕信息，亦未以明示或暗示的方式向本人直系亲属或任何其他第三方作出买卖天亿马</w:t>
      </w:r>
      <w:r>
        <w:rPr>
          <w:rFonts w:ascii="Times New Roman" w:eastAsia="宋体" w:hAnsi="Times New Roman" w:cs="Times New Roman" w:hint="eastAsia"/>
          <w:sz w:val="24"/>
        </w:rPr>
        <w:t>A</w:t>
      </w:r>
      <w:r>
        <w:rPr>
          <w:rFonts w:ascii="Times New Roman" w:eastAsia="宋体" w:hAnsi="Times New Roman" w:cs="Times New Roman" w:hint="eastAsia"/>
          <w:sz w:val="24"/>
        </w:rPr>
        <w:t>股股票的指示或建议。</w:t>
      </w:r>
    </w:p>
    <w:p w14:paraId="5FC0D7FF" w14:textId="29271ED3"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Times New Roman" w:cs="Times New Roman" w:hint="eastAsia"/>
          <w:sz w:val="24"/>
        </w:rPr>
        <w:t>、本人直系亲属陈婵</w:t>
      </w:r>
      <w:r>
        <w:rPr>
          <w:rFonts w:ascii="Times New Roman" w:eastAsia="宋体" w:hAnsi="Times New Roman" w:cs="Times New Roman" w:hint="eastAsia"/>
          <w:sz w:val="24"/>
        </w:rPr>
        <w:t>锦</w:t>
      </w:r>
      <w:r>
        <w:rPr>
          <w:rFonts w:ascii="Times New Roman" w:eastAsia="宋体" w:hAnsi="Times New Roman" w:cs="Times New Roman" w:hint="eastAsia"/>
          <w:sz w:val="24"/>
        </w:rPr>
        <w:t>在自查期间买卖天亿马</w:t>
      </w:r>
      <w:r>
        <w:rPr>
          <w:rFonts w:ascii="Times New Roman" w:eastAsia="宋体" w:hAnsi="Times New Roman" w:cs="Times New Roman" w:hint="eastAsia"/>
          <w:sz w:val="24"/>
        </w:rPr>
        <w:t>A</w:t>
      </w:r>
      <w:r>
        <w:rPr>
          <w:rFonts w:ascii="Times New Roman" w:eastAsia="宋体" w:hAnsi="Times New Roman" w:cs="Times New Roman" w:hint="eastAsia"/>
          <w:sz w:val="24"/>
        </w:rPr>
        <w:t>股股票的行为，系其基于对大盘走势和板块情况的自行判断，根据交易习惯而进行的操作，与本次交易不存在关联关系，不存在利用内幕信息进行内幕交易的情形。</w:t>
      </w:r>
    </w:p>
    <w:p w14:paraId="042B37D8" w14:textId="5CD64CE2"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3</w:t>
      </w:r>
      <w:r>
        <w:rPr>
          <w:rFonts w:ascii="Times New Roman" w:eastAsia="宋体" w:hAnsi="Times New Roman" w:cs="Times New Roman" w:hint="eastAsia"/>
          <w:sz w:val="24"/>
        </w:rPr>
        <w:t>、陈婵</w:t>
      </w:r>
      <w:r>
        <w:rPr>
          <w:rFonts w:ascii="Times New Roman" w:eastAsia="宋体" w:hAnsi="Times New Roman" w:cs="Times New Roman" w:hint="eastAsia"/>
          <w:sz w:val="24"/>
        </w:rPr>
        <w:t>锦</w:t>
      </w:r>
      <w:r>
        <w:rPr>
          <w:rFonts w:ascii="Times New Roman" w:eastAsia="宋体" w:hAnsi="Times New Roman" w:cs="Times New Roman" w:hint="eastAsia"/>
          <w:sz w:val="24"/>
        </w:rPr>
        <w:t>不知悉本次交易相关内幕信息，本人及本人直系亲属在自查期间不存在泄露本次交易相关内幕信息或者利用本次交易相关内幕信息买卖或者建议他人买卖天亿马</w:t>
      </w:r>
      <w:r>
        <w:rPr>
          <w:rFonts w:ascii="Times New Roman" w:eastAsia="宋体" w:hAnsi="Times New Roman" w:cs="Times New Roman" w:hint="eastAsia"/>
          <w:sz w:val="24"/>
        </w:rPr>
        <w:t>A</w:t>
      </w:r>
      <w:r>
        <w:rPr>
          <w:rFonts w:ascii="Times New Roman" w:eastAsia="宋体" w:hAnsi="Times New Roman" w:cs="Times New Roman" w:hint="eastAsia"/>
          <w:sz w:val="24"/>
        </w:rPr>
        <w:t>股股票、从事市场操纵等禁止的交易行为，亦不存在获取或利用内幕信息而进行股票投资的行为。</w:t>
      </w:r>
    </w:p>
    <w:p w14:paraId="090A03A8"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4</w:t>
      </w:r>
      <w:r>
        <w:rPr>
          <w:rFonts w:ascii="Times New Roman" w:eastAsia="宋体" w:hAnsi="Times New Roman" w:cs="Times New Roman" w:hint="eastAsia"/>
          <w:sz w:val="24"/>
        </w:rPr>
        <w:t>、本人及本人直系亲属不存在因涉嫌本次交易相关的内幕交易被立案调查或者立案侦查的情况，最近</w:t>
      </w:r>
      <w:r>
        <w:rPr>
          <w:rFonts w:ascii="Times New Roman" w:eastAsia="宋体" w:hAnsi="Times New Roman" w:cs="Times New Roman" w:hint="eastAsia"/>
          <w:sz w:val="24"/>
        </w:rPr>
        <w:t>36</w:t>
      </w:r>
      <w:r>
        <w:rPr>
          <w:rFonts w:ascii="Times New Roman" w:eastAsia="宋体" w:hAnsi="Times New Roman" w:cs="Times New Roman" w:hint="eastAsia"/>
          <w:sz w:val="24"/>
        </w:rPr>
        <w:t>个月不存在因本次交易相关的内幕</w:t>
      </w:r>
      <w:r>
        <w:rPr>
          <w:rFonts w:ascii="Times New Roman" w:eastAsia="宋体" w:hAnsi="Times New Roman" w:cs="Times New Roman" w:hint="eastAsia"/>
          <w:sz w:val="24"/>
        </w:rPr>
        <w:t>交易而被中国证券监督管理委员会作出行政处罚、监管性措施或者司法机关依法追究刑事责任的情况。</w:t>
      </w:r>
    </w:p>
    <w:p w14:paraId="603B019F"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lastRenderedPageBreak/>
        <w:t>5</w:t>
      </w:r>
      <w:r>
        <w:rPr>
          <w:rFonts w:ascii="Times New Roman" w:eastAsia="宋体" w:hAnsi="Times New Roman" w:cs="Times New Roman" w:hint="eastAsia"/>
          <w:sz w:val="24"/>
        </w:rPr>
        <w:t>、如上述买卖上市公司股票的行为违反相关法律法规或证券主管机关颁布的规范性文件的要求，被相关部门认定为利用本次交易相关信息进行内幕交易的情形，本人自愿承担由此引起的全部法律责任。</w:t>
      </w:r>
    </w:p>
    <w:p w14:paraId="52BA1670"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6</w:t>
      </w:r>
      <w:r>
        <w:rPr>
          <w:rFonts w:ascii="Times New Roman" w:eastAsia="宋体" w:hAnsi="Times New Roman" w:cs="Times New Roman" w:hint="eastAsia"/>
          <w:sz w:val="24"/>
        </w:rPr>
        <w:t>、自本承诺函出具之日起，本人将严格遵守有关法律、行政法规及规范性文件的规定以及相关证券监管机构的要求，规范买卖上市公司股票的行为，不利用内幕信息买卖天亿马的股票，也不以任何方式将本次交易的未公开信息披露给第三方，或建议他人买卖天亿马股票。</w:t>
      </w:r>
    </w:p>
    <w:p w14:paraId="47FBB32F"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7</w:t>
      </w:r>
      <w:r>
        <w:rPr>
          <w:rFonts w:ascii="Times New Roman" w:eastAsia="宋体" w:hAnsi="Times New Roman" w:cs="Times New Roman" w:hint="eastAsia"/>
          <w:sz w:val="24"/>
        </w:rPr>
        <w:t>、本人声明上述内容是真实、准确、完整的，保证不存在任何虚假记载、误导性陈述与重大遗漏，并知悉上述承诺可能导致的法律后果，如违反上述承诺，本人愿意承担相应的法律责任。”</w:t>
      </w:r>
    </w:p>
    <w:p w14:paraId="1E15EC84"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林尊瀛作为林宝松及商桂英的直系亲属，已出具《关于买卖广东天亿马信息产业股份有限公司股票情况的承诺函》，主要内容如下：</w:t>
      </w:r>
    </w:p>
    <w:p w14:paraId="4A1F40A5"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hint="eastAsia"/>
          <w:sz w:val="24"/>
        </w:rPr>
        <w:t>1</w:t>
      </w:r>
      <w:r>
        <w:rPr>
          <w:rFonts w:ascii="Times New Roman" w:eastAsia="宋体" w:hAnsi="Times New Roman" w:cs="Times New Roman" w:hint="eastAsia"/>
          <w:sz w:val="24"/>
        </w:rPr>
        <w:t>、对于本次交易相关事项，本人严格遵守有关法律、行政法规及规范性文件的规定履行了保密义务，从未向本人直系亲属或任何其他第三方泄露本次交易的任何内幕信息，亦未以明示或暗示的方式向本人直系亲属或任何其他第三方作出买卖天亿马</w:t>
      </w:r>
      <w:r>
        <w:rPr>
          <w:rFonts w:ascii="Times New Roman" w:eastAsia="宋体" w:hAnsi="Times New Roman" w:cs="Times New Roman" w:hint="eastAsia"/>
          <w:sz w:val="24"/>
        </w:rPr>
        <w:t>A</w:t>
      </w:r>
      <w:r>
        <w:rPr>
          <w:rFonts w:ascii="Times New Roman" w:eastAsia="宋体" w:hAnsi="Times New Roman" w:cs="Times New Roman" w:hint="eastAsia"/>
          <w:sz w:val="24"/>
        </w:rPr>
        <w:t>股股票的指示或建议。</w:t>
      </w:r>
    </w:p>
    <w:p w14:paraId="2BFFD8BA"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Times New Roman" w:cs="Times New Roman" w:hint="eastAsia"/>
          <w:sz w:val="24"/>
        </w:rPr>
        <w:t>、本人直系亲属林宝松、商桂英在自查期间买卖天亿马</w:t>
      </w:r>
      <w:r>
        <w:rPr>
          <w:rFonts w:ascii="Times New Roman" w:eastAsia="宋体" w:hAnsi="Times New Roman" w:cs="Times New Roman" w:hint="eastAsia"/>
          <w:sz w:val="24"/>
        </w:rPr>
        <w:t>A</w:t>
      </w:r>
      <w:r>
        <w:rPr>
          <w:rFonts w:ascii="Times New Roman" w:eastAsia="宋体" w:hAnsi="Times New Roman" w:cs="Times New Roman" w:hint="eastAsia"/>
          <w:sz w:val="24"/>
        </w:rPr>
        <w:t>股股票的行为，系其基于对大盘走势和板块情况的自行判断，根据交易习惯而进行的操作，与本次交易不存在关联关系，不存在利用内幕信息进行内幕交易的情形。</w:t>
      </w:r>
    </w:p>
    <w:p w14:paraId="112A28CC"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3</w:t>
      </w:r>
      <w:r>
        <w:rPr>
          <w:rFonts w:ascii="Times New Roman" w:eastAsia="宋体" w:hAnsi="Times New Roman" w:cs="Times New Roman" w:hint="eastAsia"/>
          <w:sz w:val="24"/>
        </w:rPr>
        <w:t>、林宝松、商桂英不知悉本次交易相关内幕信息，本人及本人直系亲属在自查期间不存在泄露本次交易相关内幕信息或者利用本次交易相关内幕信息买卖或者建议他人买卖天亿马</w:t>
      </w:r>
      <w:r>
        <w:rPr>
          <w:rFonts w:ascii="Times New Roman" w:eastAsia="宋体" w:hAnsi="Times New Roman" w:cs="Times New Roman" w:hint="eastAsia"/>
          <w:sz w:val="24"/>
        </w:rPr>
        <w:t>A</w:t>
      </w:r>
      <w:r>
        <w:rPr>
          <w:rFonts w:ascii="Times New Roman" w:eastAsia="宋体" w:hAnsi="Times New Roman" w:cs="Times New Roman" w:hint="eastAsia"/>
          <w:sz w:val="24"/>
        </w:rPr>
        <w:t>股股票、从事市场操纵等禁止的交易行为，亦不存在获取或利用内幕信息而进行股票投资的行为。</w:t>
      </w:r>
    </w:p>
    <w:p w14:paraId="196BC9B1"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4</w:t>
      </w:r>
      <w:r>
        <w:rPr>
          <w:rFonts w:ascii="Times New Roman" w:eastAsia="宋体" w:hAnsi="Times New Roman" w:cs="Times New Roman" w:hint="eastAsia"/>
          <w:sz w:val="24"/>
        </w:rPr>
        <w:t>、本人及本人直系亲属不存在因涉嫌本次交易相</w:t>
      </w:r>
      <w:r>
        <w:rPr>
          <w:rFonts w:ascii="Times New Roman" w:eastAsia="宋体" w:hAnsi="Times New Roman" w:cs="Times New Roman" w:hint="eastAsia"/>
          <w:sz w:val="24"/>
        </w:rPr>
        <w:t>关的内幕交易被立案调查或者立案侦查的情况，最近</w:t>
      </w:r>
      <w:r>
        <w:rPr>
          <w:rFonts w:ascii="Times New Roman" w:eastAsia="宋体" w:hAnsi="Times New Roman" w:cs="Times New Roman" w:hint="eastAsia"/>
          <w:sz w:val="24"/>
        </w:rPr>
        <w:t>36</w:t>
      </w:r>
      <w:r>
        <w:rPr>
          <w:rFonts w:ascii="Times New Roman" w:eastAsia="宋体" w:hAnsi="Times New Roman" w:cs="Times New Roman" w:hint="eastAsia"/>
          <w:sz w:val="24"/>
        </w:rPr>
        <w:t>个月不存在因本次交易相关的内幕交易而被中国证券监督管理委员会作出行政处罚、监管性措施或者司法机关依法追究刑事责任的情况。</w:t>
      </w:r>
    </w:p>
    <w:p w14:paraId="57254BE3"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lastRenderedPageBreak/>
        <w:t>5</w:t>
      </w:r>
      <w:r>
        <w:rPr>
          <w:rFonts w:ascii="Times New Roman" w:eastAsia="宋体" w:hAnsi="Times New Roman" w:cs="Times New Roman" w:hint="eastAsia"/>
          <w:sz w:val="24"/>
        </w:rPr>
        <w:t>、如上述买卖上市公司股票的行为违反相关法律法规或证券主管机关颁布的规范性文件的要求，被相关部门认定为利用本次交易相关信息进行内幕交易的情形，本人自愿承担由此引起的全部法律责任。</w:t>
      </w:r>
    </w:p>
    <w:p w14:paraId="4CDD3355" w14:textId="77777777" w:rsidR="004D4B0C" w:rsidRDefault="00252C8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6</w:t>
      </w:r>
      <w:r>
        <w:rPr>
          <w:rFonts w:ascii="Times New Roman" w:eastAsia="宋体" w:hAnsi="Times New Roman" w:cs="Times New Roman" w:hint="eastAsia"/>
          <w:sz w:val="24"/>
        </w:rPr>
        <w:t>、自本承诺函出具之日起，本人将严格遵守有关法律、行政法规及规范性文件的规定以及相关证券监管机构的要求，规范买卖上市公司股票的行为，不利用内幕信息买卖天亿马的股</w:t>
      </w:r>
      <w:r>
        <w:rPr>
          <w:rFonts w:ascii="Times New Roman" w:eastAsia="宋体" w:hAnsi="Times New Roman" w:cs="Times New Roman" w:hint="eastAsia"/>
          <w:sz w:val="24"/>
        </w:rPr>
        <w:t>票，也不以任何方式将本次交易的未公开信息披露给第三方，或建议他人买卖天亿马股票。</w:t>
      </w:r>
    </w:p>
    <w:p w14:paraId="5D0724FC" w14:textId="77777777" w:rsidR="004D4B0C" w:rsidRDefault="00252C8D">
      <w:pPr>
        <w:spacing w:beforeLines="50" w:before="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sz w:val="24"/>
        </w:rPr>
        <w:t>7</w:t>
      </w:r>
      <w:r>
        <w:rPr>
          <w:rFonts w:ascii="Times New Roman" w:eastAsia="宋体" w:hAnsi="Times New Roman" w:cs="Times New Roman" w:hint="eastAsia"/>
          <w:sz w:val="24"/>
        </w:rPr>
        <w:t>、本人声明上述内容是真实、准确、完整的，保证不存在任何虚假记载、误导性陈述与重大遗漏，并知悉上述承诺可能导致的法律后果，如违反上述承诺，本人愿意承担相应的法律责任。</w:t>
      </w:r>
      <w:r>
        <w:rPr>
          <w:rFonts w:ascii="Times New Roman" w:eastAsia="宋体" w:hAnsi="Times New Roman" w:cs="Times New Roman" w:hint="eastAsia"/>
          <w:color w:val="000000"/>
          <w:kern w:val="0"/>
          <w:sz w:val="24"/>
        </w:rPr>
        <w:t>”</w:t>
      </w:r>
    </w:p>
    <w:p w14:paraId="7622C0F8" w14:textId="77777777" w:rsidR="004D4B0C" w:rsidRDefault="00252C8D">
      <w:pPr>
        <w:pStyle w:val="1"/>
        <w:widowControl/>
        <w:overflowPunct w:val="0"/>
        <w:autoSpaceDE w:val="0"/>
        <w:autoSpaceDN w:val="0"/>
        <w:adjustRightInd w:val="0"/>
        <w:snapToGrid w:val="0"/>
        <w:spacing w:beforeLines="50" w:before="156" w:beforeAutospacing="0" w:afterAutospacing="0" w:line="360" w:lineRule="auto"/>
        <w:ind w:firstLineChars="200" w:firstLine="482"/>
        <w:jc w:val="both"/>
        <w:textAlignment w:val="baseline"/>
        <w:rPr>
          <w:rFonts w:ascii="Times New Roman" w:hAnsi="Times New Roman" w:cs="Arial" w:hint="default"/>
          <w:snapToGrid w:val="0"/>
          <w:color w:val="000000"/>
          <w:kern w:val="0"/>
          <w:sz w:val="24"/>
          <w:szCs w:val="21"/>
        </w:rPr>
      </w:pPr>
      <w:r>
        <w:rPr>
          <w:rFonts w:ascii="Times New Roman" w:hAnsi="Times New Roman" w:cs="Arial"/>
          <w:snapToGrid w:val="0"/>
          <w:color w:val="000000"/>
          <w:kern w:val="0"/>
          <w:sz w:val="24"/>
          <w:szCs w:val="21"/>
        </w:rPr>
        <w:t>三、律师核查意见</w:t>
      </w:r>
    </w:p>
    <w:p w14:paraId="2E51D9BD" w14:textId="77777777" w:rsidR="004D4B0C" w:rsidRDefault="00252C8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根据中国证券登记结算有限责任公司深圳分公司出具的《信息披露义务人持股及股份变更查询证明》《股东股份变更明细清单》、内幕信息知情人签署的自查报告和承诺函等文件，本所律师认为：在上述相关主体签署的相关自查报告和承诺函文件</w:t>
      </w:r>
      <w:r>
        <w:rPr>
          <w:rFonts w:ascii="Times New Roman" w:eastAsia="宋体" w:hAnsi="Times New Roman" w:cs="Times New Roman" w:hint="eastAsia"/>
          <w:color w:val="000000"/>
          <w:kern w:val="0"/>
          <w:sz w:val="24"/>
        </w:rPr>
        <w:t>真实、准确、完整及有关承诺措施得到履行的情况下，上述相关主体在自查期间买卖上市公司股票的行为不构成内幕交易行为，不会对本次交易构成实质性法律障碍。</w:t>
      </w:r>
    </w:p>
    <w:p w14:paraId="151AF404" w14:textId="77777777" w:rsidR="004D4B0C" w:rsidRDefault="00252C8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（以下无正文）</w:t>
      </w:r>
      <w:r>
        <w:rPr>
          <w:rFonts w:ascii="Times New Roman" w:eastAsia="宋体" w:hAnsi="Times New Roman" w:cs="Times New Roman"/>
          <w:color w:val="000000"/>
          <w:kern w:val="0"/>
          <w:sz w:val="24"/>
        </w:rPr>
        <w:br w:type="page"/>
      </w:r>
    </w:p>
    <w:bookmarkEnd w:id="2"/>
    <w:p w14:paraId="460FF473" w14:textId="6008759A" w:rsidR="004D4B0C" w:rsidRDefault="00252C8D" w:rsidP="001231B0">
      <w:pPr>
        <w:widowControl/>
        <w:adjustRightInd w:val="0"/>
        <w:snapToGrid w:val="0"/>
        <w:spacing w:line="360" w:lineRule="auto"/>
        <w:ind w:firstLineChars="200" w:firstLine="480"/>
        <w:rPr>
          <w:sz w:val="24"/>
        </w:rPr>
      </w:pPr>
      <w:r>
        <w:rPr>
          <w:bCs/>
          <w:sz w:val="24"/>
        </w:rPr>
        <w:lastRenderedPageBreak/>
        <w:t>（本页无正文，为《</w:t>
      </w:r>
      <w:r>
        <w:rPr>
          <w:rFonts w:hint="eastAsia"/>
          <w:sz w:val="24"/>
        </w:rPr>
        <w:t>湖南启元律师事务所关于广东天亿马信息产业股份有限公司发行股份及支付现金购买资产并募集配套资金暨关联交易</w:t>
      </w:r>
      <w:r>
        <w:rPr>
          <w:rFonts w:hint="eastAsia"/>
          <w:bCs/>
          <w:sz w:val="24"/>
        </w:rPr>
        <w:t>相关主体买卖上市公司股票的</w:t>
      </w:r>
      <w:r>
        <w:rPr>
          <w:bCs/>
          <w:sz w:val="24"/>
        </w:rPr>
        <w:t>专项核查意见》之签字盖章页）</w:t>
      </w:r>
    </w:p>
    <w:p w14:paraId="6D21C60D" w14:textId="77777777" w:rsidR="004D4B0C" w:rsidRDefault="004D4B0C">
      <w:pPr>
        <w:widowControl/>
        <w:spacing w:line="360" w:lineRule="auto"/>
        <w:ind w:firstLineChars="200" w:firstLine="480"/>
        <w:rPr>
          <w:rFonts w:ascii="宋体" w:eastAsia="宋体" w:hAnsi="宋体" w:cs="宋体"/>
          <w:sz w:val="24"/>
        </w:rPr>
      </w:pPr>
    </w:p>
    <w:p w14:paraId="43B7DE9A" w14:textId="77777777" w:rsidR="004D4B0C" w:rsidRDefault="004D4B0C">
      <w:pPr>
        <w:widowControl/>
        <w:spacing w:line="360" w:lineRule="auto"/>
        <w:ind w:firstLineChars="200" w:firstLine="480"/>
        <w:rPr>
          <w:rFonts w:ascii="宋体" w:eastAsia="宋体" w:hAnsi="宋体" w:cs="宋体"/>
          <w:sz w:val="24"/>
        </w:rPr>
      </w:pPr>
    </w:p>
    <w:p w14:paraId="7FE399C6" w14:textId="77777777" w:rsidR="004D4B0C" w:rsidRDefault="004D4B0C">
      <w:pPr>
        <w:widowControl/>
        <w:spacing w:line="360" w:lineRule="auto"/>
        <w:ind w:firstLineChars="200" w:firstLine="480"/>
        <w:rPr>
          <w:rFonts w:ascii="宋体" w:eastAsia="宋体" w:hAnsi="宋体" w:cs="宋体"/>
          <w:sz w:val="24"/>
        </w:rPr>
      </w:pPr>
    </w:p>
    <w:p w14:paraId="598F4D58" w14:textId="77777777" w:rsidR="004D4B0C" w:rsidRDefault="004D4B0C">
      <w:pPr>
        <w:widowControl/>
        <w:spacing w:line="360" w:lineRule="auto"/>
        <w:ind w:firstLineChars="200" w:firstLine="480"/>
        <w:rPr>
          <w:rFonts w:ascii="宋体" w:eastAsia="宋体" w:hAnsi="宋体" w:cs="宋体"/>
          <w:sz w:val="24"/>
        </w:rPr>
      </w:pPr>
    </w:p>
    <w:p w14:paraId="69971217" w14:textId="77777777" w:rsidR="004D4B0C" w:rsidRDefault="00252C8D">
      <w:pPr>
        <w:widowControl/>
        <w:spacing w:line="360" w:lineRule="auto"/>
        <w:ind w:firstLineChars="200" w:firstLine="480"/>
        <w:rPr>
          <w:rFonts w:ascii="宋体" w:eastAsia="宋体" w:hAnsi="宋体" w:cs="宋体"/>
          <w:sz w:val="24"/>
        </w:rPr>
      </w:pPr>
      <w:r>
        <w:rPr>
          <w:rFonts w:ascii="宋体" w:eastAsia="宋体" w:hAnsi="宋体" w:cs="宋体" w:hint="eastAsia"/>
          <w:sz w:val="24"/>
        </w:rPr>
        <w:t>湖南启元律师事务所</w:t>
      </w:r>
    </w:p>
    <w:p w14:paraId="639DF67D" w14:textId="77777777" w:rsidR="004D4B0C" w:rsidRDefault="004D4B0C">
      <w:pPr>
        <w:widowControl/>
        <w:spacing w:line="360" w:lineRule="auto"/>
        <w:ind w:firstLineChars="200" w:firstLine="480"/>
        <w:rPr>
          <w:rFonts w:ascii="宋体" w:eastAsia="宋体" w:hAnsi="宋体" w:cs="宋体"/>
          <w:sz w:val="24"/>
        </w:rPr>
      </w:pPr>
    </w:p>
    <w:p w14:paraId="3E05F619" w14:textId="77777777" w:rsidR="004D4B0C" w:rsidRDefault="004D4B0C">
      <w:pPr>
        <w:widowControl/>
        <w:spacing w:line="360" w:lineRule="auto"/>
        <w:ind w:firstLineChars="200" w:firstLine="480"/>
        <w:rPr>
          <w:rFonts w:ascii="宋体" w:eastAsia="宋体" w:hAnsi="宋体" w:cs="宋体"/>
          <w:sz w:val="24"/>
        </w:rPr>
      </w:pPr>
    </w:p>
    <w:p w14:paraId="05BEEB03" w14:textId="77777777" w:rsidR="004D4B0C" w:rsidRDefault="00252C8D">
      <w:pPr>
        <w:widowControl/>
        <w:spacing w:line="360" w:lineRule="auto"/>
        <w:ind w:firstLineChars="200" w:firstLine="480"/>
        <w:rPr>
          <w:rFonts w:ascii="宋体" w:eastAsia="宋体" w:hAnsi="宋体" w:cs="宋体"/>
          <w:sz w:val="24"/>
        </w:rPr>
      </w:pPr>
      <w:r>
        <w:rPr>
          <w:rFonts w:ascii="宋体" w:eastAsia="宋体" w:hAnsi="宋体" w:cs="宋体" w:hint="eastAsia"/>
          <w:sz w:val="24"/>
        </w:rPr>
        <w:t>负责人：</w:t>
      </w:r>
      <w:r>
        <w:rPr>
          <w:rFonts w:ascii="宋体" w:eastAsia="宋体" w:hAnsi="宋体" w:cs="宋体" w:hint="eastAsia"/>
          <w:sz w:val="24"/>
          <w:u w:val="single"/>
        </w:rPr>
        <w:t xml:space="preserve">                </w:t>
      </w:r>
      <w:r>
        <w:rPr>
          <w:rFonts w:ascii="宋体" w:eastAsia="宋体" w:hAnsi="宋体" w:cs="宋体" w:hint="eastAsia"/>
          <w:sz w:val="24"/>
        </w:rPr>
        <w:t xml:space="preserve">           </w:t>
      </w:r>
      <w:r>
        <w:rPr>
          <w:rFonts w:ascii="宋体" w:eastAsia="宋体" w:hAnsi="宋体" w:cs="宋体" w:hint="eastAsia"/>
          <w:sz w:val="24"/>
        </w:rPr>
        <w:t>经办律师：</w:t>
      </w:r>
      <w:r>
        <w:rPr>
          <w:rFonts w:ascii="宋体" w:eastAsia="宋体" w:hAnsi="宋体" w:cs="宋体" w:hint="eastAsia"/>
          <w:sz w:val="24"/>
          <w:u w:val="single"/>
        </w:rPr>
        <w:t xml:space="preserve">                </w:t>
      </w:r>
      <w:r>
        <w:rPr>
          <w:rFonts w:ascii="宋体" w:eastAsia="宋体" w:hAnsi="宋体" w:cs="宋体" w:hint="eastAsia"/>
          <w:sz w:val="24"/>
        </w:rPr>
        <w:t xml:space="preserve">    </w:t>
      </w:r>
      <w:bookmarkStart w:id="12" w:name="_GoBack"/>
      <w:bookmarkEnd w:id="12"/>
    </w:p>
    <w:p w14:paraId="084A81F9" w14:textId="77777777" w:rsidR="004D4B0C" w:rsidRDefault="00252C8D">
      <w:pPr>
        <w:widowControl/>
        <w:tabs>
          <w:tab w:val="left" w:pos="6883"/>
        </w:tabs>
        <w:spacing w:line="360" w:lineRule="auto"/>
        <w:ind w:firstLineChars="200" w:firstLine="480"/>
        <w:rPr>
          <w:rFonts w:ascii="宋体" w:eastAsia="宋体" w:hAnsi="宋体" w:cs="宋体"/>
          <w:sz w:val="24"/>
        </w:rPr>
      </w:pPr>
      <w:r>
        <w:rPr>
          <w:rFonts w:ascii="宋体" w:eastAsia="宋体" w:hAnsi="宋体" w:cs="宋体" w:hint="eastAsia"/>
          <w:sz w:val="24"/>
        </w:rPr>
        <w:t xml:space="preserve">            </w:t>
      </w:r>
      <w:r>
        <w:rPr>
          <w:rFonts w:ascii="宋体" w:hAnsi="宋体" w:cs="宋体" w:hint="eastAsia"/>
          <w:sz w:val="24"/>
        </w:rPr>
        <w:t xml:space="preserve"> </w:t>
      </w:r>
      <w:r>
        <w:rPr>
          <w:rFonts w:ascii="宋体" w:eastAsia="宋体" w:hAnsi="宋体" w:cs="宋体" w:hint="eastAsia"/>
          <w:sz w:val="24"/>
        </w:rPr>
        <w:t>朱志怡</w:t>
      </w:r>
      <w:r>
        <w:rPr>
          <w:rFonts w:ascii="宋体" w:eastAsia="宋体" w:hAnsi="宋体" w:cs="宋体" w:hint="eastAsia"/>
          <w:sz w:val="24"/>
        </w:rPr>
        <w:t xml:space="preserve">                               </w:t>
      </w:r>
      <w:r>
        <w:rPr>
          <w:rFonts w:ascii="宋体" w:hAnsi="宋体" w:cs="宋体" w:hint="eastAsia"/>
          <w:sz w:val="24"/>
        </w:rPr>
        <w:t>张</w:t>
      </w:r>
      <w:r>
        <w:rPr>
          <w:rFonts w:ascii="宋体" w:hAnsi="宋体" w:cs="宋体" w:hint="eastAsia"/>
          <w:sz w:val="24"/>
        </w:rPr>
        <w:t xml:space="preserve">  </w:t>
      </w:r>
      <w:r>
        <w:rPr>
          <w:rFonts w:ascii="宋体" w:hAnsi="宋体" w:cs="宋体" w:hint="eastAsia"/>
          <w:sz w:val="24"/>
        </w:rPr>
        <w:t>恒</w:t>
      </w:r>
    </w:p>
    <w:p w14:paraId="2D68E38F" w14:textId="77777777" w:rsidR="004D4B0C" w:rsidRDefault="004D4B0C">
      <w:pPr>
        <w:widowControl/>
        <w:spacing w:line="360" w:lineRule="auto"/>
        <w:ind w:firstLineChars="200" w:firstLine="480"/>
        <w:rPr>
          <w:rFonts w:ascii="宋体" w:eastAsia="宋体" w:hAnsi="宋体" w:cs="宋体"/>
          <w:sz w:val="24"/>
        </w:rPr>
      </w:pPr>
    </w:p>
    <w:p w14:paraId="2BEE9DF9" w14:textId="77777777" w:rsidR="004D4B0C" w:rsidRDefault="00252C8D">
      <w:pPr>
        <w:widowControl/>
        <w:spacing w:line="360" w:lineRule="auto"/>
        <w:ind w:firstLineChars="200" w:firstLine="480"/>
        <w:rPr>
          <w:rFonts w:ascii="宋体" w:eastAsia="宋体" w:hAnsi="宋体" w:cs="宋体"/>
          <w:sz w:val="24"/>
          <w:u w:val="single"/>
        </w:rPr>
      </w:pPr>
      <w:r>
        <w:rPr>
          <w:rFonts w:ascii="宋体" w:eastAsia="宋体" w:hAnsi="宋体" w:cs="宋体" w:hint="eastAsia"/>
          <w:sz w:val="24"/>
        </w:rPr>
        <w:t xml:space="preserve">                                   </w:t>
      </w:r>
      <w:r>
        <w:rPr>
          <w:rFonts w:ascii="宋体" w:eastAsia="宋体" w:hAnsi="宋体" w:cs="宋体" w:hint="eastAsia"/>
          <w:sz w:val="24"/>
        </w:rPr>
        <w:t>经办律师：</w:t>
      </w:r>
      <w:r>
        <w:rPr>
          <w:rFonts w:ascii="宋体" w:eastAsia="宋体" w:hAnsi="宋体" w:cs="宋体" w:hint="eastAsia"/>
          <w:sz w:val="24"/>
          <w:u w:val="single"/>
        </w:rPr>
        <w:t xml:space="preserve">                </w:t>
      </w:r>
    </w:p>
    <w:p w14:paraId="7C2F15B2" w14:textId="77777777" w:rsidR="004D4B0C" w:rsidRDefault="00252C8D">
      <w:pPr>
        <w:widowControl/>
        <w:spacing w:line="360" w:lineRule="auto"/>
        <w:ind w:firstLineChars="200" w:firstLine="480"/>
        <w:rPr>
          <w:rFonts w:ascii="宋体" w:eastAsia="宋体" w:hAnsi="宋体" w:cs="宋体"/>
          <w:sz w:val="24"/>
        </w:rPr>
      </w:pPr>
      <w:r>
        <w:rPr>
          <w:rFonts w:ascii="宋体" w:eastAsia="宋体" w:hAnsi="宋体" w:cs="宋体" w:hint="eastAsia"/>
          <w:sz w:val="24"/>
        </w:rPr>
        <w:t xml:space="preserve">                                                  </w:t>
      </w:r>
      <w:r>
        <w:rPr>
          <w:rFonts w:ascii="宋体" w:hAnsi="宋体" w:cs="宋体" w:hint="eastAsia"/>
          <w:sz w:val="24"/>
        </w:rPr>
        <w:t>侯大林</w:t>
      </w:r>
    </w:p>
    <w:p w14:paraId="35604F5E" w14:textId="77777777" w:rsidR="004D4B0C" w:rsidRDefault="004D4B0C">
      <w:pPr>
        <w:widowControl/>
        <w:spacing w:line="360" w:lineRule="auto"/>
        <w:ind w:firstLineChars="200" w:firstLine="480"/>
        <w:rPr>
          <w:rFonts w:ascii="宋体" w:eastAsia="宋体" w:hAnsi="宋体" w:cs="宋体"/>
          <w:sz w:val="24"/>
        </w:rPr>
      </w:pPr>
    </w:p>
    <w:p w14:paraId="4AD18CCF" w14:textId="77777777" w:rsidR="004D4B0C" w:rsidRDefault="004D4B0C">
      <w:pPr>
        <w:widowControl/>
        <w:spacing w:line="360" w:lineRule="auto"/>
        <w:ind w:firstLineChars="200" w:firstLine="480"/>
        <w:rPr>
          <w:rFonts w:ascii="宋体" w:eastAsia="宋体" w:hAnsi="宋体" w:cs="宋体"/>
          <w:sz w:val="24"/>
        </w:rPr>
      </w:pPr>
    </w:p>
    <w:p w14:paraId="6413BBDC" w14:textId="4C466423" w:rsidR="004D4B0C" w:rsidRDefault="00252C8D">
      <w:pPr>
        <w:widowControl/>
        <w:spacing w:line="360" w:lineRule="auto"/>
        <w:ind w:firstLineChars="1900" w:firstLine="4560"/>
        <w:rPr>
          <w:rFonts w:ascii="宋体" w:eastAsia="宋体" w:hAnsi="宋体" w:cs="宋体"/>
          <w:sz w:val="24"/>
        </w:rPr>
      </w:pPr>
      <w:r>
        <w:rPr>
          <w:rFonts w:ascii="宋体" w:eastAsia="宋体" w:hAnsi="宋体" w:cs="宋体" w:hint="eastAsia"/>
          <w:sz w:val="24"/>
        </w:rPr>
        <w:t>签署日期：</w:t>
      </w:r>
      <w:r w:rsidR="001231B0">
        <w:rPr>
          <w:rFonts w:ascii="宋体" w:eastAsia="宋体" w:hAnsi="宋体" w:cs="宋体" w:hint="eastAsia"/>
          <w:sz w:val="24"/>
        </w:rPr>
        <w:t>2025</w:t>
      </w:r>
      <w:r>
        <w:rPr>
          <w:rFonts w:ascii="宋体" w:eastAsia="宋体" w:hAnsi="宋体" w:cs="宋体" w:hint="eastAsia"/>
          <w:sz w:val="24"/>
        </w:rPr>
        <w:t>年</w:t>
      </w:r>
      <w:r w:rsidR="001231B0">
        <w:rPr>
          <w:rFonts w:ascii="宋体" w:eastAsia="宋体" w:hAnsi="宋体" w:cs="宋体" w:hint="eastAsia"/>
          <w:sz w:val="24"/>
        </w:rPr>
        <w:t>12</w:t>
      </w:r>
      <w:r>
        <w:rPr>
          <w:rFonts w:ascii="宋体" w:eastAsia="宋体" w:hAnsi="宋体" w:cs="宋体" w:hint="eastAsia"/>
          <w:sz w:val="24"/>
        </w:rPr>
        <w:t>月</w:t>
      </w:r>
      <w:r w:rsidR="001231B0">
        <w:rPr>
          <w:rFonts w:ascii="宋体" w:eastAsia="宋体" w:hAnsi="宋体" w:cs="宋体" w:hint="eastAsia"/>
          <w:sz w:val="24"/>
        </w:rPr>
        <w:t>3</w:t>
      </w:r>
      <w:r>
        <w:rPr>
          <w:rFonts w:ascii="宋体" w:eastAsia="宋体" w:hAnsi="宋体" w:cs="宋体" w:hint="eastAsia"/>
          <w:sz w:val="24"/>
        </w:rPr>
        <w:t>日</w:t>
      </w:r>
    </w:p>
    <w:p w14:paraId="641ADEE1" w14:textId="77777777" w:rsidR="004D4B0C" w:rsidRDefault="004D4B0C">
      <w:pPr>
        <w:pStyle w:val="a4"/>
        <w:spacing w:before="72" w:line="219" w:lineRule="auto"/>
        <w:ind w:firstLineChars="2900" w:firstLine="6496"/>
        <w:rPr>
          <w:spacing w:val="-8"/>
          <w:sz w:val="24"/>
          <w:szCs w:val="24"/>
        </w:rPr>
      </w:pPr>
    </w:p>
    <w:p w14:paraId="75E55685" w14:textId="77777777" w:rsidR="004D4B0C" w:rsidRDefault="004D4B0C">
      <w:pPr>
        <w:pStyle w:val="a4"/>
        <w:spacing w:before="72" w:line="219" w:lineRule="auto"/>
        <w:ind w:left="6473"/>
        <w:rPr>
          <w:spacing w:val="-8"/>
        </w:rPr>
      </w:pPr>
    </w:p>
    <w:p w14:paraId="7A352506" w14:textId="77777777" w:rsidR="004D4B0C" w:rsidRDefault="004D4B0C">
      <w:pPr>
        <w:pStyle w:val="a4"/>
        <w:spacing w:before="72" w:line="219" w:lineRule="auto"/>
        <w:ind w:left="6473"/>
        <w:rPr>
          <w:spacing w:val="-8"/>
        </w:rPr>
      </w:pPr>
    </w:p>
    <w:p w14:paraId="63DA48FE" w14:textId="77777777" w:rsidR="004D4B0C" w:rsidRDefault="004D4B0C">
      <w:pPr>
        <w:autoSpaceDE w:val="0"/>
        <w:autoSpaceDN w:val="0"/>
        <w:spacing w:before="120" w:after="120" w:line="360" w:lineRule="auto"/>
        <w:rPr>
          <w:rFonts w:ascii="Times New Roman" w:eastAsia="宋体" w:hAnsi="Times New Roman" w:cs="Times New Roman"/>
          <w:sz w:val="24"/>
        </w:rPr>
      </w:pPr>
    </w:p>
    <w:p w14:paraId="482F352E" w14:textId="77777777" w:rsidR="004D4B0C" w:rsidRDefault="004D4B0C">
      <w:pPr>
        <w:widowControl/>
        <w:overflowPunct w:val="0"/>
        <w:topLinePunct/>
        <w:snapToGrid w:val="0"/>
        <w:spacing w:beforeLines="50" w:before="156" w:afterLines="50" w:after="156" w:line="360" w:lineRule="auto"/>
        <w:jc w:val="right"/>
      </w:pPr>
    </w:p>
    <w:sectPr w:rsidR="004D4B0C">
      <w:footerReference w:type="default" r:id="rId13"/>
      <w:pgSz w:w="11906" w:h="16838"/>
      <w:pgMar w:top="1701"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C871D6" w14:textId="77777777" w:rsidR="00252C8D" w:rsidRDefault="00252C8D">
      <w:r>
        <w:separator/>
      </w:r>
    </w:p>
  </w:endnote>
  <w:endnote w:type="continuationSeparator" w:id="0">
    <w:p w14:paraId="3BE277CC" w14:textId="77777777" w:rsidR="00252C8D" w:rsidRDefault="00252C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DD6CAC" w14:textId="77777777" w:rsidR="004D4B0C" w:rsidRDefault="00252C8D">
    <w:pPr>
      <w:pStyle w:val="a6"/>
    </w:pPr>
    <w:r>
      <w:rPr>
        <w:noProof/>
      </w:rPr>
      <mc:AlternateContent>
        <mc:Choice Requires="wps">
          <w:drawing>
            <wp:anchor distT="0" distB="0" distL="114300" distR="114300" simplePos="0" relativeHeight="251660288" behindDoc="0" locked="0" layoutInCell="1" allowOverlap="1" wp14:anchorId="58DB6794" wp14:editId="7421814A">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91B81C" w14:textId="77777777" w:rsidR="004D4B0C" w:rsidRDefault="00252C8D">
                          <w:pPr>
                            <w:pStyle w:val="a6"/>
                          </w:pPr>
                          <w:r>
                            <w:fldChar w:fldCharType="begin"/>
                          </w:r>
                          <w:r>
                            <w:instrText xml:space="preserve"> PAGE  \* MERGEFORMAT </w:instrText>
                          </w:r>
                          <w:r>
                            <w:fldChar w:fldCharType="separate"/>
                          </w:r>
                          <w:r w:rsidR="001231B0">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14:paraId="7C91B81C" w14:textId="77777777" w:rsidR="004D4B0C" w:rsidRDefault="00252C8D">
                    <w:pPr>
                      <w:pStyle w:val="a6"/>
                    </w:pPr>
                    <w:r>
                      <w:fldChar w:fldCharType="begin"/>
                    </w:r>
                    <w:r>
                      <w:instrText xml:space="preserve"> PAGE  \* MERGEFORMAT </w:instrText>
                    </w:r>
                    <w:r>
                      <w:fldChar w:fldCharType="separate"/>
                    </w:r>
                    <w:r w:rsidR="001231B0">
                      <w:rPr>
                        <w:noProof/>
                      </w:rPr>
                      <w:t>1</w:t>
                    </w:r>
                    <w: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CFF2CB" w14:textId="77777777" w:rsidR="004D4B0C" w:rsidRDefault="00252C8D">
    <w:pPr>
      <w:pStyle w:val="a6"/>
      <w:rPr>
        <w:rFonts w:ascii="Times New Roman" w:hAnsi="Times New Roman" w:cs="Times New Roman"/>
        <w:sz w:val="21"/>
        <w:szCs w:val="21"/>
      </w:rPr>
    </w:pPr>
    <w:r>
      <w:rPr>
        <w:noProof/>
        <w:sz w:val="21"/>
      </w:rPr>
      <mc:AlternateContent>
        <mc:Choice Requires="wps">
          <w:drawing>
            <wp:anchor distT="0" distB="0" distL="114300" distR="114300" simplePos="0" relativeHeight="251661312" behindDoc="0" locked="0" layoutInCell="1" allowOverlap="1" wp14:anchorId="4469DCA2" wp14:editId="2C420A4B">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BABCA5" w14:textId="77777777" w:rsidR="004D4B0C" w:rsidRDefault="00252C8D">
                          <w:pPr>
                            <w:pStyle w:val="a6"/>
                          </w:pPr>
                          <w:r>
                            <w:fldChar w:fldCharType="begin"/>
                          </w:r>
                          <w:r>
                            <w:instrText xml:space="preserve"> PAGE  \* MERGEFORMAT </w:instrText>
                          </w:r>
                          <w:r>
                            <w:fldChar w:fldCharType="separate"/>
                          </w:r>
                          <w:r w:rsidR="001231B0">
                            <w:rPr>
                              <w:noProof/>
                            </w:rP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7"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aYP2GMCAAARBQAADgAAAAAAAAAAAAAAAAAuAgAAZHJzL2Uyb0RvYy54&#10;bWxQSwECLQAUAAYACAAAACEAcarRudcAAAAFAQAADwAAAAAAAAAAAAAAAAC9BAAAZHJzL2Rvd25y&#10;ZXYueG1sUEsFBgAAAAAEAAQA8wAAAMEFAAAAAA==&#10;" filled="f" stroked="f" strokeweight=".5pt">
              <v:textbox style="mso-fit-shape-to-text:t" inset="0,0,0,0">
                <w:txbxContent>
                  <w:p w14:paraId="25BABCA5" w14:textId="77777777" w:rsidR="004D4B0C" w:rsidRDefault="00252C8D">
                    <w:pPr>
                      <w:pStyle w:val="a6"/>
                    </w:pPr>
                    <w:r>
                      <w:fldChar w:fldCharType="begin"/>
                    </w:r>
                    <w:r>
                      <w:instrText xml:space="preserve"> PAGE  \* MERGEFORMAT </w:instrText>
                    </w:r>
                    <w:r>
                      <w:fldChar w:fldCharType="separate"/>
                    </w:r>
                    <w:r w:rsidR="001231B0">
                      <w:rPr>
                        <w:noProof/>
                      </w:rPr>
                      <w:t>9</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B9B229" w14:textId="77777777" w:rsidR="00252C8D" w:rsidRDefault="00252C8D">
      <w:r>
        <w:separator/>
      </w:r>
    </w:p>
  </w:footnote>
  <w:footnote w:type="continuationSeparator" w:id="0">
    <w:p w14:paraId="1E729508" w14:textId="77777777" w:rsidR="00252C8D" w:rsidRDefault="00252C8D">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雨晨 邢">
    <w15:presenceInfo w15:providerId="Windows Live" w15:userId="5b090ffe1c295a8f"/>
  </w15:person>
  <w15:person w15:author="GTHTHAO">
    <w15:presenceInfo w15:providerId="None" w15:userId="GTHTHA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iMTY3NTUxZjU3ZjBkMmE5NzkyOTZhNDc1MmQ4NTMifQ=="/>
  </w:docVars>
  <w:rsids>
    <w:rsidRoot w:val="00A909AD"/>
    <w:rsid w:val="BEFFBC90"/>
    <w:rsid w:val="D9DFD356"/>
    <w:rsid w:val="DBFFD8A3"/>
    <w:rsid w:val="F79E31CE"/>
    <w:rsid w:val="0002172A"/>
    <w:rsid w:val="00026C87"/>
    <w:rsid w:val="000517E5"/>
    <w:rsid w:val="00072A6B"/>
    <w:rsid w:val="0008211F"/>
    <w:rsid w:val="0008331F"/>
    <w:rsid w:val="00087972"/>
    <w:rsid w:val="000A5232"/>
    <w:rsid w:val="000A7285"/>
    <w:rsid w:val="000B29F3"/>
    <w:rsid w:val="000B4C42"/>
    <w:rsid w:val="000D064E"/>
    <w:rsid w:val="000D10F8"/>
    <w:rsid w:val="000F31C9"/>
    <w:rsid w:val="00107714"/>
    <w:rsid w:val="00113949"/>
    <w:rsid w:val="001231B0"/>
    <w:rsid w:val="0012460E"/>
    <w:rsid w:val="00131DF4"/>
    <w:rsid w:val="00140970"/>
    <w:rsid w:val="0014486D"/>
    <w:rsid w:val="00144D5F"/>
    <w:rsid w:val="001515FD"/>
    <w:rsid w:val="00160656"/>
    <w:rsid w:val="00176033"/>
    <w:rsid w:val="00184F7F"/>
    <w:rsid w:val="00186108"/>
    <w:rsid w:val="00186645"/>
    <w:rsid w:val="001A397C"/>
    <w:rsid w:val="001B1FA9"/>
    <w:rsid w:val="001E7F35"/>
    <w:rsid w:val="002013E1"/>
    <w:rsid w:val="0021558D"/>
    <w:rsid w:val="002166C4"/>
    <w:rsid w:val="00220F63"/>
    <w:rsid w:val="00222015"/>
    <w:rsid w:val="002300A5"/>
    <w:rsid w:val="002358D4"/>
    <w:rsid w:val="0023679C"/>
    <w:rsid w:val="00252C8D"/>
    <w:rsid w:val="00267F8B"/>
    <w:rsid w:val="002757C8"/>
    <w:rsid w:val="00275E3A"/>
    <w:rsid w:val="0028201A"/>
    <w:rsid w:val="00284127"/>
    <w:rsid w:val="002A264B"/>
    <w:rsid w:val="002A780E"/>
    <w:rsid w:val="002B0638"/>
    <w:rsid w:val="002B7400"/>
    <w:rsid w:val="002C3802"/>
    <w:rsid w:val="002C70BC"/>
    <w:rsid w:val="002D0402"/>
    <w:rsid w:val="002D4F18"/>
    <w:rsid w:val="002E7F06"/>
    <w:rsid w:val="002F3C31"/>
    <w:rsid w:val="002F484E"/>
    <w:rsid w:val="003164FF"/>
    <w:rsid w:val="00322F91"/>
    <w:rsid w:val="00330401"/>
    <w:rsid w:val="00331DD7"/>
    <w:rsid w:val="00357201"/>
    <w:rsid w:val="00361207"/>
    <w:rsid w:val="00362280"/>
    <w:rsid w:val="00373A70"/>
    <w:rsid w:val="003A6D0A"/>
    <w:rsid w:val="003C06DF"/>
    <w:rsid w:val="003C7639"/>
    <w:rsid w:val="003D3D50"/>
    <w:rsid w:val="003D616E"/>
    <w:rsid w:val="00400CD4"/>
    <w:rsid w:val="00402099"/>
    <w:rsid w:val="00430B98"/>
    <w:rsid w:val="00432778"/>
    <w:rsid w:val="004407C0"/>
    <w:rsid w:val="004461C0"/>
    <w:rsid w:val="00457CEA"/>
    <w:rsid w:val="00465750"/>
    <w:rsid w:val="00472F55"/>
    <w:rsid w:val="0047570E"/>
    <w:rsid w:val="00486B59"/>
    <w:rsid w:val="004A28A5"/>
    <w:rsid w:val="004A3B95"/>
    <w:rsid w:val="004A46BC"/>
    <w:rsid w:val="004B685F"/>
    <w:rsid w:val="004B69C1"/>
    <w:rsid w:val="004C3B18"/>
    <w:rsid w:val="004D4B0C"/>
    <w:rsid w:val="004E2837"/>
    <w:rsid w:val="004F2195"/>
    <w:rsid w:val="00510010"/>
    <w:rsid w:val="005127C7"/>
    <w:rsid w:val="00513658"/>
    <w:rsid w:val="00532F2E"/>
    <w:rsid w:val="00537364"/>
    <w:rsid w:val="005377B1"/>
    <w:rsid w:val="00541C14"/>
    <w:rsid w:val="005478CD"/>
    <w:rsid w:val="00566F5D"/>
    <w:rsid w:val="0057202C"/>
    <w:rsid w:val="005760D0"/>
    <w:rsid w:val="00576550"/>
    <w:rsid w:val="00587AE1"/>
    <w:rsid w:val="00596A09"/>
    <w:rsid w:val="005B4CC4"/>
    <w:rsid w:val="005B54B9"/>
    <w:rsid w:val="005C0145"/>
    <w:rsid w:val="005D05E5"/>
    <w:rsid w:val="005E66CE"/>
    <w:rsid w:val="005F53AF"/>
    <w:rsid w:val="005F72A2"/>
    <w:rsid w:val="006226D4"/>
    <w:rsid w:val="0062325D"/>
    <w:rsid w:val="00630CC5"/>
    <w:rsid w:val="006367DE"/>
    <w:rsid w:val="00646EFC"/>
    <w:rsid w:val="00655EC9"/>
    <w:rsid w:val="00656255"/>
    <w:rsid w:val="0069196D"/>
    <w:rsid w:val="006A7FD5"/>
    <w:rsid w:val="006B0B62"/>
    <w:rsid w:val="006B193F"/>
    <w:rsid w:val="006B552E"/>
    <w:rsid w:val="006B60A9"/>
    <w:rsid w:val="006C4C43"/>
    <w:rsid w:val="006C7F9D"/>
    <w:rsid w:val="006D2CE7"/>
    <w:rsid w:val="006E13F8"/>
    <w:rsid w:val="00724010"/>
    <w:rsid w:val="00726266"/>
    <w:rsid w:val="00740537"/>
    <w:rsid w:val="007477F5"/>
    <w:rsid w:val="00762515"/>
    <w:rsid w:val="0077187D"/>
    <w:rsid w:val="00787782"/>
    <w:rsid w:val="007C165E"/>
    <w:rsid w:val="007C1961"/>
    <w:rsid w:val="007C25A2"/>
    <w:rsid w:val="007C68F6"/>
    <w:rsid w:val="007D26D9"/>
    <w:rsid w:val="007D724E"/>
    <w:rsid w:val="007E18DC"/>
    <w:rsid w:val="007E290D"/>
    <w:rsid w:val="007F1263"/>
    <w:rsid w:val="007F3A22"/>
    <w:rsid w:val="007F7386"/>
    <w:rsid w:val="00803797"/>
    <w:rsid w:val="008133C7"/>
    <w:rsid w:val="00817B8F"/>
    <w:rsid w:val="00824F16"/>
    <w:rsid w:val="00827398"/>
    <w:rsid w:val="00852C6C"/>
    <w:rsid w:val="00860531"/>
    <w:rsid w:val="008809CC"/>
    <w:rsid w:val="00886F43"/>
    <w:rsid w:val="008A7A82"/>
    <w:rsid w:val="008B730B"/>
    <w:rsid w:val="008D4E8C"/>
    <w:rsid w:val="008E5EA7"/>
    <w:rsid w:val="008E7160"/>
    <w:rsid w:val="008F1AFD"/>
    <w:rsid w:val="00902A39"/>
    <w:rsid w:val="009047FF"/>
    <w:rsid w:val="0091341A"/>
    <w:rsid w:val="009229D6"/>
    <w:rsid w:val="009311EC"/>
    <w:rsid w:val="009407F7"/>
    <w:rsid w:val="009448F2"/>
    <w:rsid w:val="009466D5"/>
    <w:rsid w:val="00954C44"/>
    <w:rsid w:val="0096369A"/>
    <w:rsid w:val="00963971"/>
    <w:rsid w:val="009639D7"/>
    <w:rsid w:val="00967B18"/>
    <w:rsid w:val="00993BEF"/>
    <w:rsid w:val="00997941"/>
    <w:rsid w:val="009A0317"/>
    <w:rsid w:val="009D368A"/>
    <w:rsid w:val="009D3806"/>
    <w:rsid w:val="009E4E6B"/>
    <w:rsid w:val="009F723B"/>
    <w:rsid w:val="00A13F30"/>
    <w:rsid w:val="00A1523D"/>
    <w:rsid w:val="00A17301"/>
    <w:rsid w:val="00A21BC9"/>
    <w:rsid w:val="00A26CF0"/>
    <w:rsid w:val="00A353F2"/>
    <w:rsid w:val="00A7169C"/>
    <w:rsid w:val="00A85060"/>
    <w:rsid w:val="00A909AD"/>
    <w:rsid w:val="00AA442A"/>
    <w:rsid w:val="00AA6E53"/>
    <w:rsid w:val="00AA7B8D"/>
    <w:rsid w:val="00AC23AB"/>
    <w:rsid w:val="00AF77FB"/>
    <w:rsid w:val="00B00618"/>
    <w:rsid w:val="00B16BF6"/>
    <w:rsid w:val="00B20622"/>
    <w:rsid w:val="00B258C6"/>
    <w:rsid w:val="00B35305"/>
    <w:rsid w:val="00B53687"/>
    <w:rsid w:val="00B54B7E"/>
    <w:rsid w:val="00B727FF"/>
    <w:rsid w:val="00BB7F92"/>
    <w:rsid w:val="00BC0CB4"/>
    <w:rsid w:val="00BE13C0"/>
    <w:rsid w:val="00BE2B8E"/>
    <w:rsid w:val="00BF4800"/>
    <w:rsid w:val="00C027D8"/>
    <w:rsid w:val="00C1051B"/>
    <w:rsid w:val="00C154E7"/>
    <w:rsid w:val="00C37A4E"/>
    <w:rsid w:val="00C61E62"/>
    <w:rsid w:val="00C77B37"/>
    <w:rsid w:val="00C96540"/>
    <w:rsid w:val="00CA5FAD"/>
    <w:rsid w:val="00CB3D48"/>
    <w:rsid w:val="00CB3DAC"/>
    <w:rsid w:val="00CC7AA4"/>
    <w:rsid w:val="00CF18FA"/>
    <w:rsid w:val="00D05200"/>
    <w:rsid w:val="00D119E2"/>
    <w:rsid w:val="00D36E17"/>
    <w:rsid w:val="00D46D95"/>
    <w:rsid w:val="00D511D1"/>
    <w:rsid w:val="00D640AE"/>
    <w:rsid w:val="00D73B89"/>
    <w:rsid w:val="00D771DE"/>
    <w:rsid w:val="00D835BF"/>
    <w:rsid w:val="00D863DE"/>
    <w:rsid w:val="00D93B1A"/>
    <w:rsid w:val="00DA3B51"/>
    <w:rsid w:val="00DB4B3E"/>
    <w:rsid w:val="00DC15EC"/>
    <w:rsid w:val="00DD1F42"/>
    <w:rsid w:val="00DE7751"/>
    <w:rsid w:val="00DF2BF5"/>
    <w:rsid w:val="00E21EC0"/>
    <w:rsid w:val="00E46E5E"/>
    <w:rsid w:val="00E57B86"/>
    <w:rsid w:val="00E71277"/>
    <w:rsid w:val="00E73FAF"/>
    <w:rsid w:val="00E74E3B"/>
    <w:rsid w:val="00E926A2"/>
    <w:rsid w:val="00EA4B59"/>
    <w:rsid w:val="00EA65C7"/>
    <w:rsid w:val="00EB0220"/>
    <w:rsid w:val="00EB0B10"/>
    <w:rsid w:val="00EC31C3"/>
    <w:rsid w:val="00EC5FF5"/>
    <w:rsid w:val="00EF43EF"/>
    <w:rsid w:val="00EF59EF"/>
    <w:rsid w:val="00EF75C0"/>
    <w:rsid w:val="00F0079A"/>
    <w:rsid w:val="00F05B38"/>
    <w:rsid w:val="00F10BBB"/>
    <w:rsid w:val="00F22156"/>
    <w:rsid w:val="00F22C9B"/>
    <w:rsid w:val="00F25EC1"/>
    <w:rsid w:val="00F324EC"/>
    <w:rsid w:val="00F34A9D"/>
    <w:rsid w:val="00F56099"/>
    <w:rsid w:val="00F62393"/>
    <w:rsid w:val="00F6790E"/>
    <w:rsid w:val="00F71B0E"/>
    <w:rsid w:val="00F841B3"/>
    <w:rsid w:val="00F85194"/>
    <w:rsid w:val="00F91A1B"/>
    <w:rsid w:val="00F943DA"/>
    <w:rsid w:val="00F95AD2"/>
    <w:rsid w:val="00FA376D"/>
    <w:rsid w:val="00FA4564"/>
    <w:rsid w:val="00FA476F"/>
    <w:rsid w:val="00FB2C5E"/>
    <w:rsid w:val="00FB3749"/>
    <w:rsid w:val="00FD7FB2"/>
    <w:rsid w:val="085C3C67"/>
    <w:rsid w:val="26A46844"/>
    <w:rsid w:val="2CB16D5E"/>
    <w:rsid w:val="39143F3A"/>
    <w:rsid w:val="3D3962F4"/>
    <w:rsid w:val="3FFFD3F3"/>
    <w:rsid w:val="514936EF"/>
    <w:rsid w:val="54945034"/>
    <w:rsid w:val="549D671C"/>
    <w:rsid w:val="57C02A1A"/>
    <w:rsid w:val="5DF377C1"/>
    <w:rsid w:val="621F3813"/>
    <w:rsid w:val="6FEF6589"/>
    <w:rsid w:val="7AFBE82E"/>
    <w:rsid w:val="7E572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3441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qFormat="1"/>
    <w:lsdException w:name="header" w:semiHidden="0" w:unhideWhenUsed="0" w:qFormat="1"/>
    <w:lsdException w:name="footer" w:semiHidden="0" w:uiPriority="99" w:unhideWhenUsed="0" w:qFormat="1"/>
    <w:lsdException w:name="caption" w:qFormat="1"/>
    <w:lsdException w:name="annotation reference"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Body Text"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3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nhideWhenUsed/>
    <w:qFormat/>
    <w:pPr>
      <w:jc w:val="left"/>
    </w:pPr>
  </w:style>
  <w:style w:type="paragraph" w:styleId="a4">
    <w:name w:val="Body Text"/>
    <w:basedOn w:val="a"/>
    <w:semiHidden/>
    <w:qFormat/>
    <w:rPr>
      <w:rFonts w:ascii="宋体" w:eastAsia="宋体" w:hAnsi="宋体" w:cs="宋体"/>
      <w:sz w:val="22"/>
      <w:szCs w:val="22"/>
    </w:rPr>
  </w:style>
  <w:style w:type="paragraph" w:styleId="a5">
    <w:name w:val="Balloon Text"/>
    <w:basedOn w:val="a"/>
    <w:link w:val="Char0"/>
    <w:qFormat/>
    <w:rPr>
      <w:sz w:val="18"/>
      <w:szCs w:val="18"/>
    </w:rPr>
  </w:style>
  <w:style w:type="paragraph" w:styleId="a6">
    <w:name w:val="footer"/>
    <w:basedOn w:val="a"/>
    <w:link w:val="Char1"/>
    <w:uiPriority w:val="99"/>
    <w:qFormat/>
    <w:pPr>
      <w:tabs>
        <w:tab w:val="center" w:pos="4153"/>
        <w:tab w:val="right" w:pos="8306"/>
      </w:tabs>
      <w:snapToGrid w:val="0"/>
      <w:jc w:val="left"/>
    </w:pPr>
    <w:rPr>
      <w:sz w:val="18"/>
      <w:szCs w:val="18"/>
    </w:rPr>
  </w:style>
  <w:style w:type="paragraph" w:styleId="a7">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semiHidden/>
    <w:unhideWhenUsed/>
    <w:qFormat/>
    <w:rPr>
      <w:b/>
      <w:bCs/>
    </w:rPr>
  </w:style>
  <w:style w:type="table" w:styleId="a9">
    <w:name w:val="Table Grid"/>
    <w:basedOn w:val="a1"/>
    <w:uiPriority w:val="39"/>
    <w:unhideWhenUsed/>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Emphasis"/>
    <w:basedOn w:val="a0"/>
    <w:qFormat/>
    <w:rPr>
      <w:i/>
      <w:iCs/>
    </w:rPr>
  </w:style>
  <w:style w:type="character" w:styleId="ab">
    <w:name w:val="annotation reference"/>
    <w:basedOn w:val="a0"/>
    <w:semiHidden/>
    <w:unhideWhenUsed/>
    <w:qFormat/>
    <w:rPr>
      <w:sz w:val="21"/>
      <w:szCs w:val="21"/>
    </w:rPr>
  </w:style>
  <w:style w:type="character" w:customStyle="1" w:styleId="Char2">
    <w:name w:val="页眉 Char"/>
    <w:basedOn w:val="a0"/>
    <w:link w:val="a7"/>
    <w:qFormat/>
    <w:rPr>
      <w:rFonts w:asciiTheme="minorHAnsi" w:eastAsiaTheme="minorEastAsia" w:hAnsiTheme="minorHAnsi" w:cstheme="minorBidi"/>
      <w:kern w:val="2"/>
      <w:sz w:val="18"/>
      <w:szCs w:val="18"/>
    </w:rPr>
  </w:style>
  <w:style w:type="character" w:customStyle="1" w:styleId="Char1">
    <w:name w:val="页脚 Char"/>
    <w:basedOn w:val="a0"/>
    <w:link w:val="a6"/>
    <w:uiPriority w:val="99"/>
    <w:qFormat/>
    <w:rPr>
      <w:rFonts w:asciiTheme="minorHAnsi" w:eastAsiaTheme="minorEastAsia" w:hAnsiTheme="minorHAnsi" w:cstheme="minorBidi"/>
      <w:kern w:val="2"/>
      <w:sz w:val="18"/>
      <w:szCs w:val="18"/>
    </w:rPr>
  </w:style>
  <w:style w:type="paragraph" w:customStyle="1" w:styleId="10">
    <w:name w:val="修订1"/>
    <w:hidden/>
    <w:uiPriority w:val="99"/>
    <w:semiHidden/>
    <w:qFormat/>
    <w:rPr>
      <w:rFonts w:asciiTheme="minorHAnsi" w:eastAsiaTheme="minorEastAsia" w:hAnsiTheme="minorHAnsi" w:cstheme="minorBidi"/>
      <w:kern w:val="2"/>
      <w:sz w:val="21"/>
      <w:szCs w:val="24"/>
    </w:rPr>
  </w:style>
  <w:style w:type="character" w:customStyle="1" w:styleId="Char0">
    <w:name w:val="批注框文本 Char"/>
    <w:basedOn w:val="a0"/>
    <w:link w:val="a5"/>
    <w:qFormat/>
    <w:rPr>
      <w:rFonts w:asciiTheme="minorHAnsi" w:eastAsiaTheme="minorEastAsia" w:hAnsiTheme="minorHAnsi" w:cstheme="minorBidi"/>
      <w:kern w:val="2"/>
      <w:sz w:val="18"/>
      <w:szCs w:val="18"/>
    </w:rPr>
  </w:style>
  <w:style w:type="paragraph" w:customStyle="1" w:styleId="008">
    <w:name w:val="008表格字体"/>
    <w:semiHidden/>
    <w:qFormat/>
    <w:pPr>
      <w:adjustRightInd w:val="0"/>
      <w:snapToGrid w:val="0"/>
      <w:spacing w:beforeLines="20" w:afterLines="20" w:line="256" w:lineRule="auto"/>
    </w:pPr>
    <w:rPr>
      <w:bCs/>
      <w:kern w:val="2"/>
      <w:sz w:val="21"/>
      <w:szCs w:val="28"/>
    </w:rPr>
  </w:style>
  <w:style w:type="paragraph" w:customStyle="1" w:styleId="2">
    <w:name w:val="修订2"/>
    <w:hidden/>
    <w:uiPriority w:val="99"/>
    <w:unhideWhenUsed/>
    <w:qFormat/>
    <w:rPr>
      <w:rFonts w:asciiTheme="minorHAnsi" w:eastAsiaTheme="minorEastAsia" w:hAnsiTheme="minorHAnsi" w:cstheme="minorBidi"/>
      <w:kern w:val="2"/>
      <w:sz w:val="21"/>
      <w:szCs w:val="24"/>
    </w:rPr>
  </w:style>
  <w:style w:type="character" w:customStyle="1" w:styleId="1Char">
    <w:name w:val="标题 1 Char"/>
    <w:basedOn w:val="a0"/>
    <w:link w:val="1"/>
    <w:qFormat/>
    <w:rPr>
      <w:rFonts w:ascii="宋体" w:hAnsi="宋体"/>
      <w:b/>
      <w:bCs/>
      <w:kern w:val="44"/>
      <w:sz w:val="48"/>
      <w:szCs w:val="48"/>
    </w:rPr>
  </w:style>
  <w:style w:type="table" w:customStyle="1" w:styleId="11">
    <w:name w:val="网格型1"/>
    <w:basedOn w:val="a1"/>
    <w:uiPriority w:val="39"/>
    <w:qFormat/>
    <w:rPr>
      <w:rFonts w:ascii="等线" w:eastAsia="等线" w:hAnsi="等线"/>
      <w:kern w:val="2"/>
      <w:sz w:val="22"/>
      <w:szCs w:val="24"/>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List Paragraph"/>
    <w:basedOn w:val="a"/>
    <w:uiPriority w:val="99"/>
    <w:unhideWhenUsed/>
    <w:qFormat/>
    <w:pPr>
      <w:ind w:firstLineChars="200" w:firstLine="420"/>
    </w:p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3">
    <w:name w:val="批注主题 Char"/>
    <w:basedOn w:val="Char"/>
    <w:link w:val="a8"/>
    <w:semiHidden/>
    <w:qFormat/>
    <w:rPr>
      <w:rFonts w:asciiTheme="minorHAnsi" w:eastAsiaTheme="minorEastAsia" w:hAnsiTheme="minorHAnsi" w:cstheme="minorBidi"/>
      <w:b/>
      <w:bCs/>
      <w:kern w:val="2"/>
      <w:sz w:val="21"/>
      <w:szCs w:val="24"/>
    </w:rPr>
  </w:style>
  <w:style w:type="paragraph" w:styleId="ad">
    <w:name w:val="Revision"/>
    <w:hidden/>
    <w:uiPriority w:val="99"/>
    <w:unhideWhenUsed/>
    <w:rsid w:val="00373A70"/>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qFormat="1"/>
    <w:lsdException w:name="header" w:semiHidden="0" w:unhideWhenUsed="0" w:qFormat="1"/>
    <w:lsdException w:name="footer" w:semiHidden="0" w:uiPriority="99" w:unhideWhenUsed="0" w:qFormat="1"/>
    <w:lsdException w:name="caption" w:qFormat="1"/>
    <w:lsdException w:name="annotation reference"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Body Text"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3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nhideWhenUsed/>
    <w:qFormat/>
    <w:pPr>
      <w:jc w:val="left"/>
    </w:pPr>
  </w:style>
  <w:style w:type="paragraph" w:styleId="a4">
    <w:name w:val="Body Text"/>
    <w:basedOn w:val="a"/>
    <w:semiHidden/>
    <w:qFormat/>
    <w:rPr>
      <w:rFonts w:ascii="宋体" w:eastAsia="宋体" w:hAnsi="宋体" w:cs="宋体"/>
      <w:sz w:val="22"/>
      <w:szCs w:val="22"/>
    </w:rPr>
  </w:style>
  <w:style w:type="paragraph" w:styleId="a5">
    <w:name w:val="Balloon Text"/>
    <w:basedOn w:val="a"/>
    <w:link w:val="Char0"/>
    <w:qFormat/>
    <w:rPr>
      <w:sz w:val="18"/>
      <w:szCs w:val="18"/>
    </w:rPr>
  </w:style>
  <w:style w:type="paragraph" w:styleId="a6">
    <w:name w:val="footer"/>
    <w:basedOn w:val="a"/>
    <w:link w:val="Char1"/>
    <w:uiPriority w:val="99"/>
    <w:qFormat/>
    <w:pPr>
      <w:tabs>
        <w:tab w:val="center" w:pos="4153"/>
        <w:tab w:val="right" w:pos="8306"/>
      </w:tabs>
      <w:snapToGrid w:val="0"/>
      <w:jc w:val="left"/>
    </w:pPr>
    <w:rPr>
      <w:sz w:val="18"/>
      <w:szCs w:val="18"/>
    </w:rPr>
  </w:style>
  <w:style w:type="paragraph" w:styleId="a7">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semiHidden/>
    <w:unhideWhenUsed/>
    <w:qFormat/>
    <w:rPr>
      <w:b/>
      <w:bCs/>
    </w:rPr>
  </w:style>
  <w:style w:type="table" w:styleId="a9">
    <w:name w:val="Table Grid"/>
    <w:basedOn w:val="a1"/>
    <w:uiPriority w:val="39"/>
    <w:unhideWhenUsed/>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Emphasis"/>
    <w:basedOn w:val="a0"/>
    <w:qFormat/>
    <w:rPr>
      <w:i/>
      <w:iCs/>
    </w:rPr>
  </w:style>
  <w:style w:type="character" w:styleId="ab">
    <w:name w:val="annotation reference"/>
    <w:basedOn w:val="a0"/>
    <w:semiHidden/>
    <w:unhideWhenUsed/>
    <w:qFormat/>
    <w:rPr>
      <w:sz w:val="21"/>
      <w:szCs w:val="21"/>
    </w:rPr>
  </w:style>
  <w:style w:type="character" w:customStyle="1" w:styleId="Char2">
    <w:name w:val="页眉 Char"/>
    <w:basedOn w:val="a0"/>
    <w:link w:val="a7"/>
    <w:qFormat/>
    <w:rPr>
      <w:rFonts w:asciiTheme="minorHAnsi" w:eastAsiaTheme="minorEastAsia" w:hAnsiTheme="minorHAnsi" w:cstheme="minorBidi"/>
      <w:kern w:val="2"/>
      <w:sz w:val="18"/>
      <w:szCs w:val="18"/>
    </w:rPr>
  </w:style>
  <w:style w:type="character" w:customStyle="1" w:styleId="Char1">
    <w:name w:val="页脚 Char"/>
    <w:basedOn w:val="a0"/>
    <w:link w:val="a6"/>
    <w:uiPriority w:val="99"/>
    <w:qFormat/>
    <w:rPr>
      <w:rFonts w:asciiTheme="minorHAnsi" w:eastAsiaTheme="minorEastAsia" w:hAnsiTheme="minorHAnsi" w:cstheme="minorBidi"/>
      <w:kern w:val="2"/>
      <w:sz w:val="18"/>
      <w:szCs w:val="18"/>
    </w:rPr>
  </w:style>
  <w:style w:type="paragraph" w:customStyle="1" w:styleId="10">
    <w:name w:val="修订1"/>
    <w:hidden/>
    <w:uiPriority w:val="99"/>
    <w:semiHidden/>
    <w:qFormat/>
    <w:rPr>
      <w:rFonts w:asciiTheme="minorHAnsi" w:eastAsiaTheme="minorEastAsia" w:hAnsiTheme="minorHAnsi" w:cstheme="minorBidi"/>
      <w:kern w:val="2"/>
      <w:sz w:val="21"/>
      <w:szCs w:val="24"/>
    </w:rPr>
  </w:style>
  <w:style w:type="character" w:customStyle="1" w:styleId="Char0">
    <w:name w:val="批注框文本 Char"/>
    <w:basedOn w:val="a0"/>
    <w:link w:val="a5"/>
    <w:qFormat/>
    <w:rPr>
      <w:rFonts w:asciiTheme="minorHAnsi" w:eastAsiaTheme="minorEastAsia" w:hAnsiTheme="minorHAnsi" w:cstheme="minorBidi"/>
      <w:kern w:val="2"/>
      <w:sz w:val="18"/>
      <w:szCs w:val="18"/>
    </w:rPr>
  </w:style>
  <w:style w:type="paragraph" w:customStyle="1" w:styleId="008">
    <w:name w:val="008表格字体"/>
    <w:semiHidden/>
    <w:qFormat/>
    <w:pPr>
      <w:adjustRightInd w:val="0"/>
      <w:snapToGrid w:val="0"/>
      <w:spacing w:beforeLines="20" w:afterLines="20" w:line="256" w:lineRule="auto"/>
    </w:pPr>
    <w:rPr>
      <w:bCs/>
      <w:kern w:val="2"/>
      <w:sz w:val="21"/>
      <w:szCs w:val="28"/>
    </w:rPr>
  </w:style>
  <w:style w:type="paragraph" w:customStyle="1" w:styleId="2">
    <w:name w:val="修订2"/>
    <w:hidden/>
    <w:uiPriority w:val="99"/>
    <w:unhideWhenUsed/>
    <w:qFormat/>
    <w:rPr>
      <w:rFonts w:asciiTheme="minorHAnsi" w:eastAsiaTheme="minorEastAsia" w:hAnsiTheme="minorHAnsi" w:cstheme="minorBidi"/>
      <w:kern w:val="2"/>
      <w:sz w:val="21"/>
      <w:szCs w:val="24"/>
    </w:rPr>
  </w:style>
  <w:style w:type="character" w:customStyle="1" w:styleId="1Char">
    <w:name w:val="标题 1 Char"/>
    <w:basedOn w:val="a0"/>
    <w:link w:val="1"/>
    <w:qFormat/>
    <w:rPr>
      <w:rFonts w:ascii="宋体" w:hAnsi="宋体"/>
      <w:b/>
      <w:bCs/>
      <w:kern w:val="44"/>
      <w:sz w:val="48"/>
      <w:szCs w:val="48"/>
    </w:rPr>
  </w:style>
  <w:style w:type="table" w:customStyle="1" w:styleId="11">
    <w:name w:val="网格型1"/>
    <w:basedOn w:val="a1"/>
    <w:uiPriority w:val="39"/>
    <w:qFormat/>
    <w:rPr>
      <w:rFonts w:ascii="等线" w:eastAsia="等线" w:hAnsi="等线"/>
      <w:kern w:val="2"/>
      <w:sz w:val="22"/>
      <w:szCs w:val="24"/>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List Paragraph"/>
    <w:basedOn w:val="a"/>
    <w:uiPriority w:val="99"/>
    <w:unhideWhenUsed/>
    <w:qFormat/>
    <w:pPr>
      <w:ind w:firstLineChars="200" w:firstLine="420"/>
    </w:p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3">
    <w:name w:val="批注主题 Char"/>
    <w:basedOn w:val="Char"/>
    <w:link w:val="a8"/>
    <w:semiHidden/>
    <w:qFormat/>
    <w:rPr>
      <w:rFonts w:asciiTheme="minorHAnsi" w:eastAsiaTheme="minorEastAsia" w:hAnsiTheme="minorHAnsi" w:cstheme="minorBidi"/>
      <w:b/>
      <w:bCs/>
      <w:kern w:val="2"/>
      <w:sz w:val="21"/>
      <w:szCs w:val="24"/>
    </w:rPr>
  </w:style>
  <w:style w:type="paragraph" w:styleId="ad">
    <w:name w:val="Revision"/>
    <w:hidden/>
    <w:uiPriority w:val="99"/>
    <w:unhideWhenUsed/>
    <w:rsid w:val="00373A70"/>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qiyuan.co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1C251DB-0233-41BA-80B2-783508D45B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10</Pages>
  <Words>845</Words>
  <Characters>4823</Characters>
  <Application>Microsoft Office Word</Application>
  <DocSecurity>0</DocSecurity>
  <Lines>40</Lines>
  <Paragraphs>11</Paragraphs>
  <ScaleCrop>false</ScaleCrop>
  <Company>HP Inc.</Company>
  <LinksUpToDate>false</LinksUpToDate>
  <CharactersWithSpaces>5657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85180</dc:creator>
  <cp:lastModifiedBy>hsq</cp:lastModifiedBy>
  <cp:revision>79</cp:revision>
  <cp:lastPrinted>2025-06-25T02:30:00Z</cp:lastPrinted>
  <dcterms:created xsi:type="dcterms:W3CDTF">2024-11-01T09:47:00Z</dcterms:created>
  <dcterms:modified xsi:type="dcterms:W3CDTF">2025-12-03T08:58:00Z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3CF7FBE71311E1EE349947684A3165FC_43</vt:lpwstr>
  </property>
  <property fmtid="{D5CDD505-2E9C-101B-9397-08002B2CF9AE}" pid="4" name="KSOTemplateDocerSaveRecord">
    <vt:lpwstr>eyJoZGlkIjoiYjc3NTVmODk5OWI4YTU0YmU5MTlhYzJjMjBkNzFlNmEiLCJ1c2VySWQiOiIyNDMwNTgyMjAifQ==</vt:lpwstr>
  </property>
</Properties>
</file>