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82236C" w14:textId="77777777" w:rsidR="00BD66DA" w:rsidRDefault="00F56094">
      <w:pPr>
        <w:autoSpaceDE w:val="0"/>
        <w:autoSpaceDN w:val="0"/>
        <w:adjustRightInd w:val="0"/>
        <w:spacing w:line="360" w:lineRule="auto"/>
        <w:jc w:val="left"/>
        <w:rPr>
          <w:rFonts w:ascii="仿宋" w:eastAsia="仿宋" w:hAnsi="仿宋" w:cs="仿宋"/>
          <w:sz w:val="28"/>
        </w:rPr>
      </w:pPr>
      <w:bookmarkStart w:id="0" w:name="_Hlk120197828"/>
      <w:r>
        <w:rPr>
          <w:rFonts w:ascii="仿宋" w:eastAsia="仿宋" w:hAnsi="仿宋" w:cs="仿宋" w:hint="eastAsia"/>
          <w:sz w:val="28"/>
          <w:lang w:bidi="ar"/>
        </w:rPr>
        <w:t>证券代码：</w:t>
      </w:r>
      <w:r>
        <w:rPr>
          <w:rFonts w:ascii="仿宋" w:eastAsia="仿宋" w:hAnsi="仿宋" w:cs="仿宋" w:hint="eastAsia"/>
          <w:sz w:val="28"/>
          <w:lang w:bidi="ar"/>
        </w:rPr>
        <w:t xml:space="preserve">301178     </w:t>
      </w:r>
      <w:r>
        <w:rPr>
          <w:rFonts w:ascii="仿宋" w:eastAsia="仿宋" w:hAnsi="仿宋" w:cs="仿宋" w:hint="eastAsia"/>
          <w:sz w:val="28"/>
          <w:lang w:bidi="ar"/>
        </w:rPr>
        <w:t>证券简称：天亿马</w:t>
      </w:r>
      <w:r>
        <w:rPr>
          <w:rFonts w:ascii="仿宋" w:eastAsia="仿宋" w:hAnsi="仿宋" w:cs="仿宋" w:hint="eastAsia"/>
          <w:sz w:val="28"/>
          <w:lang w:bidi="ar"/>
        </w:rPr>
        <w:t xml:space="preserve">    </w:t>
      </w:r>
      <w:r>
        <w:rPr>
          <w:rFonts w:ascii="仿宋" w:eastAsia="仿宋" w:hAnsi="仿宋" w:cs="仿宋" w:hint="eastAsia"/>
          <w:sz w:val="28"/>
          <w:lang w:bidi="ar"/>
        </w:rPr>
        <w:t>公告编号：</w:t>
      </w:r>
      <w:r>
        <w:rPr>
          <w:rFonts w:ascii="仿宋" w:eastAsia="仿宋" w:hAnsi="仿宋" w:cs="仿宋" w:hint="eastAsia"/>
          <w:sz w:val="28"/>
          <w:lang w:bidi="ar"/>
        </w:rPr>
        <w:t>2026-002</w:t>
      </w:r>
    </w:p>
    <w:bookmarkEnd w:id="0"/>
    <w:p w14:paraId="72918634" w14:textId="77777777" w:rsidR="00BD66DA" w:rsidRDefault="00F56094">
      <w:pPr>
        <w:spacing w:line="360" w:lineRule="auto"/>
        <w:jc w:val="center"/>
        <w:rPr>
          <w:rFonts w:ascii="黑体" w:eastAsia="黑体" w:hAnsi="宋体" w:cs="黑体"/>
          <w:sz w:val="36"/>
          <w:szCs w:val="36"/>
        </w:rPr>
      </w:pPr>
      <w:r>
        <w:rPr>
          <w:rFonts w:ascii="黑体" w:eastAsia="黑体" w:hAnsi="宋体" w:cs="黑体" w:hint="eastAsia"/>
          <w:sz w:val="36"/>
          <w:szCs w:val="36"/>
          <w:lang w:bidi="ar"/>
        </w:rPr>
        <w:t>广东天亿马信息产业股份有限公司</w:t>
      </w:r>
    </w:p>
    <w:p w14:paraId="52657E46" w14:textId="77777777" w:rsidR="00BD66DA" w:rsidRDefault="00F56094">
      <w:pPr>
        <w:spacing w:line="360" w:lineRule="auto"/>
        <w:jc w:val="center"/>
        <w:rPr>
          <w:rFonts w:ascii="黑体" w:eastAsia="黑体" w:hAnsi="宋体" w:cs="黑体"/>
          <w:sz w:val="36"/>
          <w:szCs w:val="36"/>
          <w:lang w:bidi="ar"/>
        </w:rPr>
      </w:pPr>
      <w:r>
        <w:rPr>
          <w:rFonts w:ascii="黑体" w:eastAsia="黑体" w:hAnsi="宋体" w:cs="黑体" w:hint="eastAsia"/>
          <w:sz w:val="36"/>
          <w:szCs w:val="36"/>
          <w:lang w:bidi="ar"/>
        </w:rPr>
        <w:t>发行股份及支付现金购买资产并募集配套资金</w:t>
      </w:r>
    </w:p>
    <w:p w14:paraId="330FA4A8" w14:textId="77777777" w:rsidR="00BD66DA" w:rsidRDefault="00F56094">
      <w:pPr>
        <w:spacing w:line="360" w:lineRule="auto"/>
        <w:jc w:val="center"/>
        <w:rPr>
          <w:rFonts w:ascii="黑体" w:eastAsia="黑体" w:hAnsi="宋体" w:cs="黑体"/>
          <w:sz w:val="36"/>
          <w:szCs w:val="36"/>
          <w:lang w:bidi="ar"/>
        </w:rPr>
      </w:pPr>
      <w:r>
        <w:rPr>
          <w:rFonts w:ascii="黑体" w:eastAsia="黑体" w:hAnsi="宋体" w:cs="黑体" w:hint="eastAsia"/>
          <w:sz w:val="36"/>
          <w:szCs w:val="36"/>
          <w:lang w:bidi="ar"/>
        </w:rPr>
        <w:t>报告书（草案）（修订稿）修订说明的公告</w:t>
      </w:r>
    </w:p>
    <w:p w14:paraId="7A2C9DF1" w14:textId="77777777" w:rsidR="00BD66DA" w:rsidRDefault="00BD66DA">
      <w:pPr>
        <w:spacing w:line="360" w:lineRule="auto"/>
        <w:jc w:val="center"/>
        <w:rPr>
          <w:rFonts w:ascii="黑体" w:eastAsia="黑体" w:hAnsi="宋体" w:cs="黑体"/>
          <w:sz w:val="36"/>
          <w:szCs w:val="36"/>
          <w:lang w:bidi="ar"/>
        </w:rPr>
      </w:pPr>
    </w:p>
    <w:tbl>
      <w:tblPr>
        <w:tblStyle w:val="a6"/>
        <w:tblW w:w="0" w:type="auto"/>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ook w:val="04A0" w:firstRow="1" w:lastRow="0" w:firstColumn="1" w:lastColumn="0" w:noHBand="0" w:noVBand="1"/>
      </w:tblPr>
      <w:tblGrid>
        <w:gridCol w:w="8296"/>
      </w:tblGrid>
      <w:tr w:rsidR="00BD66DA" w14:paraId="454B36ED" w14:textId="77777777">
        <w:tc>
          <w:tcPr>
            <w:tcW w:w="8296" w:type="dxa"/>
          </w:tcPr>
          <w:p w14:paraId="1CB42063" w14:textId="77777777" w:rsidR="00BD66DA" w:rsidRDefault="00F56094">
            <w:pPr>
              <w:adjustRightInd w:val="0"/>
              <w:snapToGrid w:val="0"/>
              <w:spacing w:line="360" w:lineRule="auto"/>
              <w:ind w:firstLineChars="200" w:firstLine="560"/>
              <w:contextualSpacing/>
              <w:jc w:val="left"/>
              <w:rPr>
                <w:bCs/>
                <w:szCs w:val="21"/>
              </w:rPr>
            </w:pPr>
            <w:r>
              <w:rPr>
                <w:rFonts w:ascii="楷体" w:eastAsia="楷体" w:hAnsi="楷体" w:cs="宋体" w:hint="eastAsia"/>
                <w:sz w:val="28"/>
                <w:lang w:bidi="ar"/>
              </w:rPr>
              <w:t>本公司及董事会全体成员保证信息披露的内容真实、准确、完整，没有虚假记载、误导性陈述或重大遗漏。</w:t>
            </w:r>
          </w:p>
        </w:tc>
      </w:tr>
    </w:tbl>
    <w:p w14:paraId="71870E71" w14:textId="77777777" w:rsidR="00BD66DA" w:rsidRDefault="00BD66DA">
      <w:pPr>
        <w:adjustRightInd w:val="0"/>
        <w:snapToGrid w:val="0"/>
        <w:spacing w:line="360" w:lineRule="auto"/>
        <w:ind w:firstLineChars="200" w:firstLine="643"/>
        <w:contextualSpacing/>
        <w:rPr>
          <w:rFonts w:eastAsia="仿宋"/>
          <w:b/>
          <w:color w:val="000000"/>
          <w:sz w:val="32"/>
          <w:szCs w:val="32"/>
        </w:rPr>
      </w:pPr>
    </w:p>
    <w:p w14:paraId="37F6A911" w14:textId="77777777" w:rsidR="00BD66DA" w:rsidRDefault="00F56094">
      <w:pPr>
        <w:snapToGrid w:val="0"/>
        <w:spacing w:line="360" w:lineRule="auto"/>
        <w:ind w:firstLineChars="200" w:firstLine="560"/>
        <w:rPr>
          <w:rFonts w:ascii="仿宋" w:eastAsia="仿宋" w:hAnsi="仿宋" w:cs="仿宋"/>
          <w:sz w:val="28"/>
          <w:szCs w:val="28"/>
        </w:rPr>
      </w:pPr>
      <w:bookmarkStart w:id="1" w:name="_Hlk120199437"/>
      <w:r>
        <w:rPr>
          <w:rFonts w:ascii="仿宋" w:eastAsia="仿宋" w:hAnsi="仿宋" w:cs="仿宋" w:hint="eastAsia"/>
          <w:sz w:val="28"/>
          <w:szCs w:val="28"/>
        </w:rPr>
        <w:t>广东天亿马信息产业股份有限公司（以下简称“公司”）拟通过发行股份及支付现金的方式购买广东星云开物科技股份有限公司（以下简称“标的公司”）</w:t>
      </w:r>
      <w:r>
        <w:rPr>
          <w:rFonts w:ascii="仿宋" w:eastAsia="仿宋" w:hAnsi="仿宋" w:cs="仿宋" w:hint="eastAsia"/>
          <w:sz w:val="28"/>
          <w:szCs w:val="28"/>
        </w:rPr>
        <w:t>98.5632%</w:t>
      </w:r>
      <w:r>
        <w:rPr>
          <w:rFonts w:ascii="仿宋" w:eastAsia="仿宋" w:hAnsi="仿宋" w:cs="仿宋" w:hint="eastAsia"/>
          <w:sz w:val="28"/>
          <w:szCs w:val="28"/>
        </w:rPr>
        <w:t>股权（以下简称“标的资产”）并募集配套资金（以下简称“本次交易”）。</w:t>
      </w:r>
      <w:bookmarkEnd w:id="1"/>
    </w:p>
    <w:p w14:paraId="58192C1C" w14:textId="77777777" w:rsidR="00BD66DA" w:rsidRDefault="00F56094">
      <w:pPr>
        <w:snapToGrid w:val="0"/>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公司于</w:t>
      </w:r>
      <w:r>
        <w:rPr>
          <w:rFonts w:ascii="仿宋" w:eastAsia="仿宋" w:hAnsi="仿宋" w:cs="仿宋" w:hint="eastAsia"/>
          <w:sz w:val="28"/>
          <w:szCs w:val="28"/>
        </w:rPr>
        <w:t>2025</w:t>
      </w:r>
      <w:r>
        <w:rPr>
          <w:rFonts w:ascii="仿宋" w:eastAsia="仿宋" w:hAnsi="仿宋" w:cs="仿宋" w:hint="eastAsia"/>
          <w:sz w:val="28"/>
          <w:szCs w:val="28"/>
        </w:rPr>
        <w:t>年</w:t>
      </w:r>
      <w:r>
        <w:rPr>
          <w:rFonts w:ascii="仿宋" w:eastAsia="仿宋" w:hAnsi="仿宋" w:cs="仿宋" w:hint="eastAsia"/>
          <w:sz w:val="28"/>
          <w:szCs w:val="28"/>
        </w:rPr>
        <w:t>12</w:t>
      </w:r>
      <w:r>
        <w:rPr>
          <w:rFonts w:ascii="仿宋" w:eastAsia="仿宋" w:hAnsi="仿宋" w:cs="仿宋" w:hint="eastAsia"/>
          <w:sz w:val="28"/>
          <w:szCs w:val="28"/>
        </w:rPr>
        <w:t>月</w:t>
      </w:r>
      <w:r>
        <w:rPr>
          <w:rFonts w:ascii="仿宋" w:eastAsia="仿宋" w:hAnsi="仿宋" w:cs="仿宋" w:hint="eastAsia"/>
          <w:sz w:val="28"/>
          <w:szCs w:val="28"/>
        </w:rPr>
        <w:t>26</w:t>
      </w:r>
      <w:r>
        <w:rPr>
          <w:rFonts w:ascii="仿宋" w:eastAsia="仿宋" w:hAnsi="仿宋" w:cs="仿宋" w:hint="eastAsia"/>
          <w:sz w:val="28"/>
          <w:szCs w:val="28"/>
        </w:rPr>
        <w:t>日收到深圳证券交易所出具的《关于广东天亿马信息产业股份有限公司发行股份及支付现金购买资产并募集配套资金申请的审核问询函》（审核函〔</w:t>
      </w:r>
      <w:r>
        <w:rPr>
          <w:rFonts w:ascii="仿宋" w:eastAsia="仿宋" w:hAnsi="仿宋" w:cs="仿宋" w:hint="eastAsia"/>
          <w:sz w:val="28"/>
          <w:szCs w:val="28"/>
        </w:rPr>
        <w:t>2025</w:t>
      </w:r>
      <w:r>
        <w:rPr>
          <w:rFonts w:ascii="仿宋" w:eastAsia="仿宋" w:hAnsi="仿宋" w:cs="仿宋" w:hint="eastAsia"/>
          <w:sz w:val="28"/>
          <w:szCs w:val="28"/>
        </w:rPr>
        <w:t>〕</w:t>
      </w:r>
      <w:r>
        <w:rPr>
          <w:rFonts w:ascii="仿宋" w:eastAsia="仿宋" w:hAnsi="仿宋" w:cs="仿宋" w:hint="eastAsia"/>
          <w:sz w:val="28"/>
          <w:szCs w:val="28"/>
        </w:rPr>
        <w:t>030021</w:t>
      </w:r>
      <w:r>
        <w:rPr>
          <w:rFonts w:ascii="仿宋" w:eastAsia="仿宋" w:hAnsi="仿宋" w:cs="仿宋" w:hint="eastAsia"/>
          <w:sz w:val="28"/>
          <w:szCs w:val="28"/>
        </w:rPr>
        <w:t>号）（以下简称“《问询函》”）。公司根据深圳证券交易所的审核意见对《广东天亿马信息产业股份有限公司发行股份及支付</w:t>
      </w:r>
      <w:r>
        <w:rPr>
          <w:rFonts w:ascii="仿宋" w:eastAsia="仿宋" w:hAnsi="仿宋" w:cs="仿宋" w:hint="eastAsia"/>
          <w:sz w:val="28"/>
          <w:szCs w:val="28"/>
        </w:rPr>
        <w:t>现金购买资产并募集配套资金暨关联交易报告书（草案）》进行了修订、补充和完善，具体内容详见与本公告同时披露的相关公告。</w:t>
      </w:r>
    </w:p>
    <w:p w14:paraId="608B1467" w14:textId="77777777" w:rsidR="00BD66DA" w:rsidRDefault="00F56094">
      <w:pPr>
        <w:snapToGrid w:val="0"/>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相较公司于</w:t>
      </w:r>
      <w:r>
        <w:rPr>
          <w:rFonts w:ascii="仿宋" w:eastAsia="仿宋" w:hAnsi="仿宋" w:cs="仿宋" w:hint="eastAsia"/>
          <w:sz w:val="28"/>
          <w:szCs w:val="28"/>
        </w:rPr>
        <w:t>2025</w:t>
      </w:r>
      <w:r>
        <w:rPr>
          <w:rFonts w:ascii="仿宋" w:eastAsia="仿宋" w:hAnsi="仿宋" w:cs="仿宋" w:hint="eastAsia"/>
          <w:sz w:val="28"/>
          <w:szCs w:val="28"/>
        </w:rPr>
        <w:t>年</w:t>
      </w:r>
      <w:r>
        <w:rPr>
          <w:rFonts w:ascii="仿宋" w:eastAsia="仿宋" w:hAnsi="仿宋" w:cs="仿宋" w:hint="eastAsia"/>
          <w:sz w:val="28"/>
          <w:szCs w:val="28"/>
        </w:rPr>
        <w:t>12</w:t>
      </w:r>
      <w:r>
        <w:rPr>
          <w:rFonts w:ascii="仿宋" w:eastAsia="仿宋" w:hAnsi="仿宋" w:cs="仿宋" w:hint="eastAsia"/>
          <w:sz w:val="28"/>
          <w:szCs w:val="28"/>
        </w:rPr>
        <w:t>月</w:t>
      </w:r>
      <w:r>
        <w:rPr>
          <w:rFonts w:ascii="仿宋" w:eastAsia="仿宋" w:hAnsi="仿宋" w:cs="仿宋" w:hint="eastAsia"/>
          <w:sz w:val="28"/>
          <w:szCs w:val="28"/>
        </w:rPr>
        <w:t>12</w:t>
      </w:r>
      <w:r>
        <w:rPr>
          <w:rFonts w:ascii="仿宋" w:eastAsia="仿宋" w:hAnsi="仿宋" w:cs="仿宋" w:hint="eastAsia"/>
          <w:sz w:val="28"/>
          <w:szCs w:val="28"/>
        </w:rPr>
        <w:t>日披露于深圳证券交易所发行上市审核信息公开网站（</w:t>
      </w:r>
      <w:r>
        <w:rPr>
          <w:rFonts w:ascii="仿宋" w:eastAsia="仿宋" w:hAnsi="仿宋" w:cs="仿宋" w:hint="eastAsia"/>
          <w:sz w:val="28"/>
          <w:szCs w:val="28"/>
        </w:rPr>
        <w:t>http://listing.szse.cn/</w:t>
      </w:r>
      <w:r>
        <w:rPr>
          <w:rFonts w:ascii="仿宋" w:eastAsia="仿宋" w:hAnsi="仿宋" w:cs="仿宋" w:hint="eastAsia"/>
          <w:sz w:val="28"/>
          <w:szCs w:val="28"/>
        </w:rPr>
        <w:t>）的《广东天亿马信息产业股份有限公司发行股份及支付现金购买资产并募集配套资金暨关联交易报告书（草案）（申报稿）》，重组报告书对部分内容进行了修订，主要修订内容如下（如无特别说明，本修订说明公告中的简称或名词的释义与重组报告书中的简称或名词的释义具有相同含义）：</w:t>
      </w:r>
    </w:p>
    <w:tbl>
      <w:tblPr>
        <w:tblW w:w="5000" w:type="pct"/>
        <w:jc w:val="center"/>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3794"/>
        <w:gridCol w:w="4728"/>
      </w:tblGrid>
      <w:tr w:rsidR="00BD66DA" w14:paraId="11806865" w14:textId="77777777">
        <w:trPr>
          <w:cantSplit/>
          <w:trHeight w:val="397"/>
          <w:tblHeader/>
          <w:jc w:val="center"/>
        </w:trPr>
        <w:tc>
          <w:tcPr>
            <w:tcW w:w="2226" w:type="pct"/>
            <w:tcBorders>
              <w:top w:val="single" w:sz="12" w:space="0" w:color="010000"/>
              <w:bottom w:val="single" w:sz="4" w:space="0" w:color="010000"/>
            </w:tcBorders>
            <w:vAlign w:val="center"/>
          </w:tcPr>
          <w:p w14:paraId="573842B0" w14:textId="77777777" w:rsidR="00BD66DA" w:rsidRPr="00390D63" w:rsidRDefault="00F56094">
            <w:pPr>
              <w:keepNext/>
              <w:jc w:val="center"/>
              <w:rPr>
                <w:rFonts w:ascii="仿宋" w:eastAsia="仿宋" w:hAnsi="仿宋" w:cs="仿宋"/>
                <w:b/>
                <w:snapToGrid w:val="0"/>
                <w:color w:val="000000"/>
                <w:sz w:val="24"/>
                <w:szCs w:val="24"/>
              </w:rPr>
            </w:pPr>
            <w:r w:rsidRPr="00390D63">
              <w:rPr>
                <w:rFonts w:ascii="仿宋" w:eastAsia="仿宋" w:hAnsi="仿宋" w:cs="仿宋" w:hint="eastAsia"/>
                <w:b/>
                <w:snapToGrid w:val="0"/>
                <w:color w:val="000000"/>
                <w:sz w:val="24"/>
                <w:szCs w:val="24"/>
              </w:rPr>
              <w:lastRenderedPageBreak/>
              <w:t>重组报告</w:t>
            </w:r>
            <w:r w:rsidRPr="00390D63">
              <w:rPr>
                <w:rFonts w:ascii="仿宋" w:eastAsia="仿宋" w:hAnsi="仿宋" w:cs="仿宋" w:hint="eastAsia"/>
                <w:b/>
                <w:snapToGrid w:val="0"/>
                <w:color w:val="000000"/>
                <w:sz w:val="24"/>
                <w:szCs w:val="24"/>
              </w:rPr>
              <w:t>书章节</w:t>
            </w:r>
          </w:p>
        </w:tc>
        <w:tc>
          <w:tcPr>
            <w:tcW w:w="2774" w:type="pct"/>
            <w:tcBorders>
              <w:top w:val="single" w:sz="12" w:space="0" w:color="010000"/>
              <w:bottom w:val="single" w:sz="4" w:space="0" w:color="010000"/>
            </w:tcBorders>
            <w:vAlign w:val="center"/>
          </w:tcPr>
          <w:p w14:paraId="0E7DF72E" w14:textId="77777777" w:rsidR="00BD66DA" w:rsidRPr="00390D63" w:rsidRDefault="00F56094">
            <w:pPr>
              <w:keepNext/>
              <w:jc w:val="center"/>
              <w:rPr>
                <w:rFonts w:ascii="仿宋" w:eastAsia="仿宋" w:hAnsi="仿宋" w:cs="仿宋"/>
                <w:b/>
                <w:snapToGrid w:val="0"/>
                <w:color w:val="000000"/>
                <w:sz w:val="24"/>
                <w:szCs w:val="24"/>
              </w:rPr>
            </w:pPr>
            <w:r w:rsidRPr="00390D63">
              <w:rPr>
                <w:rFonts w:ascii="仿宋" w:eastAsia="仿宋" w:hAnsi="仿宋" w:cs="仿宋" w:hint="eastAsia"/>
                <w:b/>
                <w:snapToGrid w:val="0"/>
                <w:color w:val="000000"/>
                <w:sz w:val="24"/>
                <w:szCs w:val="24"/>
              </w:rPr>
              <w:t>修订内容</w:t>
            </w:r>
          </w:p>
        </w:tc>
      </w:tr>
      <w:tr w:rsidR="00BD66DA" w14:paraId="2AD3905F" w14:textId="77777777">
        <w:trPr>
          <w:cantSplit/>
          <w:trHeight w:val="397"/>
          <w:jc w:val="center"/>
        </w:trPr>
        <w:tc>
          <w:tcPr>
            <w:tcW w:w="2226" w:type="pct"/>
            <w:vAlign w:val="center"/>
          </w:tcPr>
          <w:p w14:paraId="08285A93"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释义</w:t>
            </w:r>
          </w:p>
        </w:tc>
        <w:tc>
          <w:tcPr>
            <w:tcW w:w="2774" w:type="pct"/>
            <w:vAlign w:val="center"/>
          </w:tcPr>
          <w:p w14:paraId="790408D3" w14:textId="4F110158" w:rsidR="00BD66DA" w:rsidRDefault="00F20CFE">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新增标的公司控股子公司</w:t>
            </w:r>
            <w:r w:rsidRPr="00F20CFE">
              <w:rPr>
                <w:rFonts w:ascii="仿宋" w:eastAsia="仿宋" w:hAnsi="仿宋" w:cs="仿宋"/>
                <w:snapToGrid w:val="0"/>
                <w:color w:val="000000"/>
                <w:sz w:val="24"/>
                <w:szCs w:val="24"/>
              </w:rPr>
              <w:t>珠海维氪科技有限公司</w:t>
            </w:r>
            <w:r>
              <w:rPr>
                <w:rFonts w:ascii="仿宋" w:eastAsia="仿宋" w:hAnsi="仿宋" w:cs="仿宋" w:hint="eastAsia"/>
                <w:snapToGrid w:val="0"/>
                <w:color w:val="000000"/>
                <w:sz w:val="24"/>
                <w:szCs w:val="24"/>
              </w:rPr>
              <w:t>的释义</w:t>
            </w:r>
          </w:p>
        </w:tc>
      </w:tr>
      <w:tr w:rsidR="00BD66DA" w14:paraId="160F819C" w14:textId="77777777">
        <w:trPr>
          <w:cantSplit/>
          <w:trHeight w:val="397"/>
          <w:jc w:val="center"/>
        </w:trPr>
        <w:tc>
          <w:tcPr>
            <w:tcW w:w="2226" w:type="pct"/>
            <w:vAlign w:val="center"/>
          </w:tcPr>
          <w:p w14:paraId="39D265AE"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重大事项提示</w:t>
            </w:r>
          </w:p>
        </w:tc>
        <w:tc>
          <w:tcPr>
            <w:tcW w:w="2774" w:type="pct"/>
            <w:vAlign w:val="center"/>
          </w:tcPr>
          <w:p w14:paraId="538AFCC2" w14:textId="34414B86"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00F20CFE" w:rsidRPr="00F20CFE">
              <w:rPr>
                <w:rFonts w:ascii="仿宋" w:eastAsia="仿宋" w:hAnsi="仿宋" w:cs="仿宋"/>
                <w:snapToGrid w:val="0"/>
                <w:color w:val="000000"/>
                <w:sz w:val="24"/>
                <w:szCs w:val="24"/>
              </w:rPr>
              <w:t>本次交易已履行的及尚需履行的决策和审批程序</w:t>
            </w:r>
          </w:p>
        </w:tc>
      </w:tr>
      <w:tr w:rsidR="00BD66DA" w14:paraId="7DE6A647" w14:textId="77777777">
        <w:trPr>
          <w:cantSplit/>
          <w:trHeight w:val="397"/>
          <w:jc w:val="center"/>
        </w:trPr>
        <w:tc>
          <w:tcPr>
            <w:tcW w:w="2226" w:type="pct"/>
            <w:vAlign w:val="center"/>
          </w:tcPr>
          <w:p w14:paraId="57581BEA"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重大风险提示</w:t>
            </w:r>
          </w:p>
        </w:tc>
        <w:tc>
          <w:tcPr>
            <w:tcW w:w="2774" w:type="pct"/>
            <w:vAlign w:val="center"/>
          </w:tcPr>
          <w:p w14:paraId="5CE95174" w14:textId="1F92DDBF"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为突出重大性，增强针对性，强化风险导向，已按照重要性重新排序</w:t>
            </w:r>
            <w:r w:rsidR="00FC7C94">
              <w:rPr>
                <w:rFonts w:ascii="仿宋" w:eastAsia="仿宋" w:hAnsi="仿宋" w:cs="仿宋" w:hint="eastAsia"/>
                <w:snapToGrid w:val="0"/>
                <w:color w:val="000000"/>
                <w:sz w:val="24"/>
                <w:szCs w:val="24"/>
              </w:rPr>
              <w:t>；新增</w:t>
            </w:r>
            <w:r w:rsidR="00FC7C94" w:rsidRPr="00FC7C94">
              <w:rPr>
                <w:rFonts w:ascii="仿宋" w:eastAsia="仿宋" w:hAnsi="仿宋" w:cs="仿宋"/>
                <w:snapToGrid w:val="0"/>
                <w:color w:val="000000"/>
                <w:sz w:val="24"/>
                <w:szCs w:val="24"/>
              </w:rPr>
              <w:t>业绩补偿金额未完整覆盖交易对价的风险</w:t>
            </w:r>
          </w:p>
        </w:tc>
      </w:tr>
      <w:tr w:rsidR="00BD66DA" w14:paraId="3DD5B0E4" w14:textId="77777777">
        <w:trPr>
          <w:cantSplit/>
          <w:trHeight w:val="397"/>
          <w:jc w:val="center"/>
        </w:trPr>
        <w:tc>
          <w:tcPr>
            <w:tcW w:w="2226" w:type="pct"/>
            <w:vAlign w:val="center"/>
          </w:tcPr>
          <w:p w14:paraId="730EA508"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第一节</w:t>
            </w:r>
            <w:r>
              <w:rPr>
                <w:rFonts w:ascii="仿宋" w:eastAsia="仿宋" w:hAnsi="仿宋" w:cs="仿宋" w:hint="eastAsia"/>
                <w:snapToGrid w:val="0"/>
                <w:color w:val="000000"/>
                <w:sz w:val="24"/>
                <w:szCs w:val="24"/>
              </w:rPr>
              <w:t xml:space="preserve"> </w:t>
            </w:r>
            <w:r>
              <w:rPr>
                <w:rFonts w:ascii="仿宋" w:eastAsia="仿宋" w:hAnsi="仿宋" w:cs="仿宋" w:hint="eastAsia"/>
                <w:snapToGrid w:val="0"/>
                <w:color w:val="000000"/>
                <w:sz w:val="24"/>
                <w:szCs w:val="24"/>
              </w:rPr>
              <w:t>本次交易概况</w:t>
            </w:r>
          </w:p>
        </w:tc>
        <w:tc>
          <w:tcPr>
            <w:tcW w:w="2774" w:type="pct"/>
            <w:vAlign w:val="center"/>
          </w:tcPr>
          <w:p w14:paraId="4A6FCB43" w14:textId="47FB2AF9"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00FC7C94">
              <w:rPr>
                <w:rFonts w:ascii="仿宋" w:eastAsia="仿宋" w:hAnsi="仿宋" w:cs="仿宋" w:hint="eastAsia"/>
                <w:snapToGrid w:val="0"/>
                <w:color w:val="000000"/>
                <w:sz w:val="24"/>
                <w:szCs w:val="24"/>
              </w:rPr>
              <w:t>本次交易的具体方案、本次交易的性质</w:t>
            </w:r>
          </w:p>
        </w:tc>
      </w:tr>
      <w:tr w:rsidR="00BD66DA" w14:paraId="5857A29E" w14:textId="77777777">
        <w:trPr>
          <w:cantSplit/>
          <w:trHeight w:val="397"/>
          <w:jc w:val="center"/>
        </w:trPr>
        <w:tc>
          <w:tcPr>
            <w:tcW w:w="2226" w:type="pct"/>
            <w:vAlign w:val="center"/>
          </w:tcPr>
          <w:p w14:paraId="15B253FC"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第二节</w:t>
            </w:r>
            <w:r>
              <w:rPr>
                <w:rFonts w:ascii="仿宋" w:eastAsia="仿宋" w:hAnsi="仿宋" w:cs="仿宋" w:hint="eastAsia"/>
                <w:snapToGrid w:val="0"/>
                <w:color w:val="000000"/>
                <w:sz w:val="24"/>
                <w:szCs w:val="24"/>
              </w:rPr>
              <w:t xml:space="preserve"> </w:t>
            </w:r>
            <w:r>
              <w:rPr>
                <w:rFonts w:ascii="仿宋" w:eastAsia="仿宋" w:hAnsi="仿宋" w:cs="仿宋" w:hint="eastAsia"/>
                <w:snapToGrid w:val="0"/>
                <w:color w:val="000000"/>
                <w:sz w:val="24"/>
                <w:szCs w:val="24"/>
              </w:rPr>
              <w:t>上市公司基本情况</w:t>
            </w:r>
          </w:p>
        </w:tc>
        <w:tc>
          <w:tcPr>
            <w:tcW w:w="2774" w:type="pct"/>
            <w:vAlign w:val="center"/>
          </w:tcPr>
          <w:p w14:paraId="1A1FFDC8"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无</w:t>
            </w:r>
          </w:p>
        </w:tc>
      </w:tr>
      <w:tr w:rsidR="00BD66DA" w14:paraId="6A2A7D5A" w14:textId="77777777">
        <w:trPr>
          <w:cantSplit/>
          <w:trHeight w:val="397"/>
          <w:jc w:val="center"/>
        </w:trPr>
        <w:tc>
          <w:tcPr>
            <w:tcW w:w="2226" w:type="pct"/>
            <w:vAlign w:val="center"/>
          </w:tcPr>
          <w:p w14:paraId="539332E3"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第三节</w:t>
            </w:r>
            <w:r>
              <w:rPr>
                <w:rFonts w:ascii="仿宋" w:eastAsia="仿宋" w:hAnsi="仿宋" w:cs="仿宋" w:hint="eastAsia"/>
                <w:snapToGrid w:val="0"/>
                <w:color w:val="000000"/>
                <w:sz w:val="24"/>
                <w:szCs w:val="24"/>
              </w:rPr>
              <w:t xml:space="preserve"> </w:t>
            </w:r>
            <w:r>
              <w:rPr>
                <w:rFonts w:ascii="仿宋" w:eastAsia="仿宋" w:hAnsi="仿宋" w:cs="仿宋" w:hint="eastAsia"/>
                <w:snapToGrid w:val="0"/>
                <w:color w:val="000000"/>
                <w:sz w:val="24"/>
                <w:szCs w:val="24"/>
              </w:rPr>
              <w:t>交易对方基本情况</w:t>
            </w:r>
          </w:p>
        </w:tc>
        <w:tc>
          <w:tcPr>
            <w:tcW w:w="2774" w:type="pct"/>
            <w:vAlign w:val="center"/>
          </w:tcPr>
          <w:p w14:paraId="12CD545F" w14:textId="1B46528F" w:rsidR="00BD66DA" w:rsidRDefault="00FC7C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00B90E92">
              <w:rPr>
                <w:rFonts w:ascii="仿宋" w:eastAsia="仿宋" w:hAnsi="仿宋" w:cs="仿宋" w:hint="eastAsia"/>
                <w:snapToGrid w:val="0"/>
                <w:color w:val="000000"/>
                <w:sz w:val="24"/>
                <w:szCs w:val="24"/>
              </w:rPr>
              <w:t>发</w:t>
            </w:r>
            <w:bookmarkStart w:id="2" w:name="_GoBack"/>
            <w:bookmarkEnd w:id="2"/>
            <w:r w:rsidRPr="00FC7C94">
              <w:rPr>
                <w:rFonts w:ascii="仿宋" w:eastAsia="仿宋" w:hAnsi="仿宋" w:cs="仿宋"/>
                <w:snapToGrid w:val="0"/>
                <w:color w:val="000000"/>
                <w:sz w:val="24"/>
                <w:szCs w:val="24"/>
              </w:rPr>
              <w:t>行股份及支付现金购买资产的交易对方情况</w:t>
            </w:r>
          </w:p>
        </w:tc>
      </w:tr>
      <w:tr w:rsidR="00BD66DA" w14:paraId="1D48A151" w14:textId="77777777">
        <w:trPr>
          <w:cantSplit/>
          <w:trHeight w:val="397"/>
          <w:jc w:val="center"/>
        </w:trPr>
        <w:tc>
          <w:tcPr>
            <w:tcW w:w="2226" w:type="pct"/>
            <w:vAlign w:val="center"/>
          </w:tcPr>
          <w:p w14:paraId="5BF01BDA"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第四节</w:t>
            </w:r>
            <w:r>
              <w:rPr>
                <w:rFonts w:ascii="仿宋" w:eastAsia="仿宋" w:hAnsi="仿宋" w:cs="仿宋" w:hint="eastAsia"/>
                <w:snapToGrid w:val="0"/>
                <w:color w:val="000000"/>
                <w:sz w:val="24"/>
                <w:szCs w:val="24"/>
              </w:rPr>
              <w:t xml:space="preserve"> </w:t>
            </w:r>
            <w:r>
              <w:rPr>
                <w:rFonts w:ascii="仿宋" w:eastAsia="仿宋" w:hAnsi="仿宋" w:cs="仿宋" w:hint="eastAsia"/>
                <w:snapToGrid w:val="0"/>
                <w:color w:val="000000"/>
                <w:sz w:val="24"/>
                <w:szCs w:val="24"/>
              </w:rPr>
              <w:t>交易标的基本情况</w:t>
            </w:r>
          </w:p>
        </w:tc>
        <w:tc>
          <w:tcPr>
            <w:tcW w:w="2774" w:type="pct"/>
            <w:vAlign w:val="center"/>
          </w:tcPr>
          <w:p w14:paraId="5456B41D" w14:textId="34876B05"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00FC7C94">
              <w:rPr>
                <w:rFonts w:ascii="仿宋" w:eastAsia="仿宋" w:hAnsi="仿宋" w:cs="仿宋" w:hint="eastAsia"/>
                <w:snapToGrid w:val="0"/>
                <w:color w:val="000000"/>
                <w:sz w:val="24"/>
                <w:szCs w:val="24"/>
              </w:rPr>
              <w:t>历史沿革、</w:t>
            </w:r>
            <w:r w:rsidR="00FC7C94" w:rsidRPr="00FC7C94">
              <w:rPr>
                <w:rFonts w:ascii="仿宋" w:eastAsia="仿宋" w:hAnsi="仿宋" w:cs="仿宋"/>
                <w:snapToGrid w:val="0"/>
                <w:color w:val="000000"/>
                <w:sz w:val="24"/>
                <w:szCs w:val="24"/>
              </w:rPr>
              <w:t>标的公司的产权控制关系</w:t>
            </w:r>
            <w:r w:rsidR="00FC7C94">
              <w:rPr>
                <w:rFonts w:ascii="仿宋" w:eastAsia="仿宋" w:hAnsi="仿宋" w:cs="仿宋" w:hint="eastAsia"/>
                <w:snapToGrid w:val="0"/>
                <w:color w:val="000000"/>
                <w:sz w:val="24"/>
                <w:szCs w:val="24"/>
              </w:rPr>
              <w:t>、</w:t>
            </w:r>
            <w:r w:rsidR="00FC7C94" w:rsidRPr="00FC7C94">
              <w:rPr>
                <w:rFonts w:ascii="仿宋" w:eastAsia="仿宋" w:hAnsi="仿宋" w:cs="仿宋"/>
                <w:snapToGrid w:val="0"/>
                <w:color w:val="000000"/>
                <w:sz w:val="24"/>
                <w:szCs w:val="24"/>
              </w:rPr>
              <w:t>标的公司主要资产权属状况、对外担保状况及主要负债、或有负债情况</w:t>
            </w:r>
            <w:r w:rsidR="00FC7C94">
              <w:rPr>
                <w:rFonts w:ascii="仿宋" w:eastAsia="仿宋" w:hAnsi="仿宋" w:cs="仿宋" w:hint="eastAsia"/>
                <w:snapToGrid w:val="0"/>
                <w:color w:val="000000"/>
                <w:sz w:val="24"/>
                <w:szCs w:val="24"/>
              </w:rPr>
              <w:t>、</w:t>
            </w:r>
            <w:r w:rsidR="00FC7C94" w:rsidRPr="00FC7C94">
              <w:rPr>
                <w:rFonts w:ascii="仿宋" w:eastAsia="仿宋" w:hAnsi="仿宋" w:cs="仿宋"/>
                <w:snapToGrid w:val="0"/>
                <w:color w:val="000000"/>
                <w:sz w:val="24"/>
                <w:szCs w:val="24"/>
              </w:rPr>
              <w:t>标的公司下属公司情况</w:t>
            </w:r>
            <w:r w:rsidR="00FC7C94">
              <w:rPr>
                <w:rFonts w:ascii="仿宋" w:eastAsia="仿宋" w:hAnsi="仿宋" w:cs="仿宋" w:hint="eastAsia"/>
                <w:snapToGrid w:val="0"/>
                <w:color w:val="000000"/>
                <w:sz w:val="24"/>
                <w:szCs w:val="24"/>
              </w:rPr>
              <w:t>、</w:t>
            </w:r>
            <w:r w:rsidR="00FC7C94" w:rsidRPr="00FC7C94">
              <w:rPr>
                <w:rFonts w:ascii="仿宋" w:eastAsia="仿宋" w:hAnsi="仿宋" w:cs="仿宋"/>
                <w:snapToGrid w:val="0"/>
                <w:color w:val="000000"/>
                <w:sz w:val="24"/>
                <w:szCs w:val="24"/>
              </w:rPr>
              <w:t>主要产品生产和销售情况</w:t>
            </w:r>
            <w:r w:rsidR="00FC7C94">
              <w:rPr>
                <w:rFonts w:ascii="仿宋" w:eastAsia="仿宋" w:hAnsi="仿宋" w:cs="仿宋" w:hint="eastAsia"/>
                <w:snapToGrid w:val="0"/>
                <w:color w:val="000000"/>
                <w:sz w:val="24"/>
                <w:szCs w:val="24"/>
              </w:rPr>
              <w:t>、</w:t>
            </w:r>
            <w:r w:rsidR="00FC7C94" w:rsidRPr="00FC7C94">
              <w:rPr>
                <w:rFonts w:ascii="仿宋" w:eastAsia="仿宋" w:hAnsi="仿宋" w:cs="仿宋"/>
                <w:snapToGrid w:val="0"/>
                <w:color w:val="000000"/>
                <w:sz w:val="24"/>
                <w:szCs w:val="24"/>
              </w:rPr>
              <w:t>主要能源及原材料采购情况</w:t>
            </w:r>
            <w:r w:rsidR="00FC7C94">
              <w:rPr>
                <w:rFonts w:ascii="仿宋" w:eastAsia="仿宋" w:hAnsi="仿宋" w:cs="仿宋" w:hint="eastAsia"/>
                <w:snapToGrid w:val="0"/>
                <w:color w:val="000000"/>
                <w:sz w:val="24"/>
                <w:szCs w:val="24"/>
              </w:rPr>
              <w:t>、核心技术情况</w:t>
            </w:r>
            <w:r>
              <w:rPr>
                <w:rFonts w:ascii="仿宋" w:eastAsia="仿宋" w:hAnsi="仿宋" w:cs="仿宋" w:hint="eastAsia"/>
                <w:snapToGrid w:val="0"/>
                <w:color w:val="000000"/>
                <w:sz w:val="24"/>
                <w:szCs w:val="24"/>
              </w:rPr>
              <w:t>等</w:t>
            </w:r>
            <w:r w:rsidR="00FC7C94">
              <w:rPr>
                <w:rFonts w:ascii="仿宋" w:eastAsia="仿宋" w:hAnsi="仿宋" w:cs="仿宋" w:hint="eastAsia"/>
                <w:snapToGrid w:val="0"/>
                <w:color w:val="000000"/>
                <w:sz w:val="24"/>
                <w:szCs w:val="24"/>
              </w:rPr>
              <w:t>，新增</w:t>
            </w:r>
            <w:r w:rsidR="00FC7C94" w:rsidRPr="00FC7C94">
              <w:rPr>
                <w:rFonts w:ascii="仿宋" w:eastAsia="仿宋" w:hAnsi="仿宋" w:cs="仿宋"/>
                <w:snapToGrid w:val="0"/>
                <w:color w:val="000000"/>
                <w:sz w:val="24"/>
                <w:szCs w:val="24"/>
              </w:rPr>
              <w:t>报告期各期主要产品的期末库存情况</w:t>
            </w:r>
          </w:p>
        </w:tc>
      </w:tr>
      <w:tr w:rsidR="00BD66DA" w14:paraId="278FD44C" w14:textId="77777777">
        <w:trPr>
          <w:cantSplit/>
          <w:trHeight w:val="397"/>
          <w:jc w:val="center"/>
        </w:trPr>
        <w:tc>
          <w:tcPr>
            <w:tcW w:w="2226" w:type="pct"/>
            <w:vAlign w:val="center"/>
          </w:tcPr>
          <w:p w14:paraId="609FE249"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第五节</w:t>
            </w:r>
            <w:r>
              <w:rPr>
                <w:rFonts w:ascii="仿宋" w:eastAsia="仿宋" w:hAnsi="仿宋" w:cs="仿宋" w:hint="eastAsia"/>
                <w:snapToGrid w:val="0"/>
                <w:color w:val="000000"/>
                <w:sz w:val="24"/>
                <w:szCs w:val="24"/>
              </w:rPr>
              <w:t xml:space="preserve"> </w:t>
            </w:r>
            <w:r>
              <w:rPr>
                <w:rFonts w:ascii="仿宋" w:eastAsia="仿宋" w:hAnsi="仿宋" w:cs="仿宋" w:hint="eastAsia"/>
                <w:snapToGrid w:val="0"/>
                <w:color w:val="000000"/>
                <w:sz w:val="24"/>
                <w:szCs w:val="24"/>
              </w:rPr>
              <w:t>发行股份情况</w:t>
            </w:r>
          </w:p>
        </w:tc>
        <w:tc>
          <w:tcPr>
            <w:tcW w:w="2774" w:type="pct"/>
            <w:vAlign w:val="center"/>
          </w:tcPr>
          <w:p w14:paraId="00D286F3" w14:textId="4A21604E"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00FC7C94">
              <w:rPr>
                <w:rFonts w:ascii="仿宋" w:eastAsia="仿宋" w:hAnsi="仿宋" w:cs="仿宋" w:hint="eastAsia"/>
                <w:snapToGrid w:val="0"/>
                <w:color w:val="000000"/>
                <w:sz w:val="24"/>
                <w:szCs w:val="24"/>
              </w:rPr>
              <w:t>业绩承诺及补偿安排、</w:t>
            </w:r>
            <w:r w:rsidR="00FC7C94" w:rsidRPr="00FC7C94">
              <w:rPr>
                <w:rFonts w:ascii="仿宋" w:eastAsia="仿宋" w:hAnsi="仿宋" w:cs="仿宋"/>
                <w:snapToGrid w:val="0"/>
                <w:color w:val="000000"/>
                <w:sz w:val="24"/>
                <w:szCs w:val="24"/>
              </w:rPr>
              <w:t>发行股份购买资产和募集配套资金选取不同发行价格的原因及合理性</w:t>
            </w:r>
            <w:r w:rsidR="00FC7C94">
              <w:rPr>
                <w:rFonts w:ascii="仿宋" w:eastAsia="仿宋" w:hAnsi="仿宋" w:cs="仿宋" w:hint="eastAsia"/>
                <w:snapToGrid w:val="0"/>
                <w:color w:val="000000"/>
                <w:sz w:val="24"/>
                <w:szCs w:val="24"/>
              </w:rPr>
              <w:t>等</w:t>
            </w:r>
          </w:p>
        </w:tc>
      </w:tr>
      <w:tr w:rsidR="00BD66DA" w14:paraId="444029D3" w14:textId="77777777">
        <w:trPr>
          <w:cantSplit/>
          <w:trHeight w:val="397"/>
          <w:jc w:val="center"/>
        </w:trPr>
        <w:tc>
          <w:tcPr>
            <w:tcW w:w="2226" w:type="pct"/>
            <w:vAlign w:val="center"/>
          </w:tcPr>
          <w:p w14:paraId="74833771"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第六节</w:t>
            </w:r>
            <w:r>
              <w:rPr>
                <w:rFonts w:ascii="仿宋" w:eastAsia="仿宋" w:hAnsi="仿宋" w:cs="仿宋" w:hint="eastAsia"/>
                <w:snapToGrid w:val="0"/>
                <w:color w:val="000000"/>
                <w:sz w:val="24"/>
                <w:szCs w:val="24"/>
              </w:rPr>
              <w:t xml:space="preserve"> </w:t>
            </w:r>
            <w:r>
              <w:rPr>
                <w:rFonts w:ascii="仿宋" w:eastAsia="仿宋" w:hAnsi="仿宋" w:cs="仿宋" w:hint="eastAsia"/>
                <w:snapToGrid w:val="0"/>
                <w:color w:val="000000"/>
                <w:sz w:val="24"/>
                <w:szCs w:val="24"/>
              </w:rPr>
              <w:t>交易标的评估情况</w:t>
            </w:r>
          </w:p>
        </w:tc>
        <w:tc>
          <w:tcPr>
            <w:tcW w:w="2774" w:type="pct"/>
            <w:vAlign w:val="center"/>
          </w:tcPr>
          <w:p w14:paraId="4B2E24A2" w14:textId="7D7860BB"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00FC7C94" w:rsidRPr="00FC7C94">
              <w:rPr>
                <w:rFonts w:ascii="仿宋" w:eastAsia="仿宋" w:hAnsi="仿宋" w:cs="仿宋"/>
                <w:snapToGrid w:val="0"/>
                <w:color w:val="000000"/>
                <w:sz w:val="24"/>
                <w:szCs w:val="24"/>
              </w:rPr>
              <w:t>收益法的评估情况及分析</w:t>
            </w:r>
            <w:r w:rsidR="00FC7C94">
              <w:rPr>
                <w:rFonts w:ascii="仿宋" w:eastAsia="仿宋" w:hAnsi="仿宋" w:cs="仿宋" w:hint="eastAsia"/>
                <w:snapToGrid w:val="0"/>
                <w:color w:val="000000"/>
                <w:sz w:val="24"/>
                <w:szCs w:val="24"/>
              </w:rPr>
              <w:t>、</w:t>
            </w:r>
            <w:r w:rsidR="00FC7C94" w:rsidRPr="00FC7C94">
              <w:rPr>
                <w:rFonts w:ascii="仿宋" w:eastAsia="仿宋" w:hAnsi="仿宋" w:cs="仿宋"/>
                <w:snapToGrid w:val="0"/>
                <w:color w:val="000000"/>
                <w:sz w:val="24"/>
                <w:szCs w:val="24"/>
              </w:rPr>
              <w:t>市场法的评估情况及分析</w:t>
            </w:r>
            <w:r w:rsidR="00FC7C94">
              <w:rPr>
                <w:rFonts w:ascii="仿宋" w:eastAsia="仿宋" w:hAnsi="仿宋" w:cs="仿宋" w:hint="eastAsia"/>
                <w:snapToGrid w:val="0"/>
                <w:color w:val="000000"/>
                <w:sz w:val="24"/>
                <w:szCs w:val="24"/>
              </w:rPr>
              <w:t>、</w:t>
            </w:r>
            <w:r w:rsidR="00FC7C94" w:rsidRPr="00FC7C94">
              <w:rPr>
                <w:rFonts w:ascii="仿宋" w:eastAsia="仿宋" w:hAnsi="仿宋" w:cs="仿宋"/>
                <w:snapToGrid w:val="0"/>
                <w:color w:val="000000"/>
                <w:sz w:val="24"/>
                <w:szCs w:val="24"/>
              </w:rPr>
              <w:t>标的公司与上市公司的协同效应</w:t>
            </w:r>
          </w:p>
        </w:tc>
      </w:tr>
      <w:tr w:rsidR="00BD66DA" w14:paraId="72E0D36E" w14:textId="77777777">
        <w:trPr>
          <w:cantSplit/>
          <w:trHeight w:val="397"/>
          <w:jc w:val="center"/>
        </w:trPr>
        <w:tc>
          <w:tcPr>
            <w:tcW w:w="2226" w:type="pct"/>
            <w:vAlign w:val="center"/>
          </w:tcPr>
          <w:p w14:paraId="22519EB4"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第七节</w:t>
            </w:r>
            <w:r>
              <w:rPr>
                <w:rFonts w:ascii="仿宋" w:eastAsia="仿宋" w:hAnsi="仿宋" w:cs="仿宋" w:hint="eastAsia"/>
                <w:snapToGrid w:val="0"/>
                <w:color w:val="000000"/>
                <w:sz w:val="24"/>
                <w:szCs w:val="24"/>
              </w:rPr>
              <w:t xml:space="preserve"> </w:t>
            </w:r>
            <w:r>
              <w:rPr>
                <w:rFonts w:ascii="仿宋" w:eastAsia="仿宋" w:hAnsi="仿宋" w:cs="仿宋" w:hint="eastAsia"/>
                <w:snapToGrid w:val="0"/>
                <w:color w:val="000000"/>
                <w:sz w:val="24"/>
                <w:szCs w:val="24"/>
              </w:rPr>
              <w:t>本次交易主要合同</w:t>
            </w:r>
          </w:p>
        </w:tc>
        <w:tc>
          <w:tcPr>
            <w:tcW w:w="2774" w:type="pct"/>
            <w:vAlign w:val="center"/>
          </w:tcPr>
          <w:p w14:paraId="73788DB2" w14:textId="0E23E251" w:rsidR="00BD66DA" w:rsidRDefault="00FC7C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无</w:t>
            </w:r>
          </w:p>
        </w:tc>
      </w:tr>
      <w:tr w:rsidR="00BD66DA" w14:paraId="72ECA81D" w14:textId="77777777">
        <w:trPr>
          <w:cantSplit/>
          <w:trHeight w:val="397"/>
          <w:jc w:val="center"/>
        </w:trPr>
        <w:tc>
          <w:tcPr>
            <w:tcW w:w="2226" w:type="pct"/>
            <w:vAlign w:val="center"/>
          </w:tcPr>
          <w:p w14:paraId="71190D05"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第八节</w:t>
            </w:r>
            <w:r>
              <w:rPr>
                <w:rFonts w:ascii="仿宋" w:eastAsia="仿宋" w:hAnsi="仿宋" w:cs="仿宋" w:hint="eastAsia"/>
                <w:snapToGrid w:val="0"/>
                <w:color w:val="000000"/>
                <w:sz w:val="24"/>
                <w:szCs w:val="24"/>
              </w:rPr>
              <w:t xml:space="preserve"> </w:t>
            </w:r>
            <w:r>
              <w:rPr>
                <w:rFonts w:ascii="仿宋" w:eastAsia="仿宋" w:hAnsi="仿宋" w:cs="仿宋" w:hint="eastAsia"/>
                <w:snapToGrid w:val="0"/>
                <w:color w:val="000000"/>
                <w:sz w:val="24"/>
                <w:szCs w:val="24"/>
              </w:rPr>
              <w:t>本次交易的合规性分析</w:t>
            </w:r>
          </w:p>
        </w:tc>
        <w:tc>
          <w:tcPr>
            <w:tcW w:w="2774" w:type="pct"/>
            <w:vAlign w:val="center"/>
          </w:tcPr>
          <w:p w14:paraId="74301042" w14:textId="11AE04FC"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00FC7C94" w:rsidRPr="00FC7C94">
              <w:rPr>
                <w:rFonts w:ascii="仿宋" w:eastAsia="仿宋" w:hAnsi="仿宋" w:cs="仿宋"/>
                <w:snapToGrid w:val="0"/>
                <w:color w:val="000000"/>
                <w:sz w:val="24"/>
                <w:szCs w:val="24"/>
              </w:rPr>
              <w:t>本次交易符合《重组管理办法》第十一条的规定</w:t>
            </w:r>
            <w:r w:rsidR="00FC7C94">
              <w:rPr>
                <w:rFonts w:ascii="仿宋" w:eastAsia="仿宋" w:hAnsi="仿宋" w:cs="仿宋" w:hint="eastAsia"/>
                <w:snapToGrid w:val="0"/>
                <w:color w:val="000000"/>
                <w:sz w:val="24"/>
                <w:szCs w:val="24"/>
              </w:rPr>
              <w:t>、</w:t>
            </w:r>
            <w:r w:rsidR="00FC7C94" w:rsidRPr="00FC7C94">
              <w:rPr>
                <w:rFonts w:ascii="仿宋" w:eastAsia="仿宋" w:hAnsi="仿宋" w:cs="仿宋"/>
                <w:snapToGrid w:val="0"/>
                <w:color w:val="000000"/>
                <w:sz w:val="24"/>
                <w:szCs w:val="24"/>
              </w:rPr>
              <w:t>本次交易符合《重组管理办法》第四十四条的规定的情形</w:t>
            </w:r>
            <w:r w:rsidR="00FC7C94">
              <w:rPr>
                <w:rFonts w:ascii="仿宋" w:eastAsia="仿宋" w:hAnsi="仿宋" w:cs="仿宋" w:hint="eastAsia"/>
                <w:snapToGrid w:val="0"/>
                <w:color w:val="000000"/>
                <w:sz w:val="24"/>
                <w:szCs w:val="24"/>
              </w:rPr>
              <w:t>、</w:t>
            </w:r>
            <w:r w:rsidR="00FC7C94" w:rsidRPr="00FC7C94">
              <w:rPr>
                <w:rFonts w:ascii="仿宋" w:eastAsia="仿宋" w:hAnsi="仿宋" w:cs="仿宋"/>
                <w:snapToGrid w:val="0"/>
                <w:color w:val="000000"/>
                <w:sz w:val="24"/>
                <w:szCs w:val="24"/>
              </w:rPr>
              <w:t>本次交易符合《创业板上市公司持续监管办法（试行）》第十八条和《重组审核规则》第八条的相关规定</w:t>
            </w:r>
            <w:r w:rsidR="00FC7C94">
              <w:rPr>
                <w:rFonts w:ascii="仿宋" w:eastAsia="仿宋" w:hAnsi="仿宋" w:cs="仿宋" w:hint="eastAsia"/>
                <w:snapToGrid w:val="0"/>
                <w:color w:val="000000"/>
                <w:sz w:val="24"/>
                <w:szCs w:val="24"/>
              </w:rPr>
              <w:t>、</w:t>
            </w:r>
            <w:r w:rsidR="00FC7C94" w:rsidRPr="00FC7C94">
              <w:rPr>
                <w:rFonts w:ascii="仿宋" w:eastAsia="仿宋" w:hAnsi="仿宋" w:cs="仿宋"/>
                <w:snapToGrid w:val="0"/>
                <w:color w:val="000000"/>
                <w:sz w:val="24"/>
                <w:szCs w:val="24"/>
              </w:rPr>
              <w:t>本次交易符合《重组管理办法》第四十七条的规定</w:t>
            </w:r>
            <w:r w:rsidR="00FC7C94">
              <w:rPr>
                <w:rFonts w:ascii="仿宋" w:eastAsia="仿宋" w:hAnsi="仿宋" w:cs="仿宋" w:hint="eastAsia"/>
                <w:snapToGrid w:val="0"/>
                <w:color w:val="000000"/>
                <w:sz w:val="24"/>
                <w:szCs w:val="24"/>
              </w:rPr>
              <w:t>等。新增</w:t>
            </w:r>
            <w:r w:rsidR="00FC7C94" w:rsidRPr="00FC7C94">
              <w:rPr>
                <w:rFonts w:ascii="仿宋" w:eastAsia="仿宋" w:hAnsi="仿宋" w:cs="仿宋"/>
                <w:snapToGrid w:val="0"/>
                <w:color w:val="000000"/>
                <w:sz w:val="24"/>
                <w:szCs w:val="24"/>
              </w:rPr>
              <w:t>本次交易符合《上市公司收购管理办法》第七十四条的规定</w:t>
            </w:r>
            <w:r w:rsidR="00FC7C94">
              <w:rPr>
                <w:rFonts w:ascii="仿宋" w:eastAsia="仿宋" w:hAnsi="仿宋" w:cs="仿宋" w:hint="eastAsia"/>
                <w:snapToGrid w:val="0"/>
                <w:color w:val="000000"/>
                <w:sz w:val="24"/>
                <w:szCs w:val="24"/>
              </w:rPr>
              <w:t>、</w:t>
            </w:r>
            <w:r w:rsidR="00FC7C94" w:rsidRPr="00FC7C94">
              <w:rPr>
                <w:rFonts w:ascii="仿宋" w:eastAsia="仿宋" w:hAnsi="仿宋" w:cs="仿宋"/>
                <w:snapToGrid w:val="0"/>
                <w:color w:val="000000"/>
                <w:sz w:val="24"/>
                <w:szCs w:val="24"/>
              </w:rPr>
              <w:t>本次交易业绩补偿期与过渡期存在重合的具体扣减安排及业绩承诺期和过渡期损益的具体安排符合《监管规则适用指引——上市类第1号》的规定</w:t>
            </w:r>
            <w:r w:rsidR="00FC7C94">
              <w:rPr>
                <w:rFonts w:ascii="仿宋" w:eastAsia="仿宋" w:hAnsi="仿宋" w:cs="仿宋" w:hint="eastAsia"/>
                <w:snapToGrid w:val="0"/>
                <w:color w:val="000000"/>
                <w:sz w:val="24"/>
                <w:szCs w:val="24"/>
              </w:rPr>
              <w:t>、</w:t>
            </w:r>
            <w:r w:rsidR="00FC7C94" w:rsidRPr="00FC7C94">
              <w:rPr>
                <w:rFonts w:ascii="仿宋" w:eastAsia="仿宋" w:hAnsi="仿宋" w:cs="仿宋"/>
                <w:snapToGrid w:val="0"/>
                <w:color w:val="000000"/>
                <w:sz w:val="24"/>
                <w:szCs w:val="24"/>
              </w:rPr>
              <w:t>本次交易的超额业绩奖励安排符合《监管规则适用指引——上市类第1号》的规定</w:t>
            </w:r>
          </w:p>
        </w:tc>
      </w:tr>
      <w:tr w:rsidR="00BD66DA" w14:paraId="3298E0A3" w14:textId="77777777">
        <w:trPr>
          <w:cantSplit/>
          <w:trHeight w:val="397"/>
          <w:jc w:val="center"/>
        </w:trPr>
        <w:tc>
          <w:tcPr>
            <w:tcW w:w="2226" w:type="pct"/>
            <w:vAlign w:val="center"/>
          </w:tcPr>
          <w:p w14:paraId="4CC32269"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第九节</w:t>
            </w:r>
            <w:r>
              <w:rPr>
                <w:rFonts w:ascii="仿宋" w:eastAsia="仿宋" w:hAnsi="仿宋" w:cs="仿宋" w:hint="eastAsia"/>
                <w:snapToGrid w:val="0"/>
                <w:color w:val="000000"/>
                <w:sz w:val="24"/>
                <w:szCs w:val="24"/>
              </w:rPr>
              <w:t xml:space="preserve"> </w:t>
            </w:r>
            <w:r>
              <w:rPr>
                <w:rFonts w:ascii="仿宋" w:eastAsia="仿宋" w:hAnsi="仿宋" w:cs="仿宋" w:hint="eastAsia"/>
                <w:snapToGrid w:val="0"/>
                <w:color w:val="000000"/>
                <w:sz w:val="24"/>
                <w:szCs w:val="24"/>
              </w:rPr>
              <w:t>管理层讨论与分析</w:t>
            </w:r>
          </w:p>
        </w:tc>
        <w:tc>
          <w:tcPr>
            <w:tcW w:w="2774" w:type="pct"/>
            <w:vAlign w:val="center"/>
          </w:tcPr>
          <w:p w14:paraId="668C6202" w14:textId="5C01FCEE"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w:t>
            </w:r>
            <w:r w:rsidR="00FC7C94" w:rsidRPr="00FC7C94">
              <w:rPr>
                <w:rFonts w:ascii="仿宋" w:eastAsia="仿宋" w:hAnsi="仿宋" w:cs="仿宋"/>
                <w:snapToGrid w:val="0"/>
                <w:color w:val="000000"/>
                <w:sz w:val="24"/>
                <w:szCs w:val="24"/>
              </w:rPr>
              <w:t>标的公司核心竞争力及行业地位</w:t>
            </w:r>
            <w:r w:rsidR="00FC7C94">
              <w:rPr>
                <w:rFonts w:ascii="仿宋" w:eastAsia="仿宋" w:hAnsi="仿宋" w:cs="仿宋" w:hint="eastAsia"/>
                <w:snapToGrid w:val="0"/>
                <w:color w:val="000000"/>
                <w:sz w:val="24"/>
                <w:szCs w:val="24"/>
              </w:rPr>
              <w:t>、</w:t>
            </w:r>
            <w:r w:rsidR="00FC7C94" w:rsidRPr="00FC7C94">
              <w:rPr>
                <w:rFonts w:ascii="仿宋" w:eastAsia="仿宋" w:hAnsi="仿宋" w:cs="仿宋"/>
                <w:snapToGrid w:val="0"/>
                <w:color w:val="000000"/>
                <w:sz w:val="24"/>
                <w:szCs w:val="24"/>
              </w:rPr>
              <w:t>本次交易对上市公司未来发展前景影响的分析</w:t>
            </w:r>
          </w:p>
        </w:tc>
      </w:tr>
      <w:tr w:rsidR="00BD66DA" w14:paraId="20B69334" w14:textId="77777777">
        <w:trPr>
          <w:cantSplit/>
          <w:trHeight w:val="397"/>
          <w:jc w:val="center"/>
        </w:trPr>
        <w:tc>
          <w:tcPr>
            <w:tcW w:w="2226" w:type="pct"/>
            <w:vAlign w:val="center"/>
          </w:tcPr>
          <w:p w14:paraId="34D6D4ED"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第十节</w:t>
            </w:r>
            <w:r>
              <w:rPr>
                <w:rFonts w:ascii="仿宋" w:eastAsia="仿宋" w:hAnsi="仿宋" w:cs="仿宋" w:hint="eastAsia"/>
                <w:snapToGrid w:val="0"/>
                <w:color w:val="000000"/>
                <w:sz w:val="24"/>
                <w:szCs w:val="24"/>
              </w:rPr>
              <w:t xml:space="preserve"> </w:t>
            </w:r>
            <w:r>
              <w:rPr>
                <w:rFonts w:ascii="仿宋" w:eastAsia="仿宋" w:hAnsi="仿宋" w:cs="仿宋" w:hint="eastAsia"/>
                <w:snapToGrid w:val="0"/>
                <w:color w:val="000000"/>
                <w:sz w:val="24"/>
                <w:szCs w:val="24"/>
              </w:rPr>
              <w:t>财务会计信息</w:t>
            </w:r>
          </w:p>
        </w:tc>
        <w:tc>
          <w:tcPr>
            <w:tcW w:w="2774" w:type="pct"/>
            <w:vAlign w:val="center"/>
          </w:tcPr>
          <w:p w14:paraId="6C0BEE01"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无</w:t>
            </w:r>
          </w:p>
        </w:tc>
      </w:tr>
      <w:tr w:rsidR="00BD66DA" w14:paraId="304666AD" w14:textId="77777777">
        <w:trPr>
          <w:cantSplit/>
          <w:trHeight w:val="397"/>
          <w:jc w:val="center"/>
        </w:trPr>
        <w:tc>
          <w:tcPr>
            <w:tcW w:w="2226" w:type="pct"/>
            <w:vAlign w:val="center"/>
          </w:tcPr>
          <w:p w14:paraId="239F9322"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lastRenderedPageBreak/>
              <w:t>第十一节</w:t>
            </w:r>
            <w:r>
              <w:rPr>
                <w:rFonts w:ascii="仿宋" w:eastAsia="仿宋" w:hAnsi="仿宋" w:cs="仿宋" w:hint="eastAsia"/>
                <w:snapToGrid w:val="0"/>
                <w:color w:val="000000"/>
                <w:sz w:val="24"/>
                <w:szCs w:val="24"/>
              </w:rPr>
              <w:t xml:space="preserve"> </w:t>
            </w:r>
            <w:r>
              <w:rPr>
                <w:rFonts w:ascii="仿宋" w:eastAsia="仿宋" w:hAnsi="仿宋" w:cs="仿宋" w:hint="eastAsia"/>
                <w:snapToGrid w:val="0"/>
                <w:color w:val="000000"/>
                <w:sz w:val="24"/>
                <w:szCs w:val="24"/>
              </w:rPr>
              <w:t>同业竞争与关联交易</w:t>
            </w:r>
          </w:p>
        </w:tc>
        <w:tc>
          <w:tcPr>
            <w:tcW w:w="2774" w:type="pct"/>
            <w:vAlign w:val="center"/>
          </w:tcPr>
          <w:p w14:paraId="0B17EF5D" w14:textId="535117F1"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更新本次交易构成关联交易等</w:t>
            </w:r>
          </w:p>
        </w:tc>
      </w:tr>
      <w:tr w:rsidR="00BD66DA" w14:paraId="5EE4487E" w14:textId="77777777">
        <w:trPr>
          <w:cantSplit/>
          <w:trHeight w:val="397"/>
          <w:jc w:val="center"/>
        </w:trPr>
        <w:tc>
          <w:tcPr>
            <w:tcW w:w="2226" w:type="pct"/>
            <w:vAlign w:val="center"/>
          </w:tcPr>
          <w:p w14:paraId="343DD539"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第十二节</w:t>
            </w:r>
            <w:r>
              <w:rPr>
                <w:rFonts w:ascii="仿宋" w:eastAsia="仿宋" w:hAnsi="仿宋" w:cs="仿宋" w:hint="eastAsia"/>
                <w:snapToGrid w:val="0"/>
                <w:color w:val="000000"/>
                <w:sz w:val="24"/>
                <w:szCs w:val="24"/>
              </w:rPr>
              <w:t xml:space="preserve"> </w:t>
            </w:r>
            <w:r>
              <w:rPr>
                <w:rFonts w:ascii="仿宋" w:eastAsia="仿宋" w:hAnsi="仿宋" w:cs="仿宋" w:hint="eastAsia"/>
                <w:snapToGrid w:val="0"/>
                <w:color w:val="000000"/>
                <w:sz w:val="24"/>
                <w:szCs w:val="24"/>
              </w:rPr>
              <w:t>风险因素</w:t>
            </w:r>
          </w:p>
        </w:tc>
        <w:tc>
          <w:tcPr>
            <w:tcW w:w="2774" w:type="pct"/>
            <w:vAlign w:val="center"/>
          </w:tcPr>
          <w:p w14:paraId="32A0D3A6" w14:textId="32180216"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为突出重大性，增强针对性，强化风险导向，已按照重要性重新排序</w:t>
            </w:r>
            <w:r w:rsidR="00FC7C94">
              <w:rPr>
                <w:rFonts w:ascii="仿宋" w:eastAsia="仿宋" w:hAnsi="仿宋" w:cs="仿宋" w:hint="eastAsia"/>
                <w:snapToGrid w:val="0"/>
                <w:color w:val="000000"/>
                <w:sz w:val="24"/>
                <w:szCs w:val="24"/>
              </w:rPr>
              <w:t>；新增</w:t>
            </w:r>
            <w:r w:rsidR="00FC7C94" w:rsidRPr="00FC7C94">
              <w:rPr>
                <w:rFonts w:ascii="仿宋" w:eastAsia="仿宋" w:hAnsi="仿宋" w:cs="仿宋"/>
                <w:snapToGrid w:val="0"/>
                <w:color w:val="000000"/>
                <w:sz w:val="24"/>
                <w:szCs w:val="24"/>
              </w:rPr>
              <w:t>业绩补偿金额未完整覆盖交易对价的风险</w:t>
            </w:r>
          </w:p>
        </w:tc>
      </w:tr>
      <w:tr w:rsidR="00BD66DA" w14:paraId="4EDDF3E9" w14:textId="77777777">
        <w:trPr>
          <w:cantSplit/>
          <w:trHeight w:val="397"/>
          <w:jc w:val="center"/>
        </w:trPr>
        <w:tc>
          <w:tcPr>
            <w:tcW w:w="2226" w:type="pct"/>
            <w:vAlign w:val="center"/>
          </w:tcPr>
          <w:p w14:paraId="6DFA0DE5"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第十三节</w:t>
            </w:r>
            <w:r>
              <w:rPr>
                <w:rFonts w:ascii="仿宋" w:eastAsia="仿宋" w:hAnsi="仿宋" w:cs="仿宋" w:hint="eastAsia"/>
                <w:snapToGrid w:val="0"/>
                <w:color w:val="000000"/>
                <w:sz w:val="24"/>
                <w:szCs w:val="24"/>
              </w:rPr>
              <w:t xml:space="preserve"> </w:t>
            </w:r>
            <w:r>
              <w:rPr>
                <w:rFonts w:ascii="仿宋" w:eastAsia="仿宋" w:hAnsi="仿宋" w:cs="仿宋" w:hint="eastAsia"/>
                <w:snapToGrid w:val="0"/>
                <w:color w:val="000000"/>
                <w:sz w:val="24"/>
                <w:szCs w:val="24"/>
              </w:rPr>
              <w:t>其他重要事项</w:t>
            </w:r>
          </w:p>
        </w:tc>
        <w:tc>
          <w:tcPr>
            <w:tcW w:w="2774" w:type="pct"/>
            <w:vAlign w:val="center"/>
          </w:tcPr>
          <w:p w14:paraId="2648B895"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无</w:t>
            </w:r>
          </w:p>
        </w:tc>
      </w:tr>
      <w:tr w:rsidR="00BD66DA" w14:paraId="4B949F25" w14:textId="77777777">
        <w:trPr>
          <w:cantSplit/>
          <w:trHeight w:val="397"/>
          <w:jc w:val="center"/>
        </w:trPr>
        <w:tc>
          <w:tcPr>
            <w:tcW w:w="2226" w:type="pct"/>
            <w:vAlign w:val="center"/>
          </w:tcPr>
          <w:p w14:paraId="284DA4F2" w14:textId="3404632E"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第十四节</w:t>
            </w:r>
            <w:r w:rsidR="00390D63">
              <w:rPr>
                <w:rFonts w:ascii="仿宋" w:eastAsia="仿宋" w:hAnsi="仿宋" w:cs="仿宋" w:hint="eastAsia"/>
                <w:snapToGrid w:val="0"/>
                <w:color w:val="000000"/>
                <w:sz w:val="24"/>
                <w:szCs w:val="24"/>
              </w:rPr>
              <w:t xml:space="preserve"> </w:t>
            </w:r>
            <w:r w:rsidR="00390D63" w:rsidRPr="00390D63">
              <w:rPr>
                <w:rFonts w:ascii="仿宋" w:eastAsia="仿宋" w:hAnsi="仿宋" w:cs="仿宋"/>
                <w:snapToGrid w:val="0"/>
                <w:color w:val="000000"/>
                <w:sz w:val="24"/>
                <w:szCs w:val="24"/>
              </w:rPr>
              <w:t>独立董事及证券服务机构对本次交易的意见</w:t>
            </w:r>
          </w:p>
        </w:tc>
        <w:tc>
          <w:tcPr>
            <w:tcW w:w="2774" w:type="pct"/>
            <w:vAlign w:val="center"/>
          </w:tcPr>
          <w:p w14:paraId="1593363E" w14:textId="017540C0" w:rsidR="00BD66DA" w:rsidRDefault="00390D63">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无</w:t>
            </w:r>
          </w:p>
        </w:tc>
      </w:tr>
      <w:tr w:rsidR="00390D63" w14:paraId="5739F799" w14:textId="77777777">
        <w:trPr>
          <w:cantSplit/>
          <w:trHeight w:val="397"/>
          <w:jc w:val="center"/>
        </w:trPr>
        <w:tc>
          <w:tcPr>
            <w:tcW w:w="2226" w:type="pct"/>
            <w:vAlign w:val="center"/>
          </w:tcPr>
          <w:p w14:paraId="3D7057DB" w14:textId="163E807B" w:rsidR="00390D63" w:rsidRDefault="00390D63">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 xml:space="preserve">第十五节 </w:t>
            </w:r>
            <w:r w:rsidRPr="00390D63">
              <w:rPr>
                <w:rFonts w:ascii="仿宋" w:eastAsia="仿宋" w:hAnsi="仿宋" w:cs="仿宋"/>
                <w:snapToGrid w:val="0"/>
                <w:color w:val="000000"/>
                <w:sz w:val="24"/>
                <w:szCs w:val="24"/>
              </w:rPr>
              <w:t>本次交易的相关中介机构</w:t>
            </w:r>
          </w:p>
        </w:tc>
        <w:tc>
          <w:tcPr>
            <w:tcW w:w="2774" w:type="pct"/>
            <w:vAlign w:val="center"/>
          </w:tcPr>
          <w:p w14:paraId="19E73DC9" w14:textId="11672EB1" w:rsidR="00390D63" w:rsidRDefault="00390D63">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无</w:t>
            </w:r>
          </w:p>
        </w:tc>
      </w:tr>
      <w:tr w:rsidR="00BD66DA" w14:paraId="61475B13" w14:textId="77777777">
        <w:trPr>
          <w:cantSplit/>
          <w:trHeight w:val="397"/>
          <w:jc w:val="center"/>
        </w:trPr>
        <w:tc>
          <w:tcPr>
            <w:tcW w:w="2226" w:type="pct"/>
            <w:vAlign w:val="center"/>
          </w:tcPr>
          <w:p w14:paraId="603C6848"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第十五节</w:t>
            </w:r>
            <w:r>
              <w:rPr>
                <w:rFonts w:ascii="仿宋" w:eastAsia="仿宋" w:hAnsi="仿宋" w:cs="仿宋" w:hint="eastAsia"/>
                <w:snapToGrid w:val="0"/>
                <w:color w:val="000000"/>
                <w:sz w:val="24"/>
                <w:szCs w:val="24"/>
              </w:rPr>
              <w:t xml:space="preserve"> </w:t>
            </w:r>
            <w:r>
              <w:rPr>
                <w:rFonts w:ascii="仿宋" w:eastAsia="仿宋" w:hAnsi="仿宋" w:cs="仿宋" w:hint="eastAsia"/>
                <w:snapToGrid w:val="0"/>
                <w:color w:val="000000"/>
                <w:sz w:val="24"/>
                <w:szCs w:val="24"/>
              </w:rPr>
              <w:t>本次交易的相关中介机构</w:t>
            </w:r>
          </w:p>
        </w:tc>
        <w:tc>
          <w:tcPr>
            <w:tcW w:w="2774" w:type="pct"/>
            <w:vAlign w:val="center"/>
          </w:tcPr>
          <w:p w14:paraId="35CF0032"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无</w:t>
            </w:r>
          </w:p>
        </w:tc>
      </w:tr>
      <w:tr w:rsidR="00BD66DA" w14:paraId="7B17E117" w14:textId="77777777">
        <w:trPr>
          <w:cantSplit/>
          <w:trHeight w:val="397"/>
          <w:jc w:val="center"/>
        </w:trPr>
        <w:tc>
          <w:tcPr>
            <w:tcW w:w="2226" w:type="pct"/>
            <w:vAlign w:val="center"/>
          </w:tcPr>
          <w:p w14:paraId="39D7582D" w14:textId="175D2CE2"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第十六节</w:t>
            </w:r>
            <w:r w:rsidR="00390D63">
              <w:rPr>
                <w:rFonts w:ascii="仿宋" w:eastAsia="仿宋" w:hAnsi="仿宋" w:cs="仿宋" w:hint="eastAsia"/>
                <w:snapToGrid w:val="0"/>
                <w:color w:val="000000"/>
                <w:sz w:val="24"/>
                <w:szCs w:val="24"/>
              </w:rPr>
              <w:t xml:space="preserve"> </w:t>
            </w:r>
            <w:r w:rsidR="00390D63" w:rsidRPr="00390D63">
              <w:rPr>
                <w:rFonts w:ascii="仿宋" w:eastAsia="仿宋" w:hAnsi="仿宋" w:cs="仿宋"/>
                <w:snapToGrid w:val="0"/>
                <w:color w:val="000000"/>
                <w:sz w:val="24"/>
                <w:szCs w:val="24"/>
              </w:rPr>
              <w:t>上市公司及全体董事、高级管理人员及相关中介机构的声明</w:t>
            </w:r>
          </w:p>
        </w:tc>
        <w:tc>
          <w:tcPr>
            <w:tcW w:w="2774" w:type="pct"/>
            <w:vAlign w:val="center"/>
          </w:tcPr>
          <w:p w14:paraId="685E0CA4" w14:textId="6C8F97BA" w:rsidR="00BD66DA" w:rsidRDefault="00390D63">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无</w:t>
            </w:r>
          </w:p>
        </w:tc>
      </w:tr>
      <w:tr w:rsidR="00BD66DA" w14:paraId="40D937FB" w14:textId="77777777">
        <w:trPr>
          <w:cantSplit/>
          <w:trHeight w:val="397"/>
          <w:jc w:val="center"/>
        </w:trPr>
        <w:tc>
          <w:tcPr>
            <w:tcW w:w="2226" w:type="pct"/>
            <w:vAlign w:val="center"/>
          </w:tcPr>
          <w:p w14:paraId="07F5667D" w14:textId="77777777" w:rsidR="00BD66DA" w:rsidRDefault="00F56094">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第十七节</w:t>
            </w:r>
            <w:r>
              <w:rPr>
                <w:rFonts w:ascii="仿宋" w:eastAsia="仿宋" w:hAnsi="仿宋" w:cs="仿宋" w:hint="eastAsia"/>
                <w:snapToGrid w:val="0"/>
                <w:color w:val="000000"/>
                <w:sz w:val="24"/>
                <w:szCs w:val="24"/>
              </w:rPr>
              <w:t xml:space="preserve"> </w:t>
            </w:r>
            <w:r>
              <w:rPr>
                <w:rFonts w:ascii="仿宋" w:eastAsia="仿宋" w:hAnsi="仿宋" w:cs="仿宋" w:hint="eastAsia"/>
                <w:snapToGrid w:val="0"/>
                <w:color w:val="000000"/>
                <w:sz w:val="24"/>
                <w:szCs w:val="24"/>
              </w:rPr>
              <w:t>备查资料</w:t>
            </w:r>
          </w:p>
        </w:tc>
        <w:tc>
          <w:tcPr>
            <w:tcW w:w="2774" w:type="pct"/>
            <w:vAlign w:val="center"/>
          </w:tcPr>
          <w:p w14:paraId="26C07870" w14:textId="5BBCB6EA" w:rsidR="00BD66DA" w:rsidRDefault="00390D63">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无</w:t>
            </w:r>
          </w:p>
        </w:tc>
      </w:tr>
      <w:tr w:rsidR="00390D63" w14:paraId="74BF8E52" w14:textId="77777777">
        <w:trPr>
          <w:cantSplit/>
          <w:trHeight w:val="397"/>
          <w:jc w:val="center"/>
        </w:trPr>
        <w:tc>
          <w:tcPr>
            <w:tcW w:w="2226" w:type="pct"/>
            <w:vAlign w:val="center"/>
          </w:tcPr>
          <w:p w14:paraId="6DB498E9" w14:textId="7B07B846" w:rsidR="00390D63" w:rsidRDefault="00390D63">
            <w:pPr>
              <w:jc w:val="center"/>
              <w:rPr>
                <w:rFonts w:ascii="仿宋" w:eastAsia="仿宋" w:hAnsi="仿宋" w:cs="仿宋"/>
                <w:snapToGrid w:val="0"/>
                <w:color w:val="000000"/>
                <w:sz w:val="24"/>
                <w:szCs w:val="24"/>
              </w:rPr>
            </w:pPr>
            <w:r w:rsidRPr="00390D63">
              <w:rPr>
                <w:rFonts w:ascii="仿宋" w:eastAsia="仿宋" w:hAnsi="仿宋" w:cs="仿宋"/>
                <w:snapToGrid w:val="0"/>
                <w:color w:val="000000"/>
                <w:sz w:val="24"/>
                <w:szCs w:val="24"/>
              </w:rPr>
              <w:t>第十八节 附件</w:t>
            </w:r>
          </w:p>
        </w:tc>
        <w:tc>
          <w:tcPr>
            <w:tcW w:w="2774" w:type="pct"/>
            <w:vAlign w:val="center"/>
          </w:tcPr>
          <w:p w14:paraId="445B119D" w14:textId="4C053260" w:rsidR="00390D63" w:rsidDel="00390D63" w:rsidRDefault="00390D63">
            <w:pPr>
              <w:jc w:val="center"/>
              <w:rPr>
                <w:rFonts w:ascii="仿宋" w:eastAsia="仿宋" w:hAnsi="仿宋" w:cs="仿宋"/>
                <w:snapToGrid w:val="0"/>
                <w:color w:val="000000"/>
                <w:sz w:val="24"/>
                <w:szCs w:val="24"/>
              </w:rPr>
            </w:pPr>
            <w:r>
              <w:rPr>
                <w:rFonts w:ascii="仿宋" w:eastAsia="仿宋" w:hAnsi="仿宋" w:cs="仿宋" w:hint="eastAsia"/>
                <w:snapToGrid w:val="0"/>
                <w:color w:val="000000"/>
                <w:sz w:val="24"/>
                <w:szCs w:val="24"/>
              </w:rPr>
              <w:t>无</w:t>
            </w:r>
          </w:p>
        </w:tc>
      </w:tr>
    </w:tbl>
    <w:p w14:paraId="40785073" w14:textId="77777777" w:rsidR="00BD66DA" w:rsidRDefault="00F56094">
      <w:pPr>
        <w:snapToGrid w:val="0"/>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特此公告。</w:t>
      </w:r>
    </w:p>
    <w:p w14:paraId="0CA8BC3B" w14:textId="77777777" w:rsidR="00BD66DA" w:rsidRDefault="00BD66DA">
      <w:pPr>
        <w:snapToGrid w:val="0"/>
        <w:spacing w:line="360" w:lineRule="auto"/>
        <w:ind w:firstLineChars="200" w:firstLine="560"/>
        <w:rPr>
          <w:rFonts w:ascii="仿宋" w:eastAsia="仿宋" w:hAnsi="仿宋" w:cs="仿宋"/>
          <w:sz w:val="28"/>
          <w:szCs w:val="28"/>
        </w:rPr>
      </w:pPr>
    </w:p>
    <w:p w14:paraId="01DE3F93" w14:textId="77777777" w:rsidR="00BD66DA" w:rsidRDefault="00F56094">
      <w:pPr>
        <w:spacing w:beforeLines="50" w:before="156" w:line="360" w:lineRule="auto"/>
        <w:ind w:firstLineChars="200" w:firstLine="560"/>
        <w:jc w:val="right"/>
        <w:rPr>
          <w:rFonts w:ascii="仿宋" w:eastAsia="仿宋" w:hAnsi="仿宋" w:cs="仿宋"/>
          <w:sz w:val="28"/>
        </w:rPr>
      </w:pPr>
      <w:r>
        <w:rPr>
          <w:rFonts w:ascii="仿宋" w:eastAsia="仿宋" w:hAnsi="仿宋" w:cs="仿宋" w:hint="eastAsia"/>
          <w:sz w:val="28"/>
          <w:lang w:bidi="ar"/>
        </w:rPr>
        <w:t>广东天亿马信息产业股份有限公司</w:t>
      </w:r>
    </w:p>
    <w:p w14:paraId="5A99A878" w14:textId="77777777" w:rsidR="00BD66DA" w:rsidRDefault="00F56094">
      <w:pPr>
        <w:spacing w:beforeLines="50" w:before="156" w:line="360" w:lineRule="auto"/>
        <w:ind w:firstLineChars="200" w:firstLine="560"/>
        <w:jc w:val="right"/>
        <w:rPr>
          <w:rFonts w:ascii="仿宋" w:eastAsia="仿宋" w:hAnsi="仿宋" w:cs="仿宋"/>
          <w:sz w:val="28"/>
        </w:rPr>
      </w:pPr>
      <w:r>
        <w:rPr>
          <w:rFonts w:ascii="仿宋" w:eastAsia="仿宋" w:hAnsi="仿宋" w:cs="仿宋" w:hint="eastAsia"/>
          <w:sz w:val="28"/>
          <w:lang w:bidi="ar"/>
        </w:rPr>
        <w:t>董事会</w:t>
      </w:r>
    </w:p>
    <w:p w14:paraId="553834C9" w14:textId="71C2064C" w:rsidR="00BD66DA" w:rsidRDefault="00F56094">
      <w:pPr>
        <w:wordWrap w:val="0"/>
        <w:spacing w:beforeLines="50" w:before="156" w:line="360" w:lineRule="auto"/>
        <w:ind w:firstLineChars="200" w:firstLine="560"/>
        <w:jc w:val="right"/>
        <w:rPr>
          <w:rFonts w:ascii="仿宋" w:eastAsia="仿宋" w:hAnsi="仿宋" w:cs="仿宋"/>
          <w:sz w:val="28"/>
        </w:rPr>
      </w:pPr>
      <w:r>
        <w:rPr>
          <w:rFonts w:ascii="仿宋" w:eastAsia="仿宋" w:hAnsi="仿宋" w:cs="仿宋" w:hint="eastAsia"/>
          <w:sz w:val="28"/>
          <w:szCs w:val="28"/>
          <w:lang w:bidi="ar"/>
        </w:rPr>
        <w:t>2026</w:t>
      </w:r>
      <w:r>
        <w:rPr>
          <w:rFonts w:ascii="仿宋" w:eastAsia="仿宋" w:hAnsi="仿宋" w:cs="仿宋" w:hint="eastAsia"/>
          <w:sz w:val="28"/>
          <w:szCs w:val="28"/>
          <w:lang w:bidi="ar"/>
        </w:rPr>
        <w:t>年</w:t>
      </w:r>
      <w:r>
        <w:rPr>
          <w:rFonts w:ascii="仿宋" w:eastAsia="仿宋" w:hAnsi="仿宋" w:cs="仿宋" w:hint="eastAsia"/>
          <w:sz w:val="28"/>
          <w:szCs w:val="28"/>
          <w:lang w:bidi="ar"/>
        </w:rPr>
        <w:t>1</w:t>
      </w:r>
      <w:r>
        <w:rPr>
          <w:rFonts w:ascii="仿宋" w:eastAsia="仿宋" w:hAnsi="仿宋" w:cs="仿宋" w:hint="eastAsia"/>
          <w:sz w:val="28"/>
          <w:szCs w:val="28"/>
          <w:lang w:bidi="ar"/>
        </w:rPr>
        <w:t>月</w:t>
      </w:r>
      <w:r>
        <w:rPr>
          <w:rFonts w:ascii="仿宋" w:eastAsia="仿宋" w:hAnsi="仿宋" w:cs="仿宋" w:hint="eastAsia"/>
          <w:sz w:val="28"/>
          <w:szCs w:val="28"/>
          <w:lang w:bidi="ar"/>
        </w:rPr>
        <w:t>2</w:t>
      </w:r>
      <w:r w:rsidR="00390D63">
        <w:rPr>
          <w:rFonts w:ascii="仿宋" w:eastAsia="仿宋" w:hAnsi="仿宋" w:cs="仿宋" w:hint="eastAsia"/>
          <w:sz w:val="28"/>
          <w:szCs w:val="28"/>
          <w:lang w:bidi="ar"/>
        </w:rPr>
        <w:t>7</w:t>
      </w:r>
      <w:r>
        <w:rPr>
          <w:rFonts w:ascii="仿宋" w:eastAsia="仿宋" w:hAnsi="仿宋" w:cs="仿宋" w:hint="eastAsia"/>
          <w:sz w:val="28"/>
          <w:szCs w:val="28"/>
          <w:lang w:bidi="ar"/>
        </w:rPr>
        <w:t>日</w:t>
      </w:r>
    </w:p>
    <w:p w14:paraId="351FE03F" w14:textId="77777777" w:rsidR="00BD66DA" w:rsidRDefault="00BD66DA">
      <w:pPr>
        <w:snapToGrid w:val="0"/>
        <w:spacing w:line="360" w:lineRule="auto"/>
        <w:ind w:firstLineChars="200" w:firstLine="560"/>
        <w:jc w:val="right"/>
        <w:rPr>
          <w:rFonts w:ascii="仿宋" w:eastAsia="仿宋" w:hAnsi="仿宋" w:cs="仿宋"/>
          <w:sz w:val="28"/>
          <w:szCs w:val="28"/>
        </w:rPr>
      </w:pPr>
    </w:p>
    <w:sectPr w:rsidR="00BD66D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2AD3CC" w14:textId="77777777" w:rsidR="00F56094" w:rsidRDefault="00F56094">
      <w:r>
        <w:separator/>
      </w:r>
    </w:p>
  </w:endnote>
  <w:endnote w:type="continuationSeparator" w:id="0">
    <w:p w14:paraId="79AF32DD" w14:textId="77777777" w:rsidR="00F56094" w:rsidRDefault="00F560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77B515" w14:textId="77777777" w:rsidR="00BD66DA" w:rsidRDefault="00F56094">
    <w:pPr>
      <w:pStyle w:val="a4"/>
      <w:jc w:val="center"/>
    </w:pPr>
    <w:r>
      <w:fldChar w:fldCharType="begin"/>
    </w:r>
    <w:r>
      <w:instrText xml:space="preserve"> PAGE  \* Arabic  \* MERGEFORMAT </w:instrText>
    </w:r>
    <w:r>
      <w:fldChar w:fldCharType="separate"/>
    </w:r>
    <w:r w:rsidR="00B90E92">
      <w:rPr>
        <w:noProof/>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142C2D" w14:textId="77777777" w:rsidR="00F56094" w:rsidRDefault="00F56094">
      <w:r>
        <w:separator/>
      </w:r>
    </w:p>
  </w:footnote>
  <w:footnote w:type="continuationSeparator" w:id="0">
    <w:p w14:paraId="052B438C" w14:textId="77777777" w:rsidR="00F56094" w:rsidRDefault="00F560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lOThjZTE2ZGQ0Y2ViYjU4ODVjM2E0NjgyY2MwNjgifQ=="/>
  </w:docVars>
  <w:rsids>
    <w:rsidRoot w:val="005B6B98"/>
    <w:rsid w:val="00004EA3"/>
    <w:rsid w:val="000115AF"/>
    <w:rsid w:val="00016E61"/>
    <w:rsid w:val="0003409C"/>
    <w:rsid w:val="00042CA4"/>
    <w:rsid w:val="00043EB7"/>
    <w:rsid w:val="000511D8"/>
    <w:rsid w:val="00062918"/>
    <w:rsid w:val="00085224"/>
    <w:rsid w:val="000A6494"/>
    <w:rsid w:val="000B4A85"/>
    <w:rsid w:val="000C453B"/>
    <w:rsid w:val="000C7A27"/>
    <w:rsid w:val="000D208C"/>
    <w:rsid w:val="000D4118"/>
    <w:rsid w:val="000E0167"/>
    <w:rsid w:val="000F1AE3"/>
    <w:rsid w:val="0010125C"/>
    <w:rsid w:val="00107093"/>
    <w:rsid w:val="00116985"/>
    <w:rsid w:val="00123EFF"/>
    <w:rsid w:val="0015055E"/>
    <w:rsid w:val="00151226"/>
    <w:rsid w:val="0017703C"/>
    <w:rsid w:val="00194AFA"/>
    <w:rsid w:val="001B2141"/>
    <w:rsid w:val="001B687E"/>
    <w:rsid w:val="001C6EB4"/>
    <w:rsid w:val="001D08AF"/>
    <w:rsid w:val="001D3543"/>
    <w:rsid w:val="001E0B64"/>
    <w:rsid w:val="001E416C"/>
    <w:rsid w:val="001F5837"/>
    <w:rsid w:val="0020153E"/>
    <w:rsid w:val="00202ED5"/>
    <w:rsid w:val="00211A4F"/>
    <w:rsid w:val="00214F5B"/>
    <w:rsid w:val="00234353"/>
    <w:rsid w:val="002355D3"/>
    <w:rsid w:val="002543B6"/>
    <w:rsid w:val="00286594"/>
    <w:rsid w:val="00292BE3"/>
    <w:rsid w:val="00292E64"/>
    <w:rsid w:val="0029402C"/>
    <w:rsid w:val="00296417"/>
    <w:rsid w:val="002B059D"/>
    <w:rsid w:val="002B2367"/>
    <w:rsid w:val="002B5D29"/>
    <w:rsid w:val="002C6571"/>
    <w:rsid w:val="002D655F"/>
    <w:rsid w:val="002E3209"/>
    <w:rsid w:val="002E7795"/>
    <w:rsid w:val="002F11E1"/>
    <w:rsid w:val="002F25D7"/>
    <w:rsid w:val="00303FC4"/>
    <w:rsid w:val="0030416F"/>
    <w:rsid w:val="003078E0"/>
    <w:rsid w:val="003108D0"/>
    <w:rsid w:val="0031496D"/>
    <w:rsid w:val="00325A75"/>
    <w:rsid w:val="00331F7C"/>
    <w:rsid w:val="00333495"/>
    <w:rsid w:val="003437A9"/>
    <w:rsid w:val="003441DF"/>
    <w:rsid w:val="00344B54"/>
    <w:rsid w:val="003519AD"/>
    <w:rsid w:val="00364CFD"/>
    <w:rsid w:val="00371B23"/>
    <w:rsid w:val="00390D63"/>
    <w:rsid w:val="003A34F1"/>
    <w:rsid w:val="003B278C"/>
    <w:rsid w:val="003B3FC9"/>
    <w:rsid w:val="003B69A0"/>
    <w:rsid w:val="003E34E6"/>
    <w:rsid w:val="003E627A"/>
    <w:rsid w:val="003F09CD"/>
    <w:rsid w:val="003F4C77"/>
    <w:rsid w:val="00403A10"/>
    <w:rsid w:val="00411D31"/>
    <w:rsid w:val="00420EFA"/>
    <w:rsid w:val="00431010"/>
    <w:rsid w:val="00440CCC"/>
    <w:rsid w:val="00444A3E"/>
    <w:rsid w:val="0046359B"/>
    <w:rsid w:val="00463991"/>
    <w:rsid w:val="0046491D"/>
    <w:rsid w:val="00465CE4"/>
    <w:rsid w:val="0047104B"/>
    <w:rsid w:val="004806B5"/>
    <w:rsid w:val="004812E9"/>
    <w:rsid w:val="00483973"/>
    <w:rsid w:val="004940CF"/>
    <w:rsid w:val="0049763C"/>
    <w:rsid w:val="004A7917"/>
    <w:rsid w:val="004D6E82"/>
    <w:rsid w:val="004E5078"/>
    <w:rsid w:val="004F510B"/>
    <w:rsid w:val="004F58CE"/>
    <w:rsid w:val="004F597C"/>
    <w:rsid w:val="0052120A"/>
    <w:rsid w:val="005276F2"/>
    <w:rsid w:val="00542F43"/>
    <w:rsid w:val="00553C0D"/>
    <w:rsid w:val="00554DC4"/>
    <w:rsid w:val="005764DB"/>
    <w:rsid w:val="00582AC8"/>
    <w:rsid w:val="00584A54"/>
    <w:rsid w:val="00585BBB"/>
    <w:rsid w:val="00585DD3"/>
    <w:rsid w:val="00586992"/>
    <w:rsid w:val="00587DD3"/>
    <w:rsid w:val="005919FD"/>
    <w:rsid w:val="005A7290"/>
    <w:rsid w:val="005B3C42"/>
    <w:rsid w:val="005B4916"/>
    <w:rsid w:val="005B4BDE"/>
    <w:rsid w:val="005B6B98"/>
    <w:rsid w:val="005C1926"/>
    <w:rsid w:val="005C36C2"/>
    <w:rsid w:val="005D6F48"/>
    <w:rsid w:val="005E6E4F"/>
    <w:rsid w:val="005F0366"/>
    <w:rsid w:val="005F1E9E"/>
    <w:rsid w:val="005F4AC9"/>
    <w:rsid w:val="00604ACB"/>
    <w:rsid w:val="00605327"/>
    <w:rsid w:val="006055C8"/>
    <w:rsid w:val="00624A16"/>
    <w:rsid w:val="00631482"/>
    <w:rsid w:val="00635519"/>
    <w:rsid w:val="00643920"/>
    <w:rsid w:val="0064573F"/>
    <w:rsid w:val="00646B70"/>
    <w:rsid w:val="00646DF7"/>
    <w:rsid w:val="00647E05"/>
    <w:rsid w:val="006534B8"/>
    <w:rsid w:val="0065591E"/>
    <w:rsid w:val="00656592"/>
    <w:rsid w:val="0066614E"/>
    <w:rsid w:val="00695C6A"/>
    <w:rsid w:val="006A15F7"/>
    <w:rsid w:val="006A42FF"/>
    <w:rsid w:val="006C0111"/>
    <w:rsid w:val="006C1151"/>
    <w:rsid w:val="006C6B32"/>
    <w:rsid w:val="006D2A72"/>
    <w:rsid w:val="006E41D3"/>
    <w:rsid w:val="006E68C8"/>
    <w:rsid w:val="006F77BB"/>
    <w:rsid w:val="007112D2"/>
    <w:rsid w:val="00714A28"/>
    <w:rsid w:val="0071689C"/>
    <w:rsid w:val="007225D5"/>
    <w:rsid w:val="00723465"/>
    <w:rsid w:val="00726E57"/>
    <w:rsid w:val="00732A2A"/>
    <w:rsid w:val="00735013"/>
    <w:rsid w:val="00754044"/>
    <w:rsid w:val="00760D06"/>
    <w:rsid w:val="00762F08"/>
    <w:rsid w:val="00766AE6"/>
    <w:rsid w:val="00780C0A"/>
    <w:rsid w:val="007869B0"/>
    <w:rsid w:val="00795697"/>
    <w:rsid w:val="007C1E79"/>
    <w:rsid w:val="007C726C"/>
    <w:rsid w:val="007E5CC1"/>
    <w:rsid w:val="007E7CEE"/>
    <w:rsid w:val="007F2FA0"/>
    <w:rsid w:val="0080383C"/>
    <w:rsid w:val="0080580E"/>
    <w:rsid w:val="00835063"/>
    <w:rsid w:val="00846A93"/>
    <w:rsid w:val="00850370"/>
    <w:rsid w:val="008561A2"/>
    <w:rsid w:val="00860344"/>
    <w:rsid w:val="008618DD"/>
    <w:rsid w:val="00864F28"/>
    <w:rsid w:val="00872761"/>
    <w:rsid w:val="00881D8B"/>
    <w:rsid w:val="0089054C"/>
    <w:rsid w:val="008B1959"/>
    <w:rsid w:val="008B28A9"/>
    <w:rsid w:val="008B62C4"/>
    <w:rsid w:val="008B688C"/>
    <w:rsid w:val="008D0CED"/>
    <w:rsid w:val="008E2FBA"/>
    <w:rsid w:val="008E3C1C"/>
    <w:rsid w:val="008E7A49"/>
    <w:rsid w:val="008F37B5"/>
    <w:rsid w:val="00903252"/>
    <w:rsid w:val="00904F76"/>
    <w:rsid w:val="009068A7"/>
    <w:rsid w:val="00931534"/>
    <w:rsid w:val="00936EF7"/>
    <w:rsid w:val="00942C2D"/>
    <w:rsid w:val="009523CC"/>
    <w:rsid w:val="009637D3"/>
    <w:rsid w:val="0096781A"/>
    <w:rsid w:val="009720E8"/>
    <w:rsid w:val="00972D07"/>
    <w:rsid w:val="009737D5"/>
    <w:rsid w:val="00973ABD"/>
    <w:rsid w:val="009770D2"/>
    <w:rsid w:val="00980167"/>
    <w:rsid w:val="009822A4"/>
    <w:rsid w:val="009A0B48"/>
    <w:rsid w:val="009B073F"/>
    <w:rsid w:val="009B557B"/>
    <w:rsid w:val="009B7278"/>
    <w:rsid w:val="009C39DA"/>
    <w:rsid w:val="009C3F55"/>
    <w:rsid w:val="009C47A0"/>
    <w:rsid w:val="009D4240"/>
    <w:rsid w:val="009D580D"/>
    <w:rsid w:val="009D5E8A"/>
    <w:rsid w:val="009E02C3"/>
    <w:rsid w:val="00A05AE8"/>
    <w:rsid w:val="00A10721"/>
    <w:rsid w:val="00A33037"/>
    <w:rsid w:val="00A37C0B"/>
    <w:rsid w:val="00A415CB"/>
    <w:rsid w:val="00A45466"/>
    <w:rsid w:val="00A60466"/>
    <w:rsid w:val="00A61D88"/>
    <w:rsid w:val="00A641CA"/>
    <w:rsid w:val="00A742DF"/>
    <w:rsid w:val="00A860B6"/>
    <w:rsid w:val="00A96962"/>
    <w:rsid w:val="00A97AC7"/>
    <w:rsid w:val="00AB220F"/>
    <w:rsid w:val="00AB249C"/>
    <w:rsid w:val="00AD2713"/>
    <w:rsid w:val="00B1592E"/>
    <w:rsid w:val="00B21823"/>
    <w:rsid w:val="00B30DFF"/>
    <w:rsid w:val="00B3600A"/>
    <w:rsid w:val="00B56F61"/>
    <w:rsid w:val="00B62933"/>
    <w:rsid w:val="00B64BF3"/>
    <w:rsid w:val="00B77028"/>
    <w:rsid w:val="00B90E92"/>
    <w:rsid w:val="00B93BCD"/>
    <w:rsid w:val="00B94C12"/>
    <w:rsid w:val="00BD53FD"/>
    <w:rsid w:val="00BD66DA"/>
    <w:rsid w:val="00BF4E2F"/>
    <w:rsid w:val="00BF679E"/>
    <w:rsid w:val="00C0267B"/>
    <w:rsid w:val="00C0691B"/>
    <w:rsid w:val="00C179F3"/>
    <w:rsid w:val="00C215A7"/>
    <w:rsid w:val="00C26AF1"/>
    <w:rsid w:val="00C32AB4"/>
    <w:rsid w:val="00C34899"/>
    <w:rsid w:val="00C37A89"/>
    <w:rsid w:val="00C44951"/>
    <w:rsid w:val="00C466CC"/>
    <w:rsid w:val="00C46EB4"/>
    <w:rsid w:val="00C550C5"/>
    <w:rsid w:val="00C57B16"/>
    <w:rsid w:val="00C6334C"/>
    <w:rsid w:val="00C64364"/>
    <w:rsid w:val="00C6790C"/>
    <w:rsid w:val="00C70CF9"/>
    <w:rsid w:val="00C723DF"/>
    <w:rsid w:val="00C7617C"/>
    <w:rsid w:val="00C81B0E"/>
    <w:rsid w:val="00C8399C"/>
    <w:rsid w:val="00C83A16"/>
    <w:rsid w:val="00C8720E"/>
    <w:rsid w:val="00C92072"/>
    <w:rsid w:val="00C96760"/>
    <w:rsid w:val="00CB12B3"/>
    <w:rsid w:val="00CB1C0D"/>
    <w:rsid w:val="00CB43C6"/>
    <w:rsid w:val="00CC1E53"/>
    <w:rsid w:val="00CD044F"/>
    <w:rsid w:val="00CD36D7"/>
    <w:rsid w:val="00CD5212"/>
    <w:rsid w:val="00D00062"/>
    <w:rsid w:val="00D24A9E"/>
    <w:rsid w:val="00D30447"/>
    <w:rsid w:val="00D31E21"/>
    <w:rsid w:val="00D3291C"/>
    <w:rsid w:val="00D47A5D"/>
    <w:rsid w:val="00D5502F"/>
    <w:rsid w:val="00D56503"/>
    <w:rsid w:val="00D7027A"/>
    <w:rsid w:val="00D728B9"/>
    <w:rsid w:val="00D767B5"/>
    <w:rsid w:val="00D80560"/>
    <w:rsid w:val="00D82E48"/>
    <w:rsid w:val="00D96DCD"/>
    <w:rsid w:val="00DA1808"/>
    <w:rsid w:val="00DA1ECA"/>
    <w:rsid w:val="00DA21DB"/>
    <w:rsid w:val="00DA3713"/>
    <w:rsid w:val="00DD30CE"/>
    <w:rsid w:val="00DD720D"/>
    <w:rsid w:val="00DD7511"/>
    <w:rsid w:val="00DE47BA"/>
    <w:rsid w:val="00DE4A1A"/>
    <w:rsid w:val="00DE583B"/>
    <w:rsid w:val="00DE6DFA"/>
    <w:rsid w:val="00E0359C"/>
    <w:rsid w:val="00E25DA0"/>
    <w:rsid w:val="00E30451"/>
    <w:rsid w:val="00E30AA4"/>
    <w:rsid w:val="00E43FC8"/>
    <w:rsid w:val="00E629EA"/>
    <w:rsid w:val="00E7188E"/>
    <w:rsid w:val="00E861DC"/>
    <w:rsid w:val="00E92BB0"/>
    <w:rsid w:val="00EA253B"/>
    <w:rsid w:val="00EA661F"/>
    <w:rsid w:val="00EA6C74"/>
    <w:rsid w:val="00EB60D7"/>
    <w:rsid w:val="00EC177C"/>
    <w:rsid w:val="00EC192F"/>
    <w:rsid w:val="00EC6B54"/>
    <w:rsid w:val="00ED36A2"/>
    <w:rsid w:val="00ED5911"/>
    <w:rsid w:val="00F1342A"/>
    <w:rsid w:val="00F2021B"/>
    <w:rsid w:val="00F20CFE"/>
    <w:rsid w:val="00F25B72"/>
    <w:rsid w:val="00F2665F"/>
    <w:rsid w:val="00F334B5"/>
    <w:rsid w:val="00F443CF"/>
    <w:rsid w:val="00F475D2"/>
    <w:rsid w:val="00F56094"/>
    <w:rsid w:val="00F7614A"/>
    <w:rsid w:val="00F80279"/>
    <w:rsid w:val="00F8302D"/>
    <w:rsid w:val="00F9521A"/>
    <w:rsid w:val="00FA36EA"/>
    <w:rsid w:val="00FB2E4D"/>
    <w:rsid w:val="00FC7C94"/>
    <w:rsid w:val="00FE298F"/>
    <w:rsid w:val="00FE4A0E"/>
    <w:rsid w:val="02310132"/>
    <w:rsid w:val="080A4579"/>
    <w:rsid w:val="0D5F7DD6"/>
    <w:rsid w:val="156B6F4B"/>
    <w:rsid w:val="181C5568"/>
    <w:rsid w:val="1AE7638C"/>
    <w:rsid w:val="1D1F583A"/>
    <w:rsid w:val="200C7BCE"/>
    <w:rsid w:val="2B1328B5"/>
    <w:rsid w:val="2BE73B31"/>
    <w:rsid w:val="2F307C09"/>
    <w:rsid w:val="2FA34A6B"/>
    <w:rsid w:val="336851BD"/>
    <w:rsid w:val="3C5255AE"/>
    <w:rsid w:val="3F461941"/>
    <w:rsid w:val="43086074"/>
    <w:rsid w:val="45C57BED"/>
    <w:rsid w:val="5FAE5456"/>
    <w:rsid w:val="6078165F"/>
    <w:rsid w:val="60ED0796"/>
    <w:rsid w:val="6D49739B"/>
    <w:rsid w:val="7A7B1B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7AA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宋体" w:hAnsi="宋体"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宋体" w:hAnsi="宋体" w:cstheme="minorBidi"/>
      <w:sz w:val="18"/>
      <w:szCs w:val="18"/>
    </w:rPr>
  </w:style>
  <w:style w:type="table" w:styleId="a6">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Times New Roman" w:hAnsi="Times New Roman" w:cs="Times New Roman"/>
      <w:sz w:val="18"/>
      <w:szCs w:val="18"/>
    </w:rPr>
  </w:style>
  <w:style w:type="paragraph" w:styleId="a7">
    <w:name w:val="List Paragraph"/>
    <w:basedOn w:val="a"/>
    <w:uiPriority w:val="99"/>
    <w:qFormat/>
    <w:pPr>
      <w:ind w:firstLineChars="200" w:firstLine="420"/>
    </w:pPr>
  </w:style>
  <w:style w:type="paragraph" w:customStyle="1" w:styleId="1">
    <w:name w:val="修订1"/>
    <w:hidden/>
    <w:uiPriority w:val="99"/>
    <w:unhideWhenUsed/>
    <w:rPr>
      <w:rFonts w:ascii="Times New Roman" w:hAnsi="Times New Roman" w:cs="Times New Roman"/>
      <w:kern w:val="2"/>
      <w:sz w:val="21"/>
    </w:rPr>
  </w:style>
  <w:style w:type="paragraph" w:styleId="a8">
    <w:name w:val="Revision"/>
    <w:hidden/>
    <w:uiPriority w:val="99"/>
    <w:unhideWhenUsed/>
    <w:rsid w:val="00F20CFE"/>
    <w:rPr>
      <w:rFonts w:ascii="Times New Roman" w:hAnsi="Times New Roman" w:cs="Times New Roman"/>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宋体" w:hAnsi="宋体"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宋体" w:hAnsi="宋体" w:cstheme="minorBidi"/>
      <w:sz w:val="18"/>
      <w:szCs w:val="18"/>
    </w:rPr>
  </w:style>
  <w:style w:type="table" w:styleId="a6">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Times New Roman" w:hAnsi="Times New Roman" w:cs="Times New Roman"/>
      <w:sz w:val="18"/>
      <w:szCs w:val="18"/>
    </w:rPr>
  </w:style>
  <w:style w:type="paragraph" w:styleId="a7">
    <w:name w:val="List Paragraph"/>
    <w:basedOn w:val="a"/>
    <w:uiPriority w:val="99"/>
    <w:qFormat/>
    <w:pPr>
      <w:ind w:firstLineChars="200" w:firstLine="420"/>
    </w:pPr>
  </w:style>
  <w:style w:type="paragraph" w:customStyle="1" w:styleId="1">
    <w:name w:val="修订1"/>
    <w:hidden/>
    <w:uiPriority w:val="99"/>
    <w:unhideWhenUsed/>
    <w:rPr>
      <w:rFonts w:ascii="Times New Roman" w:hAnsi="Times New Roman" w:cs="Times New Roman"/>
      <w:kern w:val="2"/>
      <w:sz w:val="21"/>
    </w:rPr>
  </w:style>
  <w:style w:type="paragraph" w:styleId="a8">
    <w:name w:val="Revision"/>
    <w:hidden/>
    <w:uiPriority w:val="99"/>
    <w:unhideWhenUsed/>
    <w:rsid w:val="00F20CFE"/>
    <w:rPr>
      <w:rFonts w:ascii="Times New Roman" w:hAnsi="Times New Roman"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259</Words>
  <Characters>1482</Characters>
  <Application>Microsoft Office Word</Application>
  <DocSecurity>0</DocSecurity>
  <Lines>12</Lines>
  <Paragraphs>3</Paragraphs>
  <ScaleCrop>false</ScaleCrop>
  <Company>china</Company>
  <LinksUpToDate>false</LinksUpToDate>
  <CharactersWithSpaces>1738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梁红霞</dc:creator>
  <cp:lastModifiedBy>hsq</cp:lastModifiedBy>
  <cp:revision>49</cp:revision>
  <cp:lastPrinted>2024-07-18T08:52:00Z</cp:lastPrinted>
  <dcterms:created xsi:type="dcterms:W3CDTF">2024-07-31T01:17:00Z</dcterms:created>
  <dcterms:modified xsi:type="dcterms:W3CDTF">2026-01-27T08:40:00Z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B38ADD5DE6314B3CB43716AEFEEBF55D</vt:lpwstr>
  </property>
  <property fmtid="{D5CDD505-2E9C-101B-9397-08002B2CF9AE}" pid="4" name="KSOTemplateDocerSaveRecord">
    <vt:lpwstr>eyJoZGlkIjoiYjc3NTVmODk5OWI4YTU0YmU5MTlhYzJjMjBkNzFlNmEiLCJ1c2VySWQiOiIyNDMwNTgyMjAifQ==</vt:lpwstr>
  </property>
</Properties>
</file>